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05544607" w:rsidR="00F62238" w:rsidRPr="00CA7855" w:rsidRDefault="00AF1FE0" w:rsidP="00AF1FE0">
      <w:pPr>
        <w:pStyle w:val="Logo-Centred"/>
        <w:tabs>
          <w:tab w:val="left" w:pos="5925"/>
        </w:tabs>
        <w:jc w:val="left"/>
      </w:pPr>
      <w:r>
        <w:tab/>
      </w: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1EB035FB" w14:textId="7967DC5A" w:rsidR="00F62238" w:rsidRDefault="00F62238" w:rsidP="003E4CD8">
      <w:pPr>
        <w:pStyle w:val="Titlepagesubtitle"/>
      </w:pPr>
      <w:r w:rsidRPr="00CA7855">
        <w:t>Submission</w:t>
      </w:r>
      <w:r w:rsidR="003E4CD8">
        <w:t xml:space="preserve"> to the Council of Attorneys-General </w:t>
      </w:r>
    </w:p>
    <w:p w14:paraId="207D57D1" w14:textId="1FE150AA" w:rsidR="00FF07CA" w:rsidRPr="00CA7855" w:rsidRDefault="00FF07CA" w:rsidP="00923644">
      <w:pPr>
        <w:pStyle w:val="Title"/>
      </w:pPr>
      <w:bookmarkStart w:id="0" w:name="_Toc33713479"/>
      <w:bookmarkStart w:id="1" w:name="_Toc33798381"/>
      <w:r>
        <w:t>Review of Age of Criminal Responsibility</w:t>
      </w:r>
      <w:bookmarkEnd w:id="0"/>
      <w:bookmarkEnd w:id="1"/>
    </w:p>
    <w:p w14:paraId="6913A24B" w14:textId="51AB88D8" w:rsidR="00F62238" w:rsidRPr="00CA7855" w:rsidRDefault="00FF0D7F" w:rsidP="00F62238">
      <w:pPr>
        <w:pStyle w:val="Titlepagesubtitle"/>
      </w:pPr>
      <w:r>
        <w:t xml:space="preserve">February </w:t>
      </w:r>
      <w:r w:rsidR="000F6052">
        <w:t>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3BE2785D"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0F6052">
        <w:t>Eliza Moloney</w:t>
      </w:r>
    </w:p>
    <w:p w14:paraId="065798D2" w14:textId="77777777" w:rsidR="005913F7" w:rsidRPr="00CA7855" w:rsidRDefault="005913F7" w:rsidP="005913F7">
      <w:pPr>
        <w:pStyle w:val="Frontmatter"/>
      </w:pPr>
    </w:p>
    <w:p w14:paraId="698E6DF4" w14:textId="03D77FE4" w:rsidR="005913F7" w:rsidRPr="00CA7855" w:rsidRDefault="0013447D" w:rsidP="005913F7">
      <w:pPr>
        <w:pStyle w:val="Frontmatter"/>
      </w:pPr>
      <w:r>
        <w:t>February 2020</w:t>
      </w:r>
    </w:p>
    <w:p w14:paraId="181D164A" w14:textId="1131FD24" w:rsidR="005913F7" w:rsidRPr="00CA7855" w:rsidRDefault="005913F7" w:rsidP="005913F7">
      <w:pPr>
        <w:pStyle w:val="Frontmatter"/>
      </w:pPr>
      <w:r w:rsidRPr="00CA7855">
        <w:t xml:space="preserve">ISBN </w:t>
      </w:r>
      <w:r w:rsidR="00F30F7D" w:rsidRPr="00F30F7D">
        <w:t>978-1-876632-83-0</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21E64150" w14:textId="0D782CB1" w:rsidR="00AB5B48" w:rsidRDefault="00AB255D">
      <w:pPr>
        <w:pStyle w:val="TOC1"/>
        <w:rPr>
          <w:rFonts w:asciiTheme="minorHAnsi" w:eastAsiaTheme="minorEastAsia" w:hAnsiTheme="minorHAnsi" w:cstheme="minorBidi"/>
          <w:b w:val="0"/>
          <w:noProof/>
          <w:sz w:val="22"/>
          <w:lang w:val="en-US" w:eastAsia="en-US"/>
        </w:rPr>
      </w:pPr>
      <w:r w:rsidRPr="00CA7855">
        <w:fldChar w:fldCharType="begin"/>
      </w:r>
      <w:r w:rsidRPr="00CA7855">
        <w:instrText xml:space="preserve"> TOC \o "1-3" \h \z \u </w:instrText>
      </w:r>
      <w:r w:rsidRPr="00CA7855">
        <w:fldChar w:fldCharType="separate"/>
      </w:r>
      <w:hyperlink w:anchor="_Toc33798381" w:history="1">
        <w:r w:rsidR="00AB5B48" w:rsidRPr="0062142B">
          <w:rPr>
            <w:rStyle w:val="Hyperlink"/>
            <w:noProof/>
          </w:rPr>
          <w:t>Review of Age of Criminal Responsibility</w:t>
        </w:r>
        <w:r w:rsidR="00AB5B48">
          <w:rPr>
            <w:noProof/>
            <w:webHidden/>
          </w:rPr>
          <w:tab/>
        </w:r>
        <w:r w:rsidR="00AB5B48">
          <w:rPr>
            <w:noProof/>
            <w:webHidden/>
          </w:rPr>
          <w:fldChar w:fldCharType="begin"/>
        </w:r>
        <w:r w:rsidR="00AB5B48">
          <w:rPr>
            <w:noProof/>
            <w:webHidden/>
          </w:rPr>
          <w:instrText xml:space="preserve"> PAGEREF _Toc33798381 \h </w:instrText>
        </w:r>
        <w:r w:rsidR="00AB5B48">
          <w:rPr>
            <w:noProof/>
            <w:webHidden/>
          </w:rPr>
        </w:r>
        <w:r w:rsidR="00AB5B48">
          <w:rPr>
            <w:noProof/>
            <w:webHidden/>
          </w:rPr>
          <w:fldChar w:fldCharType="separate"/>
        </w:r>
        <w:r w:rsidR="009B5A1E">
          <w:rPr>
            <w:noProof/>
            <w:webHidden/>
          </w:rPr>
          <w:t>1</w:t>
        </w:r>
        <w:r w:rsidR="00AB5B48">
          <w:rPr>
            <w:noProof/>
            <w:webHidden/>
          </w:rPr>
          <w:fldChar w:fldCharType="end"/>
        </w:r>
      </w:hyperlink>
    </w:p>
    <w:p w14:paraId="19646AD6" w14:textId="00BB55B3" w:rsidR="00AB5B48" w:rsidRDefault="00AB5B48">
      <w:pPr>
        <w:pStyle w:val="TOC1"/>
        <w:rPr>
          <w:rFonts w:asciiTheme="minorHAnsi" w:eastAsiaTheme="minorEastAsia" w:hAnsiTheme="minorHAnsi" w:cstheme="minorBidi"/>
          <w:b w:val="0"/>
          <w:noProof/>
          <w:sz w:val="22"/>
          <w:lang w:val="en-US" w:eastAsia="en-US"/>
        </w:rPr>
      </w:pPr>
      <w:hyperlink w:anchor="_Toc33798382" w:history="1">
        <w:r w:rsidRPr="0062142B">
          <w:rPr>
            <w:rStyle w:val="Hyperlink"/>
            <w:noProof/>
          </w:rPr>
          <w:t>Acronyms</w:t>
        </w:r>
        <w:r>
          <w:rPr>
            <w:noProof/>
            <w:webHidden/>
          </w:rPr>
          <w:tab/>
        </w:r>
        <w:r>
          <w:rPr>
            <w:noProof/>
            <w:webHidden/>
          </w:rPr>
          <w:fldChar w:fldCharType="begin"/>
        </w:r>
        <w:r>
          <w:rPr>
            <w:noProof/>
            <w:webHidden/>
          </w:rPr>
          <w:instrText xml:space="preserve"> PAGEREF _Toc33798382 \h </w:instrText>
        </w:r>
        <w:r>
          <w:rPr>
            <w:noProof/>
            <w:webHidden/>
          </w:rPr>
        </w:r>
        <w:r>
          <w:rPr>
            <w:noProof/>
            <w:webHidden/>
          </w:rPr>
          <w:fldChar w:fldCharType="separate"/>
        </w:r>
        <w:r w:rsidR="009B5A1E">
          <w:rPr>
            <w:noProof/>
            <w:webHidden/>
          </w:rPr>
          <w:t>4</w:t>
        </w:r>
        <w:r>
          <w:rPr>
            <w:noProof/>
            <w:webHidden/>
          </w:rPr>
          <w:fldChar w:fldCharType="end"/>
        </w:r>
      </w:hyperlink>
    </w:p>
    <w:p w14:paraId="3C63663D" w14:textId="22DA6A2B" w:rsidR="00AB5B48" w:rsidRDefault="00AB5B48">
      <w:pPr>
        <w:pStyle w:val="TOC1"/>
        <w:rPr>
          <w:rFonts w:asciiTheme="minorHAnsi" w:eastAsiaTheme="minorEastAsia" w:hAnsiTheme="minorHAnsi" w:cstheme="minorBidi"/>
          <w:b w:val="0"/>
          <w:noProof/>
          <w:sz w:val="22"/>
          <w:lang w:val="en-US" w:eastAsia="en-US"/>
        </w:rPr>
      </w:pPr>
      <w:hyperlink w:anchor="_Toc33798383" w:history="1">
        <w:r w:rsidRPr="0062142B">
          <w:rPr>
            <w:rStyle w:val="Hyperlink"/>
            <w:noProof/>
          </w:rPr>
          <w:t>Introduction</w:t>
        </w:r>
        <w:r>
          <w:rPr>
            <w:noProof/>
            <w:webHidden/>
          </w:rPr>
          <w:tab/>
        </w:r>
        <w:r>
          <w:rPr>
            <w:noProof/>
            <w:webHidden/>
          </w:rPr>
          <w:fldChar w:fldCharType="begin"/>
        </w:r>
        <w:r>
          <w:rPr>
            <w:noProof/>
            <w:webHidden/>
          </w:rPr>
          <w:instrText xml:space="preserve"> PAGEREF _Toc33798383 \h </w:instrText>
        </w:r>
        <w:r>
          <w:rPr>
            <w:noProof/>
            <w:webHidden/>
          </w:rPr>
        </w:r>
        <w:r>
          <w:rPr>
            <w:noProof/>
            <w:webHidden/>
          </w:rPr>
          <w:fldChar w:fldCharType="separate"/>
        </w:r>
        <w:r w:rsidR="009B5A1E">
          <w:rPr>
            <w:noProof/>
            <w:webHidden/>
          </w:rPr>
          <w:t>5</w:t>
        </w:r>
        <w:r>
          <w:rPr>
            <w:noProof/>
            <w:webHidden/>
          </w:rPr>
          <w:fldChar w:fldCharType="end"/>
        </w:r>
      </w:hyperlink>
    </w:p>
    <w:p w14:paraId="4C560B79" w14:textId="7D3520D3" w:rsidR="00AB5B48" w:rsidRDefault="00AB5B48">
      <w:pPr>
        <w:pStyle w:val="TOC2"/>
        <w:rPr>
          <w:rFonts w:asciiTheme="minorHAnsi" w:eastAsiaTheme="minorEastAsia" w:hAnsiTheme="minorHAnsi" w:cstheme="minorBidi"/>
          <w:noProof/>
          <w:sz w:val="22"/>
          <w:lang w:val="en-US" w:eastAsia="en-US"/>
        </w:rPr>
      </w:pPr>
      <w:hyperlink w:anchor="_Toc33798384" w:history="1">
        <w:r w:rsidRPr="0062142B">
          <w:rPr>
            <w:rStyle w:val="Hyperlink"/>
            <w:noProof/>
          </w:rPr>
          <w:t>Recommendations</w:t>
        </w:r>
        <w:r>
          <w:rPr>
            <w:noProof/>
            <w:webHidden/>
          </w:rPr>
          <w:tab/>
        </w:r>
        <w:r>
          <w:rPr>
            <w:noProof/>
            <w:webHidden/>
          </w:rPr>
          <w:fldChar w:fldCharType="begin"/>
        </w:r>
        <w:r>
          <w:rPr>
            <w:noProof/>
            <w:webHidden/>
          </w:rPr>
          <w:instrText xml:space="preserve"> PAGEREF _Toc33798384 \h </w:instrText>
        </w:r>
        <w:r>
          <w:rPr>
            <w:noProof/>
            <w:webHidden/>
          </w:rPr>
        </w:r>
        <w:r>
          <w:rPr>
            <w:noProof/>
            <w:webHidden/>
          </w:rPr>
          <w:fldChar w:fldCharType="separate"/>
        </w:r>
        <w:r w:rsidR="009B5A1E">
          <w:rPr>
            <w:noProof/>
            <w:webHidden/>
          </w:rPr>
          <w:t>5</w:t>
        </w:r>
        <w:r>
          <w:rPr>
            <w:noProof/>
            <w:webHidden/>
          </w:rPr>
          <w:fldChar w:fldCharType="end"/>
        </w:r>
      </w:hyperlink>
    </w:p>
    <w:p w14:paraId="1C030E94" w14:textId="7DCA8042" w:rsidR="00AB5B48" w:rsidRDefault="00AB5B48">
      <w:pPr>
        <w:pStyle w:val="TOC1"/>
        <w:rPr>
          <w:rFonts w:asciiTheme="minorHAnsi" w:eastAsiaTheme="minorEastAsia" w:hAnsiTheme="minorHAnsi" w:cstheme="minorBidi"/>
          <w:b w:val="0"/>
          <w:noProof/>
          <w:sz w:val="22"/>
          <w:lang w:val="en-US" w:eastAsia="en-US"/>
        </w:rPr>
      </w:pPr>
      <w:hyperlink w:anchor="_Toc33798385" w:history="1">
        <w:r w:rsidRPr="0062142B">
          <w:rPr>
            <w:rStyle w:val="Hyperlink"/>
            <w:noProof/>
          </w:rPr>
          <w:t>Why we should raise the age</w:t>
        </w:r>
        <w:r>
          <w:rPr>
            <w:noProof/>
            <w:webHidden/>
          </w:rPr>
          <w:tab/>
        </w:r>
        <w:r>
          <w:rPr>
            <w:noProof/>
            <w:webHidden/>
          </w:rPr>
          <w:fldChar w:fldCharType="begin"/>
        </w:r>
        <w:r>
          <w:rPr>
            <w:noProof/>
            <w:webHidden/>
          </w:rPr>
          <w:instrText xml:space="preserve"> PAGEREF _Toc33798385 \h </w:instrText>
        </w:r>
        <w:r>
          <w:rPr>
            <w:noProof/>
            <w:webHidden/>
          </w:rPr>
        </w:r>
        <w:r>
          <w:rPr>
            <w:noProof/>
            <w:webHidden/>
          </w:rPr>
          <w:fldChar w:fldCharType="separate"/>
        </w:r>
        <w:r w:rsidR="009B5A1E">
          <w:rPr>
            <w:noProof/>
            <w:webHidden/>
          </w:rPr>
          <w:t>6</w:t>
        </w:r>
        <w:r>
          <w:rPr>
            <w:noProof/>
            <w:webHidden/>
          </w:rPr>
          <w:fldChar w:fldCharType="end"/>
        </w:r>
      </w:hyperlink>
    </w:p>
    <w:p w14:paraId="3C5313A4" w14:textId="19AD2DA3" w:rsidR="00AB5B48" w:rsidRDefault="00AB5B48">
      <w:pPr>
        <w:pStyle w:val="TOC2"/>
        <w:rPr>
          <w:rFonts w:asciiTheme="minorHAnsi" w:eastAsiaTheme="minorEastAsia" w:hAnsiTheme="minorHAnsi" w:cstheme="minorBidi"/>
          <w:noProof/>
          <w:sz w:val="22"/>
          <w:lang w:val="en-US" w:eastAsia="en-US"/>
        </w:rPr>
      </w:pPr>
      <w:hyperlink w:anchor="_Toc33798386" w:history="1">
        <w:r w:rsidRPr="0062142B">
          <w:rPr>
            <w:rStyle w:val="Hyperlink"/>
            <w:noProof/>
          </w:rPr>
          <w:t>Meeting international obligations</w:t>
        </w:r>
        <w:r>
          <w:rPr>
            <w:noProof/>
            <w:webHidden/>
          </w:rPr>
          <w:tab/>
        </w:r>
        <w:r>
          <w:rPr>
            <w:noProof/>
            <w:webHidden/>
          </w:rPr>
          <w:fldChar w:fldCharType="begin"/>
        </w:r>
        <w:r>
          <w:rPr>
            <w:noProof/>
            <w:webHidden/>
          </w:rPr>
          <w:instrText xml:space="preserve"> PAGEREF _Toc33798386 \h </w:instrText>
        </w:r>
        <w:r>
          <w:rPr>
            <w:noProof/>
            <w:webHidden/>
          </w:rPr>
        </w:r>
        <w:r>
          <w:rPr>
            <w:noProof/>
            <w:webHidden/>
          </w:rPr>
          <w:fldChar w:fldCharType="separate"/>
        </w:r>
        <w:r w:rsidR="009B5A1E">
          <w:rPr>
            <w:noProof/>
            <w:webHidden/>
          </w:rPr>
          <w:t>6</w:t>
        </w:r>
        <w:r>
          <w:rPr>
            <w:noProof/>
            <w:webHidden/>
          </w:rPr>
          <w:fldChar w:fldCharType="end"/>
        </w:r>
      </w:hyperlink>
    </w:p>
    <w:p w14:paraId="5A25462E" w14:textId="12D1533D" w:rsidR="00AB5B48" w:rsidRDefault="00AB5B48">
      <w:pPr>
        <w:pStyle w:val="TOC2"/>
        <w:rPr>
          <w:rFonts w:asciiTheme="minorHAnsi" w:eastAsiaTheme="minorEastAsia" w:hAnsiTheme="minorHAnsi" w:cstheme="minorBidi"/>
          <w:noProof/>
          <w:sz w:val="22"/>
          <w:lang w:val="en-US" w:eastAsia="en-US"/>
        </w:rPr>
      </w:pPr>
      <w:hyperlink w:anchor="_Toc33798387" w:history="1">
        <w:r w:rsidRPr="0062142B">
          <w:rPr>
            <w:rStyle w:val="Hyperlink"/>
            <w:noProof/>
          </w:rPr>
          <w:t>Evidence-based policy</w:t>
        </w:r>
        <w:r>
          <w:rPr>
            <w:noProof/>
            <w:webHidden/>
          </w:rPr>
          <w:tab/>
        </w:r>
        <w:r>
          <w:rPr>
            <w:noProof/>
            <w:webHidden/>
          </w:rPr>
          <w:fldChar w:fldCharType="begin"/>
        </w:r>
        <w:r>
          <w:rPr>
            <w:noProof/>
            <w:webHidden/>
          </w:rPr>
          <w:instrText xml:space="preserve"> PAGEREF _Toc33798387 \h </w:instrText>
        </w:r>
        <w:r>
          <w:rPr>
            <w:noProof/>
            <w:webHidden/>
          </w:rPr>
        </w:r>
        <w:r>
          <w:rPr>
            <w:noProof/>
            <w:webHidden/>
          </w:rPr>
          <w:fldChar w:fldCharType="separate"/>
        </w:r>
        <w:r w:rsidR="009B5A1E">
          <w:rPr>
            <w:noProof/>
            <w:webHidden/>
          </w:rPr>
          <w:t>6</w:t>
        </w:r>
        <w:r>
          <w:rPr>
            <w:noProof/>
            <w:webHidden/>
          </w:rPr>
          <w:fldChar w:fldCharType="end"/>
        </w:r>
      </w:hyperlink>
    </w:p>
    <w:p w14:paraId="6302371D" w14:textId="71233C68" w:rsidR="00AB5B48" w:rsidRDefault="00AB5B48">
      <w:pPr>
        <w:pStyle w:val="TOC2"/>
        <w:rPr>
          <w:rFonts w:asciiTheme="minorHAnsi" w:eastAsiaTheme="minorEastAsia" w:hAnsiTheme="minorHAnsi" w:cstheme="minorBidi"/>
          <w:noProof/>
          <w:sz w:val="22"/>
          <w:lang w:val="en-US" w:eastAsia="en-US"/>
        </w:rPr>
      </w:pPr>
      <w:hyperlink w:anchor="_Toc33798388" w:history="1">
        <w:r w:rsidRPr="0062142B">
          <w:rPr>
            <w:rStyle w:val="Hyperlink"/>
            <w:noProof/>
          </w:rPr>
          <w:t>Positive life outcomes</w:t>
        </w:r>
        <w:bookmarkStart w:id="2" w:name="_GoBack"/>
        <w:bookmarkEnd w:id="2"/>
        <w:r>
          <w:rPr>
            <w:noProof/>
            <w:webHidden/>
          </w:rPr>
          <w:tab/>
        </w:r>
        <w:r>
          <w:rPr>
            <w:noProof/>
            <w:webHidden/>
          </w:rPr>
          <w:fldChar w:fldCharType="begin"/>
        </w:r>
        <w:r>
          <w:rPr>
            <w:noProof/>
            <w:webHidden/>
          </w:rPr>
          <w:instrText xml:space="preserve"> PAGEREF _Toc33798388 \h </w:instrText>
        </w:r>
        <w:r>
          <w:rPr>
            <w:noProof/>
            <w:webHidden/>
          </w:rPr>
        </w:r>
        <w:r>
          <w:rPr>
            <w:noProof/>
            <w:webHidden/>
          </w:rPr>
          <w:fldChar w:fldCharType="separate"/>
        </w:r>
        <w:r w:rsidR="009B5A1E">
          <w:rPr>
            <w:noProof/>
            <w:webHidden/>
          </w:rPr>
          <w:t>7</w:t>
        </w:r>
        <w:r>
          <w:rPr>
            <w:noProof/>
            <w:webHidden/>
          </w:rPr>
          <w:fldChar w:fldCharType="end"/>
        </w:r>
      </w:hyperlink>
    </w:p>
    <w:p w14:paraId="67093CA8" w14:textId="4B029C66" w:rsidR="00AB5B48" w:rsidRDefault="00AB5B48">
      <w:pPr>
        <w:pStyle w:val="TOC1"/>
        <w:rPr>
          <w:rFonts w:asciiTheme="minorHAnsi" w:eastAsiaTheme="minorEastAsia" w:hAnsiTheme="minorHAnsi" w:cstheme="minorBidi"/>
          <w:b w:val="0"/>
          <w:noProof/>
          <w:sz w:val="22"/>
          <w:lang w:val="en-US" w:eastAsia="en-US"/>
        </w:rPr>
      </w:pPr>
      <w:hyperlink w:anchor="_Toc33798389" w:history="1">
        <w:r w:rsidRPr="0062142B">
          <w:rPr>
            <w:rStyle w:val="Hyperlink"/>
            <w:noProof/>
          </w:rPr>
          <w:t>ACT context</w:t>
        </w:r>
        <w:r>
          <w:rPr>
            <w:noProof/>
            <w:webHidden/>
          </w:rPr>
          <w:tab/>
        </w:r>
        <w:r>
          <w:rPr>
            <w:noProof/>
            <w:webHidden/>
          </w:rPr>
          <w:fldChar w:fldCharType="begin"/>
        </w:r>
        <w:r>
          <w:rPr>
            <w:noProof/>
            <w:webHidden/>
          </w:rPr>
          <w:instrText xml:space="preserve"> PAGEREF _Toc33798389 \h </w:instrText>
        </w:r>
        <w:r>
          <w:rPr>
            <w:noProof/>
            <w:webHidden/>
          </w:rPr>
        </w:r>
        <w:r>
          <w:rPr>
            <w:noProof/>
            <w:webHidden/>
          </w:rPr>
          <w:fldChar w:fldCharType="separate"/>
        </w:r>
        <w:r w:rsidR="009B5A1E">
          <w:rPr>
            <w:noProof/>
            <w:webHidden/>
          </w:rPr>
          <w:t>7</w:t>
        </w:r>
        <w:r>
          <w:rPr>
            <w:noProof/>
            <w:webHidden/>
          </w:rPr>
          <w:fldChar w:fldCharType="end"/>
        </w:r>
      </w:hyperlink>
    </w:p>
    <w:p w14:paraId="6868F32A" w14:textId="5932E746" w:rsidR="00AB5B48" w:rsidRDefault="00AB5B48">
      <w:pPr>
        <w:pStyle w:val="TOC1"/>
        <w:rPr>
          <w:rFonts w:asciiTheme="minorHAnsi" w:eastAsiaTheme="minorEastAsia" w:hAnsiTheme="minorHAnsi" w:cstheme="minorBidi"/>
          <w:b w:val="0"/>
          <w:noProof/>
          <w:sz w:val="22"/>
          <w:lang w:val="en-US" w:eastAsia="en-US"/>
        </w:rPr>
      </w:pPr>
      <w:hyperlink w:anchor="_Toc33798390" w:history="1">
        <w:r w:rsidRPr="0062142B">
          <w:rPr>
            <w:rStyle w:val="Hyperlink"/>
            <w:noProof/>
          </w:rPr>
          <w:t>Early and alternative supports</w:t>
        </w:r>
        <w:r>
          <w:rPr>
            <w:noProof/>
            <w:webHidden/>
          </w:rPr>
          <w:tab/>
        </w:r>
        <w:r>
          <w:rPr>
            <w:noProof/>
            <w:webHidden/>
          </w:rPr>
          <w:fldChar w:fldCharType="begin"/>
        </w:r>
        <w:r>
          <w:rPr>
            <w:noProof/>
            <w:webHidden/>
          </w:rPr>
          <w:instrText xml:space="preserve"> PAGEREF _Toc33798390 \h </w:instrText>
        </w:r>
        <w:r>
          <w:rPr>
            <w:noProof/>
            <w:webHidden/>
          </w:rPr>
        </w:r>
        <w:r>
          <w:rPr>
            <w:noProof/>
            <w:webHidden/>
          </w:rPr>
          <w:fldChar w:fldCharType="separate"/>
        </w:r>
        <w:r w:rsidR="009B5A1E">
          <w:rPr>
            <w:noProof/>
            <w:webHidden/>
          </w:rPr>
          <w:t>8</w:t>
        </w:r>
        <w:r>
          <w:rPr>
            <w:noProof/>
            <w:webHidden/>
          </w:rPr>
          <w:fldChar w:fldCharType="end"/>
        </w:r>
      </w:hyperlink>
    </w:p>
    <w:p w14:paraId="1D456EF2" w14:textId="622BC9A6" w:rsidR="00AB5B48" w:rsidRDefault="00AB5B48">
      <w:pPr>
        <w:pStyle w:val="TOC2"/>
        <w:rPr>
          <w:rFonts w:asciiTheme="minorHAnsi" w:eastAsiaTheme="minorEastAsia" w:hAnsiTheme="minorHAnsi" w:cstheme="minorBidi"/>
          <w:noProof/>
          <w:sz w:val="22"/>
          <w:lang w:val="en-US" w:eastAsia="en-US"/>
        </w:rPr>
      </w:pPr>
      <w:hyperlink w:anchor="_Toc33798391" w:history="1">
        <w:r w:rsidRPr="0062142B">
          <w:rPr>
            <w:rStyle w:val="Hyperlink"/>
            <w:noProof/>
          </w:rPr>
          <w:t>Child protection</w:t>
        </w:r>
        <w:r>
          <w:rPr>
            <w:noProof/>
            <w:webHidden/>
          </w:rPr>
          <w:tab/>
        </w:r>
        <w:r>
          <w:rPr>
            <w:noProof/>
            <w:webHidden/>
          </w:rPr>
          <w:fldChar w:fldCharType="begin"/>
        </w:r>
        <w:r>
          <w:rPr>
            <w:noProof/>
            <w:webHidden/>
          </w:rPr>
          <w:instrText xml:space="preserve"> PAGEREF _Toc33798391 \h </w:instrText>
        </w:r>
        <w:r>
          <w:rPr>
            <w:noProof/>
            <w:webHidden/>
          </w:rPr>
        </w:r>
        <w:r>
          <w:rPr>
            <w:noProof/>
            <w:webHidden/>
          </w:rPr>
          <w:fldChar w:fldCharType="separate"/>
        </w:r>
        <w:r w:rsidR="009B5A1E">
          <w:rPr>
            <w:noProof/>
            <w:webHidden/>
          </w:rPr>
          <w:t>8</w:t>
        </w:r>
        <w:r>
          <w:rPr>
            <w:noProof/>
            <w:webHidden/>
          </w:rPr>
          <w:fldChar w:fldCharType="end"/>
        </w:r>
      </w:hyperlink>
    </w:p>
    <w:p w14:paraId="0BBE07D8" w14:textId="71033648" w:rsidR="00AB5B48" w:rsidRDefault="00AB5B48">
      <w:pPr>
        <w:pStyle w:val="TOC2"/>
        <w:rPr>
          <w:rFonts w:asciiTheme="minorHAnsi" w:eastAsiaTheme="minorEastAsia" w:hAnsiTheme="minorHAnsi" w:cstheme="minorBidi"/>
          <w:noProof/>
          <w:sz w:val="22"/>
          <w:lang w:val="en-US" w:eastAsia="en-US"/>
        </w:rPr>
      </w:pPr>
      <w:hyperlink w:anchor="_Toc33798392" w:history="1">
        <w:r w:rsidRPr="0062142B">
          <w:rPr>
            <w:rStyle w:val="Hyperlink"/>
            <w:noProof/>
          </w:rPr>
          <w:t>Early childhood</w:t>
        </w:r>
        <w:r>
          <w:rPr>
            <w:noProof/>
            <w:webHidden/>
          </w:rPr>
          <w:tab/>
        </w:r>
        <w:r>
          <w:rPr>
            <w:noProof/>
            <w:webHidden/>
          </w:rPr>
          <w:fldChar w:fldCharType="begin"/>
        </w:r>
        <w:r>
          <w:rPr>
            <w:noProof/>
            <w:webHidden/>
          </w:rPr>
          <w:instrText xml:space="preserve"> PAGEREF _Toc33798392 \h </w:instrText>
        </w:r>
        <w:r>
          <w:rPr>
            <w:noProof/>
            <w:webHidden/>
          </w:rPr>
        </w:r>
        <w:r>
          <w:rPr>
            <w:noProof/>
            <w:webHidden/>
          </w:rPr>
          <w:fldChar w:fldCharType="separate"/>
        </w:r>
        <w:r w:rsidR="009B5A1E">
          <w:rPr>
            <w:noProof/>
            <w:webHidden/>
          </w:rPr>
          <w:t>9</w:t>
        </w:r>
        <w:r>
          <w:rPr>
            <w:noProof/>
            <w:webHidden/>
          </w:rPr>
          <w:fldChar w:fldCharType="end"/>
        </w:r>
      </w:hyperlink>
    </w:p>
    <w:p w14:paraId="143F995A" w14:textId="5E1BAECE" w:rsidR="00AB5B48" w:rsidRDefault="00AB5B48">
      <w:pPr>
        <w:pStyle w:val="TOC2"/>
        <w:rPr>
          <w:rFonts w:asciiTheme="minorHAnsi" w:eastAsiaTheme="minorEastAsia" w:hAnsiTheme="minorHAnsi" w:cstheme="minorBidi"/>
          <w:noProof/>
          <w:sz w:val="22"/>
          <w:lang w:val="en-US" w:eastAsia="en-US"/>
        </w:rPr>
      </w:pPr>
      <w:hyperlink w:anchor="_Toc33798393" w:history="1">
        <w:r w:rsidRPr="0062142B">
          <w:rPr>
            <w:rStyle w:val="Hyperlink"/>
            <w:noProof/>
          </w:rPr>
          <w:t>Youth homelessness</w:t>
        </w:r>
        <w:r>
          <w:rPr>
            <w:noProof/>
            <w:webHidden/>
          </w:rPr>
          <w:tab/>
        </w:r>
        <w:r>
          <w:rPr>
            <w:noProof/>
            <w:webHidden/>
          </w:rPr>
          <w:fldChar w:fldCharType="begin"/>
        </w:r>
        <w:r>
          <w:rPr>
            <w:noProof/>
            <w:webHidden/>
          </w:rPr>
          <w:instrText xml:space="preserve"> PAGEREF _Toc33798393 \h </w:instrText>
        </w:r>
        <w:r>
          <w:rPr>
            <w:noProof/>
            <w:webHidden/>
          </w:rPr>
        </w:r>
        <w:r>
          <w:rPr>
            <w:noProof/>
            <w:webHidden/>
          </w:rPr>
          <w:fldChar w:fldCharType="separate"/>
        </w:r>
        <w:r w:rsidR="009B5A1E">
          <w:rPr>
            <w:noProof/>
            <w:webHidden/>
          </w:rPr>
          <w:t>9</w:t>
        </w:r>
        <w:r>
          <w:rPr>
            <w:noProof/>
            <w:webHidden/>
          </w:rPr>
          <w:fldChar w:fldCharType="end"/>
        </w:r>
      </w:hyperlink>
    </w:p>
    <w:p w14:paraId="66EAC7CB" w14:textId="215B5D0A" w:rsidR="00AB5B48" w:rsidRDefault="00AB5B48">
      <w:pPr>
        <w:pStyle w:val="TOC2"/>
        <w:rPr>
          <w:rFonts w:asciiTheme="minorHAnsi" w:eastAsiaTheme="minorEastAsia" w:hAnsiTheme="minorHAnsi" w:cstheme="minorBidi"/>
          <w:noProof/>
          <w:sz w:val="22"/>
          <w:lang w:val="en-US" w:eastAsia="en-US"/>
        </w:rPr>
      </w:pPr>
      <w:hyperlink w:anchor="_Toc33798394" w:history="1">
        <w:r w:rsidRPr="0062142B">
          <w:rPr>
            <w:rStyle w:val="Hyperlink"/>
            <w:noProof/>
          </w:rPr>
          <w:t>Psycho-social supports</w:t>
        </w:r>
        <w:r>
          <w:rPr>
            <w:noProof/>
            <w:webHidden/>
          </w:rPr>
          <w:tab/>
        </w:r>
        <w:r>
          <w:rPr>
            <w:noProof/>
            <w:webHidden/>
          </w:rPr>
          <w:fldChar w:fldCharType="begin"/>
        </w:r>
        <w:r>
          <w:rPr>
            <w:noProof/>
            <w:webHidden/>
          </w:rPr>
          <w:instrText xml:space="preserve"> PAGEREF _Toc33798394 \h </w:instrText>
        </w:r>
        <w:r>
          <w:rPr>
            <w:noProof/>
            <w:webHidden/>
          </w:rPr>
        </w:r>
        <w:r>
          <w:rPr>
            <w:noProof/>
            <w:webHidden/>
          </w:rPr>
          <w:fldChar w:fldCharType="separate"/>
        </w:r>
        <w:r w:rsidR="009B5A1E">
          <w:rPr>
            <w:noProof/>
            <w:webHidden/>
          </w:rPr>
          <w:t>9</w:t>
        </w:r>
        <w:r>
          <w:rPr>
            <w:noProof/>
            <w:webHidden/>
          </w:rPr>
          <w:fldChar w:fldCharType="end"/>
        </w:r>
      </w:hyperlink>
    </w:p>
    <w:p w14:paraId="57FF9621" w14:textId="176373F8" w:rsidR="00AB5B48" w:rsidRDefault="00AB5B48">
      <w:pPr>
        <w:pStyle w:val="TOC2"/>
        <w:rPr>
          <w:rFonts w:asciiTheme="minorHAnsi" w:eastAsiaTheme="minorEastAsia" w:hAnsiTheme="minorHAnsi" w:cstheme="minorBidi"/>
          <w:noProof/>
          <w:sz w:val="22"/>
          <w:lang w:val="en-US" w:eastAsia="en-US"/>
        </w:rPr>
      </w:pPr>
      <w:hyperlink w:anchor="_Toc33798395" w:history="1">
        <w:r w:rsidRPr="0062142B">
          <w:rPr>
            <w:rStyle w:val="Hyperlink"/>
            <w:noProof/>
          </w:rPr>
          <w:t>Family violence</w:t>
        </w:r>
        <w:r>
          <w:rPr>
            <w:noProof/>
            <w:webHidden/>
          </w:rPr>
          <w:tab/>
        </w:r>
        <w:r>
          <w:rPr>
            <w:noProof/>
            <w:webHidden/>
          </w:rPr>
          <w:fldChar w:fldCharType="begin"/>
        </w:r>
        <w:r>
          <w:rPr>
            <w:noProof/>
            <w:webHidden/>
          </w:rPr>
          <w:instrText xml:space="preserve"> PAGEREF _Toc33798395 \h </w:instrText>
        </w:r>
        <w:r>
          <w:rPr>
            <w:noProof/>
            <w:webHidden/>
          </w:rPr>
        </w:r>
        <w:r>
          <w:rPr>
            <w:noProof/>
            <w:webHidden/>
          </w:rPr>
          <w:fldChar w:fldCharType="separate"/>
        </w:r>
        <w:r w:rsidR="009B5A1E">
          <w:rPr>
            <w:noProof/>
            <w:webHidden/>
          </w:rPr>
          <w:t>10</w:t>
        </w:r>
        <w:r>
          <w:rPr>
            <w:noProof/>
            <w:webHidden/>
          </w:rPr>
          <w:fldChar w:fldCharType="end"/>
        </w:r>
      </w:hyperlink>
    </w:p>
    <w:p w14:paraId="65ECFC32" w14:textId="032F5299"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3" w:name="_Toc33798382"/>
      <w:r w:rsidRPr="00CA7855">
        <w:lastRenderedPageBreak/>
        <w:t>Acronyms</w:t>
      </w:r>
      <w:bookmarkEnd w:id="3"/>
    </w:p>
    <w:p w14:paraId="73BF988F" w14:textId="112973BE" w:rsidR="00893EE4" w:rsidRDefault="00893EE4" w:rsidP="00AB255D">
      <w:pPr>
        <w:pStyle w:val="AcronymsList"/>
      </w:pPr>
      <w:r>
        <w:t>ACT</w:t>
      </w:r>
      <w:r>
        <w:tab/>
        <w:t>Australian Capital Territory</w:t>
      </w:r>
    </w:p>
    <w:p w14:paraId="391739A4" w14:textId="27B97B77" w:rsidR="00AB255D" w:rsidRDefault="00703089" w:rsidP="00AB255D">
      <w:pPr>
        <w:pStyle w:val="AcronymsList"/>
      </w:pPr>
      <w:r>
        <w:t>ACTCOSS</w:t>
      </w:r>
      <w:r>
        <w:tab/>
        <w:t>ACT Council of S</w:t>
      </w:r>
      <w:r w:rsidR="00AB255D" w:rsidRPr="00CA7855">
        <w:t>ocial Service Inc.</w:t>
      </w:r>
    </w:p>
    <w:p w14:paraId="4FB610E6" w14:textId="77777777" w:rsidR="001C53A1" w:rsidRPr="00CA7855" w:rsidRDefault="001C53A1" w:rsidP="001C53A1">
      <w:pPr>
        <w:pStyle w:val="AcronymsList"/>
      </w:pPr>
      <w:r w:rsidRPr="002A123B">
        <w:t>AEDC</w:t>
      </w:r>
      <w:r>
        <w:tab/>
      </w:r>
      <w:r w:rsidRPr="002A123B">
        <w:t xml:space="preserve">Australian Early Development Census </w:t>
      </w:r>
    </w:p>
    <w:p w14:paraId="26539DA6" w14:textId="51BD69DF" w:rsidR="00A3269B" w:rsidRDefault="00A3269B" w:rsidP="00AB255D">
      <w:pPr>
        <w:pStyle w:val="AcronymsList"/>
      </w:pPr>
      <w:r>
        <w:t>AIFS</w:t>
      </w:r>
      <w:r>
        <w:tab/>
      </w:r>
      <w:r w:rsidRPr="00A3269B">
        <w:t>Australian Institute of Family Studies</w:t>
      </w:r>
    </w:p>
    <w:p w14:paraId="635BCC58" w14:textId="4FFC755F" w:rsidR="006B473B" w:rsidRDefault="006B473B" w:rsidP="00AB255D">
      <w:pPr>
        <w:pStyle w:val="AcronymsList"/>
      </w:pPr>
      <w:r>
        <w:t>AMA</w:t>
      </w:r>
      <w:r>
        <w:tab/>
        <w:t>Australian Medical Association</w:t>
      </w:r>
    </w:p>
    <w:p w14:paraId="232FA9C9" w14:textId="506E35A0" w:rsidR="005910DB" w:rsidRPr="00CA7855" w:rsidRDefault="005910DB" w:rsidP="00AB255D">
      <w:pPr>
        <w:pStyle w:val="AcronymsList"/>
      </w:pPr>
      <w:r>
        <w:t>JRG</w:t>
      </w:r>
      <w:r>
        <w:tab/>
        <w:t>Justice Reform Group</w:t>
      </w:r>
    </w:p>
    <w:p w14:paraId="4B0B14EE" w14:textId="294C4E4F" w:rsidR="00AB255D" w:rsidRDefault="006B473B" w:rsidP="00776BAC">
      <w:pPr>
        <w:pStyle w:val="AcronymsList"/>
      </w:pPr>
      <w:r>
        <w:t>MACR</w:t>
      </w:r>
      <w:r>
        <w:tab/>
        <w:t>Minimum Age of Criminal Responsibility</w:t>
      </w:r>
    </w:p>
    <w:p w14:paraId="6F65063C" w14:textId="3B10C2E5" w:rsidR="00BC01EE" w:rsidRDefault="00BC01EE" w:rsidP="00776BAC">
      <w:pPr>
        <w:pStyle w:val="AcronymsList"/>
      </w:pPr>
      <w:r>
        <w:t>NDIS</w:t>
      </w:r>
      <w:r>
        <w:tab/>
      </w:r>
      <w:r w:rsidRPr="00BC01EE">
        <w:t>National Disability Insurance Scheme</w:t>
      </w:r>
    </w:p>
    <w:p w14:paraId="032ECBD3" w14:textId="77777777" w:rsidR="00AB255D" w:rsidRPr="00CA7855" w:rsidRDefault="00F54FAF" w:rsidP="00F54FAF">
      <w:pPr>
        <w:pStyle w:val="Heading1-Pagebreakbefore"/>
      </w:pPr>
      <w:bookmarkStart w:id="4" w:name="_Toc33798383"/>
      <w:r w:rsidRPr="00CA7855">
        <w:lastRenderedPageBreak/>
        <w:t>Introduction</w:t>
      </w:r>
      <w:bookmarkEnd w:id="4"/>
    </w:p>
    <w:p w14:paraId="24599CAF" w14:textId="0374F644" w:rsidR="006B473B" w:rsidRDefault="006B473B" w:rsidP="00050DBA">
      <w:pPr>
        <w:pStyle w:val="BodyText"/>
      </w:pPr>
      <w:r>
        <w:t xml:space="preserve">Thank you for inviting the ACT Council of Social Service (ACTCOSS) to </w:t>
      </w:r>
      <w:r w:rsidR="00D91F24">
        <w:t>submit to</w:t>
      </w:r>
      <w:r>
        <w:t xml:space="preserve"> the Council of Attorneys-General review of age of criminal responsibility.</w:t>
      </w:r>
    </w:p>
    <w:p w14:paraId="1CDCB680" w14:textId="36599A4A" w:rsidR="006B473B" w:rsidRDefault="006B473B" w:rsidP="00050DBA">
      <w:pPr>
        <w:pStyle w:val="BodyText"/>
      </w:pPr>
      <w:r>
        <w:t>ACTCOSS strongly</w:t>
      </w:r>
      <w:r w:rsidDel="00652217">
        <w:t xml:space="preserve"> </w:t>
      </w:r>
      <w:r>
        <w:t xml:space="preserve">advocates that the minimum age of criminal responsibility (MACR) throughout Australia should be raised from 10 to 14 years old, with no caveats. </w:t>
      </w:r>
      <w:r w:rsidR="00A01896">
        <w:t>In addition, c</w:t>
      </w:r>
      <w:r>
        <w:t>ommunity services working with children</w:t>
      </w:r>
      <w:r w:rsidR="005110D7">
        <w:t xml:space="preserve"> and families</w:t>
      </w:r>
      <w:r>
        <w:t xml:space="preserve"> should </w:t>
      </w:r>
      <w:r w:rsidR="005110D7">
        <w:t xml:space="preserve">be </w:t>
      </w:r>
      <w:r>
        <w:t>properly resourced to support diversion and build resilience and protective factors.</w:t>
      </w:r>
    </w:p>
    <w:p w14:paraId="5A520691" w14:textId="3736CB4F" w:rsidR="006B473B" w:rsidRDefault="006B473B" w:rsidP="00050DBA">
      <w:pPr>
        <w:pStyle w:val="BodyText"/>
      </w:pPr>
      <w:r>
        <w:t>There is substantial medical and social research to support raising the MACR</w:t>
      </w:r>
      <w:r w:rsidR="00543C1F">
        <w:t xml:space="preserve">. </w:t>
      </w:r>
      <w:r w:rsidR="00D91F24">
        <w:t>Criminalising children as young as 10</w:t>
      </w:r>
      <w:r>
        <w:t xml:space="preserve"> can lead to a </w:t>
      </w:r>
      <w:r w:rsidR="00A01896">
        <w:t>lifetime</w:t>
      </w:r>
      <w:r>
        <w:t xml:space="preserve"> of harmful consequences, including sustained contact with the justice system.</w:t>
      </w:r>
    </w:p>
    <w:p w14:paraId="17D2E01D" w14:textId="7889656E" w:rsidR="006B473B" w:rsidRDefault="006B473B" w:rsidP="00050DBA">
      <w:pPr>
        <w:pStyle w:val="BodyText"/>
      </w:pPr>
      <w:r>
        <w:t>A MACR of 14 years old should be applied to all interactions with the justice system</w:t>
      </w:r>
      <w:r w:rsidR="00A01896">
        <w:t xml:space="preserve"> and</w:t>
      </w:r>
      <w:r>
        <w:t xml:space="preserve"> children below 14 should not be in detention or community supervision. This submission will specifically discuss the Australian Capital Territory (ACT) context, </w:t>
      </w:r>
      <w:r w:rsidR="00D91F24">
        <w:t>but</w:t>
      </w:r>
      <w:r>
        <w:t xml:space="preserve"> we note that a MACR of 14 should be national, and we draw your attention to the</w:t>
      </w:r>
      <w:r w:rsidR="0077060E">
        <w:t xml:space="preserve"> joint COSS Network submission to this</w:t>
      </w:r>
      <w:r w:rsidR="00D91F24">
        <w:t xml:space="preserve"> review</w:t>
      </w:r>
      <w:r w:rsidR="00DD2EF2">
        <w:t xml:space="preserve"> (attached)</w:t>
      </w:r>
      <w:r w:rsidR="0077060E">
        <w:t>.</w:t>
      </w:r>
    </w:p>
    <w:p w14:paraId="6FAFD83E" w14:textId="29DBE215" w:rsidR="006D3F83" w:rsidRDefault="006B473B" w:rsidP="00050DBA">
      <w:pPr>
        <w:pStyle w:val="BodyText"/>
      </w:pPr>
      <w:r>
        <w:t>This submission is based on consultation with a range of community organisations</w:t>
      </w:r>
      <w:r w:rsidR="00D91F24">
        <w:t xml:space="preserve">, services </w:t>
      </w:r>
      <w:r>
        <w:t>and oversight bodies in the ACT.</w:t>
      </w:r>
      <w:r w:rsidR="005910DB">
        <w:t xml:space="preserve"> </w:t>
      </w:r>
      <w:r>
        <w:t>ACTCOSS convenes the Justice Reform Group</w:t>
      </w:r>
      <w:r w:rsidR="005910DB">
        <w:t xml:space="preserve"> (JRG)</w:t>
      </w:r>
      <w:r>
        <w:t>, the peak group for organisations in the ACT working on justice reform. In February, the</w:t>
      </w:r>
      <w:r w:rsidR="005910DB">
        <w:t xml:space="preserve"> JRG</w:t>
      </w:r>
      <w:r>
        <w:t xml:space="preserve"> met to discuss </w:t>
      </w:r>
      <w:r w:rsidR="00D91F24">
        <w:t>this review with the</w:t>
      </w:r>
      <w:r>
        <w:t xml:space="preserve"> ACT Children and Young Person’s Commissioner. </w:t>
      </w:r>
      <w:r w:rsidR="00471CAC">
        <w:t>There was unanimous support for raising the MACR to 14.</w:t>
      </w:r>
    </w:p>
    <w:p w14:paraId="53522E09" w14:textId="77777777" w:rsidR="006B473B" w:rsidRDefault="006B473B" w:rsidP="006B473B">
      <w:pPr>
        <w:pStyle w:val="Heading2"/>
      </w:pPr>
      <w:bookmarkStart w:id="5" w:name="_Toc33798384"/>
      <w:r>
        <w:t>Recommendations</w:t>
      </w:r>
      <w:bookmarkEnd w:id="5"/>
    </w:p>
    <w:p w14:paraId="12BCFF11" w14:textId="0A83DCE0" w:rsidR="006B473B" w:rsidRDefault="0012739F" w:rsidP="00050DBA">
      <w:pPr>
        <w:pStyle w:val="ListBullet"/>
      </w:pPr>
      <w:r>
        <w:t>Raise</w:t>
      </w:r>
      <w:r w:rsidR="006B473B">
        <w:t xml:space="preserve"> the MACR to 14 years old</w:t>
      </w:r>
      <w:r>
        <w:t xml:space="preserve"> in all states and territories</w:t>
      </w:r>
      <w:r w:rsidR="006B473B">
        <w:t>, with no caveats. This should include all forms of supervision, including detention and community supervision.</w:t>
      </w:r>
    </w:p>
    <w:p w14:paraId="026774B6" w14:textId="7D8CE6ED" w:rsidR="006B473B" w:rsidRDefault="006B473B" w:rsidP="00050DBA">
      <w:pPr>
        <w:pStyle w:val="ListBullet"/>
      </w:pPr>
      <w:r>
        <w:t>Invest in and reform non-justice system areas to better respond to the needs of children under 14 who would be diverted from youth justice. This includes the areas of early childhood</w:t>
      </w:r>
      <w:r w:rsidR="00264049">
        <w:t>,</w:t>
      </w:r>
      <w:r>
        <w:t xml:space="preserve"> child protection</w:t>
      </w:r>
      <w:r w:rsidR="00264049">
        <w:t>,</w:t>
      </w:r>
      <w:r>
        <w:t xml:space="preserve"> youth homelessness</w:t>
      </w:r>
      <w:r w:rsidR="00264049">
        <w:t>,</w:t>
      </w:r>
      <w:r>
        <w:t xml:space="preserve"> psycho-social disability</w:t>
      </w:r>
      <w:r w:rsidR="00264049">
        <w:t>,</w:t>
      </w:r>
      <w:r>
        <w:t xml:space="preserve"> and family violence.</w:t>
      </w:r>
    </w:p>
    <w:p w14:paraId="21841C91" w14:textId="4F2B4947" w:rsidR="0012739F" w:rsidRDefault="0012739F" w:rsidP="0012739F">
      <w:pPr>
        <w:pStyle w:val="ListBullet"/>
      </w:pPr>
      <w:r>
        <w:t>Fund community organisations to deliver early and alternative support services. This should include Aboriginal Community Controlled Organisations and recognise the benefit and necessity of whole-of-family supports to the wellbeing of children and young people.</w:t>
      </w:r>
    </w:p>
    <w:p w14:paraId="10D11B33" w14:textId="4E6AE6A1" w:rsidR="00D8343F" w:rsidRPr="00CA7855" w:rsidRDefault="006F28EB" w:rsidP="003F3AC3">
      <w:pPr>
        <w:pStyle w:val="Heading1"/>
      </w:pPr>
      <w:bookmarkStart w:id="6" w:name="_Toc33798385"/>
      <w:r>
        <w:lastRenderedPageBreak/>
        <w:t>Why we should raise the age</w:t>
      </w:r>
      <w:bookmarkEnd w:id="6"/>
    </w:p>
    <w:p w14:paraId="4F649F79" w14:textId="6246B5F4" w:rsidR="001E2F42" w:rsidRDefault="00CA1159" w:rsidP="001E2F42">
      <w:pPr>
        <w:pStyle w:val="Heading2"/>
      </w:pPr>
      <w:bookmarkStart w:id="7" w:name="_Toc33798386"/>
      <w:r>
        <w:t>Meeting international obligations</w:t>
      </w:r>
      <w:bookmarkEnd w:id="7"/>
      <w:r>
        <w:t xml:space="preserve"> </w:t>
      </w:r>
    </w:p>
    <w:p w14:paraId="2C5707FC" w14:textId="6B426596" w:rsidR="00CA1159" w:rsidRDefault="00CA1159" w:rsidP="00893EE4">
      <w:pPr>
        <w:pStyle w:val="BodyText"/>
      </w:pPr>
      <w:r>
        <w:t>Australia has an international human rights obligation to raise the MACR to at least 14 years old. The United Nations Committee on the Rights of the Child (General Comment 24) states that the MACR should be at least 1</w:t>
      </w:r>
      <w:r w:rsidR="00AA36CA">
        <w:t>4</w:t>
      </w:r>
      <w:r w:rsidR="00587E8E">
        <w:t xml:space="preserve"> and </w:t>
      </w:r>
      <w:r w:rsidR="00FE6F8A">
        <w:t>commen</w:t>
      </w:r>
      <w:r w:rsidR="00DE634A">
        <w:t>ds</w:t>
      </w:r>
      <w:r>
        <w:t xml:space="preserve"> </w:t>
      </w:r>
      <w:r w:rsidR="001F271F">
        <w:t>s</w:t>
      </w:r>
      <w:r>
        <w:t xml:space="preserve">tates with </w:t>
      </w:r>
      <w:r w:rsidR="00587E8E">
        <w:t>higher</w:t>
      </w:r>
      <w:r>
        <w:t xml:space="preserve"> MACR</w:t>
      </w:r>
      <w:r w:rsidR="00587E8E">
        <w:t>s</w:t>
      </w:r>
      <w:r>
        <w:t xml:space="preserve"> of 15 and 16</w:t>
      </w:r>
      <w:r w:rsidR="00AA36CA">
        <w:rPr>
          <w:rStyle w:val="FootnoteReference"/>
        </w:rPr>
        <w:footnoteReference w:id="2"/>
      </w:r>
      <w:r>
        <w:t xml:space="preserve">. As a State party to the Convention on the Rights of the Child, the Council of Attorneys-General should recommend that all Australian states and territories meet this obligation. </w:t>
      </w:r>
      <w:r w:rsidR="00587E8E">
        <w:t xml:space="preserve">As noted in the </w:t>
      </w:r>
      <w:r>
        <w:t xml:space="preserve">2019 Children’s Commissioner </w:t>
      </w:r>
      <w:r w:rsidR="00665631">
        <w:t>r</w:t>
      </w:r>
      <w:r>
        <w:t xml:space="preserve">eport on </w:t>
      </w:r>
      <w:r w:rsidR="00665631">
        <w:t>c</w:t>
      </w:r>
      <w:r>
        <w:t xml:space="preserve">hildren’s </w:t>
      </w:r>
      <w:r w:rsidR="00665631">
        <w:t>r</w:t>
      </w:r>
      <w:r>
        <w:t>ights</w:t>
      </w:r>
      <w:r w:rsidR="00587E8E">
        <w:t xml:space="preserve">, </w:t>
      </w:r>
      <w:r>
        <w:t>Australia’s MACR</w:t>
      </w:r>
      <w:r w:rsidR="00587E8E">
        <w:t xml:space="preserve"> of 10 years old</w:t>
      </w:r>
      <w:r>
        <w:t xml:space="preserve"> is </w:t>
      </w:r>
      <w:r w:rsidR="00587E8E">
        <w:t xml:space="preserve">comparatively </w:t>
      </w:r>
      <w:r>
        <w:t>low</w:t>
      </w:r>
      <w:r>
        <w:rPr>
          <w:rStyle w:val="FootnoteReference"/>
        </w:rPr>
        <w:footnoteReference w:id="3"/>
      </w:r>
      <w:r>
        <w:t>.</w:t>
      </w:r>
    </w:p>
    <w:p w14:paraId="49A20B06" w14:textId="34689B42" w:rsidR="001E2F42" w:rsidRDefault="00947B0D" w:rsidP="001E2F42">
      <w:pPr>
        <w:pStyle w:val="Heading2"/>
      </w:pPr>
      <w:bookmarkStart w:id="8" w:name="_Toc33798387"/>
      <w:r>
        <w:t>Evidence</w:t>
      </w:r>
      <w:r w:rsidR="00CA1159">
        <w:t>-</w:t>
      </w:r>
      <w:r w:rsidR="00CA1159" w:rsidRPr="00733E36">
        <w:t>based policy</w:t>
      </w:r>
      <w:bookmarkEnd w:id="8"/>
    </w:p>
    <w:p w14:paraId="493250CD" w14:textId="1331D355" w:rsidR="00CA1159" w:rsidRDefault="008E6626" w:rsidP="00893EE4">
      <w:pPr>
        <w:pStyle w:val="BodyText"/>
      </w:pPr>
      <w:r>
        <w:t>A MACR of 14 is supported by s</w:t>
      </w:r>
      <w:r w:rsidR="00CA1159">
        <w:t xml:space="preserve">cientific research on child development and social research on offending. As noted by the Committee on the Rights of the Child, </w:t>
      </w:r>
      <w:r w:rsidR="000C527A">
        <w:t>‘</w:t>
      </w:r>
      <w:r w:rsidR="00CA1159">
        <w:t>d</w:t>
      </w:r>
      <w:r w:rsidR="00CA1159" w:rsidRPr="00D31E02">
        <w:t>ocumented evidence in the fields of child development and neuroscience indicates that maturity and the capacity for abstract reasoning is still evolving in children aged 12 to 13 year</w:t>
      </w:r>
      <w:r w:rsidR="00CA1159">
        <w:t>s</w:t>
      </w:r>
      <w:r w:rsidR="000C527A">
        <w:t>’</w:t>
      </w:r>
      <w:r w:rsidR="00CA1159">
        <w:rPr>
          <w:rStyle w:val="FootnoteReference"/>
        </w:rPr>
        <w:footnoteReference w:id="4"/>
      </w:r>
      <w:r w:rsidR="00CA1159">
        <w:t xml:space="preserve">. </w:t>
      </w:r>
    </w:p>
    <w:p w14:paraId="3BFC27F3" w14:textId="4E6C0ACB" w:rsidR="001E2F42" w:rsidRPr="00AB1566" w:rsidRDefault="008E6626" w:rsidP="00893EE4">
      <w:pPr>
        <w:pStyle w:val="BodyText"/>
      </w:pPr>
      <w:r>
        <w:t xml:space="preserve">The Australian Medical Association (AMA) also </w:t>
      </w:r>
      <w:r w:rsidR="00CA1159">
        <w:t xml:space="preserve">state that </w:t>
      </w:r>
      <w:r w:rsidR="005B39FC">
        <w:t>an MACR of 10</w:t>
      </w:r>
      <w:r w:rsidR="00CA1159">
        <w:t xml:space="preserve"> </w:t>
      </w:r>
      <w:r w:rsidR="005B39FC">
        <w:t xml:space="preserve">is </w:t>
      </w:r>
      <w:r w:rsidR="00DB5CD2">
        <w:t>‘</w:t>
      </w:r>
      <w:r w:rsidR="00CA1159">
        <w:t>out of step with medical consensus regarding child brain development</w:t>
      </w:r>
      <w:r w:rsidR="00DB5CD2">
        <w:t>’</w:t>
      </w:r>
      <w:r w:rsidR="00DD2EF2">
        <w:rPr>
          <w:rStyle w:val="FootnoteReference"/>
        </w:rPr>
        <w:footnoteReference w:id="5"/>
      </w:r>
      <w:r w:rsidR="00CA1159">
        <w:t xml:space="preserve">. ACTCOSS affirms the AMA and Law Council of Australia position that the current </w:t>
      </w:r>
      <w:proofErr w:type="spellStart"/>
      <w:r w:rsidR="009A022C">
        <w:rPr>
          <w:i/>
          <w:iCs/>
        </w:rPr>
        <w:t>D</w:t>
      </w:r>
      <w:r w:rsidR="00CA1159">
        <w:rPr>
          <w:i/>
          <w:iCs/>
        </w:rPr>
        <w:t>oli</w:t>
      </w:r>
      <w:proofErr w:type="spellEnd"/>
      <w:r w:rsidR="00CA1159">
        <w:rPr>
          <w:i/>
          <w:iCs/>
        </w:rPr>
        <w:t xml:space="preserve"> incapax </w:t>
      </w:r>
      <w:r w:rsidR="00CA1159">
        <w:t>legal presumption is not an adequate solution to science on child and adolescent brain development</w:t>
      </w:r>
      <w:r w:rsidR="002330BD">
        <w:rPr>
          <w:rStyle w:val="FootnoteReference"/>
        </w:rPr>
        <w:footnoteReference w:id="6"/>
      </w:r>
      <w:r w:rsidR="00CA1159">
        <w:t xml:space="preserve">. </w:t>
      </w:r>
      <w:proofErr w:type="spellStart"/>
      <w:r w:rsidR="00CA1159">
        <w:rPr>
          <w:i/>
          <w:iCs/>
        </w:rPr>
        <w:t>Doli</w:t>
      </w:r>
      <w:proofErr w:type="spellEnd"/>
      <w:r w:rsidR="00CA1159">
        <w:rPr>
          <w:i/>
          <w:iCs/>
        </w:rPr>
        <w:t xml:space="preserve"> incapax, </w:t>
      </w:r>
      <w:r w:rsidR="00CA1159">
        <w:t>which requires it to be proven that a child under 14 understands their criminal intent, is legally opaque and not an a</w:t>
      </w:r>
      <w:r>
        <w:t xml:space="preserve">ppropriate </w:t>
      </w:r>
      <w:r w:rsidR="00CA1159">
        <w:t>alternative to raising the MACR to 14</w:t>
      </w:r>
      <w:r w:rsidR="00DB177F">
        <w:rPr>
          <w:rStyle w:val="FootnoteReference"/>
        </w:rPr>
        <w:footnoteReference w:id="7"/>
      </w:r>
      <w:r w:rsidR="00CA1159">
        <w:t>.</w:t>
      </w:r>
      <w:r w:rsidR="005B39FC">
        <w:t xml:space="preserve"> </w:t>
      </w:r>
      <w:r w:rsidR="00AB1566">
        <w:t xml:space="preserve">If the </w:t>
      </w:r>
      <w:r>
        <w:t>MACR</w:t>
      </w:r>
      <w:r w:rsidR="00AB1566">
        <w:t xml:space="preserve"> is raised to 14, </w:t>
      </w:r>
      <w:proofErr w:type="spellStart"/>
      <w:r w:rsidR="009A022C">
        <w:rPr>
          <w:i/>
          <w:iCs/>
        </w:rPr>
        <w:t>D</w:t>
      </w:r>
      <w:r w:rsidR="00AB1566">
        <w:rPr>
          <w:i/>
          <w:iCs/>
        </w:rPr>
        <w:t>oli</w:t>
      </w:r>
      <w:proofErr w:type="spellEnd"/>
      <w:r w:rsidR="00AB1566">
        <w:rPr>
          <w:i/>
          <w:iCs/>
        </w:rPr>
        <w:t xml:space="preserve"> incapax </w:t>
      </w:r>
      <w:r w:rsidR="00AB1566">
        <w:t>would be redundant.</w:t>
      </w:r>
    </w:p>
    <w:p w14:paraId="1EAB356D" w14:textId="428ECE66" w:rsidR="001E2F42" w:rsidRDefault="005F034E" w:rsidP="001E2F42">
      <w:pPr>
        <w:pStyle w:val="Heading2"/>
      </w:pPr>
      <w:bookmarkStart w:id="9" w:name="_Toc33798388"/>
      <w:r>
        <w:lastRenderedPageBreak/>
        <w:t>Positive life outcomes</w:t>
      </w:r>
      <w:bookmarkEnd w:id="9"/>
    </w:p>
    <w:p w14:paraId="511DBA5F" w14:textId="2CA34D4B" w:rsidR="00404BBF" w:rsidRDefault="002D6337" w:rsidP="00893EE4">
      <w:pPr>
        <w:pStyle w:val="BodyText"/>
      </w:pPr>
      <w:r>
        <w:t>A MACR of 14 will</w:t>
      </w:r>
      <w:r w:rsidR="00404BBF">
        <w:t xml:space="preserve"> have significant social benefits</w:t>
      </w:r>
      <w:r w:rsidR="00CA1159">
        <w:t xml:space="preserve">. The current </w:t>
      </w:r>
      <w:r w:rsidR="00404BBF">
        <w:t xml:space="preserve">age </w:t>
      </w:r>
      <w:r w:rsidR="00CA1159">
        <w:t xml:space="preserve">of 10 years old </w:t>
      </w:r>
      <w:r w:rsidR="007A65AE">
        <w:t>exacerbates the likelihood of</w:t>
      </w:r>
      <w:r w:rsidR="00CA1159">
        <w:t xml:space="preserve"> sustained contact with the justice system; Australian Institute of Health and Welfare data shows that</w:t>
      </w:r>
      <w:r w:rsidR="00CA1159" w:rsidRPr="00246DD8">
        <w:t xml:space="preserve"> the</w:t>
      </w:r>
      <w:r w:rsidR="00CA1159">
        <w:rPr>
          <w:sz w:val="20"/>
          <w:szCs w:val="20"/>
        </w:rPr>
        <w:t xml:space="preserve"> </w:t>
      </w:r>
      <w:r w:rsidR="00CA1159" w:rsidRPr="00246DD8">
        <w:t xml:space="preserve">younger </w:t>
      </w:r>
      <w:r w:rsidR="00CA1159">
        <w:t>a child first encounters the youth justice system</w:t>
      </w:r>
      <w:r w:rsidR="00CA1159" w:rsidRPr="00246DD8">
        <w:t>, the more likely they are to reoffen</w:t>
      </w:r>
      <w:r w:rsidR="00CA1159">
        <w:t>d</w:t>
      </w:r>
      <w:r w:rsidR="00CA1159">
        <w:rPr>
          <w:rStyle w:val="FootnoteReference"/>
        </w:rPr>
        <w:footnoteReference w:id="8"/>
      </w:r>
      <w:r w:rsidR="00CA1159">
        <w:t xml:space="preserve">. </w:t>
      </w:r>
    </w:p>
    <w:p w14:paraId="6D982EF0" w14:textId="7F5AD6A4" w:rsidR="00BC28E0" w:rsidRDefault="00404BBF" w:rsidP="00893EE4">
      <w:pPr>
        <w:pStyle w:val="BodyText"/>
      </w:pPr>
      <w:r>
        <w:t>The</w:t>
      </w:r>
      <w:r w:rsidR="00CA1159">
        <w:t xml:space="preserve"> justice system is not a rehabilitative, therapeutic, or trauma-informed system to address the needs of children. Children who </w:t>
      </w:r>
      <w:r w:rsidR="007A65AE">
        <w:t xml:space="preserve">are placed under supervision </w:t>
      </w:r>
      <w:r w:rsidR="00CA1159">
        <w:t xml:space="preserve">are often </w:t>
      </w:r>
      <w:r w:rsidR="007A65AE">
        <w:t>disadvantaged and marginalised</w:t>
      </w:r>
      <w:r w:rsidR="00CA1159">
        <w:t xml:space="preserve"> due to psycho-social disability, Aboriginal and/or Torres Strait Islander status, intergenerational trauma, and experience in the out-of-home-care system</w:t>
      </w:r>
      <w:r w:rsidR="00CA1159">
        <w:rPr>
          <w:rStyle w:val="FootnoteReference"/>
        </w:rPr>
        <w:footnoteReference w:id="9"/>
      </w:r>
      <w:r w:rsidR="00054914">
        <w:t xml:space="preserve">. </w:t>
      </w:r>
      <w:r w:rsidR="00CA1159">
        <w:t>Overwhelmingly, the</w:t>
      </w:r>
      <w:r w:rsidR="008A5A74">
        <w:t xml:space="preserve">y are sentenced for </w:t>
      </w:r>
      <w:r w:rsidR="00CA1159">
        <w:t xml:space="preserve">low-level crimes such </w:t>
      </w:r>
      <w:r w:rsidR="009E49D5">
        <w:t xml:space="preserve">as </w:t>
      </w:r>
      <w:r w:rsidR="00CA1159">
        <w:t>property crime and theft</w:t>
      </w:r>
      <w:r w:rsidR="00CA1159">
        <w:rPr>
          <w:rStyle w:val="FootnoteReference"/>
        </w:rPr>
        <w:footnoteReference w:id="10"/>
      </w:r>
      <w:r w:rsidR="00CA1159">
        <w:t xml:space="preserve">. </w:t>
      </w:r>
    </w:p>
    <w:p w14:paraId="3FCE8FBB" w14:textId="6651F767" w:rsidR="003F3AC3" w:rsidRPr="00CA7855" w:rsidRDefault="00B51D50" w:rsidP="00893EE4">
      <w:pPr>
        <w:pStyle w:val="BodyText"/>
      </w:pPr>
      <w:r>
        <w:t>It is</w:t>
      </w:r>
      <w:r w:rsidR="00CA1159">
        <w:t xml:space="preserve"> a community failure</w:t>
      </w:r>
      <w:r>
        <w:t xml:space="preserve"> when children are involved in crime</w:t>
      </w:r>
      <w:r w:rsidR="00CA1159">
        <w:t xml:space="preserve">, and we should respond with community solutions. </w:t>
      </w:r>
      <w:r w:rsidR="007A65AE">
        <w:t xml:space="preserve">We note </w:t>
      </w:r>
      <w:r w:rsidR="00CA1159">
        <w:t xml:space="preserve">that </w:t>
      </w:r>
      <w:r w:rsidR="007A65AE">
        <w:t>the MACR must be raised</w:t>
      </w:r>
      <w:r w:rsidR="00CA1159">
        <w:t xml:space="preserve"> for all forms of supervision – detention and community – because </w:t>
      </w:r>
      <w:r w:rsidR="00505CFF">
        <w:t xml:space="preserve">all forms of sentencing contribute to </w:t>
      </w:r>
      <w:r w:rsidR="004B71A1">
        <w:t>sustained justice system contact</w:t>
      </w:r>
      <w:r w:rsidR="00CA1159">
        <w:t xml:space="preserve">. </w:t>
      </w:r>
      <w:r>
        <w:t>Raising</w:t>
      </w:r>
      <w:r w:rsidR="00CA1159">
        <w:t xml:space="preserve"> the MACR will prevent criminalisation of children under </w:t>
      </w:r>
      <w:r>
        <w:t>14 and</w:t>
      </w:r>
      <w:r w:rsidR="00CA1159">
        <w:t xml:space="preserve"> incentivise responses that develop children</w:t>
      </w:r>
      <w:r>
        <w:t>’s health and wellbeing</w:t>
      </w:r>
      <w:r w:rsidR="00CA1159">
        <w:t xml:space="preserve"> within the community.</w:t>
      </w:r>
    </w:p>
    <w:p w14:paraId="55BC5B76" w14:textId="717ED678" w:rsidR="00CC5520" w:rsidRDefault="00CC5520" w:rsidP="00CC5520">
      <w:pPr>
        <w:pStyle w:val="Heading1"/>
      </w:pPr>
      <w:bookmarkStart w:id="10" w:name="_Toc33798389"/>
      <w:r w:rsidRPr="1C0CC589">
        <w:t>ACT context</w:t>
      </w:r>
      <w:bookmarkEnd w:id="10"/>
    </w:p>
    <w:p w14:paraId="360DA74B" w14:textId="1F36ABA2" w:rsidR="00CC5520" w:rsidRDefault="00CC5520" w:rsidP="00893EE4">
      <w:pPr>
        <w:pStyle w:val="BodyText"/>
      </w:pPr>
      <w:r>
        <w:t xml:space="preserve">The ACT Criminal Statistical Profile (the Profile) gathers data on </w:t>
      </w:r>
      <w:r w:rsidR="001121F3">
        <w:t>y</w:t>
      </w:r>
      <w:r>
        <w:t xml:space="preserve">outh </w:t>
      </w:r>
      <w:r w:rsidR="001121F3">
        <w:t>j</w:t>
      </w:r>
      <w:r>
        <w:t xml:space="preserve">ustice for children aged 10-14. </w:t>
      </w:r>
      <w:r w:rsidR="006354E7">
        <w:t>These</w:t>
      </w:r>
      <w:r>
        <w:t xml:space="preserve"> statistics include children aged 14, who would not be diverted from the justice system if the MACR is raised to 14. This means that the number of children aged 10-13 (inclusive) who we propose should no longer be captured within the age of criminal responsibility is likely to be even fewer than the already low numbers. </w:t>
      </w:r>
    </w:p>
    <w:p w14:paraId="21C2543F" w14:textId="15D8B156" w:rsidR="00CC5520" w:rsidRDefault="00CC5520" w:rsidP="00893EE4">
      <w:pPr>
        <w:pStyle w:val="BodyText"/>
      </w:pPr>
      <w:r>
        <w:t>The Profile show</w:t>
      </w:r>
      <w:r w:rsidR="00960644">
        <w:t>s that admission</w:t>
      </w:r>
      <w:r w:rsidRPr="008E708F">
        <w:t xml:space="preserve">s of young people age 10-14 to </w:t>
      </w:r>
      <w:proofErr w:type="spellStart"/>
      <w:r w:rsidRPr="008E708F">
        <w:t>Bimberi</w:t>
      </w:r>
      <w:proofErr w:type="spellEnd"/>
      <w:r w:rsidRPr="008E708F">
        <w:t xml:space="preserve"> Youth Justice Centre</w:t>
      </w:r>
      <w:r>
        <w:t xml:space="preserve"> range</w:t>
      </w:r>
      <w:r w:rsidR="001615DD">
        <w:t>s</w:t>
      </w:r>
      <w:r>
        <w:t xml:space="preserve"> from as low as 3 children in September 201</w:t>
      </w:r>
      <w:r w:rsidR="00275BDB">
        <w:t>3</w:t>
      </w:r>
      <w:r>
        <w:t>, to 35 children in December 2017</w:t>
      </w:r>
      <w:r w:rsidR="00381079">
        <w:rPr>
          <w:rStyle w:val="FootnoteReference"/>
        </w:rPr>
        <w:footnoteReference w:id="11"/>
      </w:r>
      <w:r>
        <w:t>.</w:t>
      </w:r>
      <w:r w:rsidR="009A7D33">
        <w:t xml:space="preserve"> In community-based supervision</w:t>
      </w:r>
      <w:r w:rsidR="00275BDB">
        <w:t xml:space="preserve">, the range was as low as 8 </w:t>
      </w:r>
      <w:r w:rsidR="00C92126">
        <w:t>in September 2015, to 21 children in June 2017</w:t>
      </w:r>
      <w:r w:rsidR="00DD2EF2">
        <w:rPr>
          <w:rStyle w:val="FootnoteReference"/>
        </w:rPr>
        <w:footnoteReference w:id="12"/>
      </w:r>
      <w:r w:rsidR="00C92126">
        <w:t>.</w:t>
      </w:r>
      <w:r w:rsidR="00A25A4D">
        <w:t xml:space="preserve"> The number of children in community-based supervision appears to be trending upwards.</w:t>
      </w:r>
    </w:p>
    <w:p w14:paraId="0C4F090D" w14:textId="06FDE038" w:rsidR="00CC5520" w:rsidRDefault="009428A9" w:rsidP="00893EE4">
      <w:pPr>
        <w:pStyle w:val="BodyText"/>
      </w:pPr>
      <w:r>
        <w:t xml:space="preserve">This </w:t>
      </w:r>
      <w:r w:rsidR="000B7F63">
        <w:t xml:space="preserve">Profile also </w:t>
      </w:r>
      <w:r w:rsidR="00166E86">
        <w:t>shows</w:t>
      </w:r>
      <w:r>
        <w:t xml:space="preserve"> that</w:t>
      </w:r>
      <w:r w:rsidR="0063209D">
        <w:t xml:space="preserve"> Aboriginal and/or Torres Strait Islander children in the ACT </w:t>
      </w:r>
      <w:r w:rsidR="00AD0E7D">
        <w:t>are overrepresented</w:t>
      </w:r>
      <w:r>
        <w:t xml:space="preserve"> in youth justice</w:t>
      </w:r>
      <w:r w:rsidR="009048E4">
        <w:t>.</w:t>
      </w:r>
      <w:r w:rsidR="00F75B1A">
        <w:t xml:space="preserve"> </w:t>
      </w:r>
      <w:r w:rsidR="00873CD3">
        <w:t>There is no</w:t>
      </w:r>
      <w:r w:rsidR="00CC5520">
        <w:t xml:space="preserve"> data on children with</w:t>
      </w:r>
      <w:r w:rsidR="00340317">
        <w:t xml:space="preserve"> </w:t>
      </w:r>
      <w:r w:rsidR="00340317">
        <w:lastRenderedPageBreak/>
        <w:t>disabilities</w:t>
      </w:r>
      <w:r w:rsidR="00873CD3">
        <w:t>, however,</w:t>
      </w:r>
      <w:r w:rsidR="00CC5520">
        <w:t xml:space="preserve"> the National Children’s Commissioner’s 2019 </w:t>
      </w:r>
      <w:r w:rsidR="008D4EBD">
        <w:t>r</w:t>
      </w:r>
      <w:r w:rsidR="00CC5520">
        <w:t xml:space="preserve">eport </w:t>
      </w:r>
      <w:r w:rsidR="008D4EBD">
        <w:t>c</w:t>
      </w:r>
      <w:r w:rsidR="00CC5520">
        <w:t>ard</w:t>
      </w:r>
      <w:r w:rsidR="00340317">
        <w:t xml:space="preserve"> states</w:t>
      </w:r>
      <w:r w:rsidR="00CC5520">
        <w:t xml:space="preserve"> that</w:t>
      </w:r>
      <w:r w:rsidR="00475E1E">
        <w:t xml:space="preserve"> children with disa</w:t>
      </w:r>
      <w:r w:rsidR="00F2001C">
        <w:t>bilit</w:t>
      </w:r>
      <w:r w:rsidR="00873CD3">
        <w:t xml:space="preserve">ies </w:t>
      </w:r>
      <w:r w:rsidR="00F2001C">
        <w:t>are also overrepresented</w:t>
      </w:r>
      <w:r w:rsidR="00F2001C">
        <w:rPr>
          <w:rStyle w:val="FootnoteReference"/>
        </w:rPr>
        <w:footnoteReference w:id="13"/>
      </w:r>
      <w:r w:rsidR="004471D3">
        <w:t>.</w:t>
      </w:r>
    </w:p>
    <w:p w14:paraId="58A1DBE4" w14:textId="27B3DF51" w:rsidR="008779E9" w:rsidRPr="00CA7855" w:rsidRDefault="00873CD3" w:rsidP="00893EE4">
      <w:pPr>
        <w:pStyle w:val="BodyText"/>
      </w:pPr>
      <w:r>
        <w:t>Overall, the data shows that</w:t>
      </w:r>
      <w:r w:rsidR="00CC5520">
        <w:t xml:space="preserve"> the number of children aged 10-14 in the ACT involved in the youth justice system </w:t>
      </w:r>
      <w:r w:rsidR="009A4518">
        <w:t xml:space="preserve">is </w:t>
      </w:r>
      <w:r w:rsidR="00CC5520">
        <w:t>relatively small. This as an asset that further compels action to raise the MACR; the ACT has the capacity to respond</w:t>
      </w:r>
      <w:r w:rsidR="00380089">
        <w:t xml:space="preserve"> through alternative mechanisms and services</w:t>
      </w:r>
      <w:r w:rsidR="00CC5520">
        <w:t>. Th</w:t>
      </w:r>
      <w:r w:rsidR="009A4518">
        <w:t xml:space="preserve">e number of </w:t>
      </w:r>
      <w:r w:rsidR="00CC5520">
        <w:t xml:space="preserve">children in detention or community supervision is </w:t>
      </w:r>
      <w:r w:rsidR="009A4518">
        <w:t xml:space="preserve">manageable and </w:t>
      </w:r>
      <w:r w:rsidR="00CC5520">
        <w:t>should oblige us to act and implement legislative safeguards to prevent criminalisation of children under 14.</w:t>
      </w:r>
    </w:p>
    <w:p w14:paraId="6CC90C3A" w14:textId="77777777" w:rsidR="003E32A6" w:rsidRDefault="003E32A6" w:rsidP="003E32A6">
      <w:pPr>
        <w:pStyle w:val="Heading1"/>
      </w:pPr>
      <w:bookmarkStart w:id="11" w:name="_Toc33798390"/>
      <w:r>
        <w:t>Early and alternative supports</w:t>
      </w:r>
      <w:bookmarkEnd w:id="11"/>
    </w:p>
    <w:p w14:paraId="77E710DE" w14:textId="3CA984D6" w:rsidR="003E32A6" w:rsidRDefault="00F75B1A" w:rsidP="00893EE4">
      <w:pPr>
        <w:pStyle w:val="BodyText"/>
      </w:pPr>
      <w:r>
        <w:t>In</w:t>
      </w:r>
      <w:r w:rsidR="003E32A6">
        <w:t xml:space="preserve"> raising the MACR, state and territory governments must implement services that respond to the needs of children aged 10-13. Providing early and alternative supports to children and their families is likely to have better consequences</w:t>
      </w:r>
      <w:r w:rsidR="00380089">
        <w:t xml:space="preserve"> for the individual, their family and the wider community,</w:t>
      </w:r>
      <w:r w:rsidR="003E32A6">
        <w:t xml:space="preserve"> than responding through the youth justice system. Moreover, cost benefit analysis of intervention, compared to the cost of the youth justice system, shows significant cost benefits, as well as benefits to the lives of children and families</w:t>
      </w:r>
      <w:r w:rsidR="003E32A6">
        <w:rPr>
          <w:rStyle w:val="FootnoteReference"/>
        </w:rPr>
        <w:footnoteReference w:id="14"/>
      </w:r>
      <w:r w:rsidR="003E32A6">
        <w:t>.</w:t>
      </w:r>
    </w:p>
    <w:p w14:paraId="5F85986D" w14:textId="545CCE53" w:rsidR="00D7525B" w:rsidRDefault="009B51FA" w:rsidP="00893EE4">
      <w:pPr>
        <w:pStyle w:val="BodyText"/>
      </w:pPr>
      <w:r>
        <w:t>We also note that we should not wait for early and alternative supports to be in place before raising the MACR to 14. We should not wait for policies and service system responses before we act on human rights failures. Nevertheless, based on our consultation with organisations and services working with children, young people and families, ACTCOSS recommends that the ACT Government pursue investment and reform in the following areas.</w:t>
      </w:r>
    </w:p>
    <w:p w14:paraId="62F6CF51" w14:textId="77777777" w:rsidR="003E32A6" w:rsidRPr="006E20D3" w:rsidRDefault="003E32A6" w:rsidP="006535F3">
      <w:pPr>
        <w:pStyle w:val="Heading2"/>
      </w:pPr>
      <w:bookmarkStart w:id="12" w:name="_Toc33798391"/>
      <w:r>
        <w:t>Child protection</w:t>
      </w:r>
      <w:bookmarkEnd w:id="12"/>
    </w:p>
    <w:p w14:paraId="317C520F" w14:textId="7B31AF02" w:rsidR="003E32A6" w:rsidRDefault="003E32A6" w:rsidP="00893EE4">
      <w:pPr>
        <w:pStyle w:val="BodyText"/>
      </w:pPr>
      <w:r>
        <w:t>The intersection of child protection and youth justice is well recognised</w:t>
      </w:r>
      <w:r>
        <w:rPr>
          <w:rStyle w:val="FootnoteReference"/>
        </w:rPr>
        <w:footnoteReference w:id="15"/>
      </w:r>
      <w:r>
        <w:t xml:space="preserve">. </w:t>
      </w:r>
      <w:r w:rsidR="005A73AA" w:rsidRPr="005A73AA">
        <w:t xml:space="preserve">Australian Institute of Family Studies </w:t>
      </w:r>
      <w:r w:rsidR="005A73AA">
        <w:t>(</w:t>
      </w:r>
      <w:r>
        <w:t>AIFS</w:t>
      </w:r>
      <w:r w:rsidR="005A73AA">
        <w:t>)</w:t>
      </w:r>
      <w:r>
        <w:t xml:space="preserve"> research found that </w:t>
      </w:r>
      <w:r w:rsidR="00B05C1A">
        <w:t>from</w:t>
      </w:r>
      <w:r w:rsidRPr="00353766">
        <w:t xml:space="preserve"> 2014</w:t>
      </w:r>
      <w:r w:rsidR="005A73AA">
        <w:t xml:space="preserve"> to 20</w:t>
      </w:r>
      <w:r w:rsidRPr="00353766">
        <w:t>16, 39.2%</w:t>
      </w:r>
      <w:r>
        <w:t xml:space="preserve"> of</w:t>
      </w:r>
      <w:r w:rsidRPr="00353766">
        <w:t xml:space="preserve"> young people under youth justice supervision were also involved in the child protection system</w:t>
      </w:r>
      <w:r w:rsidR="00D10813">
        <w:rPr>
          <w:rStyle w:val="FootnoteReference"/>
        </w:rPr>
        <w:footnoteReference w:id="16"/>
      </w:r>
      <w:r w:rsidRPr="00353766">
        <w:t xml:space="preserve">. </w:t>
      </w:r>
      <w:r>
        <w:t>A</w:t>
      </w:r>
      <w:r w:rsidRPr="00353766">
        <w:t>boriginal and Torres Strait Islander young people were 16 times more likely to be involved in both systems</w:t>
      </w:r>
      <w:r>
        <w:rPr>
          <w:rStyle w:val="FootnoteReference"/>
        </w:rPr>
        <w:footnoteReference w:id="17"/>
      </w:r>
      <w:r w:rsidR="00A3269B">
        <w:t>.</w:t>
      </w:r>
    </w:p>
    <w:p w14:paraId="25BDCB1E" w14:textId="2FCB5332" w:rsidR="00F75B1A" w:rsidRDefault="003E32A6" w:rsidP="00893EE4">
      <w:pPr>
        <w:pStyle w:val="BodyText"/>
      </w:pPr>
      <w:r>
        <w:lastRenderedPageBreak/>
        <w:t xml:space="preserve">ACTCOSS is advocating for significant child protection reform in the ACT to reduce the numbers of children, young people and families struggling within an opaque and power-imbalanced system. Of concern is the overrepresentation of Aboriginal and/or Torres Strait Islander children, which the </w:t>
      </w:r>
      <w:hyperlink r:id="rId16" w:history="1">
        <w:r w:rsidRPr="00ED7170">
          <w:rPr>
            <w:rStyle w:val="Hyperlink"/>
          </w:rPr>
          <w:t xml:space="preserve">Our </w:t>
        </w:r>
        <w:proofErr w:type="spellStart"/>
        <w:r w:rsidRPr="00ED7170">
          <w:rPr>
            <w:rStyle w:val="Hyperlink"/>
          </w:rPr>
          <w:t>Booris</w:t>
        </w:r>
        <w:proofErr w:type="spellEnd"/>
        <w:r w:rsidRPr="00ED7170">
          <w:rPr>
            <w:rStyle w:val="Hyperlink"/>
          </w:rPr>
          <w:t xml:space="preserve"> Our Way</w:t>
        </w:r>
      </w:hyperlink>
      <w:r>
        <w:t xml:space="preserve"> review responded to. This review </w:t>
      </w:r>
      <w:r w:rsidR="00E46BB9">
        <w:t>highlighted the need for</w:t>
      </w:r>
      <w:r>
        <w:t xml:space="preserve"> greater family support, particularly early support, as current services are fragmented.</w:t>
      </w:r>
      <w:r w:rsidR="00F75B1A">
        <w:t xml:space="preserve"> </w:t>
      </w:r>
    </w:p>
    <w:p w14:paraId="271DC598" w14:textId="417590BF" w:rsidR="009C005A" w:rsidRDefault="00F75B1A" w:rsidP="00893EE4">
      <w:pPr>
        <w:pStyle w:val="BodyText"/>
      </w:pPr>
      <w:r>
        <w:t>We</w:t>
      </w:r>
      <w:r w:rsidR="009C005A">
        <w:t xml:space="preserve"> welcome recent </w:t>
      </w:r>
      <w:r w:rsidR="001E4370">
        <w:t>early support</w:t>
      </w:r>
      <w:r w:rsidR="009C005A">
        <w:t xml:space="preserve"> funding from the ACT Government, such as for the </w:t>
      </w:r>
      <w:hyperlink r:id="rId17" w:history="1">
        <w:proofErr w:type="spellStart"/>
        <w:r w:rsidR="009C005A" w:rsidRPr="00FB5AE5">
          <w:rPr>
            <w:rStyle w:val="Hyperlink"/>
          </w:rPr>
          <w:t>Gugan</w:t>
        </w:r>
        <w:proofErr w:type="spellEnd"/>
        <w:r w:rsidR="009C005A" w:rsidRPr="00FB5AE5">
          <w:rPr>
            <w:rStyle w:val="Hyperlink"/>
          </w:rPr>
          <w:t xml:space="preserve"> </w:t>
        </w:r>
        <w:proofErr w:type="spellStart"/>
        <w:r w:rsidR="009C005A" w:rsidRPr="00FB5AE5">
          <w:rPr>
            <w:rStyle w:val="Hyperlink"/>
          </w:rPr>
          <w:t>Gulwan</w:t>
        </w:r>
        <w:proofErr w:type="spellEnd"/>
        <w:r w:rsidR="009C005A" w:rsidRPr="00FB5AE5">
          <w:rPr>
            <w:rStyle w:val="Hyperlink"/>
          </w:rPr>
          <w:t xml:space="preserve"> and </w:t>
        </w:r>
        <w:proofErr w:type="spellStart"/>
        <w:r w:rsidR="009C005A" w:rsidRPr="00FB5AE5">
          <w:rPr>
            <w:rStyle w:val="Hyperlink"/>
          </w:rPr>
          <w:t>OzChild</w:t>
        </w:r>
        <w:proofErr w:type="spellEnd"/>
        <w:r w:rsidR="009C005A" w:rsidRPr="00FB5AE5">
          <w:rPr>
            <w:rStyle w:val="Hyperlink"/>
          </w:rPr>
          <w:t xml:space="preserve"> Functional Family Therapy trial</w:t>
        </w:r>
      </w:hyperlink>
      <w:r w:rsidR="009C005A">
        <w:t xml:space="preserve">, which works with families to reduce the number of Aboriginal and/or Torres Strait Islander children being removed. </w:t>
      </w:r>
    </w:p>
    <w:p w14:paraId="0B4C1E80" w14:textId="77777777" w:rsidR="00106C49" w:rsidRDefault="00106C49" w:rsidP="00106C49">
      <w:pPr>
        <w:pStyle w:val="Heading2"/>
      </w:pPr>
      <w:bookmarkStart w:id="13" w:name="_Toc33798392"/>
      <w:r>
        <w:t>Early childhood</w:t>
      </w:r>
      <w:bookmarkEnd w:id="13"/>
    </w:p>
    <w:p w14:paraId="023AC9DA" w14:textId="297D233E" w:rsidR="00106C49" w:rsidRDefault="00106C49" w:rsidP="00893EE4">
      <w:pPr>
        <w:pStyle w:val="BodyText"/>
      </w:pPr>
      <w:r>
        <w:t>Unequal access to effective early childhood services can entrench health, social and economic inequalities</w:t>
      </w:r>
      <w:r>
        <w:rPr>
          <w:rStyle w:val="FootnoteReference"/>
        </w:rPr>
        <w:footnoteReference w:id="18"/>
      </w:r>
      <w:r>
        <w:t xml:space="preserve">. </w:t>
      </w:r>
      <w:r w:rsidRPr="005F4644">
        <w:t>The Australian Early Development Census (AEDC) collects and measures data on childhood development at their first year of school</w:t>
      </w:r>
      <w:r>
        <w:t>. In 2018, 24.6% of children in the ACT were developmentally vulnerable on one or more domains; and 12.4% were developmentally vulnerable on two or more</w:t>
      </w:r>
      <w:r>
        <w:rPr>
          <w:rStyle w:val="FootnoteReference"/>
        </w:rPr>
        <w:footnoteReference w:id="19"/>
      </w:r>
      <w:r>
        <w:t xml:space="preserve">. ACTCOSS has called on the ACT Government to ensure that all children in the ACT have the best chance at accessing needs-appropriate, quality programs. This means privileging cultural safety and appropriateness, setting targets for participation of disengaged, vulnerable disadvantaged families, and offering a mix of structured and flexible settings. </w:t>
      </w:r>
    </w:p>
    <w:p w14:paraId="7CC132F3" w14:textId="77777777" w:rsidR="003E32A6" w:rsidRDefault="003E32A6" w:rsidP="006535F3">
      <w:pPr>
        <w:pStyle w:val="Heading2"/>
      </w:pPr>
      <w:bookmarkStart w:id="14" w:name="_Toc33798393"/>
      <w:r>
        <w:t>Youth homelessness</w:t>
      </w:r>
      <w:bookmarkEnd w:id="14"/>
    </w:p>
    <w:p w14:paraId="1ACC9861" w14:textId="7C06A098" w:rsidR="003E32A6" w:rsidRDefault="003E32A6" w:rsidP="00893EE4">
      <w:pPr>
        <w:pStyle w:val="BodyText"/>
      </w:pPr>
      <w:r>
        <w:t xml:space="preserve">In the ACT there are no accommodation services for children under the age of 16 experiencing homelessness. This leaves children at significant risk of harm, including a cycle of homelessness and poverty, and involvement with child protection and youth justice. ACTCOSS, together with the </w:t>
      </w:r>
      <w:r w:rsidRPr="00093C73">
        <w:t>Youth Coalition of the ACT, Families ACT and ACT Shelter</w:t>
      </w:r>
      <w:r w:rsidR="00C36BD8">
        <w:t>,</w:t>
      </w:r>
      <w:r w:rsidRPr="00093C73">
        <w:t xml:space="preserve"> </w:t>
      </w:r>
      <w:r>
        <w:t>ha</w:t>
      </w:r>
      <w:r w:rsidR="00C36BD8">
        <w:t>ve</w:t>
      </w:r>
      <w:r>
        <w:t xml:space="preserve"> </w:t>
      </w:r>
      <w:r w:rsidRPr="00093C73">
        <w:t>propose</w:t>
      </w:r>
      <w:r>
        <w:t>d</w:t>
      </w:r>
      <w:r w:rsidRPr="00093C73">
        <w:t xml:space="preserve"> a service model </w:t>
      </w:r>
      <w:r>
        <w:t>to meet this need. By providing safe, temporary or long-term accommodation, a youth homelessness service would be able to intervene before life trajectories have pushed children further towards involvement with youth justice.</w:t>
      </w:r>
    </w:p>
    <w:p w14:paraId="35FE7DB5" w14:textId="77777777" w:rsidR="003E32A6" w:rsidRDefault="003E32A6" w:rsidP="00F76B05">
      <w:pPr>
        <w:pStyle w:val="Heading2"/>
      </w:pPr>
      <w:bookmarkStart w:id="15" w:name="_Toc33798394"/>
      <w:r>
        <w:t>Psycho-social supports</w:t>
      </w:r>
      <w:bookmarkEnd w:id="15"/>
    </w:p>
    <w:p w14:paraId="7F2952A1" w14:textId="12FF8353" w:rsidR="003E32A6" w:rsidRPr="003E1212" w:rsidRDefault="00F75B1A" w:rsidP="00893EE4">
      <w:pPr>
        <w:pStyle w:val="BodyText"/>
      </w:pPr>
      <w:r>
        <w:t xml:space="preserve">Children in the youth justice system often have unmet psycho-social disabilities. </w:t>
      </w:r>
      <w:r w:rsidR="00FB3C78">
        <w:t>In th</w:t>
      </w:r>
      <w:r w:rsidR="009F3BEB">
        <w:t xml:space="preserve">e ACT there </w:t>
      </w:r>
      <w:r w:rsidR="003E32A6">
        <w:t xml:space="preserve">is currently a gap in the availability of ongoing therapeutic support for children with developmental delays or suspected but undiagnosed disabilities. </w:t>
      </w:r>
      <w:r w:rsidR="00BC01EE">
        <w:t>National Disability Insurance Scheme (</w:t>
      </w:r>
      <w:r w:rsidR="003E32A6">
        <w:t>NDIS</w:t>
      </w:r>
      <w:r w:rsidR="00BC01EE">
        <w:t>)</w:t>
      </w:r>
      <w:r w:rsidR="003E32A6">
        <w:t xml:space="preserve"> pathways can be </w:t>
      </w:r>
      <w:r w:rsidR="003E32A6">
        <w:lastRenderedPageBreak/>
        <w:t>lengthy processes that leave families’ needs unmet during the wait for entry. Moreover, children who are ineligible are particularly unsupported. Although the ACT Government Community Services Directorate meets some need</w:t>
      </w:r>
      <w:r w:rsidR="009F3BEB">
        <w:t>s</w:t>
      </w:r>
      <w:r w:rsidR="003E32A6">
        <w:t xml:space="preserve"> through referrals or short-term assistance, the NDIS gap </w:t>
      </w:r>
      <w:r w:rsidR="007447C2">
        <w:t>prevents access</w:t>
      </w:r>
      <w:r w:rsidR="009F3BEB">
        <w:t xml:space="preserve"> to long-term</w:t>
      </w:r>
      <w:r w:rsidR="007447C2">
        <w:t xml:space="preserve"> therapeutic</w:t>
      </w:r>
      <w:r w:rsidR="003E32A6">
        <w:t xml:space="preserve"> support</w:t>
      </w:r>
      <w:r w:rsidR="007447C2">
        <w:t>.</w:t>
      </w:r>
    </w:p>
    <w:p w14:paraId="6F53EE6F" w14:textId="77777777" w:rsidR="003E32A6" w:rsidRDefault="003E32A6" w:rsidP="00F76B05">
      <w:pPr>
        <w:pStyle w:val="Heading2"/>
      </w:pPr>
      <w:bookmarkStart w:id="16" w:name="_Toc33798395"/>
      <w:r>
        <w:t>Family violence</w:t>
      </w:r>
      <w:bookmarkEnd w:id="16"/>
    </w:p>
    <w:p w14:paraId="177E5FDE" w14:textId="74976111" w:rsidR="002C4E3A" w:rsidRPr="00CA7855" w:rsidRDefault="003E32A6" w:rsidP="00893EE4">
      <w:pPr>
        <w:pStyle w:val="BodyText"/>
      </w:pPr>
      <w:r>
        <w:t xml:space="preserve">Domestic and family violence services are a crisis point for children and young people. However, services in the ACT are not currently funded to offer adequate long-term, whole-of-family responses. Although many women’s domestic and family violence services also assist women’s children, they often </w:t>
      </w:r>
      <w:r w:rsidR="00F76B05">
        <w:t>must</w:t>
      </w:r>
      <w:r>
        <w:t xml:space="preserve"> divert already low funding to do so. These families are often living on low incomes, with significant trauma and insecure housing – significant social determinants of contact with the justice system. ACTCOSS has called on the ACT Government to adequate</w:t>
      </w:r>
      <w:r w:rsidR="00211681">
        <w:t>ly</w:t>
      </w:r>
      <w:r>
        <w:t xml:space="preserve"> fund programs that can offer whole-of-life, whole-of-family responses, to improve child and family wellbeing and protective factors that prevent unnecessary interactions with the justice system.  </w:t>
      </w:r>
    </w:p>
    <w:sectPr w:rsidR="002C4E3A" w:rsidRPr="00CA7855" w:rsidSect="002C4E3A">
      <w:footerReference w:type="even" r:id="rId18"/>
      <w:footerReference w:type="default" r:id="rId19"/>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AFA9" w14:textId="77777777" w:rsidR="0071147E" w:rsidRDefault="0071147E">
      <w:r>
        <w:separator/>
      </w:r>
    </w:p>
  </w:endnote>
  <w:endnote w:type="continuationSeparator" w:id="0">
    <w:p w14:paraId="6D53EEC3" w14:textId="77777777" w:rsidR="0071147E" w:rsidRDefault="0071147E">
      <w:r>
        <w:continuationSeparator/>
      </w:r>
    </w:p>
  </w:endnote>
  <w:endnote w:type="continuationNotice" w:id="1">
    <w:p w14:paraId="1D600BC8" w14:textId="77777777" w:rsidR="0071147E" w:rsidRDefault="00711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2748" w14:textId="77777777" w:rsidR="0071147E" w:rsidRDefault="0071147E">
      <w:r>
        <w:separator/>
      </w:r>
    </w:p>
  </w:footnote>
  <w:footnote w:type="continuationSeparator" w:id="0">
    <w:p w14:paraId="73D908C8" w14:textId="77777777" w:rsidR="0071147E" w:rsidRDefault="0071147E">
      <w:r>
        <w:continuationSeparator/>
      </w:r>
    </w:p>
  </w:footnote>
  <w:footnote w:type="continuationNotice" w:id="1">
    <w:p w14:paraId="01201E29" w14:textId="77777777" w:rsidR="0071147E" w:rsidRDefault="0071147E"/>
  </w:footnote>
  <w:footnote w:id="2">
    <w:p w14:paraId="4DFB8C11" w14:textId="70E474A0" w:rsidR="00AA36CA" w:rsidRPr="00FC5489" w:rsidRDefault="00AA36CA">
      <w:pPr>
        <w:pStyle w:val="FootnoteText"/>
        <w:rPr>
          <w:lang w:val="en-US"/>
        </w:rPr>
      </w:pPr>
      <w:r w:rsidRPr="00B27E4F">
        <w:footnoteRef/>
      </w:r>
      <w:r w:rsidRPr="00B27E4F">
        <w:t xml:space="preserve"> </w:t>
      </w:r>
      <w:r w:rsidR="00B27E4F">
        <w:tab/>
      </w:r>
      <w:r w:rsidR="00945683">
        <w:t>United Nations</w:t>
      </w:r>
      <w:r w:rsidR="00757222">
        <w:t xml:space="preserve"> Committee on the Rights of the Child, </w:t>
      </w:r>
      <w:r w:rsidR="004312E1">
        <w:rPr>
          <w:i/>
          <w:iCs/>
        </w:rPr>
        <w:t xml:space="preserve">General Comment No. 24 </w:t>
      </w:r>
      <w:r w:rsidR="0028505F">
        <w:rPr>
          <w:i/>
          <w:iCs/>
        </w:rPr>
        <w:t xml:space="preserve">(2019) on children’s rights </w:t>
      </w:r>
      <w:r w:rsidR="00FC5489">
        <w:rPr>
          <w:i/>
          <w:iCs/>
        </w:rPr>
        <w:t xml:space="preserve">in the child justice system, </w:t>
      </w:r>
      <w:r w:rsidR="00FC5489">
        <w:t>United Nations</w:t>
      </w:r>
      <w:r w:rsidR="0015602A">
        <w:t xml:space="preserve"> Office of the High Commissioner on Human Rights</w:t>
      </w:r>
      <w:r w:rsidR="00FC5489">
        <w:t xml:space="preserve">, </w:t>
      </w:r>
      <w:r w:rsidR="00080039">
        <w:t xml:space="preserve">2019, </w:t>
      </w:r>
      <w:r w:rsidR="00721C56">
        <w:t xml:space="preserve">accessed 20 February 2020, </w:t>
      </w:r>
      <w:r w:rsidR="0015602A">
        <w:t>available at &lt;</w:t>
      </w:r>
      <w:hyperlink r:id="rId1" w:history="1">
        <w:r w:rsidR="0015602A" w:rsidRPr="001D1299">
          <w:rPr>
            <w:rStyle w:val="Hyperlink"/>
          </w:rPr>
          <w:t>https://tbinternet.ohchr.org/_layouts/15/treatybodyexternal/Download.aspx?symbolno=CRC/C/GC/24&amp;Lang=en</w:t>
        </w:r>
      </w:hyperlink>
      <w:r w:rsidR="0015602A">
        <w:t>&gt;.</w:t>
      </w:r>
    </w:p>
  </w:footnote>
  <w:footnote w:id="3">
    <w:p w14:paraId="14B5B3BD" w14:textId="2A0AC289" w:rsidR="00CA1159" w:rsidRDefault="00CA1159" w:rsidP="00CA1159">
      <w:pPr>
        <w:pStyle w:val="FootnoteText"/>
      </w:pPr>
      <w:r w:rsidRPr="00D943FE">
        <w:footnoteRef/>
      </w:r>
      <w:r w:rsidRPr="00D943FE">
        <w:t xml:space="preserve"> </w:t>
      </w:r>
      <w:r w:rsidR="00D943FE">
        <w:tab/>
      </w:r>
      <w:r w:rsidR="00000E1F">
        <w:t xml:space="preserve">Australian Human Rights Commission, </w:t>
      </w:r>
      <w:r w:rsidR="00B9579C">
        <w:rPr>
          <w:i/>
          <w:iCs/>
        </w:rPr>
        <w:t xml:space="preserve">Children’s Rights Report 2019, </w:t>
      </w:r>
      <w:r w:rsidR="00A54B65">
        <w:t xml:space="preserve">Australian Human Rights Commission, </w:t>
      </w:r>
      <w:r w:rsidR="005C397E">
        <w:t>2019,</w:t>
      </w:r>
      <w:r w:rsidR="00C75BBA">
        <w:t xml:space="preserve"> p</w:t>
      </w:r>
      <w:r w:rsidR="00046310">
        <w:t>.</w:t>
      </w:r>
      <w:r w:rsidR="00C75BBA">
        <w:t>12,</w:t>
      </w:r>
      <w:r w:rsidR="005C397E">
        <w:t xml:space="preserve"> accessed 19 February 2020, available at &lt;</w:t>
      </w:r>
      <w:hyperlink r:id="rId2" w:history="1">
        <w:r w:rsidR="005C397E" w:rsidRPr="00325C1C">
          <w:rPr>
            <w:rStyle w:val="Hyperlink"/>
          </w:rPr>
          <w:t>https://www.humanrights.gov.au/our-work/childrens-rights/publications/childrens-rights-report-2019</w:t>
        </w:r>
      </w:hyperlink>
      <w:r w:rsidR="005C397E">
        <w:t>&gt;.</w:t>
      </w:r>
    </w:p>
  </w:footnote>
  <w:footnote w:id="4">
    <w:p w14:paraId="19BD0379" w14:textId="7583BFD8" w:rsidR="00CA1159" w:rsidRDefault="00CA1159" w:rsidP="00CA1159">
      <w:pPr>
        <w:pStyle w:val="FootnoteText"/>
      </w:pPr>
      <w:r w:rsidRPr="00655DD9">
        <w:footnoteRef/>
      </w:r>
      <w:r w:rsidRPr="00655DD9">
        <w:t xml:space="preserve"> </w:t>
      </w:r>
      <w:r w:rsidR="00655DD9">
        <w:tab/>
      </w:r>
      <w:r w:rsidR="00CB1478">
        <w:t xml:space="preserve">United Nations Committee on the Rights of the Child, </w:t>
      </w:r>
      <w:r w:rsidR="00CB1478">
        <w:rPr>
          <w:i/>
          <w:iCs/>
        </w:rPr>
        <w:t xml:space="preserve">General Comment No. 24 (2019) on children’s rights in the child justice system, </w:t>
      </w:r>
      <w:r w:rsidR="00CB1478">
        <w:t>United Nations Office of the High Commissioner on Human Rights, 2019, accessed 20 February 2020, available at &lt;</w:t>
      </w:r>
      <w:hyperlink r:id="rId3" w:history="1">
        <w:r w:rsidR="00CB1478" w:rsidRPr="001C0CAC">
          <w:rPr>
            <w:rStyle w:val="Hyperlink"/>
          </w:rPr>
          <w:t>https://tbinternet.ohchr.org/_layouts/15/treatybodyexternal/Download.aspx?symbolno=CRC/C/GC/24&amp;Lang=en</w:t>
        </w:r>
      </w:hyperlink>
      <w:r w:rsidR="00CB1478">
        <w:t>&gt;</w:t>
      </w:r>
    </w:p>
  </w:footnote>
  <w:footnote w:id="5">
    <w:p w14:paraId="21E6EA82" w14:textId="0EBAA9A4" w:rsidR="00DD2EF2" w:rsidRPr="00FC3AD6" w:rsidRDefault="00DD2EF2">
      <w:pPr>
        <w:pStyle w:val="FootnoteText"/>
        <w:rPr>
          <w:lang w:val="en-US"/>
        </w:rPr>
      </w:pPr>
      <w:r w:rsidRPr="00FC3AD6">
        <w:footnoteRef/>
      </w:r>
      <w:r>
        <w:t xml:space="preserve"> </w:t>
      </w:r>
      <w:r w:rsidR="00FC3AD6">
        <w:tab/>
      </w:r>
      <w:r>
        <w:t xml:space="preserve">AMA and Law Council of Australia, </w:t>
      </w:r>
      <w:r>
        <w:rPr>
          <w:i/>
          <w:iCs/>
        </w:rPr>
        <w:t xml:space="preserve">Minimum Age of Criminal Responsibility: Policy Statement, </w:t>
      </w:r>
      <w:r>
        <w:t>AMA and Law Council of Australia, 2020, p.2, accessed 20 January 2020, available at &lt;</w:t>
      </w:r>
      <w:hyperlink r:id="rId4" w:history="1">
        <w:r w:rsidRPr="00FA0C63">
          <w:rPr>
            <w:rStyle w:val="Hyperlink"/>
          </w:rPr>
          <w:t>https://www.lawcouncil.asn.au/docs/7b6b5121-5220-ea11-9403-005056be13b5/AMA%20and%20LCA%20Policy%20Statement%20on%20Minimum%20Age%20of%20Criminal%20Responsibility.pdf</w:t>
        </w:r>
      </w:hyperlink>
      <w:r>
        <w:t>&gt;.</w:t>
      </w:r>
    </w:p>
  </w:footnote>
  <w:footnote w:id="6">
    <w:p w14:paraId="467A9563" w14:textId="7D99D8AC" w:rsidR="002330BD" w:rsidRPr="00FD7F8D" w:rsidRDefault="002330BD">
      <w:pPr>
        <w:pStyle w:val="FootnoteText"/>
        <w:rPr>
          <w:lang w:val="en-US"/>
        </w:rPr>
      </w:pPr>
      <w:r w:rsidRPr="00FA0C63">
        <w:footnoteRef/>
      </w:r>
      <w:r w:rsidRPr="00FA0C63">
        <w:t xml:space="preserve"> </w:t>
      </w:r>
      <w:r w:rsidR="00FA0C63">
        <w:tab/>
      </w:r>
      <w:r w:rsidR="00DD2EF2">
        <w:t>ibid.</w:t>
      </w:r>
    </w:p>
  </w:footnote>
  <w:footnote w:id="7">
    <w:p w14:paraId="3475A04D" w14:textId="02CE7DB2" w:rsidR="00DB177F" w:rsidRPr="00DB177F" w:rsidRDefault="00DB177F">
      <w:pPr>
        <w:pStyle w:val="FootnoteText"/>
        <w:rPr>
          <w:lang w:val="en-US"/>
        </w:rPr>
      </w:pPr>
      <w:r w:rsidRPr="00C154EB">
        <w:footnoteRef/>
      </w:r>
      <w:r w:rsidRPr="00C154EB">
        <w:t xml:space="preserve"> </w:t>
      </w:r>
      <w:r w:rsidR="00C154EB">
        <w:tab/>
      </w:r>
      <w:r>
        <w:rPr>
          <w:lang w:val="en-US"/>
        </w:rPr>
        <w:t>ibid.</w:t>
      </w:r>
    </w:p>
  </w:footnote>
  <w:footnote w:id="8">
    <w:p w14:paraId="08985876" w14:textId="6C2395E4" w:rsidR="00CA1159" w:rsidRDefault="00CA1159" w:rsidP="00FC5A31">
      <w:pPr>
        <w:pStyle w:val="FootnoteText"/>
      </w:pPr>
      <w:r w:rsidRPr="00FC5A31">
        <w:footnoteRef/>
      </w:r>
      <w:r w:rsidRPr="00FC5A31">
        <w:t xml:space="preserve"> </w:t>
      </w:r>
      <w:r w:rsidR="00FC5A31">
        <w:tab/>
      </w:r>
      <w:r>
        <w:t xml:space="preserve">Australian Institute of Health and Welfare, </w:t>
      </w:r>
      <w:r>
        <w:rPr>
          <w:i/>
          <w:iCs/>
        </w:rPr>
        <w:t>Young people aged 10–14 in the youth justice system 2011–2012</w:t>
      </w:r>
      <w:r w:rsidR="00FD4B22">
        <w:rPr>
          <w:i/>
          <w:iCs/>
        </w:rPr>
        <w:t xml:space="preserve">, </w:t>
      </w:r>
      <w:r w:rsidR="00FD4B22">
        <w:t>Australian Institute of Health and Welfare, 2013,</w:t>
      </w:r>
      <w:r>
        <w:t xml:space="preserve"> </w:t>
      </w:r>
      <w:r w:rsidR="00277427">
        <w:t>accessed 2</w:t>
      </w:r>
      <w:r w:rsidR="009778FD">
        <w:t>1</w:t>
      </w:r>
      <w:r w:rsidR="00277427">
        <w:t xml:space="preserve"> Februar</w:t>
      </w:r>
      <w:r w:rsidR="009778FD">
        <w:t>y 2020, available at</w:t>
      </w:r>
      <w:r>
        <w:t xml:space="preserve"> &lt;</w:t>
      </w:r>
      <w:hyperlink r:id="rId5" w:history="1">
        <w:r w:rsidR="00FC5A31">
          <w:rPr>
            <w:rStyle w:val="Hyperlink"/>
          </w:rPr>
          <w:t>https://www.aihw.gov.au/publication-detail/?id=60129543944</w:t>
        </w:r>
      </w:hyperlink>
      <w:r>
        <w:t>&gt;.</w:t>
      </w:r>
    </w:p>
  </w:footnote>
  <w:footnote w:id="9">
    <w:p w14:paraId="57866B21" w14:textId="303EAE64" w:rsidR="00CA1159" w:rsidRDefault="00CA1159" w:rsidP="00CA1159">
      <w:pPr>
        <w:pStyle w:val="FootnoteText"/>
      </w:pPr>
      <w:r w:rsidRPr="00054914">
        <w:footnoteRef/>
      </w:r>
      <w:r w:rsidRPr="00054914">
        <w:t xml:space="preserve"> </w:t>
      </w:r>
      <w:r w:rsidR="00054914">
        <w:tab/>
      </w:r>
      <w:r w:rsidR="003C6E77">
        <w:t xml:space="preserve">Jesuit Social Services, </w:t>
      </w:r>
      <w:r w:rsidR="004F09C4">
        <w:rPr>
          <w:i/>
          <w:iCs/>
        </w:rPr>
        <w:t xml:space="preserve">Too Much Too Young: </w:t>
      </w:r>
      <w:r w:rsidR="00D64D8B">
        <w:rPr>
          <w:i/>
          <w:iCs/>
        </w:rPr>
        <w:t xml:space="preserve">Raise the age of criminal responsibility, </w:t>
      </w:r>
      <w:r w:rsidR="004677AE">
        <w:t>letter</w:t>
      </w:r>
      <w:r w:rsidR="00A04437">
        <w:t xml:space="preserve"> to</w:t>
      </w:r>
      <w:r w:rsidR="00563C8F">
        <w:t xml:space="preserve"> </w:t>
      </w:r>
      <w:r w:rsidR="00563C8F" w:rsidRPr="00563C8F">
        <w:t>Attorneys-General</w:t>
      </w:r>
      <w:r w:rsidR="004677AE">
        <w:t>, 24 October</w:t>
      </w:r>
      <w:r w:rsidR="00D64D8B">
        <w:t xml:space="preserve"> </w:t>
      </w:r>
      <w:r w:rsidR="000E5BB0">
        <w:t>2015, p.1, accessed 21 February 2020, available at &lt;</w:t>
      </w:r>
      <w:hyperlink r:id="rId6" w:history="1">
        <w:r w:rsidR="003A2B7B" w:rsidRPr="000856AF">
          <w:rPr>
            <w:rStyle w:val="Hyperlink"/>
          </w:rPr>
          <w:t>http://jss.org.au/wp-content/uploads/2016/01/Letter_to_AGs_Age_of_Criminal_responsibility.pdf</w:t>
        </w:r>
      </w:hyperlink>
      <w:r w:rsidR="000E5BB0">
        <w:t>&gt;.</w:t>
      </w:r>
    </w:p>
  </w:footnote>
  <w:footnote w:id="10">
    <w:p w14:paraId="5AC8ADAA" w14:textId="6FB5062C" w:rsidR="00CA1159" w:rsidRDefault="00CA1159" w:rsidP="003A2B7B">
      <w:pPr>
        <w:pStyle w:val="FootnoteText"/>
      </w:pPr>
      <w:r w:rsidRPr="00581AB1">
        <w:footnoteRef/>
      </w:r>
      <w:r w:rsidRPr="00581AB1">
        <w:t xml:space="preserve"> </w:t>
      </w:r>
      <w:r w:rsidR="00581AB1">
        <w:tab/>
      </w:r>
      <w:r w:rsidR="003A2B7B">
        <w:t xml:space="preserve">Australian Human Rights Commission, </w:t>
      </w:r>
      <w:r w:rsidR="003A2B7B">
        <w:rPr>
          <w:i/>
          <w:iCs/>
        </w:rPr>
        <w:t xml:space="preserve">Children’s Rights Report 2019, </w:t>
      </w:r>
      <w:r w:rsidR="003A2B7B">
        <w:t>Australian Human Rights Commission, 2019, p.2</w:t>
      </w:r>
      <w:r w:rsidR="00F066A9">
        <w:t>44</w:t>
      </w:r>
      <w:r w:rsidR="003A2B7B">
        <w:t>, accessed 19 February 2020, available at &lt;</w:t>
      </w:r>
      <w:hyperlink r:id="rId7" w:history="1">
        <w:r w:rsidR="003A2B7B" w:rsidRPr="00581AB1">
          <w:rPr>
            <w:rStyle w:val="Hyperlink"/>
          </w:rPr>
          <w:t>https://www.humanrights.gov.au/our-work/childrens-rights/publications/childrens-rights-report-2019</w:t>
        </w:r>
      </w:hyperlink>
      <w:r w:rsidR="003A2B7B">
        <w:t>&gt;.</w:t>
      </w:r>
    </w:p>
  </w:footnote>
  <w:footnote w:id="11">
    <w:p w14:paraId="3517F746" w14:textId="601DE6F3" w:rsidR="00381079" w:rsidRPr="00381079" w:rsidRDefault="00381079" w:rsidP="00381079">
      <w:pPr>
        <w:pStyle w:val="FootnoteText"/>
        <w:rPr>
          <w:lang w:val="en-US"/>
        </w:rPr>
      </w:pPr>
      <w:r w:rsidRPr="00381079">
        <w:footnoteRef/>
      </w:r>
      <w:r w:rsidRPr="00381079">
        <w:t xml:space="preserve"> </w:t>
      </w:r>
      <w:r>
        <w:tab/>
        <w:t xml:space="preserve">ACT Government Justice and Community Safety Directorate, </w:t>
      </w:r>
      <w:r>
        <w:rPr>
          <w:i/>
          <w:iCs/>
        </w:rPr>
        <w:t xml:space="preserve">Appendix 1 - ACT Criminal Justice Statistical Profile – December 2017, </w:t>
      </w:r>
      <w:r>
        <w:t>ACT Government, 2017, accessed 22 February 2020, available at &lt;</w:t>
      </w:r>
      <w:hyperlink r:id="rId8" w:history="1">
        <w:r w:rsidRPr="00AE22A5">
          <w:rPr>
            <w:rStyle w:val="Hyperlink"/>
          </w:rPr>
          <w:t>https://justice.act.gov.au/standard-page/criminal-justice-statistical-profiles</w:t>
        </w:r>
      </w:hyperlink>
      <w:r>
        <w:t>&gt;.</w:t>
      </w:r>
    </w:p>
  </w:footnote>
  <w:footnote w:id="12">
    <w:p w14:paraId="57E97C6E" w14:textId="6EFC711F" w:rsidR="00DD2EF2" w:rsidRPr="00AE22A5" w:rsidRDefault="00DD2EF2">
      <w:pPr>
        <w:pStyle w:val="FootnoteText"/>
        <w:rPr>
          <w:lang w:val="en-US"/>
        </w:rPr>
      </w:pPr>
      <w:r w:rsidRPr="00AE22A5">
        <w:footnoteRef/>
      </w:r>
      <w:r w:rsidRPr="00AE22A5">
        <w:t xml:space="preserve"> </w:t>
      </w:r>
      <w:r w:rsidR="00AE22A5">
        <w:tab/>
      </w:r>
      <w:r w:rsidR="00BE075F">
        <w:t xml:space="preserve">ibid. </w:t>
      </w:r>
    </w:p>
  </w:footnote>
  <w:footnote w:id="13">
    <w:p w14:paraId="1400686A" w14:textId="3AD2FECC" w:rsidR="00F2001C" w:rsidRPr="00F2001C" w:rsidRDefault="00F2001C">
      <w:pPr>
        <w:pStyle w:val="FootnoteText"/>
        <w:rPr>
          <w:lang w:val="en-US"/>
        </w:rPr>
      </w:pPr>
      <w:r w:rsidRPr="00326185">
        <w:footnoteRef/>
      </w:r>
      <w:r w:rsidRPr="00326185">
        <w:t xml:space="preserve"> </w:t>
      </w:r>
      <w:r w:rsidR="00326185">
        <w:tab/>
      </w:r>
      <w:r w:rsidR="00A05404">
        <w:t>ibid, p.</w:t>
      </w:r>
      <w:r w:rsidR="00856F77">
        <w:t>235.</w:t>
      </w:r>
    </w:p>
  </w:footnote>
  <w:footnote w:id="14">
    <w:p w14:paraId="4BCF0D53" w14:textId="2A28A646" w:rsidR="003E32A6" w:rsidRDefault="003E32A6" w:rsidP="00326185">
      <w:pPr>
        <w:pStyle w:val="FootnoteText"/>
      </w:pPr>
      <w:r w:rsidRPr="00326185">
        <w:footnoteRef/>
      </w:r>
      <w:r w:rsidR="00682845" w:rsidRPr="00326185">
        <w:t xml:space="preserve"> </w:t>
      </w:r>
      <w:r w:rsidR="00326185">
        <w:tab/>
      </w:r>
      <w:r w:rsidR="00682845" w:rsidRPr="00A85CD4">
        <w:t>Deloi</w:t>
      </w:r>
      <w:r w:rsidR="00A85CD4">
        <w:t xml:space="preserve">tte Access Economics, </w:t>
      </w:r>
      <w:r w:rsidR="00AB6742">
        <w:rPr>
          <w:i/>
          <w:iCs/>
        </w:rPr>
        <w:t xml:space="preserve">Northern Territory Youth Justice Models: Fixing a broken system, </w:t>
      </w:r>
      <w:r w:rsidR="00AB6742">
        <w:t xml:space="preserve">Deloitte Access Economics, </w:t>
      </w:r>
      <w:r w:rsidR="00427566">
        <w:t>2017, p.</w:t>
      </w:r>
      <w:r w:rsidR="00051FE8">
        <w:t>78, accessed 21 February 2020, available at &lt;</w:t>
      </w:r>
      <w:hyperlink r:id="rId9" w:history="1">
        <w:r w:rsidR="00051FE8" w:rsidRPr="00326185">
          <w:rPr>
            <w:rStyle w:val="Hyperlink"/>
          </w:rPr>
          <w:t>https://www2.deloitte.com/content/dam/Deloitte/au/Documents/Economics/deloitte-au-economics-nt-youth-justice-models-241017.pdf</w:t>
        </w:r>
      </w:hyperlink>
      <w:r w:rsidR="00051FE8">
        <w:t>&gt;.</w:t>
      </w:r>
    </w:p>
  </w:footnote>
  <w:footnote w:id="15">
    <w:p w14:paraId="350CE80F" w14:textId="5DA11482" w:rsidR="003E32A6" w:rsidRDefault="003E32A6" w:rsidP="003E32A6">
      <w:pPr>
        <w:pStyle w:val="FootnoteText"/>
      </w:pPr>
      <w:r w:rsidRPr="00D026EF">
        <w:footnoteRef/>
      </w:r>
      <w:r w:rsidRPr="00D026EF">
        <w:t xml:space="preserve"> </w:t>
      </w:r>
      <w:r w:rsidR="00D026EF">
        <w:tab/>
      </w:r>
      <w:r w:rsidR="00227B47">
        <w:t xml:space="preserve">Australian Human Rights Commission, </w:t>
      </w:r>
      <w:r w:rsidR="00227B47">
        <w:rPr>
          <w:i/>
          <w:iCs/>
        </w:rPr>
        <w:t xml:space="preserve">Children’s Rights Report 2019, </w:t>
      </w:r>
      <w:r w:rsidR="00227B47">
        <w:t>Australian Human Rights Commission, 2019, p.4</w:t>
      </w:r>
      <w:r w:rsidR="00515C70">
        <w:t>6</w:t>
      </w:r>
      <w:r w:rsidR="00227B47">
        <w:t>, accessed 19 February 2020, available at &lt;</w:t>
      </w:r>
      <w:r w:rsidR="00227B47" w:rsidRPr="005C397E">
        <w:t>https://www.humanrights.gov.au/our-work/childrens-rights/publications/childrens-rights-report-2019</w:t>
      </w:r>
      <w:r w:rsidR="00227B47">
        <w:t>&gt;.</w:t>
      </w:r>
    </w:p>
  </w:footnote>
  <w:footnote w:id="16">
    <w:p w14:paraId="3C13E600" w14:textId="10E0F847" w:rsidR="00D10813" w:rsidRPr="00664334" w:rsidRDefault="00D10813">
      <w:pPr>
        <w:pStyle w:val="FootnoteText"/>
      </w:pPr>
      <w:r w:rsidRPr="00664334">
        <w:footnoteRef/>
      </w:r>
      <w:r w:rsidR="00117C3C">
        <w:tab/>
        <w:t xml:space="preserve">Australian Institute of Family Studies, </w:t>
      </w:r>
      <w:r w:rsidR="00117C3C">
        <w:rPr>
          <w:i/>
          <w:iCs/>
        </w:rPr>
        <w:t xml:space="preserve">The intersection between child protection and youth justice systems, </w:t>
      </w:r>
      <w:r w:rsidR="00117C3C">
        <w:t>Australian Institute of Family Studies, 2018, accessed 24 February 2020, available at &lt;</w:t>
      </w:r>
      <w:hyperlink r:id="rId10" w:history="1">
        <w:r w:rsidR="00117C3C" w:rsidRPr="0016268A">
          <w:rPr>
            <w:rStyle w:val="Hyperlink"/>
          </w:rPr>
          <w:t>https://aifs.gov.au/cfca/publications/intersection-between-child-protection-and-youth-justice-systems/overlap-between-child</w:t>
        </w:r>
      </w:hyperlink>
      <w:r w:rsidR="00117C3C">
        <w:t>&gt;.</w:t>
      </w:r>
    </w:p>
  </w:footnote>
  <w:footnote w:id="17">
    <w:p w14:paraId="4B2F61F6" w14:textId="470241B1" w:rsidR="003E32A6" w:rsidRDefault="003E32A6" w:rsidP="003E32A6">
      <w:pPr>
        <w:pStyle w:val="FootnoteText"/>
      </w:pPr>
      <w:r w:rsidRPr="00B17202">
        <w:footnoteRef/>
      </w:r>
      <w:r w:rsidRPr="00B17202">
        <w:t xml:space="preserve"> </w:t>
      </w:r>
      <w:r w:rsidR="00B17202">
        <w:tab/>
      </w:r>
      <w:r w:rsidR="00117C3C">
        <w:t>ibid.</w:t>
      </w:r>
    </w:p>
  </w:footnote>
  <w:footnote w:id="18">
    <w:p w14:paraId="245E7043" w14:textId="747F95C1" w:rsidR="00106C49" w:rsidRDefault="00106C49" w:rsidP="00106C49">
      <w:pPr>
        <w:pStyle w:val="FootnoteText"/>
      </w:pPr>
      <w:r w:rsidRPr="00580B50">
        <w:footnoteRef/>
      </w:r>
      <w:r w:rsidRPr="00580B50">
        <w:t xml:space="preserve"> </w:t>
      </w:r>
      <w:r w:rsidR="00580B50">
        <w:tab/>
      </w:r>
      <w:r w:rsidRPr="00FD70B2">
        <w:t xml:space="preserve">M O’Connell et al., </w:t>
      </w:r>
      <w:r w:rsidRPr="00AD6328">
        <w:rPr>
          <w:i/>
          <w:iCs/>
        </w:rPr>
        <w:t>Quality Early Education for All: Fostering, entrepreneurial, resilient and capable leaders</w:t>
      </w:r>
      <w:r w:rsidRPr="00FD70B2">
        <w:t>, Mitchell Institute, Melbourne, 2016, p.7.</w:t>
      </w:r>
    </w:p>
  </w:footnote>
  <w:footnote w:id="19">
    <w:p w14:paraId="5605796E" w14:textId="3E4D3A28" w:rsidR="00106C49" w:rsidRDefault="00106C49" w:rsidP="00106C49">
      <w:pPr>
        <w:pStyle w:val="FootnoteText"/>
      </w:pPr>
      <w:r w:rsidRPr="00D504CF">
        <w:footnoteRef/>
      </w:r>
      <w:r w:rsidRPr="00D504CF">
        <w:t xml:space="preserve"> </w:t>
      </w:r>
      <w:r w:rsidR="00D504CF">
        <w:tab/>
      </w:r>
      <w:r w:rsidR="00203A6D">
        <w:t xml:space="preserve">Australian Early Development Census, </w:t>
      </w:r>
      <w:r w:rsidR="00203A6D">
        <w:rPr>
          <w:i/>
          <w:iCs/>
        </w:rPr>
        <w:t xml:space="preserve">Data Explorer, </w:t>
      </w:r>
      <w:r w:rsidR="00203A6D">
        <w:t xml:space="preserve">Australian Early Development Census, </w:t>
      </w:r>
      <w:r w:rsidR="004929D2">
        <w:t>accessed 24 February 2020, available at &lt;</w:t>
      </w:r>
      <w:hyperlink r:id="rId11" w:history="1">
        <w:r w:rsidR="004929D2" w:rsidRPr="00D504CF">
          <w:rPr>
            <w:rStyle w:val="Hyperlink"/>
          </w:rPr>
          <w:t>https://www.aedc.gov.au/data/data-explorer</w:t>
        </w:r>
      </w:hyperlink>
      <w:r w:rsidR="004929D2">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61805F5"/>
    <w:multiLevelType w:val="hybridMultilevel"/>
    <w:tmpl w:val="7AACB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ABF69B1"/>
    <w:multiLevelType w:val="hybridMultilevel"/>
    <w:tmpl w:val="0F9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1B92541A"/>
    <w:multiLevelType w:val="hybridMultilevel"/>
    <w:tmpl w:val="4C48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5C37115"/>
    <w:multiLevelType w:val="hybridMultilevel"/>
    <w:tmpl w:val="1FF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C4F0F2D"/>
    <w:multiLevelType w:val="hybridMultilevel"/>
    <w:tmpl w:val="BC302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60306F"/>
    <w:multiLevelType w:val="hybridMultilevel"/>
    <w:tmpl w:val="7A80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7"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0"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1"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26"/>
  </w:num>
  <w:num w:numId="4">
    <w:abstractNumId w:val="24"/>
  </w:num>
  <w:num w:numId="5">
    <w:abstractNumId w:val="22"/>
  </w:num>
  <w:num w:numId="6">
    <w:abstractNumId w:val="25"/>
  </w:num>
  <w:num w:numId="7">
    <w:abstractNumId w:val="13"/>
  </w:num>
  <w:num w:numId="8">
    <w:abstractNumId w:val="29"/>
  </w:num>
  <w:num w:numId="9">
    <w:abstractNumId w:val="9"/>
  </w:num>
  <w:num w:numId="10">
    <w:abstractNumId w:val="28"/>
  </w:num>
  <w:num w:numId="11">
    <w:abstractNumId w:val="12"/>
  </w:num>
  <w:num w:numId="12">
    <w:abstractNumId w:val="5"/>
  </w:num>
  <w:num w:numId="13">
    <w:abstractNumId w:val="27"/>
  </w:num>
  <w:num w:numId="14">
    <w:abstractNumId w:val="15"/>
  </w:num>
  <w:num w:numId="15">
    <w:abstractNumId w:val="17"/>
  </w:num>
  <w:num w:numId="16">
    <w:abstractNumId w:val="6"/>
  </w:num>
  <w:num w:numId="17">
    <w:abstractNumId w:val="21"/>
  </w:num>
  <w:num w:numId="18">
    <w:abstractNumId w:val="4"/>
  </w:num>
  <w:num w:numId="19">
    <w:abstractNumId w:val="2"/>
  </w:num>
  <w:num w:numId="20">
    <w:abstractNumId w:val="1"/>
  </w:num>
  <w:num w:numId="21">
    <w:abstractNumId w:val="3"/>
  </w:num>
  <w:num w:numId="22">
    <w:abstractNumId w:val="0"/>
  </w:num>
  <w:num w:numId="23">
    <w:abstractNumId w:val="20"/>
  </w:num>
  <w:num w:numId="24">
    <w:abstractNumId w:val="31"/>
  </w:num>
  <w:num w:numId="25">
    <w:abstractNumId w:val="30"/>
  </w:num>
  <w:num w:numId="26">
    <w:abstractNumId w:val="19"/>
  </w:num>
  <w:num w:numId="27">
    <w:abstractNumId w:val="10"/>
  </w:num>
  <w:num w:numId="28">
    <w:abstractNumId w:val="23"/>
  </w:num>
  <w:num w:numId="29">
    <w:abstractNumId w:val="18"/>
  </w:num>
  <w:num w:numId="30">
    <w:abstractNumId w:val="14"/>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0E1F"/>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2D3"/>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6E9"/>
    <w:rsid w:val="00026723"/>
    <w:rsid w:val="00026A30"/>
    <w:rsid w:val="0002726C"/>
    <w:rsid w:val="0002768E"/>
    <w:rsid w:val="00030229"/>
    <w:rsid w:val="000302A3"/>
    <w:rsid w:val="0003057E"/>
    <w:rsid w:val="00030AAE"/>
    <w:rsid w:val="00030B3F"/>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310"/>
    <w:rsid w:val="00046C0E"/>
    <w:rsid w:val="00046F42"/>
    <w:rsid w:val="000471FF"/>
    <w:rsid w:val="00047B01"/>
    <w:rsid w:val="000503BF"/>
    <w:rsid w:val="00050620"/>
    <w:rsid w:val="000506CD"/>
    <w:rsid w:val="00050C3C"/>
    <w:rsid w:val="00050D10"/>
    <w:rsid w:val="00050DBA"/>
    <w:rsid w:val="00050E6A"/>
    <w:rsid w:val="00051FE8"/>
    <w:rsid w:val="0005220F"/>
    <w:rsid w:val="00053BED"/>
    <w:rsid w:val="00054130"/>
    <w:rsid w:val="00054338"/>
    <w:rsid w:val="000546C5"/>
    <w:rsid w:val="00054914"/>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57EED"/>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47FB"/>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039"/>
    <w:rsid w:val="00080AFB"/>
    <w:rsid w:val="00080F27"/>
    <w:rsid w:val="000812BB"/>
    <w:rsid w:val="00081DF2"/>
    <w:rsid w:val="00081EC0"/>
    <w:rsid w:val="00082109"/>
    <w:rsid w:val="00082527"/>
    <w:rsid w:val="000825FA"/>
    <w:rsid w:val="00082CD6"/>
    <w:rsid w:val="00082E7C"/>
    <w:rsid w:val="000837F9"/>
    <w:rsid w:val="00084C86"/>
    <w:rsid w:val="000856AF"/>
    <w:rsid w:val="0008576F"/>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2E0E"/>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EA6"/>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B7F63"/>
    <w:rsid w:val="000C03B8"/>
    <w:rsid w:val="000C06D1"/>
    <w:rsid w:val="000C0C16"/>
    <w:rsid w:val="000C0D40"/>
    <w:rsid w:val="000C1329"/>
    <w:rsid w:val="000C1B6B"/>
    <w:rsid w:val="000C22A7"/>
    <w:rsid w:val="000C363D"/>
    <w:rsid w:val="000C37C8"/>
    <w:rsid w:val="000C527A"/>
    <w:rsid w:val="000C52BB"/>
    <w:rsid w:val="000C5437"/>
    <w:rsid w:val="000C57A3"/>
    <w:rsid w:val="000C5BD7"/>
    <w:rsid w:val="000C5D11"/>
    <w:rsid w:val="000C60EE"/>
    <w:rsid w:val="000C662B"/>
    <w:rsid w:val="000C7B0F"/>
    <w:rsid w:val="000C7C48"/>
    <w:rsid w:val="000D0B03"/>
    <w:rsid w:val="000D0F69"/>
    <w:rsid w:val="000D108B"/>
    <w:rsid w:val="000D1282"/>
    <w:rsid w:val="000D136F"/>
    <w:rsid w:val="000D1B74"/>
    <w:rsid w:val="000D1EE1"/>
    <w:rsid w:val="000D1F22"/>
    <w:rsid w:val="000D23EA"/>
    <w:rsid w:val="000D27EB"/>
    <w:rsid w:val="000D3102"/>
    <w:rsid w:val="000D32E6"/>
    <w:rsid w:val="000D3721"/>
    <w:rsid w:val="000D3F21"/>
    <w:rsid w:val="000D4915"/>
    <w:rsid w:val="000D4CA8"/>
    <w:rsid w:val="000D4CE6"/>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BB0"/>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052"/>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C49"/>
    <w:rsid w:val="00106F30"/>
    <w:rsid w:val="00107469"/>
    <w:rsid w:val="00107A8C"/>
    <w:rsid w:val="00111019"/>
    <w:rsid w:val="001112E3"/>
    <w:rsid w:val="0011178F"/>
    <w:rsid w:val="00111DEF"/>
    <w:rsid w:val="00112027"/>
    <w:rsid w:val="001120E4"/>
    <w:rsid w:val="001121F3"/>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C3C"/>
    <w:rsid w:val="00117F25"/>
    <w:rsid w:val="001204E3"/>
    <w:rsid w:val="001205A1"/>
    <w:rsid w:val="001205A4"/>
    <w:rsid w:val="00120DE1"/>
    <w:rsid w:val="001213A3"/>
    <w:rsid w:val="001215BB"/>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39F"/>
    <w:rsid w:val="0012762E"/>
    <w:rsid w:val="00127B24"/>
    <w:rsid w:val="001303D4"/>
    <w:rsid w:val="00130751"/>
    <w:rsid w:val="00131322"/>
    <w:rsid w:val="00131965"/>
    <w:rsid w:val="00131AFB"/>
    <w:rsid w:val="00131D3F"/>
    <w:rsid w:val="00131D95"/>
    <w:rsid w:val="001320F0"/>
    <w:rsid w:val="00132190"/>
    <w:rsid w:val="00132552"/>
    <w:rsid w:val="00132EB4"/>
    <w:rsid w:val="00132F5E"/>
    <w:rsid w:val="0013344D"/>
    <w:rsid w:val="00133C57"/>
    <w:rsid w:val="0013447D"/>
    <w:rsid w:val="001347CA"/>
    <w:rsid w:val="00134B44"/>
    <w:rsid w:val="00134D46"/>
    <w:rsid w:val="00135320"/>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02A"/>
    <w:rsid w:val="00156923"/>
    <w:rsid w:val="00156A23"/>
    <w:rsid w:val="00156BB1"/>
    <w:rsid w:val="00156BED"/>
    <w:rsid w:val="00156DB0"/>
    <w:rsid w:val="00157B88"/>
    <w:rsid w:val="00160900"/>
    <w:rsid w:val="00160947"/>
    <w:rsid w:val="00160AD9"/>
    <w:rsid w:val="001610FE"/>
    <w:rsid w:val="0016115D"/>
    <w:rsid w:val="001615DD"/>
    <w:rsid w:val="0016197C"/>
    <w:rsid w:val="00161ABA"/>
    <w:rsid w:val="00161F07"/>
    <w:rsid w:val="0016245C"/>
    <w:rsid w:val="0016268A"/>
    <w:rsid w:val="00162ED3"/>
    <w:rsid w:val="0016318D"/>
    <w:rsid w:val="00163482"/>
    <w:rsid w:val="0016363B"/>
    <w:rsid w:val="00164895"/>
    <w:rsid w:val="001648A4"/>
    <w:rsid w:val="00165605"/>
    <w:rsid w:val="00165792"/>
    <w:rsid w:val="001659AB"/>
    <w:rsid w:val="00165ABE"/>
    <w:rsid w:val="00165F8F"/>
    <w:rsid w:val="0016628A"/>
    <w:rsid w:val="00166D83"/>
    <w:rsid w:val="00166E86"/>
    <w:rsid w:val="00167200"/>
    <w:rsid w:val="0017006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31"/>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B4C"/>
    <w:rsid w:val="001B707A"/>
    <w:rsid w:val="001B74C0"/>
    <w:rsid w:val="001B76ED"/>
    <w:rsid w:val="001B7AC6"/>
    <w:rsid w:val="001C017E"/>
    <w:rsid w:val="001C01A5"/>
    <w:rsid w:val="001C061C"/>
    <w:rsid w:val="001C0CA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3A1"/>
    <w:rsid w:val="001C549D"/>
    <w:rsid w:val="001C54B3"/>
    <w:rsid w:val="001C562C"/>
    <w:rsid w:val="001C69F0"/>
    <w:rsid w:val="001C6AF4"/>
    <w:rsid w:val="001C75E9"/>
    <w:rsid w:val="001C768F"/>
    <w:rsid w:val="001C7C79"/>
    <w:rsid w:val="001C7CBE"/>
    <w:rsid w:val="001C7D84"/>
    <w:rsid w:val="001D01D4"/>
    <w:rsid w:val="001D08F7"/>
    <w:rsid w:val="001D0975"/>
    <w:rsid w:val="001D0ADC"/>
    <w:rsid w:val="001D0FDD"/>
    <w:rsid w:val="001D1299"/>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2F42"/>
    <w:rsid w:val="001E4069"/>
    <w:rsid w:val="001E4370"/>
    <w:rsid w:val="001E4636"/>
    <w:rsid w:val="001E468C"/>
    <w:rsid w:val="001E4979"/>
    <w:rsid w:val="001E49B5"/>
    <w:rsid w:val="001E4A2B"/>
    <w:rsid w:val="001E4B25"/>
    <w:rsid w:val="001E5335"/>
    <w:rsid w:val="001E553F"/>
    <w:rsid w:val="001E5641"/>
    <w:rsid w:val="001E623A"/>
    <w:rsid w:val="001E6272"/>
    <w:rsid w:val="001E6369"/>
    <w:rsid w:val="001E63AC"/>
    <w:rsid w:val="001E73A4"/>
    <w:rsid w:val="001E7515"/>
    <w:rsid w:val="001E7934"/>
    <w:rsid w:val="001E7E3C"/>
    <w:rsid w:val="001F0485"/>
    <w:rsid w:val="001F0CD7"/>
    <w:rsid w:val="001F0CE3"/>
    <w:rsid w:val="001F0DBC"/>
    <w:rsid w:val="001F1049"/>
    <w:rsid w:val="001F1192"/>
    <w:rsid w:val="001F15DF"/>
    <w:rsid w:val="001F16F2"/>
    <w:rsid w:val="001F1A50"/>
    <w:rsid w:val="001F1F59"/>
    <w:rsid w:val="001F271F"/>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A6D"/>
    <w:rsid w:val="00203D00"/>
    <w:rsid w:val="00204192"/>
    <w:rsid w:val="00205671"/>
    <w:rsid w:val="002060F9"/>
    <w:rsid w:val="00206353"/>
    <w:rsid w:val="0020643D"/>
    <w:rsid w:val="00206802"/>
    <w:rsid w:val="00206878"/>
    <w:rsid w:val="00206882"/>
    <w:rsid w:val="00207806"/>
    <w:rsid w:val="00210128"/>
    <w:rsid w:val="002107DC"/>
    <w:rsid w:val="00210BB4"/>
    <w:rsid w:val="00211195"/>
    <w:rsid w:val="00211681"/>
    <w:rsid w:val="00211866"/>
    <w:rsid w:val="0021190B"/>
    <w:rsid w:val="00211BFA"/>
    <w:rsid w:val="00211E14"/>
    <w:rsid w:val="0021218B"/>
    <w:rsid w:val="00212593"/>
    <w:rsid w:val="00212CC0"/>
    <w:rsid w:val="0021378D"/>
    <w:rsid w:val="00213D6A"/>
    <w:rsid w:val="00213EE7"/>
    <w:rsid w:val="00214B9A"/>
    <w:rsid w:val="00214ED9"/>
    <w:rsid w:val="00215215"/>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565C"/>
    <w:rsid w:val="002261C9"/>
    <w:rsid w:val="00226FEF"/>
    <w:rsid w:val="00227061"/>
    <w:rsid w:val="002272FA"/>
    <w:rsid w:val="00227630"/>
    <w:rsid w:val="00227B47"/>
    <w:rsid w:val="00231640"/>
    <w:rsid w:val="00231AF3"/>
    <w:rsid w:val="00231BCE"/>
    <w:rsid w:val="002329E2"/>
    <w:rsid w:val="00232AE3"/>
    <w:rsid w:val="00232B10"/>
    <w:rsid w:val="00232FF4"/>
    <w:rsid w:val="002330BD"/>
    <w:rsid w:val="002330E4"/>
    <w:rsid w:val="0023373D"/>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36D"/>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5F3"/>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049"/>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BDB"/>
    <w:rsid w:val="00275E45"/>
    <w:rsid w:val="002769F1"/>
    <w:rsid w:val="00276C2C"/>
    <w:rsid w:val="00276C4D"/>
    <w:rsid w:val="00277039"/>
    <w:rsid w:val="00277427"/>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05F"/>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23B"/>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6337"/>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2E"/>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1C"/>
    <w:rsid w:val="00325C26"/>
    <w:rsid w:val="00326185"/>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4B75"/>
    <w:rsid w:val="003353E7"/>
    <w:rsid w:val="003355C3"/>
    <w:rsid w:val="00335DBA"/>
    <w:rsid w:val="00335E48"/>
    <w:rsid w:val="00336038"/>
    <w:rsid w:val="00336934"/>
    <w:rsid w:val="00336974"/>
    <w:rsid w:val="00336AFC"/>
    <w:rsid w:val="003402F1"/>
    <w:rsid w:val="003402FF"/>
    <w:rsid w:val="00340317"/>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A1"/>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994"/>
    <w:rsid w:val="00355FA3"/>
    <w:rsid w:val="003563E1"/>
    <w:rsid w:val="003577AB"/>
    <w:rsid w:val="0035782E"/>
    <w:rsid w:val="00357A45"/>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089"/>
    <w:rsid w:val="003809CA"/>
    <w:rsid w:val="00380D94"/>
    <w:rsid w:val="00381079"/>
    <w:rsid w:val="003812E6"/>
    <w:rsid w:val="00381763"/>
    <w:rsid w:val="00381EDF"/>
    <w:rsid w:val="00381F19"/>
    <w:rsid w:val="00382568"/>
    <w:rsid w:val="0038323C"/>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7B"/>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E77"/>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369"/>
    <w:rsid w:val="003D75D4"/>
    <w:rsid w:val="003D7AFC"/>
    <w:rsid w:val="003D7DFA"/>
    <w:rsid w:val="003E0953"/>
    <w:rsid w:val="003E095C"/>
    <w:rsid w:val="003E0A7A"/>
    <w:rsid w:val="003E173D"/>
    <w:rsid w:val="003E178C"/>
    <w:rsid w:val="003E1EE7"/>
    <w:rsid w:val="003E1F57"/>
    <w:rsid w:val="003E2694"/>
    <w:rsid w:val="003E288C"/>
    <w:rsid w:val="003E32A6"/>
    <w:rsid w:val="003E3926"/>
    <w:rsid w:val="003E438A"/>
    <w:rsid w:val="003E47A9"/>
    <w:rsid w:val="003E4BE5"/>
    <w:rsid w:val="003E4CD8"/>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3BC8"/>
    <w:rsid w:val="00404BBB"/>
    <w:rsid w:val="00404BBF"/>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C93"/>
    <w:rsid w:val="00420DBD"/>
    <w:rsid w:val="00421119"/>
    <w:rsid w:val="0042120F"/>
    <w:rsid w:val="004219A0"/>
    <w:rsid w:val="00421AE6"/>
    <w:rsid w:val="00422678"/>
    <w:rsid w:val="00422942"/>
    <w:rsid w:val="00422B55"/>
    <w:rsid w:val="00422E9F"/>
    <w:rsid w:val="004230BD"/>
    <w:rsid w:val="0042393D"/>
    <w:rsid w:val="00423C00"/>
    <w:rsid w:val="0042409B"/>
    <w:rsid w:val="00424EE1"/>
    <w:rsid w:val="00425727"/>
    <w:rsid w:val="00425AE2"/>
    <w:rsid w:val="004260BB"/>
    <w:rsid w:val="004268CB"/>
    <w:rsid w:val="004269BA"/>
    <w:rsid w:val="004274EE"/>
    <w:rsid w:val="00427566"/>
    <w:rsid w:val="00427C27"/>
    <w:rsid w:val="00427CCC"/>
    <w:rsid w:val="004300CB"/>
    <w:rsid w:val="00430453"/>
    <w:rsid w:val="00430BCC"/>
    <w:rsid w:val="004312E1"/>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471D3"/>
    <w:rsid w:val="00450CA7"/>
    <w:rsid w:val="00450E29"/>
    <w:rsid w:val="00451082"/>
    <w:rsid w:val="004510CC"/>
    <w:rsid w:val="00451C48"/>
    <w:rsid w:val="00453476"/>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7AE"/>
    <w:rsid w:val="00467837"/>
    <w:rsid w:val="00467A99"/>
    <w:rsid w:val="00467E8D"/>
    <w:rsid w:val="00467EFF"/>
    <w:rsid w:val="00470052"/>
    <w:rsid w:val="0047022F"/>
    <w:rsid w:val="00470832"/>
    <w:rsid w:val="0047134A"/>
    <w:rsid w:val="0047195B"/>
    <w:rsid w:val="00471CAC"/>
    <w:rsid w:val="00471E03"/>
    <w:rsid w:val="004722CE"/>
    <w:rsid w:val="004723E6"/>
    <w:rsid w:val="00472D1F"/>
    <w:rsid w:val="004731B6"/>
    <w:rsid w:val="00473274"/>
    <w:rsid w:val="00473A5B"/>
    <w:rsid w:val="004741C3"/>
    <w:rsid w:val="00475940"/>
    <w:rsid w:val="00475E1E"/>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29D2"/>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6FC9"/>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1A1"/>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09C4"/>
    <w:rsid w:val="004F130C"/>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CFF"/>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0D7"/>
    <w:rsid w:val="0051130C"/>
    <w:rsid w:val="00511429"/>
    <w:rsid w:val="00512111"/>
    <w:rsid w:val="005124E1"/>
    <w:rsid w:val="005129C7"/>
    <w:rsid w:val="005132AC"/>
    <w:rsid w:val="005139AB"/>
    <w:rsid w:val="005139B9"/>
    <w:rsid w:val="005143FD"/>
    <w:rsid w:val="00514F81"/>
    <w:rsid w:val="00515684"/>
    <w:rsid w:val="0051582F"/>
    <w:rsid w:val="00515C70"/>
    <w:rsid w:val="00515CFA"/>
    <w:rsid w:val="0051655C"/>
    <w:rsid w:val="005166BA"/>
    <w:rsid w:val="00516D97"/>
    <w:rsid w:val="00517200"/>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16EF"/>
    <w:rsid w:val="005426C3"/>
    <w:rsid w:val="00542C0F"/>
    <w:rsid w:val="00542D06"/>
    <w:rsid w:val="00542E4E"/>
    <w:rsid w:val="00543A31"/>
    <w:rsid w:val="00543AE9"/>
    <w:rsid w:val="00543C1F"/>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3C8F"/>
    <w:rsid w:val="005648FF"/>
    <w:rsid w:val="005651F6"/>
    <w:rsid w:val="0056540C"/>
    <w:rsid w:val="00565763"/>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0B50"/>
    <w:rsid w:val="00581542"/>
    <w:rsid w:val="00581671"/>
    <w:rsid w:val="00581AB1"/>
    <w:rsid w:val="0058288A"/>
    <w:rsid w:val="00582D17"/>
    <w:rsid w:val="00582F6E"/>
    <w:rsid w:val="005833C2"/>
    <w:rsid w:val="00583B0A"/>
    <w:rsid w:val="005859A4"/>
    <w:rsid w:val="00585A18"/>
    <w:rsid w:val="00585D00"/>
    <w:rsid w:val="00586039"/>
    <w:rsid w:val="00586E5E"/>
    <w:rsid w:val="0058714C"/>
    <w:rsid w:val="005876FA"/>
    <w:rsid w:val="00587E8E"/>
    <w:rsid w:val="005910DB"/>
    <w:rsid w:val="00591383"/>
    <w:rsid w:val="005913F7"/>
    <w:rsid w:val="00591521"/>
    <w:rsid w:val="00591578"/>
    <w:rsid w:val="00591658"/>
    <w:rsid w:val="00591766"/>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3AA"/>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9F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97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2F97"/>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34E"/>
    <w:rsid w:val="005F066A"/>
    <w:rsid w:val="005F0979"/>
    <w:rsid w:val="005F2236"/>
    <w:rsid w:val="005F24E0"/>
    <w:rsid w:val="005F2671"/>
    <w:rsid w:val="005F29C5"/>
    <w:rsid w:val="005F2A4E"/>
    <w:rsid w:val="005F2E76"/>
    <w:rsid w:val="005F3220"/>
    <w:rsid w:val="005F3443"/>
    <w:rsid w:val="005F36F7"/>
    <w:rsid w:val="005F45AF"/>
    <w:rsid w:val="005F4C69"/>
    <w:rsid w:val="005F4F3C"/>
    <w:rsid w:val="005F504C"/>
    <w:rsid w:val="005F51D3"/>
    <w:rsid w:val="005F564B"/>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5BE5"/>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E5A"/>
    <w:rsid w:val="00630F45"/>
    <w:rsid w:val="0063109E"/>
    <w:rsid w:val="00631469"/>
    <w:rsid w:val="0063209D"/>
    <w:rsid w:val="0063286A"/>
    <w:rsid w:val="00632E65"/>
    <w:rsid w:val="00632EFF"/>
    <w:rsid w:val="006330CE"/>
    <w:rsid w:val="0063331F"/>
    <w:rsid w:val="006338CA"/>
    <w:rsid w:val="006342FF"/>
    <w:rsid w:val="006344E8"/>
    <w:rsid w:val="0063456E"/>
    <w:rsid w:val="006348E3"/>
    <w:rsid w:val="00634D3E"/>
    <w:rsid w:val="00634E51"/>
    <w:rsid w:val="0063539D"/>
    <w:rsid w:val="006354E7"/>
    <w:rsid w:val="006368BF"/>
    <w:rsid w:val="00636AAA"/>
    <w:rsid w:val="00636B6B"/>
    <w:rsid w:val="00636CB0"/>
    <w:rsid w:val="00637310"/>
    <w:rsid w:val="00637572"/>
    <w:rsid w:val="0063766D"/>
    <w:rsid w:val="00637673"/>
    <w:rsid w:val="00637DDD"/>
    <w:rsid w:val="00637F03"/>
    <w:rsid w:val="006400FC"/>
    <w:rsid w:val="006408E8"/>
    <w:rsid w:val="006409BD"/>
    <w:rsid w:val="00640FF1"/>
    <w:rsid w:val="00641156"/>
    <w:rsid w:val="00641B60"/>
    <w:rsid w:val="0064266E"/>
    <w:rsid w:val="006428AB"/>
    <w:rsid w:val="00643008"/>
    <w:rsid w:val="00643809"/>
    <w:rsid w:val="00643C58"/>
    <w:rsid w:val="00644247"/>
    <w:rsid w:val="00644558"/>
    <w:rsid w:val="00644768"/>
    <w:rsid w:val="00644847"/>
    <w:rsid w:val="00644BF3"/>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5F3"/>
    <w:rsid w:val="00653B20"/>
    <w:rsid w:val="00654944"/>
    <w:rsid w:val="00654964"/>
    <w:rsid w:val="0065506E"/>
    <w:rsid w:val="00655168"/>
    <w:rsid w:val="006552D8"/>
    <w:rsid w:val="0065572F"/>
    <w:rsid w:val="00655928"/>
    <w:rsid w:val="00655DD9"/>
    <w:rsid w:val="00657055"/>
    <w:rsid w:val="006572E7"/>
    <w:rsid w:val="00657663"/>
    <w:rsid w:val="00657B4E"/>
    <w:rsid w:val="006611F1"/>
    <w:rsid w:val="0066143C"/>
    <w:rsid w:val="00661900"/>
    <w:rsid w:val="0066191E"/>
    <w:rsid w:val="00661AAF"/>
    <w:rsid w:val="00662BEB"/>
    <w:rsid w:val="00663955"/>
    <w:rsid w:val="00663F92"/>
    <w:rsid w:val="006641B3"/>
    <w:rsid w:val="006641DC"/>
    <w:rsid w:val="00664334"/>
    <w:rsid w:val="006645ED"/>
    <w:rsid w:val="00665105"/>
    <w:rsid w:val="00665197"/>
    <w:rsid w:val="006654B0"/>
    <w:rsid w:val="00665631"/>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45"/>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23F"/>
    <w:rsid w:val="00692849"/>
    <w:rsid w:val="00692DC8"/>
    <w:rsid w:val="006934DC"/>
    <w:rsid w:val="006936A6"/>
    <w:rsid w:val="0069418D"/>
    <w:rsid w:val="00694492"/>
    <w:rsid w:val="006950D2"/>
    <w:rsid w:val="006958A4"/>
    <w:rsid w:val="00695920"/>
    <w:rsid w:val="006959FD"/>
    <w:rsid w:val="006967C8"/>
    <w:rsid w:val="006968D1"/>
    <w:rsid w:val="006970A0"/>
    <w:rsid w:val="0069716A"/>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950"/>
    <w:rsid w:val="006A4D4D"/>
    <w:rsid w:val="006A4F9C"/>
    <w:rsid w:val="006A5806"/>
    <w:rsid w:val="006A67BD"/>
    <w:rsid w:val="006A6FE5"/>
    <w:rsid w:val="006A74BD"/>
    <w:rsid w:val="006A7588"/>
    <w:rsid w:val="006B0991"/>
    <w:rsid w:val="006B0EFA"/>
    <w:rsid w:val="006B0F0D"/>
    <w:rsid w:val="006B1587"/>
    <w:rsid w:val="006B1CEB"/>
    <w:rsid w:val="006B1D20"/>
    <w:rsid w:val="006B1E87"/>
    <w:rsid w:val="006B2AB8"/>
    <w:rsid w:val="006B2AC2"/>
    <w:rsid w:val="006B2C89"/>
    <w:rsid w:val="006B2D23"/>
    <w:rsid w:val="006B2E2F"/>
    <w:rsid w:val="006B311C"/>
    <w:rsid w:val="006B333E"/>
    <w:rsid w:val="006B37B8"/>
    <w:rsid w:val="006B38A8"/>
    <w:rsid w:val="006B39FB"/>
    <w:rsid w:val="006B3E41"/>
    <w:rsid w:val="006B46B5"/>
    <w:rsid w:val="006B473B"/>
    <w:rsid w:val="006B48D3"/>
    <w:rsid w:val="006B4F91"/>
    <w:rsid w:val="006B51C1"/>
    <w:rsid w:val="006B533D"/>
    <w:rsid w:val="006B54E7"/>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3F83"/>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3FD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08A"/>
    <w:rsid w:val="006F2204"/>
    <w:rsid w:val="006F2339"/>
    <w:rsid w:val="006F24CA"/>
    <w:rsid w:val="006F2669"/>
    <w:rsid w:val="006F28EB"/>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0CE3"/>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47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C56"/>
    <w:rsid w:val="00721DE8"/>
    <w:rsid w:val="007220C6"/>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22C"/>
    <w:rsid w:val="00734361"/>
    <w:rsid w:val="00734388"/>
    <w:rsid w:val="007345F4"/>
    <w:rsid w:val="007358B7"/>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7C2"/>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222"/>
    <w:rsid w:val="00757A80"/>
    <w:rsid w:val="007604BC"/>
    <w:rsid w:val="00760895"/>
    <w:rsid w:val="00760AFB"/>
    <w:rsid w:val="00760EE2"/>
    <w:rsid w:val="00761006"/>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67BAB"/>
    <w:rsid w:val="00770486"/>
    <w:rsid w:val="0077060E"/>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3E9"/>
    <w:rsid w:val="00783EFD"/>
    <w:rsid w:val="00784625"/>
    <w:rsid w:val="00784774"/>
    <w:rsid w:val="0078492A"/>
    <w:rsid w:val="007851A4"/>
    <w:rsid w:val="00785347"/>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148"/>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0F5C"/>
    <w:rsid w:val="007A115F"/>
    <w:rsid w:val="007A1371"/>
    <w:rsid w:val="007A21AD"/>
    <w:rsid w:val="007A2247"/>
    <w:rsid w:val="007A23C9"/>
    <w:rsid w:val="007A2479"/>
    <w:rsid w:val="007A2551"/>
    <w:rsid w:val="007A4A59"/>
    <w:rsid w:val="007A53F3"/>
    <w:rsid w:val="007A6525"/>
    <w:rsid w:val="007A65AE"/>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64C"/>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1BB3"/>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C25"/>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0E9B"/>
    <w:rsid w:val="00811217"/>
    <w:rsid w:val="0081167C"/>
    <w:rsid w:val="00811CCA"/>
    <w:rsid w:val="008122B2"/>
    <w:rsid w:val="008129B2"/>
    <w:rsid w:val="00812D9C"/>
    <w:rsid w:val="00813264"/>
    <w:rsid w:val="00813A2C"/>
    <w:rsid w:val="00813A6E"/>
    <w:rsid w:val="0081431D"/>
    <w:rsid w:val="008143B4"/>
    <w:rsid w:val="0081459C"/>
    <w:rsid w:val="0081477D"/>
    <w:rsid w:val="00814C51"/>
    <w:rsid w:val="00814F9A"/>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6F77"/>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CD3"/>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782"/>
    <w:rsid w:val="00881E7D"/>
    <w:rsid w:val="0088248D"/>
    <w:rsid w:val="00882B64"/>
    <w:rsid w:val="00882F95"/>
    <w:rsid w:val="008838D6"/>
    <w:rsid w:val="0088405E"/>
    <w:rsid w:val="00884625"/>
    <w:rsid w:val="00884D3F"/>
    <w:rsid w:val="00885E97"/>
    <w:rsid w:val="00885F5D"/>
    <w:rsid w:val="008861E2"/>
    <w:rsid w:val="00886399"/>
    <w:rsid w:val="00886888"/>
    <w:rsid w:val="00886E83"/>
    <w:rsid w:val="00886F42"/>
    <w:rsid w:val="008873CA"/>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3EE4"/>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A74"/>
    <w:rsid w:val="008A6033"/>
    <w:rsid w:val="008A69FF"/>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0F14"/>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EBD"/>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E6626"/>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8E4"/>
    <w:rsid w:val="0090496B"/>
    <w:rsid w:val="009049F7"/>
    <w:rsid w:val="00904EE2"/>
    <w:rsid w:val="009050B0"/>
    <w:rsid w:val="00905469"/>
    <w:rsid w:val="0090669D"/>
    <w:rsid w:val="0090678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91D"/>
    <w:rsid w:val="00920F06"/>
    <w:rsid w:val="0092112C"/>
    <w:rsid w:val="0092188C"/>
    <w:rsid w:val="00922136"/>
    <w:rsid w:val="0092248E"/>
    <w:rsid w:val="009227C5"/>
    <w:rsid w:val="00922B2C"/>
    <w:rsid w:val="00922BB0"/>
    <w:rsid w:val="00922C38"/>
    <w:rsid w:val="00922E91"/>
    <w:rsid w:val="00923644"/>
    <w:rsid w:val="00923891"/>
    <w:rsid w:val="00923BCC"/>
    <w:rsid w:val="0092412C"/>
    <w:rsid w:val="009249F9"/>
    <w:rsid w:val="00924B54"/>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5E6"/>
    <w:rsid w:val="00934462"/>
    <w:rsid w:val="009344FF"/>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8A9"/>
    <w:rsid w:val="00942AA6"/>
    <w:rsid w:val="0094304F"/>
    <w:rsid w:val="00943466"/>
    <w:rsid w:val="00943C77"/>
    <w:rsid w:val="00943E1D"/>
    <w:rsid w:val="00943FA3"/>
    <w:rsid w:val="0094400A"/>
    <w:rsid w:val="00944465"/>
    <w:rsid w:val="00944479"/>
    <w:rsid w:val="009447C3"/>
    <w:rsid w:val="00945017"/>
    <w:rsid w:val="00945059"/>
    <w:rsid w:val="009450E8"/>
    <w:rsid w:val="00945683"/>
    <w:rsid w:val="0094606D"/>
    <w:rsid w:val="0094611E"/>
    <w:rsid w:val="00947B0D"/>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644"/>
    <w:rsid w:val="00960BAD"/>
    <w:rsid w:val="00960E07"/>
    <w:rsid w:val="009611B8"/>
    <w:rsid w:val="00961D8A"/>
    <w:rsid w:val="00961E9B"/>
    <w:rsid w:val="00961FF6"/>
    <w:rsid w:val="00962CDC"/>
    <w:rsid w:val="00962DF1"/>
    <w:rsid w:val="00962F09"/>
    <w:rsid w:val="009633CD"/>
    <w:rsid w:val="0096409E"/>
    <w:rsid w:val="00964169"/>
    <w:rsid w:val="00964188"/>
    <w:rsid w:val="00965353"/>
    <w:rsid w:val="0096581F"/>
    <w:rsid w:val="00965DF4"/>
    <w:rsid w:val="00965E5E"/>
    <w:rsid w:val="00965F52"/>
    <w:rsid w:val="00966337"/>
    <w:rsid w:val="009663BF"/>
    <w:rsid w:val="0096653F"/>
    <w:rsid w:val="0096664A"/>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163"/>
    <w:rsid w:val="0097331A"/>
    <w:rsid w:val="00973755"/>
    <w:rsid w:val="00973CCC"/>
    <w:rsid w:val="00973ED1"/>
    <w:rsid w:val="0097402A"/>
    <w:rsid w:val="009741BE"/>
    <w:rsid w:val="0097519E"/>
    <w:rsid w:val="00975374"/>
    <w:rsid w:val="009753DD"/>
    <w:rsid w:val="00975738"/>
    <w:rsid w:val="0097592D"/>
    <w:rsid w:val="00975933"/>
    <w:rsid w:val="00975BD3"/>
    <w:rsid w:val="00975EAB"/>
    <w:rsid w:val="00975F21"/>
    <w:rsid w:val="0097617E"/>
    <w:rsid w:val="0097652C"/>
    <w:rsid w:val="00976B65"/>
    <w:rsid w:val="0097757E"/>
    <w:rsid w:val="00977614"/>
    <w:rsid w:val="009777C4"/>
    <w:rsid w:val="009778FD"/>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3F"/>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EFE"/>
    <w:rsid w:val="0099440A"/>
    <w:rsid w:val="00994719"/>
    <w:rsid w:val="00995BEB"/>
    <w:rsid w:val="00995C86"/>
    <w:rsid w:val="00995C92"/>
    <w:rsid w:val="00996C82"/>
    <w:rsid w:val="00997646"/>
    <w:rsid w:val="00997728"/>
    <w:rsid w:val="00997922"/>
    <w:rsid w:val="00997CE6"/>
    <w:rsid w:val="00997CFA"/>
    <w:rsid w:val="009A01C8"/>
    <w:rsid w:val="009A022C"/>
    <w:rsid w:val="009A0771"/>
    <w:rsid w:val="009A0AB5"/>
    <w:rsid w:val="009A0C5C"/>
    <w:rsid w:val="009A0E6F"/>
    <w:rsid w:val="009A1A97"/>
    <w:rsid w:val="009A1F50"/>
    <w:rsid w:val="009A22E4"/>
    <w:rsid w:val="009A2662"/>
    <w:rsid w:val="009A2922"/>
    <w:rsid w:val="009A3056"/>
    <w:rsid w:val="009A3985"/>
    <w:rsid w:val="009A4518"/>
    <w:rsid w:val="009A4AB7"/>
    <w:rsid w:val="009A5AE8"/>
    <w:rsid w:val="009A5B44"/>
    <w:rsid w:val="009A5C09"/>
    <w:rsid w:val="009A5C2F"/>
    <w:rsid w:val="009A606F"/>
    <w:rsid w:val="009A6B1B"/>
    <w:rsid w:val="009A6FAF"/>
    <w:rsid w:val="009A76C5"/>
    <w:rsid w:val="009A7D33"/>
    <w:rsid w:val="009A7E16"/>
    <w:rsid w:val="009B00CD"/>
    <w:rsid w:val="009B11AC"/>
    <w:rsid w:val="009B147B"/>
    <w:rsid w:val="009B18C3"/>
    <w:rsid w:val="009B2D01"/>
    <w:rsid w:val="009B3DD5"/>
    <w:rsid w:val="009B42E8"/>
    <w:rsid w:val="009B4401"/>
    <w:rsid w:val="009B4649"/>
    <w:rsid w:val="009B4FC2"/>
    <w:rsid w:val="009B51FA"/>
    <w:rsid w:val="009B5339"/>
    <w:rsid w:val="009B54AB"/>
    <w:rsid w:val="009B5A1E"/>
    <w:rsid w:val="009B5ECA"/>
    <w:rsid w:val="009B66C4"/>
    <w:rsid w:val="009B6709"/>
    <w:rsid w:val="009B673C"/>
    <w:rsid w:val="009B69DB"/>
    <w:rsid w:val="009B6BB1"/>
    <w:rsid w:val="009B6E6E"/>
    <w:rsid w:val="009B7C76"/>
    <w:rsid w:val="009C005A"/>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C3"/>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9D5"/>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BEB"/>
    <w:rsid w:val="009F3FC5"/>
    <w:rsid w:val="009F40CE"/>
    <w:rsid w:val="009F5F47"/>
    <w:rsid w:val="009F6377"/>
    <w:rsid w:val="009F6699"/>
    <w:rsid w:val="009F6D30"/>
    <w:rsid w:val="009F7044"/>
    <w:rsid w:val="009F7184"/>
    <w:rsid w:val="009F720D"/>
    <w:rsid w:val="009F7B90"/>
    <w:rsid w:val="00A00731"/>
    <w:rsid w:val="00A00800"/>
    <w:rsid w:val="00A00A1B"/>
    <w:rsid w:val="00A00ACD"/>
    <w:rsid w:val="00A011A4"/>
    <w:rsid w:val="00A01896"/>
    <w:rsid w:val="00A018E2"/>
    <w:rsid w:val="00A01BF5"/>
    <w:rsid w:val="00A020EB"/>
    <w:rsid w:val="00A0261B"/>
    <w:rsid w:val="00A02982"/>
    <w:rsid w:val="00A02B9C"/>
    <w:rsid w:val="00A043A8"/>
    <w:rsid w:val="00A04437"/>
    <w:rsid w:val="00A04607"/>
    <w:rsid w:val="00A049EF"/>
    <w:rsid w:val="00A05327"/>
    <w:rsid w:val="00A05404"/>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4FDA"/>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4D"/>
    <w:rsid w:val="00A25ACD"/>
    <w:rsid w:val="00A25D85"/>
    <w:rsid w:val="00A266A6"/>
    <w:rsid w:val="00A26CDB"/>
    <w:rsid w:val="00A26FED"/>
    <w:rsid w:val="00A2779D"/>
    <w:rsid w:val="00A27B6D"/>
    <w:rsid w:val="00A30D0F"/>
    <w:rsid w:val="00A30D59"/>
    <w:rsid w:val="00A310E7"/>
    <w:rsid w:val="00A3110A"/>
    <w:rsid w:val="00A311F9"/>
    <w:rsid w:val="00A31276"/>
    <w:rsid w:val="00A31B59"/>
    <w:rsid w:val="00A32253"/>
    <w:rsid w:val="00A32657"/>
    <w:rsid w:val="00A3269B"/>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195"/>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B65"/>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ED7"/>
    <w:rsid w:val="00A76086"/>
    <w:rsid w:val="00A76960"/>
    <w:rsid w:val="00A77953"/>
    <w:rsid w:val="00A804BB"/>
    <w:rsid w:val="00A807CC"/>
    <w:rsid w:val="00A80EE5"/>
    <w:rsid w:val="00A81CE8"/>
    <w:rsid w:val="00A81FC6"/>
    <w:rsid w:val="00A82BA2"/>
    <w:rsid w:val="00A831B0"/>
    <w:rsid w:val="00A83233"/>
    <w:rsid w:val="00A838D7"/>
    <w:rsid w:val="00A83A12"/>
    <w:rsid w:val="00A83AB7"/>
    <w:rsid w:val="00A847C9"/>
    <w:rsid w:val="00A84943"/>
    <w:rsid w:val="00A84BDD"/>
    <w:rsid w:val="00A84F3F"/>
    <w:rsid w:val="00A850BE"/>
    <w:rsid w:val="00A85209"/>
    <w:rsid w:val="00A85CD4"/>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5BC"/>
    <w:rsid w:val="00AA29C6"/>
    <w:rsid w:val="00AA2FF2"/>
    <w:rsid w:val="00AA36CA"/>
    <w:rsid w:val="00AA3B6C"/>
    <w:rsid w:val="00AA3E9A"/>
    <w:rsid w:val="00AA444C"/>
    <w:rsid w:val="00AA46AF"/>
    <w:rsid w:val="00AA4AA7"/>
    <w:rsid w:val="00AA4B5D"/>
    <w:rsid w:val="00AA504D"/>
    <w:rsid w:val="00AA5729"/>
    <w:rsid w:val="00AA5DBD"/>
    <w:rsid w:val="00AA6CA0"/>
    <w:rsid w:val="00AA737C"/>
    <w:rsid w:val="00AA746A"/>
    <w:rsid w:val="00AA7CB8"/>
    <w:rsid w:val="00AA7E88"/>
    <w:rsid w:val="00AB151E"/>
    <w:rsid w:val="00AB1566"/>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48"/>
    <w:rsid w:val="00AB5B73"/>
    <w:rsid w:val="00AB5C2F"/>
    <w:rsid w:val="00AB6141"/>
    <w:rsid w:val="00AB61F3"/>
    <w:rsid w:val="00AB6742"/>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0E7D"/>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6328"/>
    <w:rsid w:val="00AD703F"/>
    <w:rsid w:val="00AD7377"/>
    <w:rsid w:val="00AE0DB6"/>
    <w:rsid w:val="00AE0F21"/>
    <w:rsid w:val="00AE0F65"/>
    <w:rsid w:val="00AE1EED"/>
    <w:rsid w:val="00AE22A4"/>
    <w:rsid w:val="00AE22A5"/>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1FE0"/>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C1A"/>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202"/>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E4F"/>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05A"/>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477A2"/>
    <w:rsid w:val="00B50992"/>
    <w:rsid w:val="00B50DD7"/>
    <w:rsid w:val="00B51142"/>
    <w:rsid w:val="00B51173"/>
    <w:rsid w:val="00B51849"/>
    <w:rsid w:val="00B51D50"/>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3D0"/>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A6A"/>
    <w:rsid w:val="00B951CA"/>
    <w:rsid w:val="00B9579C"/>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4FB"/>
    <w:rsid w:val="00BA6C87"/>
    <w:rsid w:val="00BA710A"/>
    <w:rsid w:val="00BA7538"/>
    <w:rsid w:val="00BA7556"/>
    <w:rsid w:val="00BA766E"/>
    <w:rsid w:val="00BA7CBE"/>
    <w:rsid w:val="00BA7DEC"/>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1EE"/>
    <w:rsid w:val="00BC06B9"/>
    <w:rsid w:val="00BC0AD0"/>
    <w:rsid w:val="00BC0E35"/>
    <w:rsid w:val="00BC1BB0"/>
    <w:rsid w:val="00BC2409"/>
    <w:rsid w:val="00BC24C9"/>
    <w:rsid w:val="00BC28E0"/>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75F"/>
    <w:rsid w:val="00BE0A0D"/>
    <w:rsid w:val="00BE0B16"/>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4D3"/>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4EB"/>
    <w:rsid w:val="00C15838"/>
    <w:rsid w:val="00C15C5A"/>
    <w:rsid w:val="00C15F6A"/>
    <w:rsid w:val="00C1640F"/>
    <w:rsid w:val="00C16CC2"/>
    <w:rsid w:val="00C16D04"/>
    <w:rsid w:val="00C16E75"/>
    <w:rsid w:val="00C17185"/>
    <w:rsid w:val="00C177A7"/>
    <w:rsid w:val="00C17D64"/>
    <w:rsid w:val="00C20066"/>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BD8"/>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41C"/>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7E5"/>
    <w:rsid w:val="00C73809"/>
    <w:rsid w:val="00C738ED"/>
    <w:rsid w:val="00C744D8"/>
    <w:rsid w:val="00C74761"/>
    <w:rsid w:val="00C747C1"/>
    <w:rsid w:val="00C749AE"/>
    <w:rsid w:val="00C7506D"/>
    <w:rsid w:val="00C75AE6"/>
    <w:rsid w:val="00C75BBA"/>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26"/>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159"/>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78"/>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520"/>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743"/>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B74"/>
    <w:rsid w:val="00D018AA"/>
    <w:rsid w:val="00D01B14"/>
    <w:rsid w:val="00D01F21"/>
    <w:rsid w:val="00D02299"/>
    <w:rsid w:val="00D02370"/>
    <w:rsid w:val="00D02462"/>
    <w:rsid w:val="00D02476"/>
    <w:rsid w:val="00D026EF"/>
    <w:rsid w:val="00D03B9F"/>
    <w:rsid w:val="00D04354"/>
    <w:rsid w:val="00D04594"/>
    <w:rsid w:val="00D0474D"/>
    <w:rsid w:val="00D04EAC"/>
    <w:rsid w:val="00D05608"/>
    <w:rsid w:val="00D05E7C"/>
    <w:rsid w:val="00D05EDA"/>
    <w:rsid w:val="00D05F65"/>
    <w:rsid w:val="00D0609F"/>
    <w:rsid w:val="00D06560"/>
    <w:rsid w:val="00D06A47"/>
    <w:rsid w:val="00D06B6C"/>
    <w:rsid w:val="00D0703D"/>
    <w:rsid w:val="00D07794"/>
    <w:rsid w:val="00D07B04"/>
    <w:rsid w:val="00D07EF6"/>
    <w:rsid w:val="00D102D1"/>
    <w:rsid w:val="00D10312"/>
    <w:rsid w:val="00D107D3"/>
    <w:rsid w:val="00D10813"/>
    <w:rsid w:val="00D10AFB"/>
    <w:rsid w:val="00D10B6F"/>
    <w:rsid w:val="00D12C19"/>
    <w:rsid w:val="00D12F06"/>
    <w:rsid w:val="00D130E3"/>
    <w:rsid w:val="00D13588"/>
    <w:rsid w:val="00D13C85"/>
    <w:rsid w:val="00D13F3D"/>
    <w:rsid w:val="00D14FEE"/>
    <w:rsid w:val="00D164B2"/>
    <w:rsid w:val="00D165AE"/>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75D"/>
    <w:rsid w:val="00D27C49"/>
    <w:rsid w:val="00D27C95"/>
    <w:rsid w:val="00D3075D"/>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B54"/>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E15"/>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4CF"/>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4D8B"/>
    <w:rsid w:val="00D661FD"/>
    <w:rsid w:val="00D665D3"/>
    <w:rsid w:val="00D66CBB"/>
    <w:rsid w:val="00D67550"/>
    <w:rsid w:val="00D7139E"/>
    <w:rsid w:val="00D71CCA"/>
    <w:rsid w:val="00D7232B"/>
    <w:rsid w:val="00D724D3"/>
    <w:rsid w:val="00D731E5"/>
    <w:rsid w:val="00D73B5B"/>
    <w:rsid w:val="00D73E68"/>
    <w:rsid w:val="00D74EA5"/>
    <w:rsid w:val="00D74F17"/>
    <w:rsid w:val="00D7525B"/>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51F"/>
    <w:rsid w:val="00D844B7"/>
    <w:rsid w:val="00D845E7"/>
    <w:rsid w:val="00D849B9"/>
    <w:rsid w:val="00D84A1B"/>
    <w:rsid w:val="00D84B95"/>
    <w:rsid w:val="00D84CF4"/>
    <w:rsid w:val="00D8566E"/>
    <w:rsid w:val="00D860B8"/>
    <w:rsid w:val="00D864F0"/>
    <w:rsid w:val="00D867AB"/>
    <w:rsid w:val="00D86B96"/>
    <w:rsid w:val="00D86F5F"/>
    <w:rsid w:val="00D87212"/>
    <w:rsid w:val="00D8731E"/>
    <w:rsid w:val="00D878B3"/>
    <w:rsid w:val="00D900E5"/>
    <w:rsid w:val="00D909B2"/>
    <w:rsid w:val="00D90C29"/>
    <w:rsid w:val="00D90DB1"/>
    <w:rsid w:val="00D914E7"/>
    <w:rsid w:val="00D91F24"/>
    <w:rsid w:val="00D92340"/>
    <w:rsid w:val="00D9257D"/>
    <w:rsid w:val="00D93626"/>
    <w:rsid w:val="00D93A24"/>
    <w:rsid w:val="00D943FE"/>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DB"/>
    <w:rsid w:val="00DA52EE"/>
    <w:rsid w:val="00DA5E70"/>
    <w:rsid w:val="00DA6252"/>
    <w:rsid w:val="00DA6F41"/>
    <w:rsid w:val="00DA72A8"/>
    <w:rsid w:val="00DA7763"/>
    <w:rsid w:val="00DB0065"/>
    <w:rsid w:val="00DB04D7"/>
    <w:rsid w:val="00DB09D3"/>
    <w:rsid w:val="00DB158F"/>
    <w:rsid w:val="00DB177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5CD2"/>
    <w:rsid w:val="00DB6067"/>
    <w:rsid w:val="00DB61B4"/>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6B7"/>
    <w:rsid w:val="00DC7CE8"/>
    <w:rsid w:val="00DD0748"/>
    <w:rsid w:val="00DD0DCD"/>
    <w:rsid w:val="00DD1545"/>
    <w:rsid w:val="00DD1848"/>
    <w:rsid w:val="00DD1AFE"/>
    <w:rsid w:val="00DD2727"/>
    <w:rsid w:val="00DD27BB"/>
    <w:rsid w:val="00DD2BE3"/>
    <w:rsid w:val="00DD2EF2"/>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34A"/>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DFE"/>
    <w:rsid w:val="00E25EC8"/>
    <w:rsid w:val="00E269AA"/>
    <w:rsid w:val="00E26C16"/>
    <w:rsid w:val="00E2724B"/>
    <w:rsid w:val="00E27D48"/>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8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BB9"/>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35C"/>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FB4"/>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0F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1E"/>
    <w:rsid w:val="00ED6E77"/>
    <w:rsid w:val="00ED7170"/>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671"/>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6A9"/>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01C"/>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4D3"/>
    <w:rsid w:val="00F30767"/>
    <w:rsid w:val="00F30786"/>
    <w:rsid w:val="00F30CB8"/>
    <w:rsid w:val="00F30F7D"/>
    <w:rsid w:val="00F30F8D"/>
    <w:rsid w:val="00F31565"/>
    <w:rsid w:val="00F315FD"/>
    <w:rsid w:val="00F317EE"/>
    <w:rsid w:val="00F3262E"/>
    <w:rsid w:val="00F326D2"/>
    <w:rsid w:val="00F3275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4ED"/>
    <w:rsid w:val="00F73A85"/>
    <w:rsid w:val="00F73AA5"/>
    <w:rsid w:val="00F73B11"/>
    <w:rsid w:val="00F73B82"/>
    <w:rsid w:val="00F73F23"/>
    <w:rsid w:val="00F74830"/>
    <w:rsid w:val="00F74C09"/>
    <w:rsid w:val="00F75642"/>
    <w:rsid w:val="00F7564B"/>
    <w:rsid w:val="00F75820"/>
    <w:rsid w:val="00F7593D"/>
    <w:rsid w:val="00F75977"/>
    <w:rsid w:val="00F75B1A"/>
    <w:rsid w:val="00F75C2B"/>
    <w:rsid w:val="00F75C7F"/>
    <w:rsid w:val="00F75EB2"/>
    <w:rsid w:val="00F75FB8"/>
    <w:rsid w:val="00F7601B"/>
    <w:rsid w:val="00F765FF"/>
    <w:rsid w:val="00F76B05"/>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4950"/>
    <w:rsid w:val="00F957DA"/>
    <w:rsid w:val="00F96A8B"/>
    <w:rsid w:val="00F96F59"/>
    <w:rsid w:val="00F970BF"/>
    <w:rsid w:val="00F9746A"/>
    <w:rsid w:val="00FA0114"/>
    <w:rsid w:val="00FA0688"/>
    <w:rsid w:val="00FA070E"/>
    <w:rsid w:val="00FA09AD"/>
    <w:rsid w:val="00FA0C63"/>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3C78"/>
    <w:rsid w:val="00FB43F9"/>
    <w:rsid w:val="00FB46D3"/>
    <w:rsid w:val="00FB48C8"/>
    <w:rsid w:val="00FB4911"/>
    <w:rsid w:val="00FB5190"/>
    <w:rsid w:val="00FB5A89"/>
    <w:rsid w:val="00FB5AE5"/>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2ED6"/>
    <w:rsid w:val="00FC3771"/>
    <w:rsid w:val="00FC3AD6"/>
    <w:rsid w:val="00FC3C07"/>
    <w:rsid w:val="00FC3DEA"/>
    <w:rsid w:val="00FC4405"/>
    <w:rsid w:val="00FC445B"/>
    <w:rsid w:val="00FC4604"/>
    <w:rsid w:val="00FC46B8"/>
    <w:rsid w:val="00FC48F6"/>
    <w:rsid w:val="00FC4DBC"/>
    <w:rsid w:val="00FC5189"/>
    <w:rsid w:val="00FC51AB"/>
    <w:rsid w:val="00FC5212"/>
    <w:rsid w:val="00FC5489"/>
    <w:rsid w:val="00FC57D0"/>
    <w:rsid w:val="00FC5A31"/>
    <w:rsid w:val="00FC680F"/>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B22"/>
    <w:rsid w:val="00FD4C16"/>
    <w:rsid w:val="00FD57BC"/>
    <w:rsid w:val="00FD59FB"/>
    <w:rsid w:val="00FD5BD4"/>
    <w:rsid w:val="00FD62D4"/>
    <w:rsid w:val="00FD6BF4"/>
    <w:rsid w:val="00FD79AB"/>
    <w:rsid w:val="00FD7F8D"/>
    <w:rsid w:val="00FE133B"/>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6F8A"/>
    <w:rsid w:val="00FE743F"/>
    <w:rsid w:val="00FE7A11"/>
    <w:rsid w:val="00FF07CA"/>
    <w:rsid w:val="00FF0888"/>
    <w:rsid w:val="00FF0D7F"/>
    <w:rsid w:val="00FF185C"/>
    <w:rsid w:val="00FF2056"/>
    <w:rsid w:val="00FF20F9"/>
    <w:rsid w:val="00FF2831"/>
    <w:rsid w:val="00FF29A6"/>
    <w:rsid w:val="00FF2C52"/>
    <w:rsid w:val="00FF3533"/>
    <w:rsid w:val="00FF3A35"/>
    <w:rsid w:val="00FF3DF1"/>
    <w:rsid w:val="00FF443B"/>
    <w:rsid w:val="00FF4D4C"/>
    <w:rsid w:val="00FF4FEA"/>
    <w:rsid w:val="00FF5AD8"/>
    <w:rsid w:val="00FF5D8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43198"/>
  <w15:chartTrackingRefBased/>
  <w15:docId w15:val="{D418ABD7-0167-4E7C-9B99-81B1A60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Bullet" w:qFormat="1"/>
    <w:lsdException w:name="List Number" w:qFormat="1"/>
    <w:lsdException w:name="Title" w:qFormat="1"/>
    <w:lsdException w:name="Default Paragraph Font" w:uiPriority="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6B473B"/>
    <w:pPr>
      <w:spacing w:after="160" w:line="259" w:lineRule="auto"/>
      <w:ind w:left="720"/>
      <w:contextualSpacing/>
    </w:pPr>
    <w:rPr>
      <w:rFonts w:asciiTheme="minorHAnsi" w:eastAsiaTheme="minorHAnsi" w:hAnsiTheme="minorHAnsi" w:cstheme="minorBidi"/>
      <w:sz w:val="22"/>
      <w:lang w:val="en-US" w:eastAsia="en-US"/>
    </w:rPr>
  </w:style>
  <w:style w:type="character" w:customStyle="1" w:styleId="FootnoteTextChar">
    <w:name w:val="Footnote Text Char"/>
    <w:basedOn w:val="DefaultParagraphFont"/>
    <w:link w:val="FootnoteText"/>
    <w:uiPriority w:val="99"/>
    <w:rsid w:val="00CA1159"/>
    <w:rPr>
      <w:rFonts w:ascii="Arial" w:hAnsi="Arial"/>
      <w:sz w:val="18"/>
      <w:lang w:eastAsia="en-GB"/>
    </w:rPr>
  </w:style>
  <w:style w:type="character" w:styleId="UnresolvedMention">
    <w:name w:val="Unresolved Mention"/>
    <w:basedOn w:val="DefaultParagraphFont"/>
    <w:uiPriority w:val="99"/>
    <w:semiHidden/>
    <w:unhideWhenUsed/>
    <w:rsid w:val="005C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mtedd.act.gov.au/open_government/inform/act_government_media_releases/rachel-stephen-smith-mla-media-releases/2018/new-partnership-with-gugan-gulwan-and-ozchild-to-benefit-at-risk-aboriginal-and-torres-strait-islander-families" TargetMode="External"/><Relationship Id="rId2" Type="http://schemas.openxmlformats.org/officeDocument/2006/relationships/customXml" Target="../customXml/item2.xml"/><Relationship Id="rId16" Type="http://schemas.openxmlformats.org/officeDocument/2006/relationships/hyperlink" Target="https://www.strongfamilies.act.gov.au/our-booris,-our-w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ustice.act.gov.au/standard-page/criminal-justice-statistical-profiles" TargetMode="External"/><Relationship Id="rId3" Type="http://schemas.openxmlformats.org/officeDocument/2006/relationships/hyperlink" Target="https://tbinternet.ohchr.org/_layouts/15/treatybodyexternal/Download.aspx?symbolno=CRC/C/GC/24&amp;Lang=en" TargetMode="External"/><Relationship Id="rId7" Type="http://schemas.openxmlformats.org/officeDocument/2006/relationships/hyperlink" Target="https://www.humanrights.gov.au/our-work/childrens-rights/publications/childrens-rights-report-2019" TargetMode="External"/><Relationship Id="rId2" Type="http://schemas.openxmlformats.org/officeDocument/2006/relationships/hyperlink" Target="https://www.humanrights.gov.au/our-work/childrens-rights/publications/childrens-rights-report-2019" TargetMode="External"/><Relationship Id="rId1" Type="http://schemas.openxmlformats.org/officeDocument/2006/relationships/hyperlink" Target="https://tbinternet.ohchr.org/_layouts/15/treatybodyexternal/Download.aspx?symbolno=CRC/C/GC/24&amp;Lang=en" TargetMode="External"/><Relationship Id="rId6" Type="http://schemas.openxmlformats.org/officeDocument/2006/relationships/hyperlink" Target="http://jss.org.au/wp-content/uploads/2016/01/Letter_to_AGs_Age_of_Criminal_responsibility.pdf" TargetMode="External"/><Relationship Id="rId11" Type="http://schemas.openxmlformats.org/officeDocument/2006/relationships/hyperlink" Target="https://www.aedc.gov.au/data/data-explorer" TargetMode="External"/><Relationship Id="rId5" Type="http://schemas.openxmlformats.org/officeDocument/2006/relationships/hyperlink" Target="https://www.aihw.gov.au/publication-detail/?id=60129543944" TargetMode="External"/><Relationship Id="rId10" Type="http://schemas.openxmlformats.org/officeDocument/2006/relationships/hyperlink" Target="https://aifs.gov.au/cfca/publications/intersection-between-child-protection-and-youth-justice-systems/overlap-between-child" TargetMode="External"/><Relationship Id="rId4" Type="http://schemas.openxmlformats.org/officeDocument/2006/relationships/hyperlink" Target="https://www.lawcouncil.asn.au/docs/7b6b5121-5220-ea11-9403-005056be13b5/AMA%20and%20LCA%20Policy%20Statement%20on%20Minimum%20Age%20of%20Criminal%20Responsibility.pdf" TargetMode="External"/><Relationship Id="rId9" Type="http://schemas.openxmlformats.org/officeDocument/2006/relationships/hyperlink" Target="https://www2.deloitte.com/content/dam/Deloitte/au/Documents/Economics/deloitte-au-economics-nt-youth-justice-models-241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4DFC22B7-250C-44DE-AF10-0ADFC904FF8B}">
  <ds:schemaRef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2124E1A-91F8-4F0A-9E3D-6B423F11D5AD}"/>
</file>

<file path=customXml/itemProps4.xml><?xml version="1.0" encoding="utf-8"?>
<ds:datastoreItem xmlns:ds="http://schemas.openxmlformats.org/officeDocument/2006/customXml" ds:itemID="{E9CD244C-72F0-4118-8A13-DC8239EB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Template>
  <TotalTime>1349</TotalTime>
  <Pages>10</Pages>
  <Words>2180</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15693</CharactersWithSpaces>
  <SharedDoc>false</SharedDoc>
  <HLinks>
    <vt:vector size="162" baseType="variant">
      <vt:variant>
        <vt:i4>1245237</vt:i4>
      </vt:variant>
      <vt:variant>
        <vt:i4>92</vt:i4>
      </vt:variant>
      <vt:variant>
        <vt:i4>0</vt:i4>
      </vt:variant>
      <vt:variant>
        <vt:i4>5</vt:i4>
      </vt:variant>
      <vt:variant>
        <vt:lpwstr/>
      </vt:variant>
      <vt:variant>
        <vt:lpwstr>_Toc33710711</vt:lpwstr>
      </vt:variant>
      <vt:variant>
        <vt:i4>1179701</vt:i4>
      </vt:variant>
      <vt:variant>
        <vt:i4>86</vt:i4>
      </vt:variant>
      <vt:variant>
        <vt:i4>0</vt:i4>
      </vt:variant>
      <vt:variant>
        <vt:i4>5</vt:i4>
      </vt:variant>
      <vt:variant>
        <vt:lpwstr/>
      </vt:variant>
      <vt:variant>
        <vt:lpwstr>_Toc33710710</vt:lpwstr>
      </vt:variant>
      <vt:variant>
        <vt:i4>1769524</vt:i4>
      </vt:variant>
      <vt:variant>
        <vt:i4>80</vt:i4>
      </vt:variant>
      <vt:variant>
        <vt:i4>0</vt:i4>
      </vt:variant>
      <vt:variant>
        <vt:i4>5</vt:i4>
      </vt:variant>
      <vt:variant>
        <vt:lpwstr/>
      </vt:variant>
      <vt:variant>
        <vt:lpwstr>_Toc33710709</vt:lpwstr>
      </vt:variant>
      <vt:variant>
        <vt:i4>1703988</vt:i4>
      </vt:variant>
      <vt:variant>
        <vt:i4>74</vt:i4>
      </vt:variant>
      <vt:variant>
        <vt:i4>0</vt:i4>
      </vt:variant>
      <vt:variant>
        <vt:i4>5</vt:i4>
      </vt:variant>
      <vt:variant>
        <vt:lpwstr/>
      </vt:variant>
      <vt:variant>
        <vt:lpwstr>_Toc33710708</vt:lpwstr>
      </vt:variant>
      <vt:variant>
        <vt:i4>1376308</vt:i4>
      </vt:variant>
      <vt:variant>
        <vt:i4>68</vt:i4>
      </vt:variant>
      <vt:variant>
        <vt:i4>0</vt:i4>
      </vt:variant>
      <vt:variant>
        <vt:i4>5</vt:i4>
      </vt:variant>
      <vt:variant>
        <vt:lpwstr/>
      </vt:variant>
      <vt:variant>
        <vt:lpwstr>_Toc33710707</vt:lpwstr>
      </vt:variant>
      <vt:variant>
        <vt:i4>1310772</vt:i4>
      </vt:variant>
      <vt:variant>
        <vt:i4>62</vt:i4>
      </vt:variant>
      <vt:variant>
        <vt:i4>0</vt:i4>
      </vt:variant>
      <vt:variant>
        <vt:i4>5</vt:i4>
      </vt:variant>
      <vt:variant>
        <vt:lpwstr/>
      </vt:variant>
      <vt:variant>
        <vt:lpwstr>_Toc33710706</vt:lpwstr>
      </vt:variant>
      <vt:variant>
        <vt:i4>1507380</vt:i4>
      </vt:variant>
      <vt:variant>
        <vt:i4>56</vt:i4>
      </vt:variant>
      <vt:variant>
        <vt:i4>0</vt:i4>
      </vt:variant>
      <vt:variant>
        <vt:i4>5</vt:i4>
      </vt:variant>
      <vt:variant>
        <vt:lpwstr/>
      </vt:variant>
      <vt:variant>
        <vt:lpwstr>_Toc33710705</vt:lpwstr>
      </vt:variant>
      <vt:variant>
        <vt:i4>1441844</vt:i4>
      </vt:variant>
      <vt:variant>
        <vt:i4>50</vt:i4>
      </vt:variant>
      <vt:variant>
        <vt:i4>0</vt:i4>
      </vt:variant>
      <vt:variant>
        <vt:i4>5</vt:i4>
      </vt:variant>
      <vt:variant>
        <vt:lpwstr/>
      </vt:variant>
      <vt:variant>
        <vt:lpwstr>_Toc33710704</vt:lpwstr>
      </vt:variant>
      <vt:variant>
        <vt:i4>1114164</vt:i4>
      </vt:variant>
      <vt:variant>
        <vt:i4>44</vt:i4>
      </vt:variant>
      <vt:variant>
        <vt:i4>0</vt:i4>
      </vt:variant>
      <vt:variant>
        <vt:i4>5</vt:i4>
      </vt:variant>
      <vt:variant>
        <vt:lpwstr/>
      </vt:variant>
      <vt:variant>
        <vt:lpwstr>_Toc33710703</vt:lpwstr>
      </vt:variant>
      <vt:variant>
        <vt:i4>1048628</vt:i4>
      </vt:variant>
      <vt:variant>
        <vt:i4>38</vt:i4>
      </vt:variant>
      <vt:variant>
        <vt:i4>0</vt:i4>
      </vt:variant>
      <vt:variant>
        <vt:i4>5</vt:i4>
      </vt:variant>
      <vt:variant>
        <vt:lpwstr/>
      </vt:variant>
      <vt:variant>
        <vt:lpwstr>_Toc33710702</vt:lpwstr>
      </vt:variant>
      <vt:variant>
        <vt:i4>1245236</vt:i4>
      </vt:variant>
      <vt:variant>
        <vt:i4>32</vt:i4>
      </vt:variant>
      <vt:variant>
        <vt:i4>0</vt:i4>
      </vt:variant>
      <vt:variant>
        <vt:i4>5</vt:i4>
      </vt:variant>
      <vt:variant>
        <vt:lpwstr/>
      </vt:variant>
      <vt:variant>
        <vt:lpwstr>_Toc33710701</vt:lpwstr>
      </vt:variant>
      <vt:variant>
        <vt:i4>1179700</vt:i4>
      </vt:variant>
      <vt:variant>
        <vt:i4>26</vt:i4>
      </vt:variant>
      <vt:variant>
        <vt:i4>0</vt:i4>
      </vt:variant>
      <vt:variant>
        <vt:i4>5</vt:i4>
      </vt:variant>
      <vt:variant>
        <vt:lpwstr/>
      </vt:variant>
      <vt:variant>
        <vt:lpwstr>_Toc33710700</vt:lpwstr>
      </vt:variant>
      <vt:variant>
        <vt:i4>1703997</vt:i4>
      </vt:variant>
      <vt:variant>
        <vt:i4>20</vt:i4>
      </vt:variant>
      <vt:variant>
        <vt:i4>0</vt:i4>
      </vt:variant>
      <vt:variant>
        <vt:i4>5</vt:i4>
      </vt:variant>
      <vt:variant>
        <vt:lpwstr/>
      </vt:variant>
      <vt:variant>
        <vt:lpwstr>_Toc33710699</vt:lpwstr>
      </vt:variant>
      <vt:variant>
        <vt:i4>1769533</vt:i4>
      </vt:variant>
      <vt:variant>
        <vt:i4>14</vt:i4>
      </vt:variant>
      <vt:variant>
        <vt:i4>0</vt:i4>
      </vt:variant>
      <vt:variant>
        <vt:i4>5</vt:i4>
      </vt:variant>
      <vt:variant>
        <vt:lpwstr/>
      </vt:variant>
      <vt:variant>
        <vt:lpwstr>_Toc33710698</vt:lpwstr>
      </vt:variant>
      <vt:variant>
        <vt:i4>1310781</vt:i4>
      </vt:variant>
      <vt:variant>
        <vt:i4>8</vt:i4>
      </vt:variant>
      <vt:variant>
        <vt:i4>0</vt:i4>
      </vt:variant>
      <vt:variant>
        <vt:i4>5</vt:i4>
      </vt:variant>
      <vt:variant>
        <vt:lpwstr/>
      </vt:variant>
      <vt:variant>
        <vt:lpwstr>_Toc33710697</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3670143</vt:i4>
      </vt:variant>
      <vt:variant>
        <vt:i4>33</vt:i4>
      </vt:variant>
      <vt:variant>
        <vt:i4>0</vt:i4>
      </vt:variant>
      <vt:variant>
        <vt:i4>5</vt:i4>
      </vt:variant>
      <vt:variant>
        <vt:lpwstr>https://www.aedc.gov.au/data/data-explorer</vt:lpwstr>
      </vt:variant>
      <vt:variant>
        <vt:lpwstr/>
      </vt:variant>
      <vt:variant>
        <vt:i4>2162734</vt:i4>
      </vt:variant>
      <vt:variant>
        <vt:i4>27</vt:i4>
      </vt:variant>
      <vt:variant>
        <vt:i4>0</vt:i4>
      </vt:variant>
      <vt:variant>
        <vt:i4>5</vt:i4>
      </vt:variant>
      <vt:variant>
        <vt:lpwstr>https://aifs.gov.au/cfca/publications/intersection-between-child-protection-and-youth-justice-systems/overlap-between-child</vt:lpwstr>
      </vt:variant>
      <vt:variant>
        <vt:lpwstr/>
      </vt:variant>
      <vt:variant>
        <vt:i4>7798816</vt:i4>
      </vt:variant>
      <vt:variant>
        <vt:i4>24</vt:i4>
      </vt:variant>
      <vt:variant>
        <vt:i4>0</vt:i4>
      </vt:variant>
      <vt:variant>
        <vt:i4>5</vt:i4>
      </vt:variant>
      <vt:variant>
        <vt:lpwstr>https://www2.deloitte.com/content/dam/Deloitte/au/Documents/Economics/deloitte-au-economics-nt-youth-justice-models-241017.pdf</vt:lpwstr>
      </vt:variant>
      <vt:variant>
        <vt:lpwstr/>
      </vt:variant>
      <vt:variant>
        <vt:i4>7733303</vt:i4>
      </vt:variant>
      <vt:variant>
        <vt:i4>21</vt:i4>
      </vt:variant>
      <vt:variant>
        <vt:i4>0</vt:i4>
      </vt:variant>
      <vt:variant>
        <vt:i4>5</vt:i4>
      </vt:variant>
      <vt:variant>
        <vt:lpwstr>https://www.humanrights.gov.au/our-work/childrens-rights/publications/childrens-rights-report-2019</vt:lpwstr>
      </vt:variant>
      <vt:variant>
        <vt:lpwstr/>
      </vt:variant>
      <vt:variant>
        <vt:i4>5570648</vt:i4>
      </vt:variant>
      <vt:variant>
        <vt:i4>18</vt:i4>
      </vt:variant>
      <vt:variant>
        <vt:i4>0</vt:i4>
      </vt:variant>
      <vt:variant>
        <vt:i4>5</vt:i4>
      </vt:variant>
      <vt:variant>
        <vt:lpwstr>http://jss.org.au/wp-content/uploads/2016/01/Letter_to_AGs_Age_of_Criminal_responsibility.pdf</vt:lpwstr>
      </vt:variant>
      <vt:variant>
        <vt:lpwstr/>
      </vt:variant>
      <vt:variant>
        <vt:i4>7405692</vt:i4>
      </vt:variant>
      <vt:variant>
        <vt:i4>15</vt:i4>
      </vt:variant>
      <vt:variant>
        <vt:i4>0</vt:i4>
      </vt:variant>
      <vt:variant>
        <vt:i4>5</vt:i4>
      </vt:variant>
      <vt:variant>
        <vt:lpwstr>https://www.aihw.gov.au/publication-detail/?id=60129543944</vt:lpwstr>
      </vt:variant>
      <vt:variant>
        <vt:lpwstr/>
      </vt:variant>
      <vt:variant>
        <vt:i4>2687092</vt:i4>
      </vt:variant>
      <vt:variant>
        <vt:i4>9</vt:i4>
      </vt:variant>
      <vt:variant>
        <vt:i4>0</vt:i4>
      </vt:variant>
      <vt:variant>
        <vt:i4>5</vt:i4>
      </vt:variant>
      <vt:variant>
        <vt:lpwstr>https://www.lawcouncil.asn.au/docs/7b6b5121-5220-ea11-9403-005056be13b5/AMA and LCA Policy Statement on Minimum Age of Criminal Responsibility.pdf</vt:lpwstr>
      </vt:variant>
      <vt:variant>
        <vt:lpwstr/>
      </vt:variant>
      <vt:variant>
        <vt:i4>1507442</vt:i4>
      </vt:variant>
      <vt:variant>
        <vt:i4>6</vt:i4>
      </vt:variant>
      <vt:variant>
        <vt:i4>0</vt:i4>
      </vt:variant>
      <vt:variant>
        <vt:i4>5</vt:i4>
      </vt:variant>
      <vt:variant>
        <vt:lpwstr>https://tbinternet.ohchr.org/_layouts/15/treatybodyexternal/Download.aspx?symbolno=CRC/C/GC/24&amp;Lang=en</vt:lpwstr>
      </vt:variant>
      <vt:variant>
        <vt:lpwstr/>
      </vt:variant>
      <vt:variant>
        <vt:i4>7733303</vt:i4>
      </vt:variant>
      <vt:variant>
        <vt:i4>3</vt:i4>
      </vt:variant>
      <vt:variant>
        <vt:i4>0</vt:i4>
      </vt:variant>
      <vt:variant>
        <vt:i4>5</vt:i4>
      </vt:variant>
      <vt:variant>
        <vt:lpwstr>https://www.humanrights.gov.au/our-work/childrens-rights/publications/childrens-rights-report-2019</vt:lpwstr>
      </vt:variant>
      <vt:variant>
        <vt:lpwstr/>
      </vt:variant>
      <vt:variant>
        <vt:i4>1507442</vt:i4>
      </vt:variant>
      <vt:variant>
        <vt:i4>0</vt:i4>
      </vt:variant>
      <vt:variant>
        <vt:i4>0</vt:i4>
      </vt:variant>
      <vt:variant>
        <vt:i4>5</vt:i4>
      </vt:variant>
      <vt:variant>
        <vt:lpwstr>https://tbinternet.ohchr.org/_layouts/15/treatybodyexternal/Download.aspx?symbolno=CRC/C/GC/24&amp;Lang=en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elizam</dc:creator>
  <cp:keywords/>
  <dc:description/>
  <cp:lastModifiedBy>Eliza Moloney</cp:lastModifiedBy>
  <cp:revision>276</cp:revision>
  <cp:lastPrinted>2020-02-28T05:06:00Z</cp:lastPrinted>
  <dcterms:created xsi:type="dcterms:W3CDTF">2018-11-07T02:38:00Z</dcterms:created>
  <dcterms:modified xsi:type="dcterms:W3CDTF">2020-02-28T05:06:00Z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