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9E09DA" w:rsidP="00E75407">
      <w:pPr>
        <w:pStyle w:val="Titleofguide"/>
      </w:pPr>
      <w:r w:rsidRPr="009E09DA">
        <w:t>Photographing, filming and sound recording Aboriginal and/or Torres Strait Islander peoples, places, objects, sites and cultural activities</w:t>
      </w:r>
    </w:p>
    <w:p w:rsidR="00AE2CAD" w:rsidRDefault="00AE2CAD" w:rsidP="00AE2CAD">
      <w:pPr>
        <w:pStyle w:val="Lastupdated"/>
      </w:pPr>
      <w:r>
        <w:t xml:space="preserve">Last updated </w:t>
      </w:r>
      <w:r w:rsidR="009E09DA">
        <w:t>December 2016</w:t>
      </w:r>
    </w:p>
    <w:p w:rsidR="009E09DA" w:rsidRDefault="009E09DA" w:rsidP="009E09DA">
      <w:pPr>
        <w:pStyle w:val="BodyText"/>
      </w:pPr>
      <w:r>
        <w:t>To promote mutual respect and understanding, it is advisable to request permission before taking a photograph, film or sound recording.</w:t>
      </w:r>
    </w:p>
    <w:p w:rsidR="008F55E5" w:rsidRDefault="009E09DA" w:rsidP="009E09DA">
      <w:pPr>
        <w:pStyle w:val="BodyText"/>
      </w:pPr>
      <w:r>
        <w:t>It is important to acknowledge that photographing, filming and sound recording Aboriginal and/or Torres Strait Islander peoples, places, objects, sites and cultural activities do occur without consent. In some instances privacy, identity and cultural heritage are exploited, misrepresented and depicted in negative ways. In other instances cultural protocols and restrictions are breached, either accidentally or negligently.</w:t>
      </w:r>
    </w:p>
    <w:p w:rsidR="009E09DA" w:rsidRDefault="009E09DA" w:rsidP="009E09DA">
      <w:pPr>
        <w:pStyle w:val="Heading1"/>
      </w:pPr>
      <w:r>
        <w:t>Aboriginal and/or Torres Strait Islander peoples</w:t>
      </w:r>
    </w:p>
    <w:p w:rsidR="009E09DA" w:rsidRDefault="009E09DA" w:rsidP="009E09DA">
      <w:pPr>
        <w:pStyle w:val="BodyText"/>
      </w:pPr>
      <w:r>
        <w:t>Before taking a photograph, film or sound recording of a person(s), it is advisable to:</w:t>
      </w:r>
    </w:p>
    <w:p w:rsidR="009E09DA" w:rsidRDefault="009E09DA" w:rsidP="009E09DA">
      <w:pPr>
        <w:pStyle w:val="ListNumber"/>
      </w:pPr>
      <w:r>
        <w:t>Introduce yourself to the person(s)</w:t>
      </w:r>
    </w:p>
    <w:p w:rsidR="009E09DA" w:rsidRDefault="009E09DA" w:rsidP="009E09DA">
      <w:pPr>
        <w:pStyle w:val="ListNumber"/>
      </w:pPr>
      <w:r>
        <w:t>Inform the person(s) why you would like to take the photograph, film or sound recording</w:t>
      </w:r>
    </w:p>
    <w:p w:rsidR="009E09DA" w:rsidRDefault="009E09DA" w:rsidP="009E09DA">
      <w:pPr>
        <w:pStyle w:val="ListNumber"/>
      </w:pPr>
      <w:r>
        <w:t>Request their permission to do so</w:t>
      </w:r>
    </w:p>
    <w:p w:rsidR="009E09DA" w:rsidRDefault="009E09DA" w:rsidP="009E09DA">
      <w:pPr>
        <w:pStyle w:val="ListNumber"/>
      </w:pPr>
      <w:r>
        <w:t>Respect their decision to refuse permission.</w:t>
      </w:r>
    </w:p>
    <w:p w:rsidR="009E09DA" w:rsidRDefault="009E09DA" w:rsidP="009E09DA">
      <w:pPr>
        <w:pStyle w:val="BodyText"/>
      </w:pPr>
      <w:r>
        <w:lastRenderedPageBreak/>
        <w:t>Note: If you intend to use your photograph, film</w:t>
      </w:r>
      <w:bookmarkStart w:id="0" w:name="_GoBack"/>
      <w:bookmarkEnd w:id="0"/>
      <w:r>
        <w:t xml:space="preserve"> or sound recording in your communications, you will need to seek written or verbal permission from the person(s). For further information refer to the </w:t>
      </w:r>
      <w:proofErr w:type="spellStart"/>
      <w:r>
        <w:t>Gulanga</w:t>
      </w:r>
      <w:proofErr w:type="spellEnd"/>
      <w:r>
        <w:t xml:space="preserve"> Good Practice Guide: </w:t>
      </w:r>
      <w:r w:rsidRPr="006E1C01">
        <w:rPr>
          <w:rStyle w:val="Italic"/>
        </w:rPr>
        <w:t xml:space="preserve">Reproducing </w:t>
      </w:r>
      <w:r w:rsidR="006E1C01" w:rsidRPr="006E1C01">
        <w:rPr>
          <w:rStyle w:val="Italic"/>
        </w:rPr>
        <w:t>p</w:t>
      </w:r>
      <w:r w:rsidRPr="006E1C01">
        <w:rPr>
          <w:rStyle w:val="Italic"/>
        </w:rPr>
        <w:t xml:space="preserve">hotographs, </w:t>
      </w:r>
      <w:r w:rsidR="006E1C01" w:rsidRPr="006E1C01">
        <w:rPr>
          <w:rStyle w:val="Italic"/>
        </w:rPr>
        <w:t>i</w:t>
      </w:r>
      <w:r w:rsidRPr="006E1C01">
        <w:rPr>
          <w:rStyle w:val="Italic"/>
        </w:rPr>
        <w:t xml:space="preserve">mages, </w:t>
      </w:r>
      <w:r w:rsidR="006E1C01" w:rsidRPr="006E1C01">
        <w:rPr>
          <w:rStyle w:val="Italic"/>
        </w:rPr>
        <w:t>f</w:t>
      </w:r>
      <w:r w:rsidRPr="006E1C01">
        <w:rPr>
          <w:rStyle w:val="Italic"/>
        </w:rPr>
        <w:t xml:space="preserve">ilm and </w:t>
      </w:r>
      <w:r w:rsidR="006E1C01" w:rsidRPr="006E1C01">
        <w:rPr>
          <w:rStyle w:val="Italic"/>
        </w:rPr>
        <w:t>s</w:t>
      </w:r>
      <w:r w:rsidRPr="006E1C01">
        <w:rPr>
          <w:rStyle w:val="Italic"/>
        </w:rPr>
        <w:t xml:space="preserve">ound </w:t>
      </w:r>
      <w:r w:rsidR="006E1C01" w:rsidRPr="006E1C01">
        <w:rPr>
          <w:rStyle w:val="Italic"/>
        </w:rPr>
        <w:t>r</w:t>
      </w:r>
      <w:r w:rsidRPr="006E1C01">
        <w:rPr>
          <w:rStyle w:val="Italic"/>
        </w:rPr>
        <w:t xml:space="preserve">ecording of Aboriginal and/or Torres Strait Islander </w:t>
      </w:r>
      <w:r w:rsidR="006E1C01" w:rsidRPr="006E1C01">
        <w:rPr>
          <w:rStyle w:val="Italic"/>
        </w:rPr>
        <w:t>p</w:t>
      </w:r>
      <w:r w:rsidRPr="006E1C01">
        <w:rPr>
          <w:rStyle w:val="Italic"/>
        </w:rPr>
        <w:t xml:space="preserve">eoples, </w:t>
      </w:r>
      <w:r w:rsidR="006E1C01" w:rsidRPr="006E1C01">
        <w:rPr>
          <w:rStyle w:val="Italic"/>
        </w:rPr>
        <w:t>p</w:t>
      </w:r>
      <w:r w:rsidRPr="006E1C01">
        <w:rPr>
          <w:rStyle w:val="Italic"/>
        </w:rPr>
        <w:t xml:space="preserve">laces, </w:t>
      </w:r>
      <w:r w:rsidR="006E1C01" w:rsidRPr="006E1C01">
        <w:rPr>
          <w:rStyle w:val="Italic"/>
        </w:rPr>
        <w:t>o</w:t>
      </w:r>
      <w:r w:rsidRPr="006E1C01">
        <w:rPr>
          <w:rStyle w:val="Italic"/>
        </w:rPr>
        <w:t xml:space="preserve">bjects, </w:t>
      </w:r>
      <w:r w:rsidR="006E1C01" w:rsidRPr="006E1C01">
        <w:rPr>
          <w:rStyle w:val="Italic"/>
        </w:rPr>
        <w:t>s</w:t>
      </w:r>
      <w:r w:rsidRPr="006E1C01">
        <w:rPr>
          <w:rStyle w:val="Italic"/>
        </w:rPr>
        <w:t xml:space="preserve">ites and </w:t>
      </w:r>
      <w:r w:rsidR="006E1C01" w:rsidRPr="006E1C01">
        <w:rPr>
          <w:rStyle w:val="Italic"/>
        </w:rPr>
        <w:t>c</w:t>
      </w:r>
      <w:r w:rsidRPr="006E1C01">
        <w:rPr>
          <w:rStyle w:val="Italic"/>
        </w:rPr>
        <w:t xml:space="preserve">ultural </w:t>
      </w:r>
      <w:r w:rsidR="006E1C01" w:rsidRPr="006E1C01">
        <w:rPr>
          <w:rStyle w:val="Italic"/>
        </w:rPr>
        <w:t>a</w:t>
      </w:r>
      <w:r w:rsidRPr="006E1C01">
        <w:rPr>
          <w:rStyle w:val="Italic"/>
        </w:rPr>
        <w:t>ctivities</w:t>
      </w:r>
      <w:r>
        <w:t>.</w:t>
      </w:r>
    </w:p>
    <w:p w:rsidR="009E09DA" w:rsidRDefault="009E09DA" w:rsidP="009E09DA">
      <w:pPr>
        <w:pStyle w:val="Heading1"/>
      </w:pPr>
      <w:r>
        <w:t>Aboriginal and/or Torres Strait Islander places, objects, sites and cultural activities</w:t>
      </w:r>
    </w:p>
    <w:p w:rsidR="009E09DA" w:rsidRDefault="009E09DA" w:rsidP="009E09DA">
      <w:pPr>
        <w:pStyle w:val="BodyText"/>
      </w:pPr>
      <w:r>
        <w:t>Traditional owners may prohibit photographing and filming places, objects, sites and cultural activities, such as paintings, artefacts, rock art and ceremonies. Ensure you observe the protocols.</w:t>
      </w:r>
    </w:p>
    <w:p w:rsidR="009E09DA" w:rsidRDefault="009E09DA" w:rsidP="009E09DA">
      <w:pPr>
        <w:pStyle w:val="BodyText"/>
      </w:pPr>
    </w:p>
    <w:p w:rsidR="00C447F5" w:rsidRPr="00C447F5" w:rsidRDefault="00C447F5" w:rsidP="00C447F5">
      <w:pPr>
        <w:pStyle w:val="Furtherinformationandresearch"/>
      </w:pPr>
      <w:r w:rsidRPr="00C447F5">
        <w:t>Further information and research</w:t>
      </w:r>
    </w:p>
    <w:p w:rsidR="009E09DA" w:rsidRPr="009E09DA" w:rsidRDefault="009E09DA" w:rsidP="009E09DA">
      <w:pPr>
        <w:pStyle w:val="BodyText"/>
      </w:pPr>
      <w:r w:rsidRPr="009E09DA">
        <w:t>Australia Council for the Arts: Protocols for Working with Indigenous Artists</w:t>
      </w:r>
      <w:r>
        <w:br/>
      </w:r>
      <w:hyperlink r:id="rId12" w:history="1">
        <w:r w:rsidRPr="003C7805">
          <w:rPr>
            <w:rStyle w:val="Hyperlink"/>
          </w:rPr>
          <w:t>www.australiacouncil.gov.au/about/protocols-for-working-with-indigenous-artists/</w:t>
        </w:r>
      </w:hyperlink>
      <w:r>
        <w:t xml:space="preserve"> </w:t>
      </w:r>
    </w:p>
    <w:p w:rsidR="009E09DA" w:rsidRPr="009E09DA" w:rsidRDefault="009E09DA" w:rsidP="009E09DA">
      <w:pPr>
        <w:pStyle w:val="BodyText"/>
      </w:pPr>
      <w:r w:rsidRPr="009E09DA">
        <w:t>SBS: The Greater Perspective - Protocol and Guidelines for the Production of Film and Television on Aboriginal and Torres Strait Islander Communities.</w:t>
      </w:r>
      <w:r>
        <w:br/>
      </w:r>
      <w:hyperlink r:id="rId13" w:history="1">
        <w:r w:rsidRPr="003C7805">
          <w:rPr>
            <w:rStyle w:val="Hyperlink"/>
          </w:rPr>
          <w:t>www.sbs.com.au/aboutus/corporate/view/id/106/h/The-Greater-Perspective</w:t>
        </w:r>
      </w:hyperlink>
      <w:r>
        <w:t xml:space="preserve"> </w:t>
      </w:r>
    </w:p>
    <w:p w:rsidR="009E09DA" w:rsidRPr="009E09DA" w:rsidRDefault="009E09DA" w:rsidP="009E09DA">
      <w:pPr>
        <w:pStyle w:val="BodyText"/>
      </w:pPr>
      <w:r w:rsidRPr="009E09DA">
        <w:t>Screen Australia: Indigenous Content - Pathways &amp; Protocols, a filmmaker’s guide to working with Indigenous people, culture and concept</w:t>
      </w:r>
      <w:r>
        <w:br/>
      </w:r>
      <w:hyperlink r:id="rId14" w:history="1">
        <w:r w:rsidRPr="003C7805">
          <w:rPr>
            <w:rStyle w:val="Hyperlink"/>
          </w:rPr>
          <w:t>www.screenaustralia.gov.au/about-us/doing-business-with-us/indigenous-content/indigenous-protocols</w:t>
        </w:r>
      </w:hyperlink>
      <w:r>
        <w:t xml:space="preserve"> </w:t>
      </w:r>
    </w:p>
    <w:p w:rsidR="00F8288B" w:rsidRPr="00115F77" w:rsidRDefault="009E09DA" w:rsidP="009E09DA">
      <w:pPr>
        <w:pStyle w:val="BodyText"/>
      </w:pPr>
      <w:r w:rsidRPr="009E09DA">
        <w:t>Arts Law Centre of Australia: Information Sheet – Street Photographer’s Rights</w:t>
      </w:r>
      <w:r>
        <w:br/>
      </w:r>
      <w:hyperlink r:id="rId15" w:history="1">
        <w:r w:rsidRPr="003C7805">
          <w:rPr>
            <w:rStyle w:val="Hyperlink"/>
          </w:rPr>
          <w:t>www.artslaw.com.au/info-sheets/info-sheet/street-photographers-rights/</w:t>
        </w:r>
      </w:hyperlink>
      <w:r>
        <w:t xml:space="preserve"> </w:t>
      </w:r>
    </w:p>
    <w:p w:rsidR="00F8288B" w:rsidRPr="00115F77" w:rsidRDefault="00F8288B" w:rsidP="00115F77"/>
    <w:p w:rsidR="009A1FC4" w:rsidRDefault="009A1FC4" w:rsidP="00115F77"/>
    <w:p w:rsidR="00115F77" w:rsidRDefault="00115F77" w:rsidP="00115F77"/>
    <w:p w:rsidR="00115F77" w:rsidRDefault="00115F77" w:rsidP="00115F77"/>
    <w:p w:rsidR="009E09DA" w:rsidRDefault="009E09DA" w:rsidP="00115F77"/>
    <w:p w:rsidR="009E09DA" w:rsidRDefault="009E09DA" w:rsidP="00115F77"/>
    <w:p w:rsidR="00115F77" w:rsidRDefault="00115F77"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6"/>
      <w:footerReference w:type="default" r:id="rId17"/>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DA" w:rsidRDefault="009E09DA">
      <w:r>
        <w:separator/>
      </w:r>
    </w:p>
  </w:endnote>
  <w:endnote w:type="continuationSeparator" w:id="0">
    <w:p w:rsidR="009E09DA" w:rsidRDefault="009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6E1C01">
      <w:rPr>
        <w:rStyle w:val="PageNumber"/>
        <w:noProof/>
      </w:rPr>
      <w:t>2</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DA" w:rsidRDefault="009E09DA">
      <w:r>
        <w:separator/>
      </w:r>
    </w:p>
  </w:footnote>
  <w:footnote w:type="continuationSeparator" w:id="0">
    <w:p w:rsidR="009E09DA" w:rsidRDefault="009E0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DA"/>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0"/>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1C01"/>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09DA"/>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BE8"/>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055130"/>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EA0F8A"/>
    <w:pPr>
      <w:spacing w:before="24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EA0F8A"/>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130"/>
    <w:rPr>
      <w:rFonts w:cs="Arial"/>
      <w:b/>
      <w:bCs/>
      <w:color w:val="404040" w:themeColor="text1" w:themeTint="BF"/>
      <w:kern w:val="32"/>
      <w:sz w:val="36"/>
      <w:szCs w:val="32"/>
    </w:rPr>
  </w:style>
  <w:style w:type="character" w:customStyle="1" w:styleId="Heading2Char">
    <w:name w:val="Heading 2 Char"/>
    <w:link w:val="Heading2"/>
    <w:uiPriority w:val="99"/>
    <w:locked/>
    <w:rsid w:val="00EA0F8A"/>
    <w:rPr>
      <w:rFonts w:cs="Arial"/>
      <w:b/>
      <w:iCs/>
      <w:color w:val="595959" w:themeColor="text1" w:themeTint="A6"/>
      <w:kern w:val="32"/>
      <w:sz w:val="28"/>
      <w:szCs w:val="28"/>
    </w:rPr>
  </w:style>
  <w:style w:type="character" w:customStyle="1" w:styleId="Heading3Char">
    <w:name w:val="Heading 3 Char"/>
    <w:link w:val="Heading3"/>
    <w:uiPriority w:val="99"/>
    <w:locked/>
    <w:rsid w:val="00EA0F8A"/>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9F3BE8"/>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F3BE8"/>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13144B"/>
    <w:pPr>
      <w:numPr>
        <w:numId w:val="19"/>
      </w:numPr>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13144B"/>
    <w:pPr>
      <w:numPr>
        <w:numId w:val="2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055130"/>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EA0F8A"/>
    <w:pPr>
      <w:spacing w:before="24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EA0F8A"/>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130"/>
    <w:rPr>
      <w:rFonts w:cs="Arial"/>
      <w:b/>
      <w:bCs/>
      <w:color w:val="404040" w:themeColor="text1" w:themeTint="BF"/>
      <w:kern w:val="32"/>
      <w:sz w:val="36"/>
      <w:szCs w:val="32"/>
    </w:rPr>
  </w:style>
  <w:style w:type="character" w:customStyle="1" w:styleId="Heading2Char">
    <w:name w:val="Heading 2 Char"/>
    <w:link w:val="Heading2"/>
    <w:uiPriority w:val="99"/>
    <w:locked/>
    <w:rsid w:val="00EA0F8A"/>
    <w:rPr>
      <w:rFonts w:cs="Arial"/>
      <w:b/>
      <w:iCs/>
      <w:color w:val="595959" w:themeColor="text1" w:themeTint="A6"/>
      <w:kern w:val="32"/>
      <w:sz w:val="28"/>
      <w:szCs w:val="28"/>
    </w:rPr>
  </w:style>
  <w:style w:type="character" w:customStyle="1" w:styleId="Heading3Char">
    <w:name w:val="Heading 3 Char"/>
    <w:link w:val="Heading3"/>
    <w:uiPriority w:val="99"/>
    <w:locked/>
    <w:rsid w:val="00EA0F8A"/>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9F3BE8"/>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F3BE8"/>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13144B"/>
    <w:pPr>
      <w:numPr>
        <w:numId w:val="19"/>
      </w:numPr>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13144B"/>
    <w:pPr>
      <w:numPr>
        <w:numId w:val="2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s.com.au/aboutus/corporate/view/id/106/h/The-Greater-Perspectiv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raliacouncil.gov.au/about/protocols-for-working-with-indigenous-artis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artslaw.com.au/info-sheets/info-sheet/street-photographers-right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creenaustralia.gov.au/about-us/doing-business-with-us/indigenous-content/indigenous-protoc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6</TotalTime>
  <Pages>2</Pages>
  <Words>435</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4</cp:revision>
  <cp:lastPrinted>2016-12-21T00:36:00Z</cp:lastPrinted>
  <dcterms:created xsi:type="dcterms:W3CDTF">2016-12-22T02:23:00Z</dcterms:created>
  <dcterms:modified xsi:type="dcterms:W3CDTF">2016-12-22T02:32:00Z</dcterms:modified>
</cp:coreProperties>
</file>