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39B7C" w14:textId="79BE927E" w:rsidR="00FC4F45" w:rsidRPr="00E0328F" w:rsidRDefault="00E76EE2" w:rsidP="001C0E04">
      <w:pPr>
        <w:pStyle w:val="Factsheet"/>
      </w:pPr>
      <w:r w:rsidRPr="00E76EE2">
        <w:rPr>
          <w:noProof/>
        </w:rPr>
        <w:drawing>
          <wp:anchor distT="0" distB="0" distL="114300" distR="114300" simplePos="0" relativeHeight="251660288" behindDoc="0" locked="0" layoutInCell="1" allowOverlap="1" wp14:anchorId="18A3E30A" wp14:editId="1B2211D4">
            <wp:simplePos x="0" y="0"/>
            <wp:positionH relativeFrom="margin">
              <wp:posOffset>-14300</wp:posOffset>
            </wp:positionH>
            <wp:positionV relativeFrom="paragraph">
              <wp:posOffset>234315</wp:posOffset>
            </wp:positionV>
            <wp:extent cx="1366520" cy="507365"/>
            <wp:effectExtent l="0" t="0" r="5080" b="6985"/>
            <wp:wrapNone/>
            <wp:docPr id="9" name="Picture 9"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6520" cy="507365"/>
                    </a:xfrm>
                    <a:prstGeom prst="rect">
                      <a:avLst/>
                    </a:prstGeom>
                    <a:noFill/>
                  </pic:spPr>
                </pic:pic>
              </a:graphicData>
            </a:graphic>
            <wp14:sizeRelH relativeFrom="page">
              <wp14:pctWidth>0</wp14:pctWidth>
            </wp14:sizeRelH>
            <wp14:sizeRelV relativeFrom="page">
              <wp14:pctHeight>0</wp14:pctHeight>
            </wp14:sizeRelV>
          </wp:anchor>
        </w:drawing>
      </w:r>
      <w:r w:rsidRPr="00E76EE2">
        <w:rPr>
          <w:noProof/>
        </w:rPr>
        <w:drawing>
          <wp:anchor distT="0" distB="0" distL="114300" distR="114300" simplePos="0" relativeHeight="251659264" behindDoc="1" locked="0" layoutInCell="1" allowOverlap="1" wp14:anchorId="26A56FF4" wp14:editId="5C805B8F">
            <wp:simplePos x="0" y="0"/>
            <wp:positionH relativeFrom="column">
              <wp:posOffset>-1247775</wp:posOffset>
            </wp:positionH>
            <wp:positionV relativeFrom="page">
              <wp:posOffset>-147320</wp:posOffset>
            </wp:positionV>
            <wp:extent cx="7884160" cy="1096010"/>
            <wp:effectExtent l="0" t="0" r="2540" b="889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84160" cy="1096010"/>
                    </a:xfrm>
                    <a:prstGeom prst="rect">
                      <a:avLst/>
                    </a:prstGeom>
                    <a:noFill/>
                  </pic:spPr>
                </pic:pic>
              </a:graphicData>
            </a:graphic>
            <wp14:sizeRelH relativeFrom="page">
              <wp14:pctWidth>0</wp14:pctWidth>
            </wp14:sizeRelH>
            <wp14:sizeRelV relativeFrom="page">
              <wp14:pctHeight>0</wp14:pctHeight>
            </wp14:sizeRelV>
          </wp:anchor>
        </w:drawing>
      </w:r>
      <w:r w:rsidR="00FC4F45">
        <w:t>Factsheet</w:t>
      </w:r>
    </w:p>
    <w:p w14:paraId="1900D75D" w14:textId="78117676" w:rsidR="00FC4F45" w:rsidRPr="005726CC" w:rsidRDefault="001B4CAC" w:rsidP="00A30B9F">
      <w:pPr>
        <w:pStyle w:val="Factsheetdate"/>
      </w:pPr>
      <w:r>
        <w:t>June</w:t>
      </w:r>
      <w:r w:rsidR="00412673">
        <w:t xml:space="preserve"> 2019</w:t>
      </w:r>
    </w:p>
    <w:p w14:paraId="20D10E20" w14:textId="563A345B" w:rsidR="00DD2123" w:rsidRPr="00F33A21" w:rsidRDefault="007E101D" w:rsidP="00A9261C">
      <w:pPr>
        <w:pStyle w:val="Titleoffactsheet"/>
      </w:pPr>
      <w:r w:rsidRPr="00F33A21">
        <w:t xml:space="preserve">Energy </w:t>
      </w:r>
      <w:r w:rsidR="00CA5101">
        <w:t>a</w:t>
      </w:r>
      <w:r w:rsidR="0017674A">
        <w:t xml:space="preserve">ffordability and </w:t>
      </w:r>
      <w:r w:rsidR="00CA5101">
        <w:t>h</w:t>
      </w:r>
      <w:r w:rsidRPr="00F33A21">
        <w:t xml:space="preserve">ardship in the ACT </w:t>
      </w:r>
    </w:p>
    <w:p w14:paraId="0F17B65F" w14:textId="667A0105" w:rsidR="00DD2123" w:rsidRPr="00630F2B" w:rsidRDefault="00A3259E" w:rsidP="007A615F">
      <w:pPr>
        <w:pStyle w:val="BodyText"/>
      </w:pPr>
      <w:r>
        <w:t xml:space="preserve">Energy prices in </w:t>
      </w:r>
      <w:r w:rsidR="00C91062">
        <w:t>the ACT</w:t>
      </w:r>
      <w:r w:rsidR="00EA7FC8">
        <w:t xml:space="preserve"> </w:t>
      </w:r>
      <w:r w:rsidR="00C91062">
        <w:t>have increased significantly in the last decade</w:t>
      </w:r>
      <w:r w:rsidR="000023FD">
        <w:t xml:space="preserve">. </w:t>
      </w:r>
      <w:r w:rsidR="004439AD">
        <w:t xml:space="preserve">Households living with low incomes </w:t>
      </w:r>
      <w:r w:rsidR="008D770F">
        <w:t xml:space="preserve">or experiencing disadvantage pay disproportionately more of their income on energy than the average household. </w:t>
      </w:r>
      <w:r w:rsidR="00C22A9F">
        <w:t xml:space="preserve">Low-income households face poverty premiums </w:t>
      </w:r>
      <w:r w:rsidR="00C423BB">
        <w:t xml:space="preserve">especially in terms of not being able </w:t>
      </w:r>
      <w:r w:rsidR="00BC10AD">
        <w:t>to make</w:t>
      </w:r>
      <w:r w:rsidR="00157C2A">
        <w:t xml:space="preserve"> modifications or purchase technologies to make</w:t>
      </w:r>
      <w:r w:rsidR="00BC10AD">
        <w:t xml:space="preserve"> their </w:t>
      </w:r>
      <w:r w:rsidR="00157C2A">
        <w:t>dwellings</w:t>
      </w:r>
      <w:r w:rsidR="00BC10AD">
        <w:t xml:space="preserve"> more energy efficient. </w:t>
      </w:r>
      <w:r w:rsidR="00C820CE">
        <w:t>There needs to be</w:t>
      </w:r>
      <w:r w:rsidR="004045D7" w:rsidRPr="00290DA2">
        <w:t xml:space="preserve"> a just transition to adapt to climate change </w:t>
      </w:r>
      <w:r w:rsidR="004045D7">
        <w:t xml:space="preserve">that reduces the disproportionate burden on low-income households. </w:t>
      </w:r>
      <w:r w:rsidR="00C11786">
        <w:t>The development of appropriate policy solutions needs to be informed by a better understanding of those</w:t>
      </w:r>
      <w:r w:rsidR="00A26C86">
        <w:t xml:space="preserve"> households</w:t>
      </w:r>
      <w:r w:rsidR="00C11786">
        <w:t xml:space="preserve"> most impacted by high energy prices.</w:t>
      </w:r>
      <w:r w:rsidR="00290DA2">
        <w:t xml:space="preserve"> </w:t>
      </w:r>
    </w:p>
    <w:p w14:paraId="4D7A8693" w14:textId="0DCFB15A" w:rsidR="00790E8F" w:rsidRDefault="00790E8F" w:rsidP="00790E8F">
      <w:pPr>
        <w:pStyle w:val="Heading1"/>
      </w:pPr>
      <w:r>
        <w:t xml:space="preserve">Energy </w:t>
      </w:r>
      <w:r w:rsidR="00D32100">
        <w:t>a</w:t>
      </w:r>
      <w:r>
        <w:t>ffordability</w:t>
      </w:r>
    </w:p>
    <w:p w14:paraId="4A8D24B9" w14:textId="5A1B4D83" w:rsidR="00051D3D" w:rsidRDefault="00457557" w:rsidP="007A615F">
      <w:pPr>
        <w:pStyle w:val="BodyText"/>
      </w:pPr>
      <w:r>
        <w:t>According to the Australian Energy Regulator (AER), the ACT had the most affordable electricity</w:t>
      </w:r>
      <w:r w:rsidR="00D51E31">
        <w:t xml:space="preserve"> </w:t>
      </w:r>
      <w:r w:rsidR="00676429">
        <w:t>in terms of percentage of income spent on energy ($1,501, 4.7%) in 2017-18. At the same time, the</w:t>
      </w:r>
      <w:r>
        <w:t xml:space="preserve"> ACT recorded the highest market contract price rises for both electricity (22.6%) and gas (16.8%). </w:t>
      </w:r>
      <w:r w:rsidR="00B52401" w:rsidRPr="00B52401">
        <w:t xml:space="preserve">The ACT also has high levels of energy use. </w:t>
      </w:r>
      <w:r w:rsidR="005153B7">
        <w:t>The</w:t>
      </w:r>
      <w:r w:rsidR="009C18D6" w:rsidRPr="009C18D6">
        <w:t xml:space="preserve"> Energy Security Board</w:t>
      </w:r>
      <w:r w:rsidR="00047869">
        <w:t xml:space="preserve"> </w:t>
      </w:r>
      <w:r w:rsidR="005153B7">
        <w:t xml:space="preserve">has </w:t>
      </w:r>
      <w:r w:rsidR="00B953F4">
        <w:t xml:space="preserve">classified </w:t>
      </w:r>
      <w:r w:rsidR="00047869">
        <w:t>the current status of</w:t>
      </w:r>
      <w:r w:rsidR="00513946">
        <w:t xml:space="preserve"> electricity affordability as ‘critical’, with</w:t>
      </w:r>
      <w:r w:rsidR="009C18D6" w:rsidRPr="009C18D6">
        <w:t xml:space="preserve"> ‘household electricity costs </w:t>
      </w:r>
      <w:r w:rsidR="00513946">
        <w:t>[having]</w:t>
      </w:r>
      <w:r w:rsidR="009C18D6" w:rsidRPr="009C18D6">
        <w:t xml:space="preserve"> increased by 56% in real terms over the past 10 years, much faster than wages growth or inflation’.</w:t>
      </w:r>
      <w:r w:rsidR="00051D3D">
        <w:rPr>
          <w:rStyle w:val="EndnoteReference"/>
        </w:rPr>
        <w:endnoteReference w:id="1"/>
      </w:r>
      <w:r w:rsidR="00051D3D" w:rsidRPr="009C18D6">
        <w:t xml:space="preserve"> </w:t>
      </w:r>
    </w:p>
    <w:p w14:paraId="6B25EF1B" w14:textId="2311E171" w:rsidR="00051D3D" w:rsidRDefault="00051D3D" w:rsidP="00D001CE">
      <w:pPr>
        <w:pStyle w:val="Tabletitle"/>
      </w:pPr>
      <w:r w:rsidRPr="006D3F96">
        <w:t xml:space="preserve">Changes in electricity, gas and All Groups CPI, Canberra, December 2008 to </w:t>
      </w:r>
      <w:r w:rsidR="00BB6CEE">
        <w:br/>
      </w:r>
      <w:r w:rsidRPr="006D3F96">
        <w:t>December 2018</w:t>
      </w:r>
    </w:p>
    <w:p w14:paraId="1BBC1EB3" w14:textId="6E96D4A5" w:rsidR="00051D3D" w:rsidRPr="00630F2B" w:rsidRDefault="00051D3D" w:rsidP="00404759">
      <w:r w:rsidRPr="00404759">
        <w:rPr>
          <w:noProof/>
        </w:rPr>
        <w:drawing>
          <wp:inline distT="0" distB="0" distL="0" distR="0" wp14:anchorId="6051500E" wp14:editId="5AC1A0D8">
            <wp:extent cx="4584700" cy="2755900"/>
            <wp:effectExtent l="0" t="0" r="0" b="5715"/>
            <wp:docPr id="1" name="Picture 1" descr="Graph: Shows changes in electricity, gas and All Groups CPI changes, with Gas increasing the m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r w:rsidRPr="00630F2B">
        <w:t xml:space="preserve"> </w:t>
      </w:r>
    </w:p>
    <w:p w14:paraId="45A9E901" w14:textId="4B48374F" w:rsidR="00051D3D" w:rsidRDefault="00051D3D" w:rsidP="007A615F">
      <w:pPr>
        <w:pStyle w:val="BodyText"/>
      </w:pPr>
      <w:r w:rsidRPr="00630F2B">
        <w:t xml:space="preserve">The </w:t>
      </w:r>
      <w:r>
        <w:t xml:space="preserve">2019 </w:t>
      </w:r>
      <w:r w:rsidRPr="00292ABE">
        <w:rPr>
          <w:i/>
          <w:iCs/>
        </w:rPr>
        <w:t xml:space="preserve">ACT Cost of Living </w:t>
      </w:r>
      <w:r>
        <w:rPr>
          <w:i/>
          <w:iCs/>
        </w:rPr>
        <w:t>R</w:t>
      </w:r>
      <w:r w:rsidRPr="00292ABE">
        <w:rPr>
          <w:i/>
          <w:iCs/>
        </w:rPr>
        <w:t>eport</w:t>
      </w:r>
      <w:r w:rsidRPr="00630F2B">
        <w:t xml:space="preserve"> published by ACTCOSS</w:t>
      </w:r>
      <w:r>
        <w:t xml:space="preserve"> found that electricity and gas prices rose by 11.2% and 6.8% respectively from December 2017 to December 2018 – this was above the national rates of </w:t>
      </w:r>
      <w:r w:rsidRPr="007F355E">
        <w:t>1.8%</w:t>
      </w:r>
      <w:r>
        <w:t xml:space="preserve"> and </w:t>
      </w:r>
      <w:r w:rsidRPr="007F355E">
        <w:t>3.2%.</w:t>
      </w:r>
      <w:r>
        <w:rPr>
          <w:rStyle w:val="EndnoteReference"/>
        </w:rPr>
        <w:endnoteReference w:id="2"/>
      </w:r>
      <w:r>
        <w:t xml:space="preserve"> </w:t>
      </w:r>
      <w:r w:rsidRPr="009F740B">
        <w:t>Over the past decade both electricity and gas prices have risen well above the overall CPI in Canberra</w:t>
      </w:r>
      <w:r>
        <w:t>, with gas prices rising more than electricity.</w:t>
      </w:r>
    </w:p>
    <w:p w14:paraId="0D65A966" w14:textId="228E5E5F" w:rsidR="00051D3D" w:rsidRDefault="00051D3D" w:rsidP="007A615F">
      <w:pPr>
        <w:pStyle w:val="BodyText"/>
      </w:pPr>
      <w:r>
        <w:lastRenderedPageBreak/>
        <w:t xml:space="preserve">Increases in energy prices </w:t>
      </w:r>
      <w:r w:rsidRPr="002B4241">
        <w:t xml:space="preserve">impact disproportionately on low-income households </w:t>
      </w:r>
      <w:r>
        <w:t xml:space="preserve">as a </w:t>
      </w:r>
      <w:r w:rsidRPr="002B4241">
        <w:t xml:space="preserve">greater proportion of </w:t>
      </w:r>
      <w:r>
        <w:t xml:space="preserve">their </w:t>
      </w:r>
      <w:r w:rsidRPr="002B4241">
        <w:t xml:space="preserve">income and expenditure </w:t>
      </w:r>
      <w:r>
        <w:t>is</w:t>
      </w:r>
      <w:r w:rsidRPr="002B4241">
        <w:t xml:space="preserve"> spent on energy. These households are more likely to experience energy stress which can result in households ‘going without heating and cooling, meals, and other basic essentials in order to afford their energy bills’.</w:t>
      </w:r>
      <w:r>
        <w:rPr>
          <w:rStyle w:val="EndnoteReference"/>
        </w:rPr>
        <w:endnoteReference w:id="3"/>
      </w:r>
      <w:r>
        <w:t xml:space="preserve"> A quarter of people receiving Newstart and similar allowances spend more than 9.7% of their income on energy.</w:t>
      </w:r>
      <w:r>
        <w:rPr>
          <w:rStyle w:val="EndnoteReference"/>
        </w:rPr>
        <w:endnoteReference w:id="4"/>
      </w:r>
      <w:r>
        <w:t xml:space="preserve"> On average, people in the lowest 20% of the income distribution spend 6.4% of their income on energy, a quarter spend more than 8.8% on energy.</w:t>
      </w:r>
      <w:r>
        <w:rPr>
          <w:rStyle w:val="EndnoteReference"/>
        </w:rPr>
        <w:endnoteReference w:id="5"/>
      </w:r>
    </w:p>
    <w:p w14:paraId="63F0B8D9" w14:textId="24BCE9B3" w:rsidR="00051D3D" w:rsidRDefault="00051D3D" w:rsidP="00D001CE">
      <w:pPr>
        <w:pStyle w:val="Tabletitle"/>
      </w:pPr>
      <w:r w:rsidRPr="007E5F24">
        <w:t xml:space="preserve">Energy expenditure by equivalised </w:t>
      </w:r>
      <w:r w:rsidRPr="00D001CE">
        <w:t>disposable</w:t>
      </w:r>
      <w:r w:rsidRPr="007E5F24">
        <w:t xml:space="preserve"> income quintiles</w:t>
      </w:r>
    </w:p>
    <w:tbl>
      <w:tblPr>
        <w:tblStyle w:val="TableGrid20"/>
        <w:tblW w:w="0" w:type="auto"/>
        <w:tblLook w:val="04A0" w:firstRow="1" w:lastRow="0" w:firstColumn="1" w:lastColumn="0" w:noHBand="0" w:noVBand="1"/>
      </w:tblPr>
      <w:tblGrid>
        <w:gridCol w:w="2335"/>
        <w:gridCol w:w="1233"/>
        <w:gridCol w:w="1234"/>
        <w:gridCol w:w="1234"/>
        <w:gridCol w:w="1234"/>
        <w:gridCol w:w="1234"/>
      </w:tblGrid>
      <w:tr w:rsidR="00051D3D" w:rsidRPr="002578BB" w14:paraId="2A36C3E2" w14:textId="77777777" w:rsidTr="00495290">
        <w:trPr>
          <w:tblHeader/>
        </w:trPr>
        <w:tc>
          <w:tcPr>
            <w:tcW w:w="2335" w:type="dxa"/>
            <w:tcBorders>
              <w:left w:val="nil"/>
              <w:bottom w:val="single" w:sz="4" w:space="0" w:color="auto"/>
              <w:right w:val="nil"/>
            </w:tcBorders>
          </w:tcPr>
          <w:p w14:paraId="0779B0C6" w14:textId="77777777" w:rsidR="00051D3D" w:rsidRPr="002578BB" w:rsidRDefault="00051D3D" w:rsidP="00C6375A">
            <w:pPr>
              <w:pStyle w:val="Tableheading"/>
            </w:pPr>
          </w:p>
        </w:tc>
        <w:tc>
          <w:tcPr>
            <w:tcW w:w="1233" w:type="dxa"/>
            <w:tcBorders>
              <w:left w:val="nil"/>
              <w:bottom w:val="single" w:sz="4" w:space="0" w:color="auto"/>
              <w:right w:val="nil"/>
            </w:tcBorders>
          </w:tcPr>
          <w:p w14:paraId="627F5087" w14:textId="77777777" w:rsidR="00051D3D" w:rsidRPr="002578BB" w:rsidRDefault="00051D3D" w:rsidP="00C6375A">
            <w:pPr>
              <w:pStyle w:val="Tableheading"/>
              <w:jc w:val="right"/>
            </w:pPr>
            <w:r w:rsidRPr="002578BB">
              <w:t>Lowest</w:t>
            </w:r>
          </w:p>
        </w:tc>
        <w:tc>
          <w:tcPr>
            <w:tcW w:w="1234" w:type="dxa"/>
            <w:tcBorders>
              <w:left w:val="nil"/>
              <w:bottom w:val="single" w:sz="4" w:space="0" w:color="auto"/>
              <w:right w:val="nil"/>
            </w:tcBorders>
          </w:tcPr>
          <w:p w14:paraId="49413883" w14:textId="77777777" w:rsidR="00051D3D" w:rsidRPr="002578BB" w:rsidRDefault="00051D3D" w:rsidP="00C6375A">
            <w:pPr>
              <w:pStyle w:val="Tableheading"/>
              <w:jc w:val="right"/>
            </w:pPr>
            <w:r w:rsidRPr="002578BB">
              <w:t>Second</w:t>
            </w:r>
          </w:p>
        </w:tc>
        <w:tc>
          <w:tcPr>
            <w:tcW w:w="1234" w:type="dxa"/>
            <w:tcBorders>
              <w:left w:val="nil"/>
              <w:bottom w:val="single" w:sz="4" w:space="0" w:color="auto"/>
              <w:right w:val="nil"/>
            </w:tcBorders>
          </w:tcPr>
          <w:p w14:paraId="6621E1E3" w14:textId="77777777" w:rsidR="00051D3D" w:rsidRPr="002578BB" w:rsidRDefault="00051D3D" w:rsidP="00C6375A">
            <w:pPr>
              <w:pStyle w:val="Tableheading"/>
              <w:jc w:val="right"/>
            </w:pPr>
            <w:r w:rsidRPr="002578BB">
              <w:t>Third</w:t>
            </w:r>
          </w:p>
        </w:tc>
        <w:tc>
          <w:tcPr>
            <w:tcW w:w="1234" w:type="dxa"/>
            <w:tcBorders>
              <w:left w:val="nil"/>
              <w:bottom w:val="single" w:sz="4" w:space="0" w:color="auto"/>
              <w:right w:val="nil"/>
            </w:tcBorders>
          </w:tcPr>
          <w:p w14:paraId="3CE3BBAC" w14:textId="77777777" w:rsidR="00051D3D" w:rsidRPr="002578BB" w:rsidRDefault="00051D3D" w:rsidP="00C6375A">
            <w:pPr>
              <w:pStyle w:val="Tableheading"/>
              <w:jc w:val="right"/>
            </w:pPr>
            <w:r w:rsidRPr="002578BB">
              <w:t>Fourth</w:t>
            </w:r>
          </w:p>
        </w:tc>
        <w:tc>
          <w:tcPr>
            <w:tcW w:w="1234" w:type="dxa"/>
            <w:tcBorders>
              <w:left w:val="nil"/>
              <w:bottom w:val="single" w:sz="4" w:space="0" w:color="auto"/>
              <w:right w:val="nil"/>
            </w:tcBorders>
          </w:tcPr>
          <w:p w14:paraId="07A39925" w14:textId="77777777" w:rsidR="00051D3D" w:rsidRPr="002578BB" w:rsidRDefault="00051D3D" w:rsidP="00C6375A">
            <w:pPr>
              <w:pStyle w:val="Tableheading"/>
              <w:jc w:val="right"/>
            </w:pPr>
            <w:r w:rsidRPr="002578BB">
              <w:t>Highest</w:t>
            </w:r>
          </w:p>
        </w:tc>
      </w:tr>
      <w:tr w:rsidR="00051D3D" w:rsidRPr="002578BB" w14:paraId="0A199170" w14:textId="77777777" w:rsidTr="00495290">
        <w:tc>
          <w:tcPr>
            <w:tcW w:w="2335" w:type="dxa"/>
            <w:tcBorders>
              <w:left w:val="nil"/>
              <w:bottom w:val="single" w:sz="4" w:space="0" w:color="auto"/>
              <w:right w:val="nil"/>
            </w:tcBorders>
            <w:shd w:val="clear" w:color="auto" w:fill="D9E2F3"/>
          </w:tcPr>
          <w:p w14:paraId="12058BB9" w14:textId="64D72402" w:rsidR="00051D3D" w:rsidRPr="002578BB" w:rsidRDefault="00051D3D" w:rsidP="00C6375A">
            <w:pPr>
              <w:pStyle w:val="Tableheading"/>
            </w:pPr>
            <w:r w:rsidRPr="002578BB">
              <w:t>Average Weekly Expenditure – ACT</w:t>
            </w:r>
          </w:p>
        </w:tc>
        <w:tc>
          <w:tcPr>
            <w:tcW w:w="1233" w:type="dxa"/>
            <w:tcBorders>
              <w:left w:val="nil"/>
              <w:bottom w:val="single" w:sz="4" w:space="0" w:color="auto"/>
              <w:right w:val="nil"/>
            </w:tcBorders>
            <w:shd w:val="clear" w:color="auto" w:fill="D9E2F3"/>
          </w:tcPr>
          <w:p w14:paraId="79CDEAC8" w14:textId="48BBDEF0" w:rsidR="00051D3D" w:rsidRPr="002578BB" w:rsidRDefault="00051D3D" w:rsidP="00C6375A">
            <w:pPr>
              <w:pStyle w:val="TableBody"/>
              <w:jc w:val="right"/>
            </w:pPr>
            <w:r>
              <w:t>$</w:t>
            </w:r>
            <w:r w:rsidRPr="002578BB">
              <w:t>42.22</w:t>
            </w:r>
          </w:p>
        </w:tc>
        <w:tc>
          <w:tcPr>
            <w:tcW w:w="1234" w:type="dxa"/>
            <w:tcBorders>
              <w:left w:val="nil"/>
              <w:bottom w:val="single" w:sz="4" w:space="0" w:color="auto"/>
              <w:right w:val="nil"/>
            </w:tcBorders>
            <w:shd w:val="clear" w:color="auto" w:fill="D9E2F3"/>
          </w:tcPr>
          <w:p w14:paraId="6BB4EBCC" w14:textId="6A648410" w:rsidR="00051D3D" w:rsidRPr="002578BB" w:rsidRDefault="00051D3D" w:rsidP="00C6375A">
            <w:pPr>
              <w:pStyle w:val="TableBody"/>
              <w:jc w:val="right"/>
            </w:pPr>
            <w:r>
              <w:t>$</w:t>
            </w:r>
            <w:r w:rsidRPr="002578BB">
              <w:t>51.78</w:t>
            </w:r>
          </w:p>
        </w:tc>
        <w:tc>
          <w:tcPr>
            <w:tcW w:w="1234" w:type="dxa"/>
            <w:tcBorders>
              <w:left w:val="nil"/>
              <w:bottom w:val="single" w:sz="4" w:space="0" w:color="auto"/>
              <w:right w:val="nil"/>
            </w:tcBorders>
            <w:shd w:val="clear" w:color="auto" w:fill="D9E2F3"/>
          </w:tcPr>
          <w:p w14:paraId="16C6D5BE" w14:textId="2D2B42B7" w:rsidR="00051D3D" w:rsidRPr="002578BB" w:rsidRDefault="00051D3D" w:rsidP="00C6375A">
            <w:pPr>
              <w:pStyle w:val="TableBody"/>
              <w:jc w:val="right"/>
            </w:pPr>
            <w:r>
              <w:t>$</w:t>
            </w:r>
            <w:r w:rsidRPr="002578BB">
              <w:t>44.37</w:t>
            </w:r>
          </w:p>
        </w:tc>
        <w:tc>
          <w:tcPr>
            <w:tcW w:w="1234" w:type="dxa"/>
            <w:tcBorders>
              <w:left w:val="nil"/>
              <w:bottom w:val="single" w:sz="4" w:space="0" w:color="auto"/>
              <w:right w:val="nil"/>
            </w:tcBorders>
            <w:shd w:val="clear" w:color="auto" w:fill="D9E2F3"/>
          </w:tcPr>
          <w:p w14:paraId="65028B66" w14:textId="6FAB2558" w:rsidR="00051D3D" w:rsidRPr="002578BB" w:rsidRDefault="00051D3D" w:rsidP="00C6375A">
            <w:pPr>
              <w:pStyle w:val="TableBody"/>
              <w:jc w:val="right"/>
            </w:pPr>
            <w:r>
              <w:t>$</w:t>
            </w:r>
            <w:r w:rsidRPr="002578BB">
              <w:t>41.00</w:t>
            </w:r>
          </w:p>
        </w:tc>
        <w:tc>
          <w:tcPr>
            <w:tcW w:w="1234" w:type="dxa"/>
            <w:tcBorders>
              <w:left w:val="nil"/>
              <w:bottom w:val="single" w:sz="4" w:space="0" w:color="auto"/>
              <w:right w:val="nil"/>
            </w:tcBorders>
            <w:shd w:val="clear" w:color="auto" w:fill="D9E2F3"/>
          </w:tcPr>
          <w:p w14:paraId="2DAABCCB" w14:textId="13C48A05" w:rsidR="00051D3D" w:rsidRPr="002578BB" w:rsidRDefault="00051D3D" w:rsidP="00C6375A">
            <w:pPr>
              <w:pStyle w:val="TableBody"/>
              <w:jc w:val="right"/>
            </w:pPr>
            <w:r>
              <w:t>$</w:t>
            </w:r>
            <w:r w:rsidRPr="002578BB">
              <w:t>56.21</w:t>
            </w:r>
          </w:p>
        </w:tc>
      </w:tr>
      <w:tr w:rsidR="00051D3D" w:rsidRPr="002578BB" w14:paraId="5049874F" w14:textId="77777777" w:rsidTr="00495290">
        <w:tc>
          <w:tcPr>
            <w:tcW w:w="2335" w:type="dxa"/>
            <w:tcBorders>
              <w:left w:val="nil"/>
              <w:right w:val="nil"/>
            </w:tcBorders>
          </w:tcPr>
          <w:p w14:paraId="11ED396D" w14:textId="2C8D5684" w:rsidR="00051D3D" w:rsidRPr="002578BB" w:rsidRDefault="00051D3D" w:rsidP="00C6375A">
            <w:pPr>
              <w:pStyle w:val="Tableheading"/>
            </w:pPr>
            <w:r w:rsidRPr="002578BB">
              <w:t>Proportion of Total Goods and Services Expenditure – ACT</w:t>
            </w:r>
          </w:p>
        </w:tc>
        <w:tc>
          <w:tcPr>
            <w:tcW w:w="1233" w:type="dxa"/>
            <w:tcBorders>
              <w:left w:val="nil"/>
              <w:right w:val="nil"/>
            </w:tcBorders>
          </w:tcPr>
          <w:p w14:paraId="54C0C5DD" w14:textId="75EFAEC4" w:rsidR="00051D3D" w:rsidRPr="002578BB" w:rsidRDefault="00051D3D" w:rsidP="00C6375A">
            <w:pPr>
              <w:pStyle w:val="TableBody"/>
              <w:jc w:val="right"/>
            </w:pPr>
            <w:r w:rsidRPr="002578BB">
              <w:t>4.0</w:t>
            </w:r>
            <w:r>
              <w:t>%</w:t>
            </w:r>
          </w:p>
        </w:tc>
        <w:tc>
          <w:tcPr>
            <w:tcW w:w="1234" w:type="dxa"/>
            <w:tcBorders>
              <w:left w:val="nil"/>
              <w:right w:val="nil"/>
            </w:tcBorders>
          </w:tcPr>
          <w:p w14:paraId="0273A321" w14:textId="071083F3" w:rsidR="00051D3D" w:rsidRPr="002578BB" w:rsidRDefault="00051D3D" w:rsidP="00C6375A">
            <w:pPr>
              <w:pStyle w:val="TableBody"/>
              <w:jc w:val="right"/>
            </w:pPr>
            <w:r w:rsidRPr="002578BB">
              <w:t>*4.4</w:t>
            </w:r>
            <w:r>
              <w:t>%</w:t>
            </w:r>
          </w:p>
        </w:tc>
        <w:tc>
          <w:tcPr>
            <w:tcW w:w="1234" w:type="dxa"/>
            <w:tcBorders>
              <w:left w:val="nil"/>
              <w:right w:val="nil"/>
            </w:tcBorders>
          </w:tcPr>
          <w:p w14:paraId="2945D56C" w14:textId="1FA2C6BD" w:rsidR="00051D3D" w:rsidRPr="002578BB" w:rsidRDefault="00051D3D" w:rsidP="00C6375A">
            <w:pPr>
              <w:pStyle w:val="TableBody"/>
              <w:jc w:val="right"/>
            </w:pPr>
            <w:r w:rsidRPr="002578BB">
              <w:t>3.0</w:t>
            </w:r>
            <w:r>
              <w:t>%</w:t>
            </w:r>
          </w:p>
        </w:tc>
        <w:tc>
          <w:tcPr>
            <w:tcW w:w="1234" w:type="dxa"/>
            <w:tcBorders>
              <w:left w:val="nil"/>
              <w:right w:val="nil"/>
            </w:tcBorders>
          </w:tcPr>
          <w:p w14:paraId="77195F0F" w14:textId="42AF02BF" w:rsidR="00051D3D" w:rsidRPr="002578BB" w:rsidRDefault="00051D3D" w:rsidP="00C6375A">
            <w:pPr>
              <w:pStyle w:val="TableBody"/>
              <w:jc w:val="right"/>
            </w:pPr>
            <w:r w:rsidRPr="002578BB">
              <w:t>2.2</w:t>
            </w:r>
            <w:r>
              <w:t>%</w:t>
            </w:r>
          </w:p>
        </w:tc>
        <w:tc>
          <w:tcPr>
            <w:tcW w:w="1234" w:type="dxa"/>
            <w:tcBorders>
              <w:left w:val="nil"/>
              <w:right w:val="nil"/>
            </w:tcBorders>
          </w:tcPr>
          <w:p w14:paraId="2360B697" w14:textId="4F093B2B" w:rsidR="00051D3D" w:rsidRPr="002578BB" w:rsidRDefault="00051D3D" w:rsidP="00C6375A">
            <w:pPr>
              <w:pStyle w:val="TableBody"/>
              <w:jc w:val="right"/>
            </w:pPr>
            <w:r w:rsidRPr="002578BB">
              <w:t>2.4</w:t>
            </w:r>
            <w:r>
              <w:t>%</w:t>
            </w:r>
          </w:p>
        </w:tc>
      </w:tr>
      <w:tr w:rsidR="00051D3D" w:rsidRPr="002578BB" w14:paraId="7AE3EBD8" w14:textId="77777777" w:rsidTr="00495290">
        <w:tc>
          <w:tcPr>
            <w:tcW w:w="2335" w:type="dxa"/>
            <w:tcBorders>
              <w:left w:val="nil"/>
              <w:right w:val="nil"/>
            </w:tcBorders>
            <w:shd w:val="clear" w:color="auto" w:fill="D9E2F3"/>
          </w:tcPr>
          <w:p w14:paraId="2FD8D457" w14:textId="3B244DA4" w:rsidR="00051D3D" w:rsidRPr="002578BB" w:rsidRDefault="00051D3D" w:rsidP="00C6375A">
            <w:pPr>
              <w:pStyle w:val="Tableheading"/>
            </w:pPr>
            <w:r w:rsidRPr="002578BB">
              <w:t>Proportion of income</w:t>
            </w:r>
            <w:r w:rsidR="00B567C6">
              <w:t xml:space="preserve"> –</w:t>
            </w:r>
            <w:r w:rsidRPr="002578BB">
              <w:t xml:space="preserve"> Australia</w:t>
            </w:r>
          </w:p>
        </w:tc>
        <w:tc>
          <w:tcPr>
            <w:tcW w:w="1233" w:type="dxa"/>
            <w:tcBorders>
              <w:left w:val="nil"/>
              <w:right w:val="nil"/>
            </w:tcBorders>
            <w:shd w:val="clear" w:color="auto" w:fill="D9E2F3"/>
          </w:tcPr>
          <w:p w14:paraId="2C56E400" w14:textId="3B998C16" w:rsidR="00051D3D" w:rsidRPr="002578BB" w:rsidRDefault="00051D3D" w:rsidP="00C6375A">
            <w:pPr>
              <w:pStyle w:val="TableBody"/>
              <w:jc w:val="right"/>
            </w:pPr>
            <w:r w:rsidRPr="002578BB">
              <w:t>6.4</w:t>
            </w:r>
            <w:r>
              <w:t>%</w:t>
            </w:r>
          </w:p>
        </w:tc>
        <w:tc>
          <w:tcPr>
            <w:tcW w:w="1234" w:type="dxa"/>
            <w:tcBorders>
              <w:left w:val="nil"/>
              <w:right w:val="nil"/>
            </w:tcBorders>
            <w:shd w:val="clear" w:color="auto" w:fill="D9E2F3"/>
          </w:tcPr>
          <w:p w14:paraId="1C75980A" w14:textId="0C9FEA28" w:rsidR="00051D3D" w:rsidRPr="002578BB" w:rsidRDefault="00051D3D" w:rsidP="00C6375A">
            <w:pPr>
              <w:pStyle w:val="TableBody"/>
              <w:jc w:val="right"/>
            </w:pPr>
            <w:r w:rsidRPr="002578BB">
              <w:t>3.8</w:t>
            </w:r>
            <w:r>
              <w:t>%</w:t>
            </w:r>
          </w:p>
        </w:tc>
        <w:tc>
          <w:tcPr>
            <w:tcW w:w="1234" w:type="dxa"/>
            <w:tcBorders>
              <w:left w:val="nil"/>
              <w:right w:val="nil"/>
            </w:tcBorders>
            <w:shd w:val="clear" w:color="auto" w:fill="D9E2F3"/>
          </w:tcPr>
          <w:p w14:paraId="66566869" w14:textId="6DE6C2EA" w:rsidR="00051D3D" w:rsidRPr="002578BB" w:rsidRDefault="00051D3D" w:rsidP="00C6375A">
            <w:pPr>
              <w:pStyle w:val="TableBody"/>
              <w:jc w:val="right"/>
            </w:pPr>
            <w:r w:rsidRPr="002578BB">
              <w:t>2.8</w:t>
            </w:r>
            <w:r>
              <w:t>%</w:t>
            </w:r>
          </w:p>
        </w:tc>
        <w:tc>
          <w:tcPr>
            <w:tcW w:w="1234" w:type="dxa"/>
            <w:tcBorders>
              <w:left w:val="nil"/>
              <w:right w:val="nil"/>
            </w:tcBorders>
            <w:shd w:val="clear" w:color="auto" w:fill="D9E2F3"/>
          </w:tcPr>
          <w:p w14:paraId="1BF06781" w14:textId="48D088AA" w:rsidR="00051D3D" w:rsidRPr="002578BB" w:rsidRDefault="00051D3D" w:rsidP="00C6375A">
            <w:pPr>
              <w:pStyle w:val="TableBody"/>
              <w:jc w:val="right"/>
            </w:pPr>
            <w:r w:rsidRPr="002578BB">
              <w:t>2.3</w:t>
            </w:r>
            <w:r>
              <w:t>%</w:t>
            </w:r>
          </w:p>
        </w:tc>
        <w:tc>
          <w:tcPr>
            <w:tcW w:w="1234" w:type="dxa"/>
            <w:tcBorders>
              <w:left w:val="nil"/>
              <w:right w:val="nil"/>
            </w:tcBorders>
            <w:shd w:val="clear" w:color="auto" w:fill="D9E2F3"/>
          </w:tcPr>
          <w:p w14:paraId="70BF6DCB" w14:textId="0317ACC4" w:rsidR="00051D3D" w:rsidRPr="002578BB" w:rsidRDefault="00051D3D" w:rsidP="00C6375A">
            <w:pPr>
              <w:pStyle w:val="TableBody"/>
              <w:jc w:val="right"/>
            </w:pPr>
            <w:r w:rsidRPr="002578BB">
              <w:t>1.5</w:t>
            </w:r>
            <w:r>
              <w:t>%</w:t>
            </w:r>
          </w:p>
        </w:tc>
      </w:tr>
    </w:tbl>
    <w:p w14:paraId="641F26F9" w14:textId="7AC37121" w:rsidR="00051D3D" w:rsidRPr="0038744D" w:rsidRDefault="00051D3D" w:rsidP="00C6375A">
      <w:pPr>
        <w:pStyle w:val="Notes"/>
      </w:pPr>
      <w:r w:rsidRPr="0038744D">
        <w:t>* estimate has a relative standard error of 25% to 50% and should be used with caution</w:t>
      </w:r>
      <w:r w:rsidR="00B567C6">
        <w:t>.</w:t>
      </w:r>
      <w:r>
        <w:br/>
      </w:r>
      <w:r w:rsidRPr="0038744D">
        <w:t>Sources: ABS</w:t>
      </w:r>
      <w:r w:rsidRPr="0038744D">
        <w:rPr>
          <w:i/>
        </w:rPr>
        <w:t>, Household expenditure survey, Australia, Summary of results, 2015-16</w:t>
      </w:r>
      <w:r w:rsidRPr="0038744D">
        <w:t xml:space="preserve">, ABS, Canberra, 2017, Table 21.1  Household expenditure, Broad expenditure groups, Equivalised disposable household income quintiles, ACT; ACOSS, Brotherhood of St Laurence &amp; ANU Centre for Social Research and Methods, </w:t>
      </w:r>
      <w:r w:rsidRPr="0038744D">
        <w:rPr>
          <w:i/>
        </w:rPr>
        <w:t>Energy stressed in Australia</w:t>
      </w:r>
      <w:r w:rsidRPr="0038744D">
        <w:t>, ACOSS, Sydney, 2018, p. 4.</w:t>
      </w:r>
    </w:p>
    <w:p w14:paraId="5DCBC871" w14:textId="5BF286F2" w:rsidR="00051D3D" w:rsidRDefault="00051D3D" w:rsidP="0094435F">
      <w:pPr>
        <w:pStyle w:val="BodyText"/>
        <w:rPr>
          <w:b/>
        </w:rPr>
      </w:pPr>
      <w:r>
        <w:t>AER data from 2015-16 to 2017-28 shows that the proportion of income spent on electricity and gas by low-income households in the ACT has increased, and is higher than the proportion spent by middle-income households.</w:t>
      </w:r>
      <w:r>
        <w:rPr>
          <w:rStyle w:val="EndnoteReference"/>
          <w:bCs/>
        </w:rPr>
        <w:endnoteReference w:id="6"/>
      </w:r>
      <w:r>
        <w:t xml:space="preserve"> In 2017-18, low-income households in the ACT spent 4.7% of their income on electricity and 4.3% on gas compared to 2.0% and 2.5% in middle-income households.</w:t>
      </w:r>
      <w:r>
        <w:rPr>
          <w:rStyle w:val="EndnoteReference"/>
          <w:bCs/>
        </w:rPr>
        <w:endnoteReference w:id="7"/>
      </w:r>
    </w:p>
    <w:p w14:paraId="073C95B7" w14:textId="3589517B" w:rsidR="00495290" w:rsidRDefault="00051D3D" w:rsidP="00495290">
      <w:pPr>
        <w:pStyle w:val="Tabletitle"/>
      </w:pPr>
      <w:r w:rsidRPr="00BE0203">
        <w:t>Annual electricity bills for low income households</w:t>
      </w:r>
      <w:r>
        <w:t xml:space="preserve"> (with concession)</w:t>
      </w:r>
      <w:r w:rsidRPr="00BE0203">
        <w:t xml:space="preserve"> on a median market offer 2015-16 to 2017-18</w:t>
      </w:r>
      <w:r>
        <w:t>, ACT</w:t>
      </w:r>
    </w:p>
    <w:p w14:paraId="11CAC737" w14:textId="0344F376" w:rsidR="00051D3D" w:rsidRDefault="00051D3D" w:rsidP="0094435F">
      <w:r w:rsidRPr="0094435F">
        <w:rPr>
          <w:noProof/>
        </w:rPr>
        <w:drawing>
          <wp:inline distT="0" distB="0" distL="0" distR="0" wp14:anchorId="065724D3" wp14:editId="7385A61A">
            <wp:extent cx="5379697" cy="2915285"/>
            <wp:effectExtent l="0" t="0" r="0" b="0"/>
            <wp:docPr id="3" name="Picture 3" descr="Graph showing electricity bills for low income households, increasing from 2016 (about $1000) to 2018 (about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9907" r="9465" b="3112"/>
                    <a:stretch/>
                  </pic:blipFill>
                  <pic:spPr bwMode="auto">
                    <a:xfrm>
                      <a:off x="0" y="0"/>
                      <a:ext cx="5381625" cy="2916330"/>
                    </a:xfrm>
                    <a:prstGeom prst="rect">
                      <a:avLst/>
                    </a:prstGeom>
                    <a:noFill/>
                    <a:ln>
                      <a:noFill/>
                    </a:ln>
                    <a:extLst>
                      <a:ext uri="{53640926-AAD7-44D8-BBD7-CCE9431645EC}">
                        <a14:shadowObscured xmlns:a14="http://schemas.microsoft.com/office/drawing/2010/main"/>
                      </a:ext>
                    </a:extLst>
                  </pic:spPr>
                </pic:pic>
              </a:graphicData>
            </a:graphic>
          </wp:inline>
        </w:drawing>
      </w:r>
    </w:p>
    <w:p w14:paraId="606A7BDE" w14:textId="2CE88580" w:rsidR="00051D3D" w:rsidRDefault="00051D3D" w:rsidP="0094435F">
      <w:pPr>
        <w:pStyle w:val="Tabletitle"/>
      </w:pPr>
      <w:r w:rsidRPr="00E32E61">
        <w:lastRenderedPageBreak/>
        <w:t>Annual gas bills for low income households</w:t>
      </w:r>
      <w:r>
        <w:t xml:space="preserve"> (with concession) </w:t>
      </w:r>
      <w:r w:rsidRPr="00E32E61">
        <w:t>on a median market offer 2015-16 to 2017-18</w:t>
      </w:r>
      <w:r>
        <w:t>, ACT</w:t>
      </w:r>
    </w:p>
    <w:p w14:paraId="7AC256D9" w14:textId="7A992698" w:rsidR="00051D3D" w:rsidRDefault="00051D3D" w:rsidP="0094435F">
      <w:r w:rsidRPr="0094435F">
        <w:rPr>
          <w:noProof/>
        </w:rPr>
        <w:drawing>
          <wp:inline distT="0" distB="0" distL="0" distR="0" wp14:anchorId="327780CF" wp14:editId="3463B518">
            <wp:extent cx="5381625" cy="2592070"/>
            <wp:effectExtent l="0" t="0" r="9525" b="0"/>
            <wp:docPr id="5" name="Picture 5" descr="Graph showing gas bills for low income households, increasing from 2016 (about $1000) to 2018 (about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7164" r="7951"/>
                    <a:stretch/>
                  </pic:blipFill>
                  <pic:spPr bwMode="auto">
                    <a:xfrm>
                      <a:off x="0" y="0"/>
                      <a:ext cx="5381625" cy="2592070"/>
                    </a:xfrm>
                    <a:prstGeom prst="rect">
                      <a:avLst/>
                    </a:prstGeom>
                    <a:noFill/>
                    <a:ln>
                      <a:noFill/>
                    </a:ln>
                    <a:extLst>
                      <a:ext uri="{53640926-AAD7-44D8-BBD7-CCE9431645EC}">
                        <a14:shadowObscured xmlns:a14="http://schemas.microsoft.com/office/drawing/2010/main"/>
                      </a:ext>
                    </a:extLst>
                  </pic:spPr>
                </pic:pic>
              </a:graphicData>
            </a:graphic>
          </wp:inline>
        </w:drawing>
      </w:r>
    </w:p>
    <w:p w14:paraId="250236B8" w14:textId="1E261AA1" w:rsidR="00051D3D" w:rsidRPr="00705CF2" w:rsidRDefault="00051D3D" w:rsidP="0094435F">
      <w:pPr>
        <w:pStyle w:val="Notes"/>
      </w:pPr>
      <w:r w:rsidRPr="00705CF2">
        <w:t xml:space="preserve">Source: adapted from AER, </w:t>
      </w:r>
      <w:r w:rsidRPr="00705CF2">
        <w:rPr>
          <w:i/>
          <w:iCs/>
        </w:rPr>
        <w:t>Annual report on compliance and performance of the retail energy market 2017-18 - Chapter 1 2 3 5 and 6 tables and charts</w:t>
      </w:r>
      <w:r w:rsidRPr="00705CF2">
        <w:t>, AER, Melbourne, 2018, Figs 5.10 &amp; 5.14, viewed 19 June 2019, &lt;</w:t>
      </w:r>
      <w:hyperlink r:id="rId16" w:history="1">
        <w:r w:rsidRPr="0094435F">
          <w:rPr>
            <w:rStyle w:val="Hyperlink"/>
          </w:rPr>
          <w:t>https://www.aer.gov.au/retail-markets/performance-reporting/annual-report-on-compliance-and-performance-of-the-retail-energy-market-2017-18</w:t>
        </w:r>
      </w:hyperlink>
      <w:r w:rsidRPr="00705CF2">
        <w:t xml:space="preserve">&gt;. </w:t>
      </w:r>
    </w:p>
    <w:p w14:paraId="4E66EDA7" w14:textId="51C7D1D5" w:rsidR="00051D3D" w:rsidRDefault="00051D3D" w:rsidP="001C0C94">
      <w:pPr>
        <w:pStyle w:val="Heading1"/>
      </w:pPr>
      <w:r>
        <w:t>Poverty premiums and energy efficiency</w:t>
      </w:r>
    </w:p>
    <w:p w14:paraId="70470C86" w14:textId="12222816" w:rsidR="00051D3D" w:rsidRDefault="00051D3D" w:rsidP="00781D90">
      <w:pPr>
        <w:pStyle w:val="BodyText"/>
      </w:pPr>
      <w:r>
        <w:t>Being poor can cost extra money as people</w:t>
      </w:r>
      <w:r w:rsidRPr="00E15FAB">
        <w:t xml:space="preserve"> on low incomes have costs that others with more money and resources can buy their way out of, avoid or minimise</w:t>
      </w:r>
      <w:r>
        <w:t xml:space="preserve"> – this is referred to as a poverty premium.</w:t>
      </w:r>
      <w:r>
        <w:rPr>
          <w:rStyle w:val="EndnoteReference"/>
        </w:rPr>
        <w:endnoteReference w:id="8"/>
      </w:r>
      <w:r w:rsidRPr="00E15FAB">
        <w:t xml:space="preserve"> </w:t>
      </w:r>
    </w:p>
    <w:p w14:paraId="5B2E7268" w14:textId="16E52848" w:rsidR="00051D3D" w:rsidRPr="00630F2B" w:rsidRDefault="00051D3D" w:rsidP="00781D90">
      <w:pPr>
        <w:pStyle w:val="BodyText"/>
      </w:pPr>
      <w:r w:rsidRPr="00630F2B">
        <w:t>Disadvantage in the ACT tends to be hidden behind high averages across indicators such as income, education, and employment. Closer analysis reveals that a sizeable number of people in the ACT do experience poverty and disadvantage, with many experiencing multiple disadvantage.</w:t>
      </w:r>
      <w:r w:rsidRPr="00630F2B">
        <w:rPr>
          <w:rStyle w:val="EndnoteReference"/>
          <w:rFonts w:asciiTheme="minorHAnsi" w:hAnsiTheme="minorHAnsi" w:cstheme="minorHAnsi"/>
          <w:sz w:val="23"/>
          <w:szCs w:val="23"/>
        </w:rPr>
        <w:endnoteReference w:id="9"/>
      </w:r>
      <w:r w:rsidRPr="00630F2B">
        <w:t xml:space="preserve"> </w:t>
      </w:r>
      <w:r>
        <w:t>It is estimated that 25,800 people are living below the poverty line in the ACT</w:t>
      </w:r>
      <w:r w:rsidRPr="00630F2B">
        <w:t xml:space="preserve"> (representing </w:t>
      </w:r>
      <w:r>
        <w:t>7.7%</w:t>
      </w:r>
      <w:r w:rsidRPr="00630F2B">
        <w:t xml:space="preserve"> of the population).</w:t>
      </w:r>
      <w:r>
        <w:rPr>
          <w:rStyle w:val="EndnoteReference"/>
        </w:rPr>
        <w:endnoteReference w:id="10"/>
      </w:r>
      <w:r>
        <w:t xml:space="preserve"> </w:t>
      </w:r>
      <w:r w:rsidRPr="00630F2B">
        <w:t>The number of people who struggle with energy stress is likely to be much higher than the poverty figures.</w:t>
      </w:r>
      <w:r w:rsidRPr="00630F2B">
        <w:rPr>
          <w:rStyle w:val="EndnoteReference"/>
          <w:rFonts w:asciiTheme="minorHAnsi" w:hAnsiTheme="minorHAnsi" w:cstheme="minorHAnsi"/>
          <w:sz w:val="23"/>
          <w:szCs w:val="23"/>
        </w:rPr>
        <w:endnoteReference w:id="11"/>
      </w:r>
      <w:r w:rsidRPr="00630F2B">
        <w:t xml:space="preserve"> </w:t>
      </w:r>
      <w:r>
        <w:t>An estimated 37,000 people in the ACT live in households with an income below $500 per week.</w:t>
      </w:r>
      <w:r>
        <w:rPr>
          <w:rStyle w:val="EndnoteReference"/>
        </w:rPr>
        <w:endnoteReference w:id="12"/>
      </w:r>
    </w:p>
    <w:p w14:paraId="25BF6C62" w14:textId="22A35B5A" w:rsidR="00051D3D" w:rsidRDefault="00051D3D" w:rsidP="00C35EDE">
      <w:pPr>
        <w:pStyle w:val="BodyText"/>
      </w:pPr>
      <w:r>
        <w:t>One poverty premium that low-income households face is not being able to access discounts for paying on time or by direct debit. Digital exclusion (including not having the internet at home) may also prevent people from accessing online-only discounts. Additional costs may also be incurred if they are unable to pay their bill on time.</w:t>
      </w:r>
    </w:p>
    <w:p w14:paraId="1F0BA109" w14:textId="77777777" w:rsidR="00051D3D" w:rsidRDefault="00051D3D" w:rsidP="00266CAA">
      <w:pPr>
        <w:pStyle w:val="BodyText"/>
      </w:pPr>
      <w:r>
        <w:t xml:space="preserve">Another poverty premium arises where </w:t>
      </w:r>
      <w:r w:rsidRPr="00630F2B">
        <w:t xml:space="preserve">they are unable to save and </w:t>
      </w:r>
      <w:r>
        <w:t>often live</w:t>
      </w:r>
      <w:r w:rsidRPr="00630F2B">
        <w:t xml:space="preserve"> in housing that has poor energy efficiency</w:t>
      </w:r>
      <w:r>
        <w:t xml:space="preserve">. Low- and fixed-income renters or homeowners tend not to be able to afford </w:t>
      </w:r>
      <w:r w:rsidRPr="00630F2B">
        <w:t xml:space="preserve">investments in their housing to reduce energy </w:t>
      </w:r>
      <w:r>
        <w:t>usage</w:t>
      </w:r>
      <w:r w:rsidRPr="00630F2B">
        <w:t>.</w:t>
      </w:r>
      <w:r>
        <w:t xml:space="preserve"> Renters are reliant on property owners’ willingness and ability to approve or invest in such improvements. The ACT Government and ACTCOSS have produced a factsheet for landlords and property managers on reducing energy and water costs in rental properties.</w:t>
      </w:r>
      <w:r>
        <w:rPr>
          <w:rStyle w:val="EndnoteReference"/>
        </w:rPr>
        <w:endnoteReference w:id="13"/>
      </w:r>
    </w:p>
    <w:p w14:paraId="0BD4BFAC" w14:textId="5148F46A" w:rsidR="00051D3D" w:rsidRDefault="00051D3D" w:rsidP="006878AC">
      <w:pPr>
        <w:pStyle w:val="BodyText"/>
      </w:pPr>
      <w:r>
        <w:t>A 2018 report from Better Renting estimated the cost of poor energy efficiency in rental housing in the ACT:</w:t>
      </w:r>
    </w:p>
    <w:p w14:paraId="1FE7D93F" w14:textId="3EEBDD37" w:rsidR="00051D3D" w:rsidRPr="00630F2B" w:rsidRDefault="00051D3D" w:rsidP="006878AC">
      <w:pPr>
        <w:pStyle w:val="BlockText"/>
        <w:rPr>
          <w:rFonts w:cstheme="minorHAnsi"/>
          <w:sz w:val="23"/>
          <w:szCs w:val="23"/>
        </w:rPr>
      </w:pPr>
      <w:r>
        <w:t xml:space="preserve">For an average-sized property with an </w:t>
      </w:r>
      <w:proofErr w:type="spellStart"/>
      <w:r>
        <w:t>EER</w:t>
      </w:r>
      <w:proofErr w:type="spellEnd"/>
      <w:r>
        <w:t xml:space="preserve"> of 0, it would cost $2,800 to produce the same amount of heat that would be free in a property with an </w:t>
      </w:r>
      <w:proofErr w:type="spellStart"/>
      <w:r>
        <w:t>EER</w:t>
      </w:r>
      <w:proofErr w:type="spellEnd"/>
      <w:r>
        <w:t xml:space="preserve"> of 5. To put it another way, renters in such a property are being frozen out of free heat </w:t>
      </w:r>
      <w:r>
        <w:lastRenderedPageBreak/>
        <w:t xml:space="preserve">equivalent to running two 2000W electric heaters 24/7 from mid-May to September. We estimate that the ACT has roughly 24,000 rental properties that would attain an </w:t>
      </w:r>
      <w:proofErr w:type="spellStart"/>
      <w:r>
        <w:t>EER</w:t>
      </w:r>
      <w:proofErr w:type="spellEnd"/>
      <w:r>
        <w:t xml:space="preserve"> lower than 5. With an average household burden of just over $1,600, the total burden borne by all ACT renters living in energy-deficient properties is equivalent to over $39,000,000.</w:t>
      </w:r>
      <w:r>
        <w:rPr>
          <w:rStyle w:val="EndnoteReference"/>
          <w:rFonts w:cstheme="minorHAnsi"/>
          <w:sz w:val="23"/>
          <w:szCs w:val="23"/>
        </w:rPr>
        <w:endnoteReference w:id="14"/>
      </w:r>
    </w:p>
    <w:p w14:paraId="76C0FD9A" w14:textId="339BF1A8" w:rsidR="00051D3D" w:rsidRPr="00630F2B" w:rsidRDefault="00051D3D" w:rsidP="00026643">
      <w:pPr>
        <w:pStyle w:val="BodyText"/>
      </w:pPr>
      <w:r>
        <w:t>The Energy Efficiency Improvement Scheme (</w:t>
      </w:r>
      <w:proofErr w:type="spellStart"/>
      <w:r>
        <w:t>EEIS</w:t>
      </w:r>
      <w:proofErr w:type="spellEnd"/>
      <w:r>
        <w:t xml:space="preserve">) is an ACT Government initiative that </w:t>
      </w:r>
      <w:r w:rsidRPr="00362D9A">
        <w:t>places a requirement on electricity retailers to achieve energy savings in households and small-to-medium businesses.</w:t>
      </w:r>
      <w:r>
        <w:rPr>
          <w:rStyle w:val="EndnoteReference"/>
        </w:rPr>
        <w:endnoteReference w:id="15"/>
      </w:r>
      <w:r w:rsidRPr="00362D9A">
        <w:t xml:space="preserve"> A target has been placed on </w:t>
      </w:r>
      <w:r>
        <w:t xml:space="preserve">these retailers </w:t>
      </w:r>
      <w:r w:rsidRPr="00362D9A">
        <w:t>to ensure a proportion of the savings are delivered to low</w:t>
      </w:r>
      <w:r>
        <w:t>-</w:t>
      </w:r>
      <w:r w:rsidRPr="00362D9A">
        <w:t>income households.</w:t>
      </w:r>
      <w:r>
        <w:rPr>
          <w:rStyle w:val="EndnoteReference"/>
        </w:rPr>
        <w:endnoteReference w:id="16"/>
      </w:r>
      <w:r>
        <w:t xml:space="preserve"> T</w:t>
      </w:r>
      <w:r w:rsidRPr="00A06902">
        <w:t>o ensure that low</w:t>
      </w:r>
      <w:r>
        <w:t>-</w:t>
      </w:r>
      <w:r w:rsidRPr="00A06902">
        <w:t>inc</w:t>
      </w:r>
      <w:r>
        <w:t>ome households can benefit</w:t>
      </w:r>
      <w:r w:rsidRPr="00A06902">
        <w:t xml:space="preserve">, Tier 1 retailers </w:t>
      </w:r>
      <w:r>
        <w:t>(</w:t>
      </w:r>
      <w:proofErr w:type="spellStart"/>
      <w:r>
        <w:t>ActewAGL</w:t>
      </w:r>
      <w:proofErr w:type="spellEnd"/>
      <w:r>
        <w:t xml:space="preserve">) </w:t>
      </w:r>
      <w:r w:rsidRPr="00A06902">
        <w:t>are obliged to deliver a proportion of their energy saving obligations from eligible activities in priority households</w:t>
      </w:r>
      <w:r>
        <w:t>.</w:t>
      </w:r>
      <w:r w:rsidRPr="0047479B">
        <w:t xml:space="preserve"> </w:t>
      </w:r>
      <w:r w:rsidRPr="00314F8F">
        <w:t>The priority household target was set at 20% from 2017 to 2019. This has been increased to 30% for 2020 to encourage retailers to provide more opportunity for low-income households to participate in the scheme.</w:t>
      </w:r>
      <w:r>
        <w:t xml:space="preserve"> </w:t>
      </w:r>
      <w:r w:rsidRPr="00A06902">
        <w:rPr>
          <w:color w:val="000000"/>
        </w:rPr>
        <w:t xml:space="preserve">An eligible priority household is defined in the dictionaries of </w:t>
      </w:r>
      <w:r w:rsidRPr="00BE5C82">
        <w:t xml:space="preserve">the </w:t>
      </w:r>
      <w:r w:rsidRPr="00BE5C82">
        <w:rPr>
          <w:rStyle w:val="Emphasis"/>
        </w:rPr>
        <w:t>Energy Efficiency (Cost of Living) Improvement Act 2012</w:t>
      </w:r>
      <w:r w:rsidRPr="00BE5C82">
        <w:t xml:space="preserve"> (ACT).</w:t>
      </w:r>
      <w:r w:rsidRPr="00BE5C82">
        <w:rPr>
          <w:rStyle w:val="EndnoteReference"/>
        </w:rPr>
        <w:endnoteReference w:id="17"/>
      </w:r>
      <w:r w:rsidRPr="00BE5C82">
        <w:t xml:space="preserve"> </w:t>
      </w:r>
      <w:r>
        <w:t xml:space="preserve">A total of 19,381 priority households received </w:t>
      </w:r>
      <w:proofErr w:type="spellStart"/>
      <w:r>
        <w:t>EEIS</w:t>
      </w:r>
      <w:proofErr w:type="spellEnd"/>
      <w:r>
        <w:t xml:space="preserve"> activities from 2013 to 2016.</w:t>
      </w:r>
      <w:r>
        <w:rPr>
          <w:rStyle w:val="EndnoteReference"/>
        </w:rPr>
        <w:endnoteReference w:id="18"/>
      </w:r>
      <w:r>
        <w:t xml:space="preserve"> Commentary in advance of the ACT Budget 2016-17 stated that ‘concessions play an important role in supporting around 30,000 Canberra households, and the need for support is increasing’.</w:t>
      </w:r>
      <w:r>
        <w:rPr>
          <w:rStyle w:val="EndnoteReference"/>
          <w:rFonts w:cstheme="minorHAnsi"/>
          <w:sz w:val="23"/>
          <w:szCs w:val="23"/>
        </w:rPr>
        <w:endnoteReference w:id="19"/>
      </w:r>
      <w:r>
        <w:t xml:space="preserve"> With approximately 156,000 households in the ACT in 2017, over 19% of Canberra households fit the definition of </w:t>
      </w:r>
      <w:proofErr w:type="spellStart"/>
      <w:r>
        <w:t>EEIS</w:t>
      </w:r>
      <w:proofErr w:type="spellEnd"/>
      <w:r>
        <w:t xml:space="preserve"> priority households. This suggests that about two-thirds of ACT priority households had received </w:t>
      </w:r>
      <w:proofErr w:type="spellStart"/>
      <w:r>
        <w:t>EEIS</w:t>
      </w:r>
      <w:proofErr w:type="spellEnd"/>
      <w:r>
        <w:t xml:space="preserve"> benefits by 2017.</w:t>
      </w:r>
      <w:r>
        <w:rPr>
          <w:rStyle w:val="EndnoteReference"/>
        </w:rPr>
        <w:endnoteReference w:id="20"/>
      </w:r>
      <w:r w:rsidRPr="009E21EE">
        <w:t xml:space="preserve"> </w:t>
      </w:r>
      <w:r>
        <w:t xml:space="preserve">The 2014 review of the </w:t>
      </w:r>
      <w:proofErr w:type="spellStart"/>
      <w:r>
        <w:t>EEIS</w:t>
      </w:r>
      <w:proofErr w:type="spellEnd"/>
      <w:r w:rsidRPr="00630F2B">
        <w:t xml:space="preserve"> confirmed average savings </w:t>
      </w:r>
      <w:r>
        <w:t xml:space="preserve">through the </w:t>
      </w:r>
      <w:proofErr w:type="spellStart"/>
      <w:r>
        <w:t>EEIS</w:t>
      </w:r>
      <w:proofErr w:type="spellEnd"/>
      <w:r>
        <w:t xml:space="preserve"> </w:t>
      </w:r>
      <w:r w:rsidRPr="00630F2B">
        <w:t xml:space="preserve">of $318 per year </w:t>
      </w:r>
      <w:r>
        <w:t xml:space="preserve">with </w:t>
      </w:r>
      <w:r w:rsidRPr="00630F2B">
        <w:t>total savings of $1</w:t>
      </w:r>
      <w:r>
        <w:t>,</w:t>
      </w:r>
      <w:r w:rsidRPr="00630F2B">
        <w:t>614 per household</w:t>
      </w:r>
      <w:r>
        <w:t>.</w:t>
      </w:r>
      <w:r>
        <w:rPr>
          <w:rStyle w:val="EndnoteReference"/>
          <w:rFonts w:cstheme="minorHAnsi"/>
          <w:sz w:val="23"/>
          <w:szCs w:val="23"/>
        </w:rPr>
        <w:endnoteReference w:id="21"/>
      </w:r>
    </w:p>
    <w:p w14:paraId="65CBFFEB" w14:textId="4CA34DF9" w:rsidR="00051D3D" w:rsidRDefault="00051D3D" w:rsidP="00EC006C">
      <w:pPr>
        <w:pStyle w:val="Heading1"/>
      </w:pPr>
      <w:r>
        <w:t>Energy hardship</w:t>
      </w:r>
    </w:p>
    <w:p w14:paraId="4F12284E" w14:textId="24D0FB68" w:rsidR="00051D3D" w:rsidRDefault="00051D3D" w:rsidP="00DC54FD">
      <w:pPr>
        <w:pStyle w:val="BodyText"/>
      </w:pPr>
      <w:r w:rsidRPr="00A862A3">
        <w:t xml:space="preserve">Households that are struggling to pay their bills will often pay late and/or </w:t>
      </w:r>
      <w:proofErr w:type="gramStart"/>
      <w:r w:rsidRPr="00A862A3">
        <w:t>enter into</w:t>
      </w:r>
      <w:proofErr w:type="gramEnd"/>
      <w:r w:rsidRPr="00A862A3">
        <w:t xml:space="preserve"> debt if they do not have money available when their bills fall due</w:t>
      </w:r>
      <w:r>
        <w:t xml:space="preserve">. </w:t>
      </w:r>
      <w:r w:rsidRPr="00A862A3">
        <w:t>The AER monitors figures on the energy-related debt that results from customers not paying their bills on time</w:t>
      </w:r>
      <w:r>
        <w:t xml:space="preserve">. The AER reported that in the ACT in 2017-18, 3.2% of non-hardship residential electricity customers were in debt, with an average debt of </w:t>
      </w:r>
      <w:r w:rsidRPr="00A33194">
        <w:t>$8</w:t>
      </w:r>
      <w:r>
        <w:t>86.09. The proportion of non-hardship residential gas customers in debt was 3.8%, with an average debt of $628.75.</w:t>
      </w:r>
      <w:r w:rsidRPr="00036830">
        <w:rPr>
          <w:rStyle w:val="EndnoteReference"/>
        </w:rPr>
        <w:endnoteReference w:id="22"/>
      </w:r>
      <w:r>
        <w:t xml:space="preserve"> </w:t>
      </w:r>
    </w:p>
    <w:p w14:paraId="05B1F77C" w14:textId="0805F3F2" w:rsidR="00051D3D" w:rsidRDefault="00051D3D" w:rsidP="00111929">
      <w:pPr>
        <w:pStyle w:val="BodyText"/>
      </w:pPr>
      <w:r w:rsidRPr="00630F2B">
        <w:t xml:space="preserve">The AER </w:t>
      </w:r>
      <w:r>
        <w:t>data as at</w:t>
      </w:r>
      <w:r w:rsidRPr="00630F2B">
        <w:t xml:space="preserve"> </w:t>
      </w:r>
      <w:r>
        <w:t>June 2018</w:t>
      </w:r>
      <w:r w:rsidRPr="00630F2B">
        <w:t xml:space="preserve"> show</w:t>
      </w:r>
      <w:r>
        <w:t>s</w:t>
      </w:r>
      <w:r w:rsidRPr="00630F2B">
        <w:t xml:space="preserve"> that </w:t>
      </w:r>
      <w:r>
        <w:t>987 (0.6%)</w:t>
      </w:r>
      <w:r w:rsidRPr="00630F2B">
        <w:t xml:space="preserve"> </w:t>
      </w:r>
      <w:r>
        <w:t>residential electricity customers and 636 (0.5%) residential gas customers</w:t>
      </w:r>
      <w:r w:rsidRPr="00630F2B">
        <w:t xml:space="preserve"> were accessing hardship programs</w:t>
      </w:r>
      <w:r>
        <w:t>.</w:t>
      </w:r>
      <w:r w:rsidRPr="004D4B47">
        <w:rPr>
          <w:rStyle w:val="EndnoteReference"/>
        </w:rPr>
        <w:endnoteReference w:id="23"/>
      </w:r>
      <w:r>
        <w:t xml:space="preserve"> The ACT </w:t>
      </w:r>
      <w:r w:rsidRPr="00630F2B">
        <w:t>rate of hardship assistance for electricity is the lowest in the N</w:t>
      </w:r>
      <w:r>
        <w:t>ational Electricity Market.</w:t>
      </w:r>
      <w:r>
        <w:rPr>
          <w:rStyle w:val="EndnoteReference"/>
        </w:rPr>
        <w:endnoteReference w:id="24"/>
      </w:r>
      <w:r w:rsidRPr="00630F2B">
        <w:t xml:space="preserve"> </w:t>
      </w:r>
      <w:r>
        <w:t xml:space="preserve">In 2017-18, the average debt on entry to hardship schemes was </w:t>
      </w:r>
      <w:r w:rsidRPr="00603DBE">
        <w:t xml:space="preserve">$1,617.33 </w:t>
      </w:r>
      <w:r>
        <w:t xml:space="preserve">for electricity and </w:t>
      </w:r>
      <w:r w:rsidRPr="00A1533A">
        <w:t xml:space="preserve">$1,448.53 </w:t>
      </w:r>
      <w:r>
        <w:t>for gas.</w:t>
      </w:r>
      <w:r>
        <w:rPr>
          <w:rStyle w:val="EndnoteReference"/>
        </w:rPr>
        <w:endnoteReference w:id="25"/>
      </w:r>
      <w:r>
        <w:t xml:space="preserve"> The hardship programs being referred to in these statistics are delivered by the three energy retailers in the ACT: </w:t>
      </w:r>
      <w:proofErr w:type="spellStart"/>
      <w:r>
        <w:t>ActewAGL</w:t>
      </w:r>
      <w:proofErr w:type="spellEnd"/>
      <w:r>
        <w:t>, Energy Australia and Origin Energy.</w:t>
      </w:r>
    </w:p>
    <w:p w14:paraId="418B8319" w14:textId="53953AD9" w:rsidR="00051D3D" w:rsidRPr="0003616E" w:rsidRDefault="00051D3D" w:rsidP="00111929">
      <w:pPr>
        <w:pStyle w:val="BodyText"/>
      </w:pPr>
      <w:r>
        <w:t>The AER data</w:t>
      </w:r>
      <w:r w:rsidRPr="00630F2B">
        <w:t xml:space="preserve"> do</w:t>
      </w:r>
      <w:r>
        <w:t>es</w:t>
      </w:r>
      <w:r w:rsidRPr="00630F2B">
        <w:t xml:space="preserve"> not take account of those being assisted through the ACT Civil and Administrative </w:t>
      </w:r>
      <w:r>
        <w:t>T</w:t>
      </w:r>
      <w:r w:rsidRPr="00630F2B">
        <w:t xml:space="preserve">ribunal </w:t>
      </w:r>
      <w:r>
        <w:t>(</w:t>
      </w:r>
      <w:proofErr w:type="spellStart"/>
      <w:r>
        <w:t>ACAT</w:t>
      </w:r>
      <w:proofErr w:type="spellEnd"/>
      <w:r>
        <w:t xml:space="preserve">) </w:t>
      </w:r>
      <w:r w:rsidRPr="007444E0">
        <w:rPr>
          <w:rFonts w:cstheme="minorHAnsi"/>
          <w:sz w:val="23"/>
          <w:szCs w:val="23"/>
        </w:rPr>
        <w:t>Energy and Water Hardship Program</w:t>
      </w:r>
      <w:r>
        <w:t>.</w:t>
      </w:r>
      <w:r>
        <w:rPr>
          <w:rStyle w:val="EndnoteReference"/>
        </w:rPr>
        <w:endnoteReference w:id="26"/>
      </w:r>
      <w:r>
        <w:t xml:space="preserve"> </w:t>
      </w:r>
      <w:r w:rsidRPr="0003616E">
        <w:t xml:space="preserve">As </w:t>
      </w:r>
      <w:r>
        <w:t>at</w:t>
      </w:r>
      <w:r w:rsidRPr="0003616E">
        <w:t xml:space="preserve"> 30 April </w:t>
      </w:r>
      <w:r>
        <w:t xml:space="preserve">2018, the program had the following number of households registered: </w:t>
      </w:r>
    </w:p>
    <w:p w14:paraId="203136E4" w14:textId="2D68AA97" w:rsidR="00051D3D" w:rsidRPr="0003616E" w:rsidRDefault="00051D3D" w:rsidP="00E77C45">
      <w:pPr>
        <w:pStyle w:val="ListBullet"/>
      </w:pPr>
      <w:r w:rsidRPr="0003616E">
        <w:t>Electricity:</w:t>
      </w:r>
      <w:r>
        <w:t xml:space="preserve"> </w:t>
      </w:r>
      <w:r w:rsidRPr="0003616E">
        <w:t>571</w:t>
      </w:r>
      <w:r>
        <w:t xml:space="preserve"> households (this is a </w:t>
      </w:r>
      <w:r w:rsidRPr="007B5B15">
        <w:rPr>
          <w:b/>
          <w:i/>
        </w:rPr>
        <w:t>decrease</w:t>
      </w:r>
      <w:r>
        <w:t xml:space="preserve"> in numbers since December 2016 when 622 households were accessing the program)</w:t>
      </w:r>
    </w:p>
    <w:p w14:paraId="1B139662" w14:textId="7DE1C9D1" w:rsidR="00051D3D" w:rsidRPr="0003616E" w:rsidRDefault="00051D3D" w:rsidP="00E77C45">
      <w:pPr>
        <w:pStyle w:val="ListBullet"/>
      </w:pPr>
      <w:r w:rsidRPr="0003616E">
        <w:t>Gas:</w:t>
      </w:r>
      <w:r>
        <w:t xml:space="preserve"> </w:t>
      </w:r>
      <w:r w:rsidRPr="0003616E">
        <w:t>279</w:t>
      </w:r>
      <w:r>
        <w:t xml:space="preserve"> households (this is an </w:t>
      </w:r>
      <w:r w:rsidRPr="007B5B15">
        <w:rPr>
          <w:b/>
          <w:i/>
        </w:rPr>
        <w:t>increase</w:t>
      </w:r>
      <w:r>
        <w:t xml:space="preserve"> in numbers since December 2016 when 128 households were accessing the program).</w:t>
      </w:r>
      <w:r>
        <w:rPr>
          <w:rStyle w:val="EndnoteReference"/>
        </w:rPr>
        <w:endnoteReference w:id="27"/>
      </w:r>
    </w:p>
    <w:p w14:paraId="220282E8" w14:textId="77777777" w:rsidR="003B2310" w:rsidRDefault="003B2310">
      <w:pPr>
        <w:spacing w:after="200" w:line="276" w:lineRule="auto"/>
        <w:rPr>
          <w:sz w:val="21"/>
        </w:rPr>
      </w:pPr>
      <w:r>
        <w:br w:type="page"/>
      </w:r>
    </w:p>
    <w:p w14:paraId="26D0AE12" w14:textId="0843899A" w:rsidR="00051D3D" w:rsidRPr="0003616E" w:rsidRDefault="00051D3D" w:rsidP="00E77C45">
      <w:pPr>
        <w:pStyle w:val="BodyText"/>
      </w:pPr>
      <w:proofErr w:type="spellStart"/>
      <w:r>
        <w:lastRenderedPageBreak/>
        <w:t>ACAT</w:t>
      </w:r>
      <w:proofErr w:type="spellEnd"/>
      <w:r>
        <w:t xml:space="preserve"> n</w:t>
      </w:r>
      <w:r w:rsidRPr="0003616E">
        <w:t>ew application</w:t>
      </w:r>
      <w:r>
        <w:t>s</w:t>
      </w:r>
      <w:r w:rsidRPr="0003616E">
        <w:t xml:space="preserve"> in the 2017-18 financial year to 30 April </w:t>
      </w:r>
      <w:r>
        <w:t>2018:</w:t>
      </w:r>
    </w:p>
    <w:p w14:paraId="2EB29FB0" w14:textId="0A79BBF7" w:rsidR="00051D3D" w:rsidRPr="0003616E" w:rsidRDefault="00051D3D" w:rsidP="00E77C45">
      <w:pPr>
        <w:pStyle w:val="ListBullet"/>
      </w:pPr>
      <w:r w:rsidRPr="0003616E">
        <w:t>Electricity</w:t>
      </w:r>
      <w:r>
        <w:t xml:space="preserve">: </w:t>
      </w:r>
      <w:r w:rsidRPr="0003616E">
        <w:t>267</w:t>
      </w:r>
      <w:r>
        <w:t xml:space="preserve"> households </w:t>
      </w:r>
    </w:p>
    <w:p w14:paraId="15A4F0CA" w14:textId="5A38C4B3" w:rsidR="00051D3D" w:rsidRDefault="00051D3D" w:rsidP="00E77C45">
      <w:pPr>
        <w:pStyle w:val="ListBullet"/>
      </w:pPr>
      <w:r w:rsidRPr="0003616E">
        <w:t>Gas:</w:t>
      </w:r>
      <w:r>
        <w:t xml:space="preserve"> </w:t>
      </w:r>
      <w:r w:rsidRPr="0003616E">
        <w:t>199</w:t>
      </w:r>
      <w:r>
        <w:t xml:space="preserve"> households.</w:t>
      </w:r>
      <w:r>
        <w:rPr>
          <w:rStyle w:val="EndnoteReference"/>
        </w:rPr>
        <w:endnoteReference w:id="28"/>
      </w:r>
    </w:p>
    <w:p w14:paraId="0CD16D2B" w14:textId="0DD60492" w:rsidR="00051D3D" w:rsidRPr="004C1F69" w:rsidRDefault="00051D3D" w:rsidP="004C1F69">
      <w:pPr>
        <w:pStyle w:val="BodyText"/>
        <w:rPr>
          <w:highlight w:val="yellow"/>
        </w:rPr>
      </w:pPr>
      <w:r>
        <w:t xml:space="preserve">When people are unable to pay their energy bills, one of the more serious outcomes is disconnection. </w:t>
      </w:r>
      <w:r w:rsidRPr="00630F2B">
        <w:t>The Australian Energy Regulator (AER) reports that</w:t>
      </w:r>
      <w:r>
        <w:t xml:space="preserve"> in</w:t>
      </w:r>
      <w:r w:rsidRPr="00630F2B">
        <w:t xml:space="preserve"> </w:t>
      </w:r>
      <w:r>
        <w:t>2017-18</w:t>
      </w:r>
      <w:r w:rsidRPr="00630F2B">
        <w:t xml:space="preserve"> there were </w:t>
      </w:r>
      <w:r>
        <w:t>501</w:t>
      </w:r>
      <w:r w:rsidRPr="00630F2B">
        <w:t xml:space="preserve"> </w:t>
      </w:r>
      <w:r>
        <w:t xml:space="preserve">(0.29%) </w:t>
      </w:r>
      <w:r w:rsidRPr="00630F2B">
        <w:t>residential electricity and 4</w:t>
      </w:r>
      <w:r>
        <w:t>3</w:t>
      </w:r>
      <w:r w:rsidRPr="00630F2B">
        <w:t>3</w:t>
      </w:r>
      <w:r>
        <w:t xml:space="preserve"> (0.36%)</w:t>
      </w:r>
      <w:r w:rsidRPr="00630F2B">
        <w:t xml:space="preserve"> gas customers in the ACT disconnected for non-payment.</w:t>
      </w:r>
      <w:r w:rsidRPr="00F51F06">
        <w:rPr>
          <w:rStyle w:val="EndnoteReference"/>
        </w:rPr>
        <w:endnoteReference w:id="29"/>
      </w:r>
      <w:r w:rsidRPr="00630F2B">
        <w:t xml:space="preserve"> </w:t>
      </w:r>
      <w:r>
        <w:t>A study of electricity disconnections in South Australia, Victoria, New South Wales and South East Queensland found that low-to-median income families and small households experiencing housing stress or greater transport costs were particularly vulnerable to being disconnected.</w:t>
      </w:r>
      <w:r w:rsidRPr="00281E2D">
        <w:rPr>
          <w:rStyle w:val="EndnoteReference"/>
          <w:rFonts w:cstheme="minorHAnsi"/>
          <w:sz w:val="23"/>
          <w:szCs w:val="23"/>
        </w:rPr>
        <w:endnoteReference w:id="30"/>
      </w:r>
    </w:p>
    <w:p w14:paraId="0F13E989" w14:textId="62088B20" w:rsidR="00051D3D" w:rsidRDefault="00051D3D" w:rsidP="00603E4A">
      <w:pPr>
        <w:pStyle w:val="Heading1"/>
      </w:pPr>
      <w:r>
        <w:t>Hardship programs, payment plans and concessions</w:t>
      </w:r>
    </w:p>
    <w:p w14:paraId="7DFF720F" w14:textId="3212A6B3" w:rsidR="00051D3D" w:rsidRDefault="00051D3D" w:rsidP="00C51832">
      <w:pPr>
        <w:pStyle w:val="BodyText"/>
      </w:pPr>
      <w:r>
        <w:t xml:space="preserve">Hardship programs are an important means of avoiding disconnection for those struggling to pay their energy bills. </w:t>
      </w:r>
      <w:r w:rsidRPr="00011743">
        <w:t>Under the Retail Law, authorised retailers must develop, maintain and implement customer hardship policies for their residential customers</w:t>
      </w:r>
      <w:r>
        <w:t xml:space="preserve"> – these must be in accordance with the </w:t>
      </w:r>
      <w:proofErr w:type="spellStart"/>
      <w:r>
        <w:t>AER’s</w:t>
      </w:r>
      <w:proofErr w:type="spellEnd"/>
      <w:r>
        <w:t xml:space="preserve"> </w:t>
      </w:r>
      <w:r w:rsidRPr="00E9671A">
        <w:rPr>
          <w:i/>
          <w:iCs/>
        </w:rPr>
        <w:t>Customer Hardship Policy Guideline</w:t>
      </w:r>
      <w:r w:rsidRPr="00011743">
        <w:t>.</w:t>
      </w:r>
      <w:r>
        <w:rPr>
          <w:rStyle w:val="EndnoteReference"/>
        </w:rPr>
        <w:endnoteReference w:id="31"/>
      </w:r>
      <w:r>
        <w:t xml:space="preserve"> E</w:t>
      </w:r>
      <w:r w:rsidRPr="00934892">
        <w:t>nergy retailers must publish their customer hardship policies on their websites.</w:t>
      </w:r>
      <w:r>
        <w:t xml:space="preserve"> </w:t>
      </w:r>
    </w:p>
    <w:p w14:paraId="35423EF0" w14:textId="721DD535" w:rsidR="00051D3D" w:rsidRDefault="00051D3D" w:rsidP="00C51832">
      <w:pPr>
        <w:pStyle w:val="BodyText"/>
      </w:pPr>
      <w:r w:rsidRPr="00C51A99">
        <w:t>Payment plans are one of the main ways that energy retailers can help customers who are experiencing financial difficulties to better manage their energy bills. Under the National Energy Retail Law and Rules</w:t>
      </w:r>
      <w:r w:rsidR="00023786">
        <w:t>,</w:t>
      </w:r>
      <w:r w:rsidRPr="00C51A99">
        <w:t xml:space="preserve"> energy retailers must establish payment plans by having regard to a customer’s capacity to pay, any amount they owe, and how much energy they expect to use over the next year.</w:t>
      </w:r>
      <w:r>
        <w:t xml:space="preserve"> ACT energy retailers have adopted the </w:t>
      </w:r>
      <w:proofErr w:type="spellStart"/>
      <w:r>
        <w:t>AER’s</w:t>
      </w:r>
      <w:proofErr w:type="spellEnd"/>
      <w:r>
        <w:t xml:space="preserve"> </w:t>
      </w:r>
      <w:r w:rsidRPr="00227EE0">
        <w:rPr>
          <w:i/>
          <w:iCs/>
        </w:rPr>
        <w:t>Sustainable Payment Plans Framework</w:t>
      </w:r>
      <w:r>
        <w:t xml:space="preserve"> which </w:t>
      </w:r>
      <w:r w:rsidRPr="00227EE0">
        <w:t>is designed to help residential customers and retailers agree to payment plans that are sustainable and affordable.</w:t>
      </w:r>
      <w:r>
        <w:rPr>
          <w:rStyle w:val="EndnoteReference"/>
        </w:rPr>
        <w:endnoteReference w:id="32"/>
      </w:r>
    </w:p>
    <w:p w14:paraId="5F0618AF" w14:textId="2FD399E1" w:rsidR="00051D3D" w:rsidRDefault="00051D3D" w:rsidP="001055CD">
      <w:pPr>
        <w:pStyle w:val="BodyText"/>
      </w:pPr>
      <w:r>
        <w:t>Your</w:t>
      </w:r>
      <w:r w:rsidRPr="00494C86">
        <w:t xml:space="preserve"> retailer cannot disconnect you if you are actively participating in their hardship program or if you are sticking to your agreed payment plan.</w:t>
      </w:r>
      <w:r>
        <w:t xml:space="preserve"> </w:t>
      </w:r>
      <w:r w:rsidRPr="0087190A">
        <w:t>Disconnection of your energy supply should be a last resort option for your energy retailer.</w:t>
      </w:r>
      <w:r>
        <w:rPr>
          <w:rStyle w:val="EndnoteReference"/>
        </w:rPr>
        <w:endnoteReference w:id="33"/>
      </w:r>
      <w:r w:rsidRPr="0087190A">
        <w:t xml:space="preserve"> There are rules around what a retailer must do before it takes this action, including providing you with reminders and a disconnection warning notice.</w:t>
      </w:r>
    </w:p>
    <w:p w14:paraId="10CA06CF" w14:textId="23927012" w:rsidR="00051D3D" w:rsidRDefault="00051D3D" w:rsidP="00C51832">
      <w:pPr>
        <w:pStyle w:val="BodyText"/>
      </w:pPr>
      <w:r>
        <w:t xml:space="preserve">Concessions and efficiency-improvement measures help improve energy affordability for low-income households and avoid hardship and possible disconnection. The ACT Government offers a Utilities Concession for concession card holders which is applied for through your energy provider. For 2018-19, the annual concession was </w:t>
      </w:r>
      <w:r w:rsidRPr="004A36EB">
        <w:t>$654</w:t>
      </w:r>
      <w:r>
        <w:t xml:space="preserve"> – this will increase to $700 (from 1 July 2019).</w:t>
      </w:r>
      <w:r>
        <w:rPr>
          <w:rStyle w:val="EndnoteReference"/>
        </w:rPr>
        <w:endnoteReference w:id="34"/>
      </w:r>
      <w:r>
        <w:t xml:space="preserve">  </w:t>
      </w:r>
      <w:proofErr w:type="spellStart"/>
      <w:r w:rsidRPr="004D77FF">
        <w:t>Actsmart</w:t>
      </w:r>
      <w:proofErr w:type="spellEnd"/>
      <w:r w:rsidRPr="004D77FF">
        <w:t xml:space="preserve"> is</w:t>
      </w:r>
      <w:r>
        <w:t xml:space="preserve"> a</w:t>
      </w:r>
      <w:r w:rsidRPr="004D77FF">
        <w:t xml:space="preserve"> one-stop-shop for ACT Government programs and assistance </w:t>
      </w:r>
      <w:r>
        <w:t>developed to</w:t>
      </w:r>
      <w:r w:rsidRPr="004D77FF">
        <w:t xml:space="preserve"> help save energy and water, reduce waste and cut greenhouse gas emissions.</w:t>
      </w:r>
      <w:r>
        <w:t xml:space="preserve"> </w:t>
      </w:r>
      <w:proofErr w:type="spellStart"/>
      <w:r>
        <w:t>Actsmart</w:t>
      </w:r>
      <w:proofErr w:type="spellEnd"/>
      <w:r>
        <w:t xml:space="preserve"> offers a </w:t>
      </w:r>
      <w:proofErr w:type="gramStart"/>
      <w:r>
        <w:t>Low Income</w:t>
      </w:r>
      <w:proofErr w:type="gramEnd"/>
      <w:r>
        <w:t xml:space="preserve"> Household Program as a free in-home service to identify ways to reduce energy bills and a Solar for Low Income Program to assist eligible households to invest in rooftop solar panels.</w:t>
      </w:r>
      <w:r>
        <w:rPr>
          <w:rStyle w:val="EndnoteReference"/>
        </w:rPr>
        <w:endnoteReference w:id="35"/>
      </w:r>
    </w:p>
    <w:p w14:paraId="64A5A083" w14:textId="2C0F4194" w:rsidR="00051D3D" w:rsidRDefault="00051D3D" w:rsidP="00C51832">
      <w:pPr>
        <w:pStyle w:val="BodyText"/>
      </w:pPr>
      <w:r>
        <w:t xml:space="preserve">As mentioned above, the ACT Government’s Energy Efficiency Improvement Scheme </w:t>
      </w:r>
      <w:r w:rsidRPr="009C0721">
        <w:t>places a requirement on electricity retailers to achieve energy savings in households and small-to-medium businesses.</w:t>
      </w:r>
      <w:r>
        <w:rPr>
          <w:rStyle w:val="EndnoteReference"/>
        </w:rPr>
        <w:endnoteReference w:id="36"/>
      </w:r>
    </w:p>
    <w:p w14:paraId="0CE81C6E" w14:textId="103D922F" w:rsidR="00051D3D" w:rsidRDefault="00051D3D" w:rsidP="00C51832">
      <w:pPr>
        <w:pStyle w:val="BodyText"/>
      </w:pPr>
      <w:r>
        <w:t xml:space="preserve">Better Renting is an ACT not-for-profit organisation that advocates for stable, affordable and liveable homes for renters. </w:t>
      </w:r>
      <w:proofErr w:type="gramStart"/>
      <w:r>
        <w:t>Similar to</w:t>
      </w:r>
      <w:proofErr w:type="gramEnd"/>
      <w:r>
        <w:t xml:space="preserve"> </w:t>
      </w:r>
      <w:proofErr w:type="spellStart"/>
      <w:r>
        <w:t>Actsmart’s</w:t>
      </w:r>
      <w:proofErr w:type="spellEnd"/>
      <w:r>
        <w:t xml:space="preserve"> Low Income Household Program, Better Renting’s </w:t>
      </w:r>
      <w:r w:rsidRPr="00454AB5">
        <w:rPr>
          <w:i/>
          <w:iCs/>
        </w:rPr>
        <w:t>Home Truths</w:t>
      </w:r>
      <w:r>
        <w:t xml:space="preserve"> initiative includes home visits to rental households to identify ways to reduce energy bills, improve home comfort, and reduce climate pollution.</w:t>
      </w:r>
      <w:r>
        <w:rPr>
          <w:rStyle w:val="EndnoteReference"/>
        </w:rPr>
        <w:endnoteReference w:id="37"/>
      </w:r>
    </w:p>
    <w:p w14:paraId="29EBC363" w14:textId="77777777" w:rsidR="00DB191C" w:rsidRDefault="00DB191C" w:rsidP="00C51832">
      <w:pPr>
        <w:pStyle w:val="BodyText"/>
        <w:sectPr w:rsidR="00DB191C" w:rsidSect="003B2310">
          <w:footerReference w:type="default" r:id="rId17"/>
          <w:endnotePr>
            <w:numFmt w:val="decimal"/>
          </w:endnotePr>
          <w:pgSz w:w="11906" w:h="16838"/>
          <w:pgMar w:top="1134" w:right="1701" w:bottom="1134" w:left="1701" w:header="709" w:footer="709" w:gutter="0"/>
          <w:cols w:space="708"/>
          <w:docGrid w:linePitch="360"/>
        </w:sectPr>
      </w:pPr>
    </w:p>
    <w:p w14:paraId="2E2D25E5" w14:textId="4DBFCFD9" w:rsidR="00DB191C" w:rsidRDefault="00DB191C" w:rsidP="00C51832">
      <w:pPr>
        <w:pStyle w:val="BodyText"/>
      </w:pPr>
      <w:bookmarkStart w:id="2" w:name="_GoBack"/>
      <w:bookmarkEnd w:id="2"/>
    </w:p>
    <w:p w14:paraId="5295A59A" w14:textId="77777777" w:rsidR="00670B7F" w:rsidRDefault="00670B7F" w:rsidP="00670B7F">
      <w:pPr>
        <w:pStyle w:val="BodyText"/>
        <w:spacing w:after="5200"/>
      </w:pPr>
    </w:p>
    <w:p w14:paraId="374EF3CE" w14:textId="77777777" w:rsidR="007C710E" w:rsidRPr="007C710E" w:rsidRDefault="007C710E" w:rsidP="007C710E">
      <w:pPr>
        <w:jc w:val="center"/>
        <w:rPr>
          <w:color w:val="7F7F7F"/>
          <w:sz w:val="18"/>
        </w:rPr>
      </w:pPr>
      <w:r w:rsidRPr="007C710E">
        <w:rPr>
          <w:noProof/>
          <w:color w:val="7F7F7F"/>
          <w:sz w:val="18"/>
        </w:rPr>
        <mc:AlternateContent>
          <mc:Choice Requires="wps">
            <w:drawing>
              <wp:anchor distT="0" distB="0" distL="114300" distR="114300" simplePos="0" relativeHeight="251662336" behindDoc="0" locked="0" layoutInCell="1" allowOverlap="1" wp14:anchorId="4B7A7205" wp14:editId="7027186E">
                <wp:simplePos x="0" y="0"/>
                <wp:positionH relativeFrom="column">
                  <wp:posOffset>-514350</wp:posOffset>
                </wp:positionH>
                <wp:positionV relativeFrom="paragraph">
                  <wp:posOffset>68580</wp:posOffset>
                </wp:positionV>
                <wp:extent cx="6490970" cy="0"/>
                <wp:effectExtent l="13335" t="12065" r="10795" b="6985"/>
                <wp:wrapNone/>
                <wp:docPr id="2" name="Straight Connector 32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E8A98" id="Straight Connector 329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4pt" to="470.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" strokecolor="gray"/>
            </w:pict>
          </mc:Fallback>
        </mc:AlternateContent>
      </w:r>
    </w:p>
    <w:p w14:paraId="6AEBED04" w14:textId="77777777" w:rsidR="007C710E" w:rsidRPr="007C710E" w:rsidRDefault="007C710E" w:rsidP="007C710E">
      <w:pPr>
        <w:jc w:val="center"/>
        <w:rPr>
          <w:color w:val="7F7F7F"/>
          <w:sz w:val="18"/>
        </w:rPr>
      </w:pPr>
      <w:r w:rsidRPr="007C710E">
        <w:rPr>
          <w:color w:val="7F7F7F"/>
          <w:sz w:val="18"/>
        </w:rPr>
        <w:t xml:space="preserve">ACT Council of Social Service Inc. </w:t>
      </w:r>
      <w:proofErr w:type="gramStart"/>
      <w:r w:rsidRPr="007C710E">
        <w:rPr>
          <w:color w:val="7F7F7F"/>
          <w:sz w:val="18"/>
        </w:rPr>
        <w:t>|  Weston</w:t>
      </w:r>
      <w:proofErr w:type="gramEnd"/>
      <w:r w:rsidRPr="007C710E">
        <w:rPr>
          <w:color w:val="7F7F7F"/>
          <w:sz w:val="18"/>
        </w:rPr>
        <w:t xml:space="preserve"> Community Hub, 1/6 </w:t>
      </w:r>
      <w:proofErr w:type="spellStart"/>
      <w:r w:rsidRPr="007C710E">
        <w:rPr>
          <w:color w:val="7F7F7F"/>
          <w:sz w:val="18"/>
        </w:rPr>
        <w:t>Gritten</w:t>
      </w:r>
      <w:proofErr w:type="spellEnd"/>
      <w:r w:rsidRPr="007C710E">
        <w:rPr>
          <w:color w:val="7F7F7F"/>
          <w:sz w:val="18"/>
        </w:rPr>
        <w:t xml:space="preserve"> St, Weston ACT 2611</w:t>
      </w:r>
      <w:r w:rsidRPr="007C710E">
        <w:rPr>
          <w:color w:val="7F7F7F"/>
          <w:sz w:val="18"/>
        </w:rPr>
        <w:br/>
        <w:t>Ph: 02 6202 7200  |  actcoss@actcoss.org.au  |  www.actcoss.org.au</w:t>
      </w:r>
    </w:p>
    <w:p w14:paraId="77F0A1B8" w14:textId="77777777" w:rsidR="007C710E" w:rsidRPr="007C710E" w:rsidRDefault="007C710E" w:rsidP="007C710E">
      <w:pPr>
        <w:jc w:val="center"/>
        <w:rPr>
          <w:color w:val="7F7F7F"/>
          <w:sz w:val="18"/>
        </w:rPr>
      </w:pPr>
    </w:p>
    <w:p w14:paraId="65790601" w14:textId="77777777" w:rsidR="007C710E" w:rsidRPr="007C710E" w:rsidRDefault="007C710E" w:rsidP="007C710E">
      <w:pPr>
        <w:jc w:val="center"/>
        <w:rPr>
          <w:color w:val="7F7F7F"/>
          <w:sz w:val="18"/>
        </w:rPr>
      </w:pPr>
      <w:r w:rsidRPr="007C710E">
        <w:rPr>
          <w:color w:val="7F7F7F"/>
          <w:sz w:val="18"/>
        </w:rPr>
        <w:t>ACTCOSS is committed to reconciliation, acknowledges the traditional custodians of the land and pays respect to elders past and present.</w:t>
      </w:r>
    </w:p>
    <w:p w14:paraId="6EE83F6F" w14:textId="77777777" w:rsidR="007C710E" w:rsidRPr="007C710E" w:rsidRDefault="007C710E" w:rsidP="007C710E">
      <w:pPr>
        <w:ind w:left="-113" w:right="-113"/>
        <w:jc w:val="center"/>
        <w:rPr>
          <w:color w:val="7F7F7F"/>
          <w:sz w:val="18"/>
        </w:rPr>
      </w:pPr>
    </w:p>
    <w:p w14:paraId="5ED674D1" w14:textId="77777777" w:rsidR="007C710E" w:rsidRPr="007C710E" w:rsidRDefault="007C710E" w:rsidP="007C710E">
      <w:pPr>
        <w:ind w:left="-113" w:right="-113"/>
        <w:jc w:val="center"/>
        <w:rPr>
          <w:color w:val="7F7F7F"/>
          <w:sz w:val="18"/>
        </w:rPr>
      </w:pPr>
      <w:r w:rsidRPr="007C710E">
        <w:rPr>
          <w:color w:val="7F7F7F"/>
          <w:sz w:val="18"/>
        </w:rPr>
        <w:t>ACTCOSS represents not-for-profit community organisations and advocates for social justice in the ACT.</w:t>
      </w:r>
    </w:p>
    <w:p w14:paraId="644C5A8D" w14:textId="77777777" w:rsidR="007C710E" w:rsidRPr="007C710E" w:rsidRDefault="007C710E" w:rsidP="007C710E">
      <w:pPr>
        <w:jc w:val="center"/>
        <w:rPr>
          <w:color w:val="7F7F7F"/>
          <w:sz w:val="18"/>
        </w:rPr>
      </w:pPr>
    </w:p>
    <w:p w14:paraId="28816EA2" w14:textId="073C5A35" w:rsidR="004C3720" w:rsidRPr="007C710E" w:rsidRDefault="007C710E" w:rsidP="0050563C">
      <w:pPr>
        <w:jc w:val="center"/>
        <w:rPr>
          <w:color w:val="7F7F7F"/>
          <w:sz w:val="18"/>
        </w:rPr>
      </w:pPr>
      <w:r w:rsidRPr="007C710E">
        <w:rPr>
          <w:noProof/>
          <w:color w:val="7F7F7F"/>
          <w:sz w:val="18"/>
        </w:rPr>
        <w:drawing>
          <wp:inline distT="0" distB="0" distL="0" distR="0" wp14:anchorId="2BB26EDA" wp14:editId="77535FFB">
            <wp:extent cx="1466850" cy="1009650"/>
            <wp:effectExtent l="0" t="0" r="0" b="0"/>
            <wp:docPr id="7" name="Picture 7" descr="Initiative_of_ACT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tive_of_ACTGo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sectPr w:rsidR="004C3720" w:rsidRPr="007C710E" w:rsidSect="00670B7F">
      <w:footerReference w:type="default" r:id="rId19"/>
      <w:endnotePr>
        <w:numFmt w:val="decimal"/>
      </w:endnotePr>
      <w:type w:val="continuous"/>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C62BC" w14:textId="77777777" w:rsidR="00BD66F6" w:rsidRDefault="00BD66F6" w:rsidP="002B6E89">
      <w:r>
        <w:separator/>
      </w:r>
    </w:p>
  </w:endnote>
  <w:endnote w:type="continuationSeparator" w:id="0">
    <w:p w14:paraId="2C0A663F" w14:textId="77777777" w:rsidR="00BD66F6" w:rsidRDefault="00BD66F6" w:rsidP="002B6E89">
      <w:r>
        <w:continuationSeparator/>
      </w:r>
    </w:p>
  </w:endnote>
  <w:endnote w:id="1">
    <w:p w14:paraId="30E2CD69" w14:textId="38A2EBCB" w:rsidR="00051D3D" w:rsidRPr="009C18D6" w:rsidRDefault="00051D3D">
      <w:pPr>
        <w:pStyle w:val="EndnoteText"/>
        <w:rPr>
          <w:lang w:val="en-US"/>
        </w:rPr>
      </w:pPr>
      <w:r w:rsidRPr="004F0CB7">
        <w:endnoteRef/>
      </w:r>
      <w:r w:rsidRPr="004F0CB7">
        <w:t xml:space="preserve"> </w:t>
      </w:r>
      <w:r>
        <w:tab/>
      </w:r>
      <w:r>
        <w:rPr>
          <w:lang w:val="en-US"/>
        </w:rPr>
        <w:t xml:space="preserve">Energy Security Board, </w:t>
      </w:r>
      <w:r w:rsidRPr="00ED0369">
        <w:rPr>
          <w:i/>
          <w:iCs/>
          <w:lang w:val="en-US"/>
        </w:rPr>
        <w:t>The Health of the National Electricity Market, 2018</w:t>
      </w:r>
      <w:r>
        <w:rPr>
          <w:lang w:val="en-US"/>
        </w:rPr>
        <w:t xml:space="preserve">, </w:t>
      </w:r>
      <w:proofErr w:type="spellStart"/>
      <w:r>
        <w:rPr>
          <w:lang w:val="en-US"/>
        </w:rPr>
        <w:t>COAG</w:t>
      </w:r>
      <w:proofErr w:type="spellEnd"/>
      <w:r>
        <w:rPr>
          <w:lang w:val="en-US"/>
        </w:rPr>
        <w:t xml:space="preserve"> Energy Council, Canberra, 2018, p. 7, viewed 19 June 2019, &lt;</w:t>
      </w:r>
      <w:hyperlink r:id="rId1" w:history="1">
        <w:r w:rsidRPr="004F0CB7">
          <w:rPr>
            <w:rStyle w:val="Hyperlink"/>
            <w:lang w:val="en-US"/>
          </w:rPr>
          <w:t>http://www.coagenergycouncil.gov.au/sites/prod.energycouncil/files/publications/documents/the%20health%20of%20the%20national%20electricity%20market%20-%202018.pdf</w:t>
        </w:r>
      </w:hyperlink>
      <w:r>
        <w:rPr>
          <w:lang w:val="en-US"/>
        </w:rPr>
        <w:t xml:space="preserve">&gt;. </w:t>
      </w:r>
    </w:p>
  </w:endnote>
  <w:endnote w:id="2">
    <w:p w14:paraId="5945B606" w14:textId="2384C514" w:rsidR="00051D3D" w:rsidRPr="00BC1B13" w:rsidRDefault="00051D3D" w:rsidP="00AD7931">
      <w:pPr>
        <w:pStyle w:val="EndnoteText"/>
        <w:rPr>
          <w:lang w:val="en-US"/>
        </w:rPr>
      </w:pPr>
      <w:r w:rsidRPr="0094435F">
        <w:endnoteRef/>
      </w:r>
      <w:r w:rsidRPr="0094435F">
        <w:t xml:space="preserve"> </w:t>
      </w:r>
      <w:r>
        <w:tab/>
      </w:r>
      <w:r>
        <w:rPr>
          <w:lang w:val="en-US"/>
        </w:rPr>
        <w:t xml:space="preserve">ACTCOSS, </w:t>
      </w:r>
      <w:r w:rsidRPr="00B44C3C">
        <w:rPr>
          <w:i/>
          <w:iCs/>
          <w:lang w:val="en-US"/>
        </w:rPr>
        <w:t>ACT Cost of Living Report</w:t>
      </w:r>
      <w:r>
        <w:rPr>
          <w:lang w:val="en-US"/>
        </w:rPr>
        <w:t>, ACTCOSS, Canberra, May 2019, p.9, viewed 18 June 2019, &lt;</w:t>
      </w:r>
      <w:hyperlink r:id="rId2" w:history="1">
        <w:r w:rsidRPr="0094435F">
          <w:rPr>
            <w:rStyle w:val="Hyperlink"/>
            <w:lang w:val="en-US"/>
          </w:rPr>
          <w:t>https://www.actcoss.org.au/publications/advocacy-publications/act-cost-living-report-2019</w:t>
        </w:r>
      </w:hyperlink>
      <w:r>
        <w:rPr>
          <w:lang w:val="en-US"/>
        </w:rPr>
        <w:t xml:space="preserve">&gt;. </w:t>
      </w:r>
    </w:p>
  </w:endnote>
  <w:endnote w:id="3">
    <w:p w14:paraId="6EC0426F" w14:textId="1B592AEB" w:rsidR="00051D3D" w:rsidRPr="00B70669" w:rsidRDefault="00051D3D">
      <w:pPr>
        <w:pStyle w:val="EndnoteText"/>
        <w:rPr>
          <w:lang w:val="en-US"/>
        </w:rPr>
      </w:pPr>
      <w:r w:rsidRPr="0094435F">
        <w:endnoteRef/>
      </w:r>
      <w:r w:rsidRPr="0094435F">
        <w:t xml:space="preserve"> </w:t>
      </w:r>
      <w:r>
        <w:tab/>
      </w:r>
      <w:r w:rsidRPr="002F1134">
        <w:t xml:space="preserve">ACOSS, Brotherhood of St Laurence &amp; ANU Centre for Social Research and Methods, </w:t>
      </w:r>
      <w:r w:rsidRPr="002F1134">
        <w:rPr>
          <w:i/>
          <w:iCs/>
        </w:rPr>
        <w:t>Energy stressed in Australia</w:t>
      </w:r>
      <w:r w:rsidRPr="002F1134">
        <w:t>, ACOSS, Sydney, 2018, p. 4, viewed 1 May 2019, &lt;</w:t>
      </w:r>
      <w:hyperlink r:id="rId3" w:history="1">
        <w:r w:rsidRPr="0094435F">
          <w:rPr>
            <w:rStyle w:val="Hyperlink"/>
          </w:rPr>
          <w:t>https://www.acoss.org.au/wp-content/uploads/2018/10/Energy-Stressed-in-Australia.pdf</w:t>
        </w:r>
      </w:hyperlink>
      <w:r w:rsidRPr="002F1134">
        <w:t>&gt;.</w:t>
      </w:r>
    </w:p>
  </w:endnote>
  <w:endnote w:id="4">
    <w:p w14:paraId="5D049F4B" w14:textId="6C2F3ABB" w:rsidR="00051D3D" w:rsidRPr="00B6798D" w:rsidRDefault="00051D3D" w:rsidP="00EE7CAB">
      <w:pPr>
        <w:pStyle w:val="EndnoteText"/>
        <w:rPr>
          <w:lang w:val="en-US"/>
        </w:rPr>
      </w:pPr>
      <w:r w:rsidRPr="0094435F">
        <w:endnoteRef/>
      </w:r>
      <w:r w:rsidRPr="0094435F">
        <w:t xml:space="preserve"> </w:t>
      </w:r>
      <w:r>
        <w:tab/>
      </w:r>
      <w:r>
        <w:rPr>
          <w:lang w:val="en-US"/>
        </w:rPr>
        <w:t>ibid.</w:t>
      </w:r>
    </w:p>
  </w:endnote>
  <w:endnote w:id="5">
    <w:p w14:paraId="4AC71730" w14:textId="6AED1270" w:rsidR="00051D3D" w:rsidRPr="00EE7CAB" w:rsidRDefault="00051D3D">
      <w:pPr>
        <w:pStyle w:val="EndnoteText"/>
        <w:rPr>
          <w:lang w:val="en-US"/>
        </w:rPr>
      </w:pPr>
      <w:r w:rsidRPr="0094435F">
        <w:endnoteRef/>
      </w:r>
      <w:r w:rsidRPr="0094435F">
        <w:t xml:space="preserve"> </w:t>
      </w:r>
      <w:r>
        <w:tab/>
      </w:r>
      <w:r>
        <w:rPr>
          <w:lang w:val="en-US"/>
        </w:rPr>
        <w:t>ibid.</w:t>
      </w:r>
    </w:p>
  </w:endnote>
  <w:endnote w:id="6">
    <w:p w14:paraId="460D1C26" w14:textId="08F42F1E" w:rsidR="00051D3D" w:rsidRPr="00D348EB" w:rsidRDefault="00051D3D">
      <w:pPr>
        <w:pStyle w:val="EndnoteText"/>
        <w:rPr>
          <w:lang w:val="en-US"/>
        </w:rPr>
      </w:pPr>
      <w:r w:rsidRPr="0094435F">
        <w:endnoteRef/>
      </w:r>
      <w:r w:rsidRPr="0094435F">
        <w:t xml:space="preserve"> </w:t>
      </w:r>
      <w:r>
        <w:tab/>
      </w:r>
      <w:r>
        <w:rPr>
          <w:lang w:val="en-US"/>
        </w:rPr>
        <w:t xml:space="preserve">AER, </w:t>
      </w:r>
      <w:r w:rsidRPr="00D57215">
        <w:rPr>
          <w:i/>
          <w:iCs/>
          <w:lang w:val="en-US"/>
        </w:rPr>
        <w:t>AER Retail Report Jurisdictional Dashboards 2017-18</w:t>
      </w:r>
      <w:r>
        <w:rPr>
          <w:lang w:val="en-US"/>
        </w:rPr>
        <w:t>, AER, Melbourne, 2018, viewed 19 June 2019, &lt;</w:t>
      </w:r>
      <w:hyperlink r:id="rId4" w:history="1">
        <w:r w:rsidRPr="0094435F">
          <w:rPr>
            <w:rStyle w:val="Hyperlink"/>
            <w:lang w:val="en-US"/>
          </w:rPr>
          <w:t>https://www.aer.gov.au/retail-markets/performance-reporting/annual-report-on-compliance-and-performance-of-the-retail-energy-market-2017-18</w:t>
        </w:r>
      </w:hyperlink>
      <w:r>
        <w:rPr>
          <w:lang w:val="en-US"/>
        </w:rPr>
        <w:t xml:space="preserve">&gt;. </w:t>
      </w:r>
    </w:p>
  </w:endnote>
  <w:endnote w:id="7">
    <w:p w14:paraId="022FDC3E" w14:textId="4906C79C" w:rsidR="00051D3D" w:rsidRPr="00B62A16" w:rsidRDefault="00051D3D">
      <w:pPr>
        <w:pStyle w:val="EndnoteText"/>
        <w:rPr>
          <w:lang w:val="en-US"/>
        </w:rPr>
      </w:pPr>
      <w:r w:rsidRPr="0094435F">
        <w:endnoteRef/>
      </w:r>
      <w:r w:rsidRPr="0094435F">
        <w:t xml:space="preserve"> </w:t>
      </w:r>
      <w:r>
        <w:tab/>
      </w:r>
      <w:r>
        <w:rPr>
          <w:lang w:val="en-US"/>
        </w:rPr>
        <w:t>ibid.</w:t>
      </w:r>
    </w:p>
  </w:endnote>
  <w:endnote w:id="8">
    <w:p w14:paraId="3CEE7004" w14:textId="494AE2EE" w:rsidR="00051D3D" w:rsidRPr="005D78DB" w:rsidRDefault="00051D3D">
      <w:pPr>
        <w:pStyle w:val="EndnoteText"/>
        <w:rPr>
          <w:lang w:val="en-US"/>
        </w:rPr>
      </w:pPr>
      <w:r w:rsidRPr="0094435F">
        <w:endnoteRef/>
      </w:r>
      <w:r w:rsidRPr="0094435F">
        <w:t xml:space="preserve"> </w:t>
      </w:r>
      <w:r>
        <w:tab/>
      </w:r>
      <w:proofErr w:type="spellStart"/>
      <w:r w:rsidRPr="0094435F">
        <w:t>SACOSS</w:t>
      </w:r>
      <w:proofErr w:type="spellEnd"/>
      <w:r>
        <w:rPr>
          <w:lang w:val="en-US"/>
        </w:rPr>
        <w:t xml:space="preserve">, </w:t>
      </w:r>
      <w:r w:rsidRPr="00025972">
        <w:rPr>
          <w:i/>
          <w:iCs/>
          <w:lang w:val="en-US"/>
        </w:rPr>
        <w:t>Poverty premiums (infographic)</w:t>
      </w:r>
      <w:r>
        <w:rPr>
          <w:lang w:val="en-US"/>
        </w:rPr>
        <w:t xml:space="preserve">, </w:t>
      </w:r>
      <w:proofErr w:type="spellStart"/>
      <w:r>
        <w:rPr>
          <w:lang w:val="en-US"/>
        </w:rPr>
        <w:t>SACOSS</w:t>
      </w:r>
      <w:proofErr w:type="spellEnd"/>
      <w:r>
        <w:rPr>
          <w:lang w:val="en-US"/>
        </w:rPr>
        <w:t>, Adelaide, 2017, viewed 19 June 2019, &lt;</w:t>
      </w:r>
      <w:hyperlink r:id="rId5" w:history="1">
        <w:r w:rsidRPr="0094435F">
          <w:rPr>
            <w:rStyle w:val="Hyperlink"/>
            <w:lang w:val="en-US"/>
          </w:rPr>
          <w:t>https://www.sacoss.org.au/sites/default/files/public/documents/Reports/APW%20Statements/APW_Fact_Sheet_A4_FINAL.pdf</w:t>
        </w:r>
      </w:hyperlink>
      <w:r>
        <w:rPr>
          <w:lang w:val="en-US"/>
        </w:rPr>
        <w:t xml:space="preserve">&gt;. </w:t>
      </w:r>
    </w:p>
  </w:endnote>
  <w:endnote w:id="9">
    <w:p w14:paraId="2304D83F" w14:textId="38200250" w:rsidR="00051D3D" w:rsidRPr="007D2421" w:rsidRDefault="00051D3D">
      <w:pPr>
        <w:pStyle w:val="EndnoteText"/>
        <w:rPr>
          <w:lang w:val="en-US"/>
        </w:rPr>
      </w:pPr>
      <w:r w:rsidRPr="0094435F">
        <w:endnoteRef/>
      </w:r>
      <w:r w:rsidRPr="006220C4">
        <w:t xml:space="preserve"> </w:t>
      </w:r>
      <w:r>
        <w:tab/>
        <w:t xml:space="preserve">R </w:t>
      </w:r>
      <w:proofErr w:type="spellStart"/>
      <w:r>
        <w:t>Tanton</w:t>
      </w:r>
      <w:proofErr w:type="spellEnd"/>
      <w:r>
        <w:t xml:space="preserve">, R </w:t>
      </w:r>
      <w:proofErr w:type="spellStart"/>
      <w:r>
        <w:t>Miranti</w:t>
      </w:r>
      <w:proofErr w:type="spellEnd"/>
      <w:r>
        <w:t xml:space="preserve"> &amp; Y </w:t>
      </w:r>
      <w:proofErr w:type="spellStart"/>
      <w:r>
        <w:t>Vidyattama</w:t>
      </w:r>
      <w:proofErr w:type="spellEnd"/>
      <w:r>
        <w:t xml:space="preserve">, </w:t>
      </w:r>
      <w:r>
        <w:rPr>
          <w:i/>
          <w:iCs/>
        </w:rPr>
        <w:t>Hidden disadvantage in the ACT: report for ACT Anti-Poverty Week</w:t>
      </w:r>
      <w:r>
        <w:t xml:space="preserve">, </w:t>
      </w:r>
      <w:proofErr w:type="spellStart"/>
      <w:r>
        <w:t>NATSEM</w:t>
      </w:r>
      <w:proofErr w:type="spellEnd"/>
      <w:r>
        <w:t>, Institute for Governance and Policy Analysis (</w:t>
      </w:r>
      <w:proofErr w:type="spellStart"/>
      <w:r>
        <w:t>IGPA</w:t>
      </w:r>
      <w:proofErr w:type="spellEnd"/>
      <w:r>
        <w:t>), University of Canberra, Canberra, October 2017, accessed 13 April 2018, &lt;</w:t>
      </w:r>
      <w:hyperlink r:id="rId6" w:history="1">
        <w:r w:rsidRPr="0094435F">
          <w:rPr>
            <w:rStyle w:val="Hyperlink"/>
          </w:rPr>
          <w:t>http://www.actcoss.org.au/publications/advocacy-publications/hidden-disadvantage-act-report-anti-poverty-week-2017</w:t>
        </w:r>
      </w:hyperlink>
      <w:r>
        <w:t xml:space="preserve">&gt;. </w:t>
      </w:r>
    </w:p>
  </w:endnote>
  <w:endnote w:id="10">
    <w:p w14:paraId="6B713F4A" w14:textId="58C0B1F7" w:rsidR="00051D3D" w:rsidRPr="00DF6432" w:rsidRDefault="00051D3D">
      <w:pPr>
        <w:pStyle w:val="EndnoteText"/>
        <w:rPr>
          <w:lang w:val="en-US"/>
        </w:rPr>
      </w:pPr>
      <w:r w:rsidRPr="0094435F">
        <w:endnoteRef/>
      </w:r>
      <w:r w:rsidRPr="0094435F">
        <w:t xml:space="preserve"> </w:t>
      </w:r>
      <w:r>
        <w:tab/>
      </w:r>
      <w:r w:rsidRPr="00D81D12">
        <w:t xml:space="preserve">P Davidson, P Saunders, B Bradbury &amp; M Wong, </w:t>
      </w:r>
      <w:r w:rsidRPr="00D81D12">
        <w:rPr>
          <w:i/>
          <w:iCs/>
        </w:rPr>
        <w:t>Poverty in Australia, 2018</w:t>
      </w:r>
      <w:r w:rsidRPr="00D81D12">
        <w:t>, ACOSS/UNSW Poverty and Inequality Partnership Report No. 2, ACOSS, Sydney, 2018, p. 12, viewed 1 April 2019, &lt;</w:t>
      </w:r>
      <w:hyperlink r:id="rId7" w:history="1">
        <w:r w:rsidRPr="0094435F">
          <w:rPr>
            <w:rStyle w:val="Hyperlink"/>
          </w:rPr>
          <w:t>https://www.acoss.org.au/wp-content/uploads/2018/10/ACOSS_Poverty-in-Australia-Report_Web-Final.pdf</w:t>
        </w:r>
      </w:hyperlink>
      <w:r w:rsidRPr="00D81D12">
        <w:t>&gt;</w:t>
      </w:r>
      <w:r>
        <w:t>; B Bradbury, email, 16 October 2018.</w:t>
      </w:r>
    </w:p>
  </w:endnote>
  <w:endnote w:id="11">
    <w:p w14:paraId="4BCEFD92" w14:textId="3F3C992D" w:rsidR="00051D3D" w:rsidRPr="003E3DB9" w:rsidRDefault="00051D3D">
      <w:pPr>
        <w:pStyle w:val="EndnoteText"/>
      </w:pPr>
      <w:r w:rsidRPr="0094435F">
        <w:endnoteRef/>
      </w:r>
      <w:r w:rsidRPr="0094435F">
        <w:t xml:space="preserve"> </w:t>
      </w:r>
      <w:r>
        <w:tab/>
        <w:t xml:space="preserve">ACOSS, Brotherhood of St Laurence &amp; The Climate Institute, </w:t>
      </w:r>
      <w:r>
        <w:rPr>
          <w:i/>
          <w:iCs/>
        </w:rPr>
        <w:t>Empowering disadvantaged households to access affordable, clean energy</w:t>
      </w:r>
      <w:r>
        <w:t>, ACOSS, Brotherhood of St Laurence &amp; The Climate Institute, 2017, &lt;</w:t>
      </w:r>
      <w:hyperlink r:id="rId8" w:history="1">
        <w:r w:rsidRPr="0094435F">
          <w:rPr>
            <w:rStyle w:val="Hyperlink"/>
          </w:rPr>
          <w:t>http://www.acoss.org.au/wp-content/uploads/2017/07/ACOSS_BSL_TCI_Empowering-households.pdf</w:t>
        </w:r>
      </w:hyperlink>
      <w:r>
        <w:t>&gt;.</w:t>
      </w:r>
    </w:p>
  </w:endnote>
  <w:endnote w:id="12">
    <w:p w14:paraId="08C371FC" w14:textId="08BC160B" w:rsidR="00051D3D" w:rsidRPr="006E7B3A" w:rsidRDefault="00051D3D">
      <w:pPr>
        <w:pStyle w:val="EndnoteText"/>
        <w:rPr>
          <w:lang w:val="en-US"/>
        </w:rPr>
      </w:pPr>
      <w:r w:rsidRPr="0094435F">
        <w:endnoteRef/>
      </w:r>
      <w:r w:rsidRPr="0094435F">
        <w:t xml:space="preserve"> </w:t>
      </w:r>
      <w:r>
        <w:tab/>
      </w:r>
      <w:r w:rsidRPr="006E7B3A">
        <w:t xml:space="preserve">R </w:t>
      </w:r>
      <w:proofErr w:type="spellStart"/>
      <w:r w:rsidRPr="006E7B3A">
        <w:t>Tanton</w:t>
      </w:r>
      <w:proofErr w:type="spellEnd"/>
      <w:r w:rsidRPr="006E7B3A">
        <w:t xml:space="preserve">, R </w:t>
      </w:r>
      <w:proofErr w:type="spellStart"/>
      <w:r w:rsidRPr="006E7B3A">
        <w:t>Miranti</w:t>
      </w:r>
      <w:proofErr w:type="spellEnd"/>
      <w:r w:rsidRPr="006E7B3A">
        <w:t xml:space="preserve"> &amp; Y </w:t>
      </w:r>
      <w:proofErr w:type="spellStart"/>
      <w:r w:rsidRPr="006E7B3A">
        <w:t>Vidyattama</w:t>
      </w:r>
      <w:proofErr w:type="spellEnd"/>
      <w:r w:rsidRPr="006E7B3A">
        <w:t xml:space="preserve">, </w:t>
      </w:r>
      <w:r w:rsidRPr="006E7B3A">
        <w:rPr>
          <w:i/>
          <w:iCs/>
        </w:rPr>
        <w:t>Hidden disadvantage in the ACT: report for ACT Anti-Poverty Week</w:t>
      </w:r>
      <w:r w:rsidRPr="006E7B3A">
        <w:t xml:space="preserve">, </w:t>
      </w:r>
      <w:proofErr w:type="spellStart"/>
      <w:r w:rsidRPr="006E7B3A">
        <w:t>NATSEM</w:t>
      </w:r>
      <w:proofErr w:type="spellEnd"/>
      <w:r w:rsidRPr="006E7B3A">
        <w:t>, University of Canberra, Canberra, October 2017, viewed 1 April 2019, &lt;</w:t>
      </w:r>
      <w:hyperlink r:id="rId9" w:history="1">
        <w:r w:rsidRPr="0094435F">
          <w:rPr>
            <w:rStyle w:val="Hyperlink"/>
          </w:rPr>
          <w:t>https://www.actcoss.org.au/publications/advocacy-publications/hidden-disadvantage-act-report-anti-poverty-week-2017</w:t>
        </w:r>
      </w:hyperlink>
      <w:r w:rsidRPr="006E7B3A">
        <w:t>&gt;.</w:t>
      </w:r>
    </w:p>
  </w:endnote>
  <w:endnote w:id="13">
    <w:p w14:paraId="1C2D8F84" w14:textId="6649DD15" w:rsidR="00051D3D" w:rsidRPr="00315D12" w:rsidRDefault="00051D3D" w:rsidP="00266CAA">
      <w:pPr>
        <w:pStyle w:val="EndnoteText"/>
        <w:rPr>
          <w:lang w:val="en-US"/>
        </w:rPr>
      </w:pPr>
      <w:r w:rsidRPr="0094435F">
        <w:endnoteRef/>
      </w:r>
      <w:r w:rsidRPr="0094435F">
        <w:t xml:space="preserve"> </w:t>
      </w:r>
      <w:r>
        <w:tab/>
      </w:r>
      <w:r>
        <w:rPr>
          <w:lang w:val="en-US"/>
        </w:rPr>
        <w:t xml:space="preserve">ACT Government &amp; ACTCOSS, </w:t>
      </w:r>
      <w:r w:rsidRPr="009E704C">
        <w:rPr>
          <w:i/>
          <w:iCs/>
          <w:lang w:val="en-US"/>
        </w:rPr>
        <w:t>Reducing energy and water costs in rental properties</w:t>
      </w:r>
      <w:r>
        <w:rPr>
          <w:lang w:val="en-US"/>
        </w:rPr>
        <w:t>, ACT Government, Canberra, 2013, viewed 19 June 2019, &lt;</w:t>
      </w:r>
      <w:hyperlink r:id="rId10" w:history="1">
        <w:r w:rsidRPr="0094435F">
          <w:rPr>
            <w:rStyle w:val="Hyperlink"/>
            <w:lang w:val="en-US"/>
          </w:rPr>
          <w:t>https://www.actsmart.act.gov.au/__data/assets/pdf_file/0018/503109/201301010-Landlord-factsheet-updated.pdf</w:t>
        </w:r>
      </w:hyperlink>
      <w:r>
        <w:rPr>
          <w:lang w:val="en-US"/>
        </w:rPr>
        <w:t xml:space="preserve">&gt;.  </w:t>
      </w:r>
    </w:p>
  </w:endnote>
  <w:endnote w:id="14">
    <w:p w14:paraId="07C6917D" w14:textId="516ADEA9" w:rsidR="00051D3D" w:rsidRPr="00917F28" w:rsidRDefault="00051D3D">
      <w:pPr>
        <w:pStyle w:val="EndnoteText"/>
        <w:rPr>
          <w:lang w:val="en-US"/>
        </w:rPr>
      </w:pPr>
      <w:r w:rsidRPr="0094435F">
        <w:endnoteRef/>
      </w:r>
      <w:r w:rsidRPr="0094435F">
        <w:t xml:space="preserve"> </w:t>
      </w:r>
      <w:r>
        <w:tab/>
        <w:t xml:space="preserve">Better Renting, </w:t>
      </w:r>
      <w:r w:rsidRPr="0004345D">
        <w:rPr>
          <w:rStyle w:val="Emphasis"/>
        </w:rPr>
        <w:t>Frozen out: The Burden of Energy Deficiency on People who Rent</w:t>
      </w:r>
      <w:r>
        <w:t>, Better Renting, n.d. &lt;</w:t>
      </w:r>
      <w:hyperlink r:id="rId11" w:history="1">
        <w:r w:rsidRPr="000A3C0F">
          <w:rPr>
            <w:rStyle w:val="Hyperlink"/>
          </w:rPr>
          <w:t>https://d3n8a8pro7vhmx.cloudfront.net/betterrenting/pages/112/attachments/original/1530085206/Frozen_out_The_Burden_of_Energy_Deficiency_on_People_who_Rent_Better_Renting.pdf?1530085206</w:t>
        </w:r>
      </w:hyperlink>
      <w:r>
        <w:t>&gt;.</w:t>
      </w:r>
    </w:p>
  </w:endnote>
  <w:endnote w:id="15">
    <w:p w14:paraId="0B75BE1F" w14:textId="1AABF0F7" w:rsidR="00051D3D" w:rsidRPr="008311B3" w:rsidRDefault="00051D3D">
      <w:pPr>
        <w:pStyle w:val="EndnoteText"/>
        <w:rPr>
          <w:lang w:val="en-US"/>
        </w:rPr>
      </w:pPr>
      <w:r w:rsidRPr="000A3C0F">
        <w:endnoteRef/>
      </w:r>
      <w:r w:rsidRPr="000A3C0F">
        <w:t xml:space="preserve"> </w:t>
      </w:r>
      <w:r>
        <w:tab/>
      </w:r>
      <w:r>
        <w:rPr>
          <w:lang w:val="en-US"/>
        </w:rPr>
        <w:t xml:space="preserve">ACT Government, </w:t>
      </w:r>
      <w:r w:rsidRPr="00B64EFE">
        <w:rPr>
          <w:i/>
          <w:iCs/>
          <w:lang w:val="en-US"/>
        </w:rPr>
        <w:t>Energy Efficiency Improvement Scheme</w:t>
      </w:r>
      <w:r>
        <w:rPr>
          <w:lang w:val="en-US"/>
        </w:rPr>
        <w:t xml:space="preserve"> (website), viewed 19 June 2019, &lt;</w:t>
      </w:r>
      <w:hyperlink r:id="rId12" w:history="1">
        <w:r w:rsidRPr="000A3C0F">
          <w:rPr>
            <w:rStyle w:val="Hyperlink"/>
            <w:lang w:val="en-US"/>
          </w:rPr>
          <w:t>https://www.environment.act.gov.au/energy/smarter-use-of-energy/energy-efficiency-improvement-scheme</w:t>
        </w:r>
      </w:hyperlink>
      <w:r>
        <w:rPr>
          <w:lang w:val="en-US"/>
        </w:rPr>
        <w:t xml:space="preserve">&gt;. </w:t>
      </w:r>
    </w:p>
  </w:endnote>
  <w:endnote w:id="16">
    <w:p w14:paraId="209CCC46" w14:textId="217F90D1" w:rsidR="00051D3D" w:rsidRPr="009869AC" w:rsidRDefault="00051D3D">
      <w:pPr>
        <w:pStyle w:val="EndnoteText"/>
        <w:rPr>
          <w:lang w:val="en-US"/>
        </w:rPr>
      </w:pPr>
      <w:r w:rsidRPr="000A3C0F">
        <w:endnoteRef/>
      </w:r>
      <w:r w:rsidRPr="000A3C0F">
        <w:t xml:space="preserve"> </w:t>
      </w:r>
      <w:r>
        <w:tab/>
      </w:r>
      <w:r w:rsidRPr="000A3C0F">
        <w:t>For</w:t>
      </w:r>
      <w:r>
        <w:rPr>
          <w:lang w:val="en-US"/>
        </w:rPr>
        <w:t xml:space="preserve"> the definition of priority households visit: &lt;</w:t>
      </w:r>
      <w:hyperlink r:id="rId13" w:history="1">
        <w:r w:rsidRPr="00180EBF">
          <w:rPr>
            <w:rStyle w:val="Hyperlink"/>
            <w:lang w:val="en-US"/>
          </w:rPr>
          <w:t>https://www.environment.act.gov.au/energy/smarter-use-of-energy/energy-efficiency-improvement-scheme/how-the-scheme-works/priority-household-target</w:t>
        </w:r>
      </w:hyperlink>
      <w:r>
        <w:rPr>
          <w:lang w:val="en-US"/>
        </w:rPr>
        <w:t>&gt;.</w:t>
      </w:r>
    </w:p>
  </w:endnote>
  <w:endnote w:id="17">
    <w:p w14:paraId="4DB1C9C3" w14:textId="402A8A65" w:rsidR="00051D3D" w:rsidRPr="00A06902" w:rsidRDefault="00051D3D" w:rsidP="00026643">
      <w:pPr>
        <w:pStyle w:val="EndnoteText"/>
        <w:rPr>
          <w:lang w:val="en-US"/>
        </w:rPr>
      </w:pPr>
      <w:r w:rsidRPr="000A3C0F">
        <w:endnoteRef/>
      </w:r>
      <w:r w:rsidRPr="000A3C0F">
        <w:t xml:space="preserve"> </w:t>
      </w:r>
      <w:r w:rsidRPr="000A3C0F">
        <w:tab/>
      </w:r>
      <w:r>
        <w:t>This legislation is available at: &lt;</w:t>
      </w:r>
      <w:hyperlink r:id="rId14" w:history="1">
        <w:r w:rsidRPr="000A3C0F">
          <w:rPr>
            <w:rStyle w:val="Hyperlink"/>
          </w:rPr>
          <w:t>https://www.legislation.act.gov.au/a/2012-17/default.asp</w:t>
        </w:r>
      </w:hyperlink>
      <w:r>
        <w:t xml:space="preserve">&gt;. </w:t>
      </w:r>
    </w:p>
  </w:endnote>
  <w:endnote w:id="18">
    <w:p w14:paraId="38960D6A" w14:textId="6B575411" w:rsidR="00051D3D" w:rsidRPr="00087C05" w:rsidRDefault="00051D3D" w:rsidP="00026643">
      <w:pPr>
        <w:pStyle w:val="EndnoteText"/>
        <w:rPr>
          <w:lang w:val="en-US"/>
        </w:rPr>
      </w:pPr>
      <w:r w:rsidRPr="000A3C0F">
        <w:endnoteRef/>
      </w:r>
      <w:r w:rsidRPr="000A3C0F">
        <w:t xml:space="preserve"> </w:t>
      </w:r>
      <w:r w:rsidRPr="000A3C0F">
        <w:tab/>
      </w:r>
      <w:r>
        <w:t xml:space="preserve">ACT Government, </w:t>
      </w:r>
      <w:r w:rsidRPr="00E307BD">
        <w:rPr>
          <w:rStyle w:val="Emphasis"/>
        </w:rPr>
        <w:t>Energy Efficiency (Cost of Living) Improvement (Priority Household Target) Determination 2017</w:t>
      </w:r>
      <w:r>
        <w:t xml:space="preserve">, </w:t>
      </w:r>
      <w:r w:rsidRPr="004A23E3">
        <w:rPr>
          <w:i/>
        </w:rPr>
        <w:t>Regulatory Impact Statement</w:t>
      </w:r>
      <w:r>
        <w:rPr>
          <w:i/>
        </w:rPr>
        <w:t xml:space="preserve"> to set 2018 Priority Household Target</w:t>
      </w:r>
      <w:r w:rsidRPr="00606FB8">
        <w:t>, ACT</w:t>
      </w:r>
      <w:r>
        <w:t xml:space="preserve"> Government, 2017, p. 8, viewed 19 June 2019, &lt;</w:t>
      </w:r>
      <w:hyperlink r:id="rId15" w:history="1">
        <w:r w:rsidRPr="000A3C0F">
          <w:rPr>
            <w:rStyle w:val="Hyperlink"/>
          </w:rPr>
          <w:t>http://www.legislation.act.gov.au/di/2017-251/default.asp</w:t>
        </w:r>
      </w:hyperlink>
      <w:r>
        <w:t>&gt;.</w:t>
      </w:r>
    </w:p>
  </w:endnote>
  <w:endnote w:id="19">
    <w:p w14:paraId="6F8D7199" w14:textId="17364809" w:rsidR="00051D3D" w:rsidRPr="006A0C1C" w:rsidRDefault="00051D3D" w:rsidP="00026643">
      <w:pPr>
        <w:pStyle w:val="EndnoteText"/>
        <w:rPr>
          <w:lang w:val="en-US"/>
        </w:rPr>
      </w:pPr>
      <w:r w:rsidRPr="000A3C0F">
        <w:endnoteRef/>
      </w:r>
      <w:r w:rsidRPr="000A3C0F">
        <w:t xml:space="preserve"> </w:t>
      </w:r>
      <w:r w:rsidRPr="000A3C0F">
        <w:tab/>
      </w:r>
      <w:r>
        <w:rPr>
          <w:lang w:val="en-US"/>
        </w:rPr>
        <w:t>ibid, pp. 8-9.</w:t>
      </w:r>
    </w:p>
  </w:endnote>
  <w:endnote w:id="20">
    <w:p w14:paraId="261649C8" w14:textId="051CE186" w:rsidR="00051D3D" w:rsidRPr="00F95F97" w:rsidRDefault="00051D3D">
      <w:pPr>
        <w:pStyle w:val="EndnoteText"/>
        <w:rPr>
          <w:lang w:val="en-US"/>
        </w:rPr>
      </w:pPr>
      <w:r w:rsidRPr="000A3C0F">
        <w:endnoteRef/>
      </w:r>
      <w:r w:rsidRPr="000A3C0F">
        <w:t xml:space="preserve"> </w:t>
      </w:r>
      <w:r>
        <w:tab/>
      </w:r>
      <w:r w:rsidRPr="000A3C0F">
        <w:t>ibid</w:t>
      </w:r>
      <w:r>
        <w:rPr>
          <w:lang w:val="en-US"/>
        </w:rPr>
        <w:t>, p. 9.</w:t>
      </w:r>
    </w:p>
  </w:endnote>
  <w:endnote w:id="21">
    <w:p w14:paraId="36B3C458" w14:textId="77777777" w:rsidR="00051D3D" w:rsidRPr="00A06902" w:rsidRDefault="00051D3D" w:rsidP="009E21EE">
      <w:pPr>
        <w:pStyle w:val="EndnoteText"/>
        <w:rPr>
          <w:lang w:val="en-US"/>
        </w:rPr>
      </w:pPr>
      <w:r w:rsidRPr="000A3C0F">
        <w:endnoteRef/>
      </w:r>
      <w:r w:rsidRPr="000A3C0F">
        <w:t xml:space="preserve"> </w:t>
      </w:r>
      <w:r w:rsidRPr="000A3C0F">
        <w:tab/>
        <w:t>ibid</w:t>
      </w:r>
      <w:r>
        <w:t>, p. 8.</w:t>
      </w:r>
    </w:p>
  </w:endnote>
  <w:endnote w:id="22">
    <w:p w14:paraId="54910A4F" w14:textId="0737E04C" w:rsidR="00051D3D" w:rsidRPr="00D73A3C" w:rsidRDefault="00051D3D" w:rsidP="00DD2B19">
      <w:pPr>
        <w:pStyle w:val="EndnoteText"/>
        <w:rPr>
          <w:lang w:val="en-US"/>
        </w:rPr>
      </w:pPr>
      <w:r w:rsidRPr="000A3C0F">
        <w:endnoteRef/>
      </w:r>
      <w:r w:rsidRPr="000A3C0F">
        <w:t xml:space="preserve"> </w:t>
      </w:r>
      <w:r w:rsidRPr="000A3C0F">
        <w:tab/>
      </w:r>
      <w:r>
        <w:t>AER, op. cit., pp. 53 &amp; 55.</w:t>
      </w:r>
    </w:p>
  </w:endnote>
  <w:endnote w:id="23">
    <w:p w14:paraId="6CB3E970" w14:textId="7A80B00D" w:rsidR="00051D3D" w:rsidRPr="00917F28" w:rsidRDefault="00051D3D" w:rsidP="00DC54FD">
      <w:pPr>
        <w:pStyle w:val="EndnoteText"/>
        <w:rPr>
          <w:lang w:val="en-US"/>
        </w:rPr>
      </w:pPr>
      <w:r w:rsidRPr="000A3C0F">
        <w:endnoteRef/>
      </w:r>
      <w:r w:rsidRPr="000A3C0F">
        <w:t xml:space="preserve"> </w:t>
      </w:r>
      <w:r w:rsidRPr="000A3C0F">
        <w:tab/>
      </w:r>
      <w:r>
        <w:t xml:space="preserve">ibid, p. 61; Australian Energy Regulator, </w:t>
      </w:r>
      <w:r w:rsidRPr="0054011D">
        <w:rPr>
          <w:i/>
          <w:iCs/>
        </w:rPr>
        <w:t>AER Retail Report Appendices2017-18 (excel version)</w:t>
      </w:r>
      <w:r>
        <w:t>, AER, 2018, Appendix 3: Hardship, Tables 7.9 &amp; 7.10, viewed 18 June 2019, &lt;</w:t>
      </w:r>
      <w:hyperlink r:id="rId16" w:history="1">
        <w:r w:rsidRPr="000A3C0F">
          <w:rPr>
            <w:rStyle w:val="Hyperlink"/>
          </w:rPr>
          <w:t>https://www.aer.gov.au/retail-markets/performance-reporting/annual-report-on-compliance-and-performance-of-the-retail-energy-market-2017-18</w:t>
        </w:r>
      </w:hyperlink>
      <w:r>
        <w:t>&gt;.</w:t>
      </w:r>
    </w:p>
  </w:endnote>
  <w:endnote w:id="24">
    <w:p w14:paraId="1D98067A" w14:textId="071609F9" w:rsidR="00051D3D" w:rsidRPr="00830B50" w:rsidRDefault="00051D3D" w:rsidP="00830B50">
      <w:pPr>
        <w:pStyle w:val="EndnoteText"/>
        <w:rPr>
          <w:lang w:val="en-US"/>
        </w:rPr>
      </w:pPr>
      <w:r w:rsidRPr="000A3C0F">
        <w:endnoteRef/>
      </w:r>
      <w:r w:rsidRPr="000A3C0F">
        <w:t xml:space="preserve"> </w:t>
      </w:r>
      <w:r w:rsidRPr="000A3C0F">
        <w:tab/>
      </w:r>
      <w:r>
        <w:t>AER, op. cit.</w:t>
      </w:r>
    </w:p>
  </w:endnote>
  <w:endnote w:id="25">
    <w:p w14:paraId="676C4535" w14:textId="25D56EAE" w:rsidR="00051D3D" w:rsidRPr="00C02D8C" w:rsidRDefault="00051D3D">
      <w:pPr>
        <w:pStyle w:val="EndnoteText"/>
        <w:rPr>
          <w:lang w:val="en-US"/>
        </w:rPr>
      </w:pPr>
      <w:r w:rsidRPr="000A3C0F">
        <w:endnoteRef/>
      </w:r>
      <w:r w:rsidRPr="000A3C0F">
        <w:t xml:space="preserve"> </w:t>
      </w:r>
      <w:r>
        <w:tab/>
      </w:r>
      <w:r w:rsidRPr="000A3C0F">
        <w:t>ibid</w:t>
      </w:r>
      <w:r w:rsidRPr="0051699B">
        <w:t>, p. 63.</w:t>
      </w:r>
    </w:p>
  </w:endnote>
  <w:endnote w:id="26">
    <w:p w14:paraId="37609A61" w14:textId="5894514C" w:rsidR="00051D3D" w:rsidRPr="007444E0" w:rsidRDefault="00051D3D">
      <w:pPr>
        <w:pStyle w:val="EndnoteText"/>
        <w:rPr>
          <w:lang w:val="en-US"/>
        </w:rPr>
      </w:pPr>
      <w:r w:rsidRPr="000A3C0F">
        <w:endnoteRef/>
      </w:r>
      <w:r w:rsidRPr="000A3C0F">
        <w:t xml:space="preserve"> </w:t>
      </w:r>
      <w:r>
        <w:tab/>
      </w:r>
      <w:proofErr w:type="spellStart"/>
      <w:r w:rsidRPr="000A3C0F">
        <w:t>ACAT</w:t>
      </w:r>
      <w:proofErr w:type="spellEnd"/>
      <w:r>
        <w:rPr>
          <w:lang w:val="en-US"/>
        </w:rPr>
        <w:t>, website, viewed 19 June 2019, &lt;</w:t>
      </w:r>
      <w:hyperlink r:id="rId17" w:history="1">
        <w:r w:rsidRPr="00180EBF">
          <w:rPr>
            <w:rStyle w:val="Hyperlink"/>
            <w:lang w:val="en-US"/>
          </w:rPr>
          <w:t>http://acat.act.gov.au/application-type/energy_water</w:t>
        </w:r>
      </w:hyperlink>
      <w:r>
        <w:rPr>
          <w:lang w:val="en-US"/>
        </w:rPr>
        <w:t xml:space="preserve">&gt;. </w:t>
      </w:r>
    </w:p>
  </w:endnote>
  <w:endnote w:id="27">
    <w:p w14:paraId="37516333" w14:textId="514F89D0" w:rsidR="00051D3D" w:rsidRPr="00BA46F5" w:rsidRDefault="00051D3D">
      <w:pPr>
        <w:pStyle w:val="EndnoteText"/>
        <w:rPr>
          <w:lang w:val="en-US"/>
        </w:rPr>
      </w:pPr>
      <w:r w:rsidRPr="000A3C0F">
        <w:endnoteRef/>
      </w:r>
      <w:r w:rsidRPr="000A3C0F">
        <w:t xml:space="preserve"> </w:t>
      </w:r>
      <w:bookmarkStart w:id="0" w:name="_Hlk1483162"/>
      <w:r w:rsidRPr="000A3C0F">
        <w:tab/>
        <w:t>Data</w:t>
      </w:r>
      <w:r>
        <w:t xml:space="preserve"> provided by </w:t>
      </w:r>
      <w:proofErr w:type="spellStart"/>
      <w:r>
        <w:t>ACAT</w:t>
      </w:r>
      <w:proofErr w:type="spellEnd"/>
      <w:r>
        <w:t xml:space="preserve"> to ACTCOSS, May 2018</w:t>
      </w:r>
      <w:bookmarkEnd w:id="0"/>
      <w:r>
        <w:t>.</w:t>
      </w:r>
    </w:p>
  </w:endnote>
  <w:endnote w:id="28">
    <w:p w14:paraId="010B94FA" w14:textId="079634A5" w:rsidR="00051D3D" w:rsidRPr="002F783F" w:rsidRDefault="00051D3D">
      <w:pPr>
        <w:pStyle w:val="EndnoteText"/>
        <w:rPr>
          <w:lang w:val="en-US"/>
        </w:rPr>
      </w:pPr>
      <w:r w:rsidRPr="000A3C0F">
        <w:endnoteRef/>
      </w:r>
      <w:r w:rsidRPr="000A3C0F">
        <w:t xml:space="preserve"> </w:t>
      </w:r>
      <w:r w:rsidRPr="000A3C0F">
        <w:tab/>
        <w:t>ibid</w:t>
      </w:r>
      <w:r>
        <w:t>.</w:t>
      </w:r>
    </w:p>
  </w:endnote>
  <w:endnote w:id="29">
    <w:p w14:paraId="37FD0A8E" w14:textId="0F21CD3A" w:rsidR="00051D3D" w:rsidRPr="00F639DD" w:rsidRDefault="00051D3D" w:rsidP="00CE1AE1">
      <w:pPr>
        <w:pStyle w:val="EndnoteText"/>
        <w:rPr>
          <w:lang w:val="en-US"/>
        </w:rPr>
      </w:pPr>
      <w:r w:rsidRPr="000A3C0F">
        <w:endnoteRef/>
      </w:r>
      <w:r w:rsidRPr="000A3C0F">
        <w:t xml:space="preserve"> </w:t>
      </w:r>
      <w:bookmarkStart w:id="1" w:name="_Hlk1482210"/>
      <w:r>
        <w:tab/>
      </w:r>
      <w:r w:rsidRPr="000A3C0F">
        <w:t>Australian</w:t>
      </w:r>
      <w:r w:rsidRPr="00B62A16">
        <w:rPr>
          <w:lang w:val="en-US"/>
        </w:rPr>
        <w:t xml:space="preserve"> Energy Regulator</w:t>
      </w:r>
      <w:r>
        <w:rPr>
          <w:lang w:val="en-US"/>
        </w:rPr>
        <w:t xml:space="preserve"> (AER)</w:t>
      </w:r>
      <w:r w:rsidRPr="00B62A16">
        <w:rPr>
          <w:lang w:val="en-US"/>
        </w:rPr>
        <w:t>,</w:t>
      </w:r>
      <w:r w:rsidRPr="00B62A16">
        <w:rPr>
          <w:i/>
          <w:iCs/>
          <w:lang w:val="en-US"/>
        </w:rPr>
        <w:t xml:space="preserve"> Annual report on compliance performance of the retail energy market 2017-2018, </w:t>
      </w:r>
      <w:r w:rsidRPr="00F639DD">
        <w:rPr>
          <w:lang w:val="en-US"/>
        </w:rPr>
        <w:t xml:space="preserve">AER, Melbourne, 2018, pp. 65 &amp; 66, viewed 22 May 2019, </w:t>
      </w:r>
      <w:bookmarkEnd w:id="1"/>
      <w:r w:rsidRPr="00F639DD">
        <w:rPr>
          <w:lang w:val="en-US"/>
        </w:rPr>
        <w:t>&lt;</w:t>
      </w:r>
      <w:hyperlink r:id="rId18" w:history="1">
        <w:r w:rsidRPr="00180EBF">
          <w:rPr>
            <w:rStyle w:val="Hyperlink"/>
            <w:lang w:val="en-US"/>
          </w:rPr>
          <w:t>https://www.aer.gov.au/retail-markets/performance-reporting/annual-report-on-compliance-and-performance-of-the-retail-energy-market-2017-18</w:t>
        </w:r>
      </w:hyperlink>
      <w:r w:rsidRPr="00F639DD">
        <w:rPr>
          <w:lang w:val="en-US"/>
        </w:rPr>
        <w:t>&gt;.</w:t>
      </w:r>
    </w:p>
  </w:endnote>
  <w:endnote w:id="30">
    <w:p w14:paraId="0EBA755C" w14:textId="77777777" w:rsidR="00051D3D" w:rsidRPr="00E26AB9" w:rsidRDefault="00051D3D" w:rsidP="00281E2D">
      <w:pPr>
        <w:pStyle w:val="EndnoteText"/>
        <w:rPr>
          <w:lang w:val="en-US"/>
        </w:rPr>
      </w:pPr>
      <w:r w:rsidRPr="000A3C0F">
        <w:endnoteRef/>
      </w:r>
      <w:r w:rsidRPr="000A3C0F">
        <w:t xml:space="preserve"> </w:t>
      </w:r>
      <w:r w:rsidRPr="000A3C0F">
        <w:tab/>
      </w:r>
      <w:r w:rsidRPr="00900A8E">
        <w:t xml:space="preserve">St Vincent de Paul Society and </w:t>
      </w:r>
      <w:proofErr w:type="spellStart"/>
      <w:r w:rsidRPr="00900A8E">
        <w:t>Alviss</w:t>
      </w:r>
      <w:proofErr w:type="spellEnd"/>
      <w:r w:rsidRPr="00900A8E">
        <w:t xml:space="preserve"> Consulting, </w:t>
      </w:r>
      <w:r w:rsidRPr="00900A8E">
        <w:rPr>
          <w:i/>
          <w:iCs/>
        </w:rPr>
        <w:t>Households in the Dark: mapping electricity disconnections in South Australia, Victoria, New South Wales and South East Queensland</w:t>
      </w:r>
      <w:r w:rsidRPr="00900A8E">
        <w:t>, St Vincent de Paul Society, 2016.</w:t>
      </w:r>
    </w:p>
  </w:endnote>
  <w:endnote w:id="31">
    <w:p w14:paraId="5860CC70" w14:textId="7914A812" w:rsidR="00051D3D" w:rsidRPr="00E9671A" w:rsidRDefault="00051D3D">
      <w:pPr>
        <w:pStyle w:val="EndnoteText"/>
        <w:rPr>
          <w:lang w:val="en-US"/>
        </w:rPr>
      </w:pPr>
      <w:r w:rsidRPr="000A3C0F">
        <w:endnoteRef/>
      </w:r>
      <w:r w:rsidRPr="000A3C0F">
        <w:t xml:space="preserve"> </w:t>
      </w:r>
      <w:r>
        <w:tab/>
      </w:r>
      <w:r w:rsidRPr="000A3C0F">
        <w:t>AER</w:t>
      </w:r>
      <w:r>
        <w:rPr>
          <w:lang w:val="en-US"/>
        </w:rPr>
        <w:t xml:space="preserve">, </w:t>
      </w:r>
      <w:r w:rsidRPr="000B5760">
        <w:rPr>
          <w:i/>
          <w:iCs/>
          <w:lang w:val="en-US"/>
        </w:rPr>
        <w:t>AER Customer Hardship Policy Guideline</w:t>
      </w:r>
      <w:r>
        <w:rPr>
          <w:lang w:val="en-US"/>
        </w:rPr>
        <w:t>, Version 1, AER, Melbourne, March 2019, viewed 20 June 2019, &lt;</w:t>
      </w:r>
      <w:hyperlink r:id="rId19" w:history="1">
        <w:r w:rsidRPr="00180EBF">
          <w:rPr>
            <w:rStyle w:val="Hyperlink"/>
            <w:lang w:val="en-US"/>
          </w:rPr>
          <w:t>https://www.aer.gov.au/retail-markets/retail-guidelines-reviews/customer-hardship-policy-guideline</w:t>
        </w:r>
      </w:hyperlink>
      <w:r>
        <w:rPr>
          <w:lang w:val="en-US"/>
        </w:rPr>
        <w:t xml:space="preserve">&gt;. </w:t>
      </w:r>
    </w:p>
  </w:endnote>
  <w:endnote w:id="32">
    <w:p w14:paraId="13D4B02A" w14:textId="02CFB826" w:rsidR="00051D3D" w:rsidRPr="00227EE0" w:rsidRDefault="00051D3D">
      <w:pPr>
        <w:pStyle w:val="EndnoteText"/>
        <w:rPr>
          <w:lang w:val="en-US"/>
        </w:rPr>
      </w:pPr>
      <w:r w:rsidRPr="000A3C0F">
        <w:endnoteRef/>
      </w:r>
      <w:r w:rsidRPr="000A3C0F">
        <w:t xml:space="preserve"> </w:t>
      </w:r>
      <w:r>
        <w:tab/>
      </w:r>
      <w:r w:rsidRPr="000A3C0F">
        <w:t>AER</w:t>
      </w:r>
      <w:r>
        <w:rPr>
          <w:lang w:val="en-US"/>
        </w:rPr>
        <w:t xml:space="preserve">, </w:t>
      </w:r>
      <w:r w:rsidRPr="0024653D">
        <w:rPr>
          <w:i/>
          <w:iCs/>
          <w:lang w:val="en-US"/>
        </w:rPr>
        <w:t>Sustainable Payment Plans Framework</w:t>
      </w:r>
      <w:r>
        <w:rPr>
          <w:lang w:val="en-US"/>
        </w:rPr>
        <w:t>, Version 1, AER, Melbourne, July 2016, viewed 20 June 2019, &lt;</w:t>
      </w:r>
      <w:hyperlink r:id="rId20" w:history="1">
        <w:r w:rsidRPr="000A3C0F">
          <w:rPr>
            <w:rStyle w:val="Hyperlink"/>
            <w:lang w:val="en-US"/>
          </w:rPr>
          <w:t>https://www.aer.gov.au/consumers/my-energy-bill/experiencing-trouble-paying-your-energy-bills#sustainable-payment-plans-framework</w:t>
        </w:r>
      </w:hyperlink>
      <w:r>
        <w:rPr>
          <w:lang w:val="en-US"/>
        </w:rPr>
        <w:t xml:space="preserve">&gt;. </w:t>
      </w:r>
    </w:p>
  </w:endnote>
  <w:endnote w:id="33">
    <w:p w14:paraId="63C31917" w14:textId="0B1752C9" w:rsidR="00051D3D" w:rsidRPr="002375D1" w:rsidRDefault="00051D3D">
      <w:pPr>
        <w:pStyle w:val="EndnoteText"/>
        <w:rPr>
          <w:lang w:val="en-US"/>
        </w:rPr>
      </w:pPr>
      <w:r w:rsidRPr="000A3C0F">
        <w:endnoteRef/>
      </w:r>
      <w:r w:rsidRPr="000A3C0F">
        <w:t xml:space="preserve"> </w:t>
      </w:r>
      <w:r>
        <w:tab/>
      </w:r>
      <w:r w:rsidRPr="000A3C0F">
        <w:t>AER</w:t>
      </w:r>
      <w:r>
        <w:rPr>
          <w:lang w:val="en-US"/>
        </w:rPr>
        <w:t xml:space="preserve">, </w:t>
      </w:r>
      <w:r w:rsidRPr="002375D1">
        <w:rPr>
          <w:i/>
          <w:iCs/>
          <w:lang w:val="en-US"/>
        </w:rPr>
        <w:t>Energy disconnections</w:t>
      </w:r>
      <w:r>
        <w:rPr>
          <w:lang w:val="en-US"/>
        </w:rPr>
        <w:t xml:space="preserve"> (website), viewed 20 June 2019, &lt;</w:t>
      </w:r>
      <w:hyperlink r:id="rId21" w:history="1">
        <w:r w:rsidRPr="000A3C0F">
          <w:rPr>
            <w:rStyle w:val="Hyperlink"/>
            <w:lang w:val="en-US"/>
          </w:rPr>
          <w:t>https://www.aer.gov.au/consumers/my-energy-service/energy-disconnections</w:t>
        </w:r>
      </w:hyperlink>
      <w:r>
        <w:rPr>
          <w:lang w:val="en-US"/>
        </w:rPr>
        <w:t xml:space="preserve">&gt;. </w:t>
      </w:r>
    </w:p>
  </w:endnote>
  <w:endnote w:id="34">
    <w:p w14:paraId="1A049FB3" w14:textId="003A5401" w:rsidR="00051D3D" w:rsidRPr="002A490F" w:rsidRDefault="00051D3D">
      <w:pPr>
        <w:pStyle w:val="EndnoteText"/>
        <w:rPr>
          <w:lang w:val="en-US"/>
        </w:rPr>
      </w:pPr>
      <w:r w:rsidRPr="000A3C0F">
        <w:endnoteRef/>
      </w:r>
      <w:r w:rsidRPr="000A3C0F">
        <w:t xml:space="preserve"> </w:t>
      </w:r>
      <w:r>
        <w:tab/>
      </w:r>
      <w:r>
        <w:rPr>
          <w:lang w:val="en-US"/>
        </w:rPr>
        <w:t xml:space="preserve">ACT Government, </w:t>
      </w:r>
      <w:r w:rsidRPr="008A0E0D">
        <w:rPr>
          <w:i/>
          <w:iCs/>
          <w:lang w:val="en-US"/>
        </w:rPr>
        <w:t>Utilities concession</w:t>
      </w:r>
      <w:r>
        <w:rPr>
          <w:lang w:val="en-US"/>
        </w:rPr>
        <w:t xml:space="preserve"> (website), visited 19 June 2019, &lt;</w:t>
      </w:r>
      <w:hyperlink r:id="rId22" w:history="1">
        <w:r w:rsidRPr="000A3C0F">
          <w:rPr>
            <w:rStyle w:val="Hyperlink"/>
            <w:lang w:val="en-US"/>
          </w:rPr>
          <w:t>https://www.revenue.act.gov.au/community-assistance/utilities-concession</w:t>
        </w:r>
      </w:hyperlink>
      <w:r>
        <w:rPr>
          <w:lang w:val="en-US"/>
        </w:rPr>
        <w:t xml:space="preserve">&gt;. </w:t>
      </w:r>
    </w:p>
  </w:endnote>
  <w:endnote w:id="35">
    <w:p w14:paraId="2EBAB02C" w14:textId="57A85016" w:rsidR="00051D3D" w:rsidRPr="00C54BB2" w:rsidRDefault="00051D3D">
      <w:pPr>
        <w:pStyle w:val="EndnoteText"/>
        <w:rPr>
          <w:lang w:val="en-US"/>
        </w:rPr>
      </w:pPr>
      <w:r w:rsidRPr="000A3C0F">
        <w:endnoteRef/>
      </w:r>
      <w:r w:rsidRPr="000A3C0F">
        <w:t xml:space="preserve"> </w:t>
      </w:r>
      <w:r>
        <w:tab/>
      </w:r>
      <w:r w:rsidRPr="000A3C0F">
        <w:t>ACT</w:t>
      </w:r>
      <w:r>
        <w:rPr>
          <w:lang w:val="en-US"/>
        </w:rPr>
        <w:t xml:space="preserve"> Government, </w:t>
      </w:r>
      <w:proofErr w:type="spellStart"/>
      <w:r w:rsidRPr="00447F6E">
        <w:rPr>
          <w:i/>
          <w:iCs/>
          <w:lang w:val="en-US"/>
        </w:rPr>
        <w:t>Actsmart</w:t>
      </w:r>
      <w:proofErr w:type="spellEnd"/>
      <w:r w:rsidRPr="00447F6E">
        <w:rPr>
          <w:i/>
          <w:iCs/>
          <w:lang w:val="en-US"/>
        </w:rPr>
        <w:t xml:space="preserve"> Low Income Household Program</w:t>
      </w:r>
      <w:r>
        <w:rPr>
          <w:lang w:val="en-US"/>
        </w:rPr>
        <w:t xml:space="preserve"> (website) and </w:t>
      </w:r>
      <w:proofErr w:type="spellStart"/>
      <w:r w:rsidRPr="00DC6F7F">
        <w:rPr>
          <w:i/>
          <w:iCs/>
          <w:lang w:val="en-US"/>
        </w:rPr>
        <w:t>Actsmart</w:t>
      </w:r>
      <w:proofErr w:type="spellEnd"/>
      <w:r w:rsidRPr="00DC6F7F">
        <w:rPr>
          <w:i/>
          <w:iCs/>
          <w:lang w:val="en-US"/>
        </w:rPr>
        <w:t xml:space="preserve"> Solar for Low Income Program</w:t>
      </w:r>
      <w:r>
        <w:rPr>
          <w:lang w:val="en-US"/>
        </w:rPr>
        <w:t xml:space="preserve"> (website), viewed 20 June 2019, &lt;</w:t>
      </w:r>
      <w:hyperlink r:id="rId23" w:history="1">
        <w:r w:rsidRPr="000A3C0F">
          <w:rPr>
            <w:rStyle w:val="Hyperlink"/>
            <w:lang w:val="en-US"/>
          </w:rPr>
          <w:t>https://www.actsmart.act.gov.au/what-can-i-do/homes/Actsmart-household-energy-efficiency-program</w:t>
        </w:r>
      </w:hyperlink>
      <w:r>
        <w:rPr>
          <w:lang w:val="en-US"/>
        </w:rPr>
        <w:t xml:space="preserve">&gt;. </w:t>
      </w:r>
    </w:p>
  </w:endnote>
  <w:endnote w:id="36">
    <w:p w14:paraId="7D147A2F" w14:textId="7B0A28F9" w:rsidR="00051D3D" w:rsidRPr="009C0721" w:rsidRDefault="00051D3D">
      <w:pPr>
        <w:pStyle w:val="EndnoteText"/>
        <w:rPr>
          <w:lang w:val="en-US"/>
        </w:rPr>
      </w:pPr>
      <w:r w:rsidRPr="000A3C0F">
        <w:endnoteRef/>
      </w:r>
      <w:r w:rsidRPr="000A3C0F">
        <w:t xml:space="preserve"> </w:t>
      </w:r>
      <w:r>
        <w:tab/>
      </w:r>
      <w:r w:rsidRPr="000A3C0F">
        <w:t>ACT</w:t>
      </w:r>
      <w:r w:rsidRPr="009C0721">
        <w:t xml:space="preserve"> Government, </w:t>
      </w:r>
      <w:r w:rsidRPr="009C0721">
        <w:rPr>
          <w:i/>
          <w:iCs/>
        </w:rPr>
        <w:t>Energy Efficiency Improvement Scheme</w:t>
      </w:r>
      <w:r w:rsidRPr="009C0721">
        <w:t xml:space="preserve"> (website), viewed 19 June 2019, &lt;</w:t>
      </w:r>
      <w:hyperlink r:id="rId24" w:history="1">
        <w:r w:rsidRPr="000A3C0F">
          <w:rPr>
            <w:rStyle w:val="Hyperlink"/>
          </w:rPr>
          <w:t>https://www.environment.act.gov.au/energy/smarter-use-of-energy/energy-efficiency-improvement-scheme</w:t>
        </w:r>
      </w:hyperlink>
      <w:r w:rsidRPr="009C0721">
        <w:t>&gt;.</w:t>
      </w:r>
    </w:p>
  </w:endnote>
  <w:endnote w:id="37">
    <w:p w14:paraId="7DBE17ED" w14:textId="72C2C6B3" w:rsidR="00051D3D" w:rsidRPr="00032AD4" w:rsidRDefault="00051D3D">
      <w:pPr>
        <w:pStyle w:val="EndnoteText"/>
        <w:rPr>
          <w:lang w:val="en-US"/>
        </w:rPr>
      </w:pPr>
      <w:r w:rsidRPr="000A3C0F">
        <w:endnoteRef/>
      </w:r>
      <w:r w:rsidRPr="000A3C0F">
        <w:t xml:space="preserve"> </w:t>
      </w:r>
      <w:r>
        <w:tab/>
      </w:r>
      <w:r w:rsidRPr="000A3C0F">
        <w:t>Better</w:t>
      </w:r>
      <w:r>
        <w:rPr>
          <w:lang w:val="en-US"/>
        </w:rPr>
        <w:t xml:space="preserve"> Renting, </w:t>
      </w:r>
      <w:r w:rsidRPr="008F062B">
        <w:rPr>
          <w:i/>
          <w:iCs/>
          <w:lang w:val="en-US"/>
        </w:rPr>
        <w:t>Home Truths</w:t>
      </w:r>
      <w:r>
        <w:rPr>
          <w:lang w:val="en-US"/>
        </w:rPr>
        <w:t xml:space="preserve"> (website), viewed 20 June 2019, &lt;</w:t>
      </w:r>
      <w:hyperlink r:id="rId25" w:history="1">
        <w:r w:rsidRPr="000A3C0F">
          <w:rPr>
            <w:rStyle w:val="Hyperlink"/>
            <w:lang w:val="en-US"/>
          </w:rPr>
          <w:t>https://www.betterrenting.org.au/home_truths</w:t>
        </w:r>
      </w:hyperlink>
      <w:r>
        <w:rPr>
          <w:lang w:val="en-US"/>
        </w:rPr>
        <w:t xml:space="preserve">&gt;.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301172"/>
      <w:docPartObj>
        <w:docPartGallery w:val="Page Numbers (Bottom of Page)"/>
        <w:docPartUnique/>
      </w:docPartObj>
    </w:sdtPr>
    <w:sdtEndPr>
      <w:rPr>
        <w:noProof/>
      </w:rPr>
    </w:sdtEndPr>
    <w:sdtContent>
      <w:p w14:paraId="13008B35" w14:textId="7953A12F" w:rsidR="00D56C27" w:rsidRDefault="00404759" w:rsidP="004047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432962"/>
      <w:docPartObj>
        <w:docPartGallery w:val="Page Numbers (Bottom of Page)"/>
        <w:docPartUnique/>
      </w:docPartObj>
    </w:sdtPr>
    <w:sdtEndPr>
      <w:rPr>
        <w:noProof/>
      </w:rPr>
    </w:sdtEndPr>
    <w:sdtContent>
      <w:p w14:paraId="089A3D17" w14:textId="77777777" w:rsidR="008F2B8A" w:rsidRDefault="008F2B8A" w:rsidP="004047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5C942" w14:textId="77777777" w:rsidR="00BD66F6" w:rsidRDefault="00BD66F6" w:rsidP="002B6E89">
      <w:r>
        <w:separator/>
      </w:r>
    </w:p>
  </w:footnote>
  <w:footnote w:type="continuationSeparator" w:id="0">
    <w:p w14:paraId="06712885" w14:textId="77777777" w:rsidR="00BD66F6" w:rsidRDefault="00BD66F6" w:rsidP="002B6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7"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0"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4"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num w:numId="1">
    <w:abstractNumId w:val="10"/>
  </w:num>
  <w:num w:numId="2">
    <w:abstractNumId w:val="13"/>
  </w:num>
  <w:num w:numId="3">
    <w:abstractNumId w:val="11"/>
  </w:num>
  <w:num w:numId="4">
    <w:abstractNumId w:val="6"/>
  </w:num>
  <w:num w:numId="5">
    <w:abstractNumId w:val="9"/>
  </w:num>
  <w:num w:numId="6">
    <w:abstractNumId w:val="0"/>
  </w:num>
  <w:num w:numId="7">
    <w:abstractNumId w:val="5"/>
  </w:num>
  <w:num w:numId="8">
    <w:abstractNumId w:val="14"/>
  </w:num>
  <w:num w:numId="9">
    <w:abstractNumId w:val="2"/>
  </w:num>
  <w:num w:numId="10">
    <w:abstractNumId w:val="16"/>
  </w:num>
  <w:num w:numId="11">
    <w:abstractNumId w:val="3"/>
  </w:num>
  <w:num w:numId="12">
    <w:abstractNumId w:val="4"/>
  </w:num>
  <w:num w:numId="13">
    <w:abstractNumId w:val="15"/>
  </w:num>
  <w:num w:numId="14">
    <w:abstractNumId w:val="12"/>
  </w:num>
  <w:num w:numId="15">
    <w:abstractNumId w:val="8"/>
  </w:num>
  <w:num w:numId="16">
    <w:abstractNumId w:val="7"/>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3E"/>
    <w:rsid w:val="000023FD"/>
    <w:rsid w:val="00003A3D"/>
    <w:rsid w:val="000047D2"/>
    <w:rsid w:val="00011743"/>
    <w:rsid w:val="000224D2"/>
    <w:rsid w:val="00023786"/>
    <w:rsid w:val="00025972"/>
    <w:rsid w:val="00026643"/>
    <w:rsid w:val="00027363"/>
    <w:rsid w:val="00027804"/>
    <w:rsid w:val="000329FD"/>
    <w:rsid w:val="00032AD4"/>
    <w:rsid w:val="00033CF8"/>
    <w:rsid w:val="00033D73"/>
    <w:rsid w:val="0003616E"/>
    <w:rsid w:val="00036830"/>
    <w:rsid w:val="0004345D"/>
    <w:rsid w:val="000441ED"/>
    <w:rsid w:val="00047869"/>
    <w:rsid w:val="00051D3D"/>
    <w:rsid w:val="0005341B"/>
    <w:rsid w:val="000537D8"/>
    <w:rsid w:val="00055D6C"/>
    <w:rsid w:val="00060C56"/>
    <w:rsid w:val="00062827"/>
    <w:rsid w:val="00063B22"/>
    <w:rsid w:val="00081B74"/>
    <w:rsid w:val="0008430E"/>
    <w:rsid w:val="00087C05"/>
    <w:rsid w:val="00090747"/>
    <w:rsid w:val="0009155D"/>
    <w:rsid w:val="000A3C0F"/>
    <w:rsid w:val="000A3E49"/>
    <w:rsid w:val="000A4100"/>
    <w:rsid w:val="000A4E3D"/>
    <w:rsid w:val="000A6AB6"/>
    <w:rsid w:val="000B1C81"/>
    <w:rsid w:val="000B5760"/>
    <w:rsid w:val="000B5B0B"/>
    <w:rsid w:val="000B5F38"/>
    <w:rsid w:val="000C0D1A"/>
    <w:rsid w:val="000C3671"/>
    <w:rsid w:val="000D6BF7"/>
    <w:rsid w:val="000D728C"/>
    <w:rsid w:val="000E0183"/>
    <w:rsid w:val="000E6B67"/>
    <w:rsid w:val="001035D3"/>
    <w:rsid w:val="001055CD"/>
    <w:rsid w:val="00111929"/>
    <w:rsid w:val="001127F4"/>
    <w:rsid w:val="00144C28"/>
    <w:rsid w:val="00150316"/>
    <w:rsid w:val="00151B4A"/>
    <w:rsid w:val="00151F7D"/>
    <w:rsid w:val="00152B97"/>
    <w:rsid w:val="001552BE"/>
    <w:rsid w:val="0015545E"/>
    <w:rsid w:val="001559CD"/>
    <w:rsid w:val="00157C2A"/>
    <w:rsid w:val="0016247E"/>
    <w:rsid w:val="00165229"/>
    <w:rsid w:val="00173BFC"/>
    <w:rsid w:val="001740BC"/>
    <w:rsid w:val="0017674A"/>
    <w:rsid w:val="00180EBF"/>
    <w:rsid w:val="001817DF"/>
    <w:rsid w:val="00184C2B"/>
    <w:rsid w:val="001A161D"/>
    <w:rsid w:val="001A1EC5"/>
    <w:rsid w:val="001A3EE7"/>
    <w:rsid w:val="001B46FB"/>
    <w:rsid w:val="001B4CAC"/>
    <w:rsid w:val="001B7EA4"/>
    <w:rsid w:val="001C0C94"/>
    <w:rsid w:val="001C0E04"/>
    <w:rsid w:val="001C11F9"/>
    <w:rsid w:val="001C50AE"/>
    <w:rsid w:val="001C51EC"/>
    <w:rsid w:val="001C6AB0"/>
    <w:rsid w:val="001D31DB"/>
    <w:rsid w:val="001D5566"/>
    <w:rsid w:val="001E0157"/>
    <w:rsid w:val="001E1CB1"/>
    <w:rsid w:val="001E3130"/>
    <w:rsid w:val="001E3382"/>
    <w:rsid w:val="001E6B74"/>
    <w:rsid w:val="001E70AB"/>
    <w:rsid w:val="001F3141"/>
    <w:rsid w:val="00202C67"/>
    <w:rsid w:val="0021212A"/>
    <w:rsid w:val="00212770"/>
    <w:rsid w:val="00212797"/>
    <w:rsid w:val="0022075A"/>
    <w:rsid w:val="00220E76"/>
    <w:rsid w:val="0022545A"/>
    <w:rsid w:val="00227EE0"/>
    <w:rsid w:val="0023071F"/>
    <w:rsid w:val="00234E24"/>
    <w:rsid w:val="002375D1"/>
    <w:rsid w:val="00237D19"/>
    <w:rsid w:val="00244969"/>
    <w:rsid w:val="0024653D"/>
    <w:rsid w:val="00255436"/>
    <w:rsid w:val="00255E39"/>
    <w:rsid w:val="00256E26"/>
    <w:rsid w:val="002578BB"/>
    <w:rsid w:val="002578E5"/>
    <w:rsid w:val="00262182"/>
    <w:rsid w:val="00263510"/>
    <w:rsid w:val="002642C1"/>
    <w:rsid w:val="00266CAA"/>
    <w:rsid w:val="00266E78"/>
    <w:rsid w:val="00267534"/>
    <w:rsid w:val="00272934"/>
    <w:rsid w:val="002737A0"/>
    <w:rsid w:val="00277540"/>
    <w:rsid w:val="00281E2D"/>
    <w:rsid w:val="00283C02"/>
    <w:rsid w:val="00290DA2"/>
    <w:rsid w:val="00292ABE"/>
    <w:rsid w:val="002A490F"/>
    <w:rsid w:val="002B08CA"/>
    <w:rsid w:val="002B362D"/>
    <w:rsid w:val="002B4241"/>
    <w:rsid w:val="002B5C2C"/>
    <w:rsid w:val="002B6E89"/>
    <w:rsid w:val="002C2746"/>
    <w:rsid w:val="002D1722"/>
    <w:rsid w:val="002D3AFD"/>
    <w:rsid w:val="002D5692"/>
    <w:rsid w:val="002E3842"/>
    <w:rsid w:val="002E5CCD"/>
    <w:rsid w:val="002E6CCE"/>
    <w:rsid w:val="002F031F"/>
    <w:rsid w:val="002F1134"/>
    <w:rsid w:val="002F1754"/>
    <w:rsid w:val="002F2AC5"/>
    <w:rsid w:val="002F50F8"/>
    <w:rsid w:val="002F783F"/>
    <w:rsid w:val="003042F3"/>
    <w:rsid w:val="00314F8F"/>
    <w:rsid w:val="00315D12"/>
    <w:rsid w:val="00317709"/>
    <w:rsid w:val="00323A3C"/>
    <w:rsid w:val="00331450"/>
    <w:rsid w:val="003337EF"/>
    <w:rsid w:val="00334ACA"/>
    <w:rsid w:val="00340CE5"/>
    <w:rsid w:val="003412B9"/>
    <w:rsid w:val="00346AE5"/>
    <w:rsid w:val="003627D5"/>
    <w:rsid w:val="00362D9A"/>
    <w:rsid w:val="00363146"/>
    <w:rsid w:val="003636D1"/>
    <w:rsid w:val="003640B1"/>
    <w:rsid w:val="00377929"/>
    <w:rsid w:val="00383458"/>
    <w:rsid w:val="0038744D"/>
    <w:rsid w:val="00394314"/>
    <w:rsid w:val="003971AF"/>
    <w:rsid w:val="003B13D2"/>
    <w:rsid w:val="003B2310"/>
    <w:rsid w:val="003C0E4B"/>
    <w:rsid w:val="003C2480"/>
    <w:rsid w:val="003D19EC"/>
    <w:rsid w:val="003E3DB9"/>
    <w:rsid w:val="004025D1"/>
    <w:rsid w:val="00403507"/>
    <w:rsid w:val="004045D7"/>
    <w:rsid w:val="00404759"/>
    <w:rsid w:val="00405AE0"/>
    <w:rsid w:val="00412673"/>
    <w:rsid w:val="004143FB"/>
    <w:rsid w:val="00422C86"/>
    <w:rsid w:val="00425101"/>
    <w:rsid w:val="00427C4B"/>
    <w:rsid w:val="00434516"/>
    <w:rsid w:val="00437587"/>
    <w:rsid w:val="004439AD"/>
    <w:rsid w:val="00446CE5"/>
    <w:rsid w:val="00447F6E"/>
    <w:rsid w:val="00454AB5"/>
    <w:rsid w:val="00456CBA"/>
    <w:rsid w:val="00457557"/>
    <w:rsid w:val="00460C46"/>
    <w:rsid w:val="00462581"/>
    <w:rsid w:val="00467407"/>
    <w:rsid w:val="00467466"/>
    <w:rsid w:val="00467EBE"/>
    <w:rsid w:val="0047479B"/>
    <w:rsid w:val="004851D9"/>
    <w:rsid w:val="0048718F"/>
    <w:rsid w:val="0048739C"/>
    <w:rsid w:val="00494C86"/>
    <w:rsid w:val="00495290"/>
    <w:rsid w:val="004A23E3"/>
    <w:rsid w:val="004A36EB"/>
    <w:rsid w:val="004B7954"/>
    <w:rsid w:val="004C1F69"/>
    <w:rsid w:val="004C3720"/>
    <w:rsid w:val="004C667A"/>
    <w:rsid w:val="004D4B47"/>
    <w:rsid w:val="004D69BD"/>
    <w:rsid w:val="004D7252"/>
    <w:rsid w:val="004D75AA"/>
    <w:rsid w:val="004D77FF"/>
    <w:rsid w:val="004D7EDE"/>
    <w:rsid w:val="004E1A30"/>
    <w:rsid w:val="004E58FE"/>
    <w:rsid w:val="004F0CB7"/>
    <w:rsid w:val="0050110A"/>
    <w:rsid w:val="0050230D"/>
    <w:rsid w:val="0050563C"/>
    <w:rsid w:val="00511655"/>
    <w:rsid w:val="0051329D"/>
    <w:rsid w:val="00513946"/>
    <w:rsid w:val="005153B7"/>
    <w:rsid w:val="0051699B"/>
    <w:rsid w:val="00520ED5"/>
    <w:rsid w:val="005321B4"/>
    <w:rsid w:val="00533332"/>
    <w:rsid w:val="00535E24"/>
    <w:rsid w:val="0054011D"/>
    <w:rsid w:val="00541662"/>
    <w:rsid w:val="0055354D"/>
    <w:rsid w:val="00553FDD"/>
    <w:rsid w:val="00555873"/>
    <w:rsid w:val="00560F12"/>
    <w:rsid w:val="00562911"/>
    <w:rsid w:val="00574BC5"/>
    <w:rsid w:val="00575CE8"/>
    <w:rsid w:val="005C025F"/>
    <w:rsid w:val="005C0BF0"/>
    <w:rsid w:val="005C2FC3"/>
    <w:rsid w:val="005D5140"/>
    <w:rsid w:val="005D78DB"/>
    <w:rsid w:val="005F15EA"/>
    <w:rsid w:val="005F384B"/>
    <w:rsid w:val="005F3A5F"/>
    <w:rsid w:val="005F5BF3"/>
    <w:rsid w:val="00602FEC"/>
    <w:rsid w:val="00603DBE"/>
    <w:rsid w:val="00603E4A"/>
    <w:rsid w:val="0060440E"/>
    <w:rsid w:val="00604D59"/>
    <w:rsid w:val="006062E7"/>
    <w:rsid w:val="00606FB8"/>
    <w:rsid w:val="00610380"/>
    <w:rsid w:val="006177BF"/>
    <w:rsid w:val="00621F83"/>
    <w:rsid w:val="006220C4"/>
    <w:rsid w:val="00623B7D"/>
    <w:rsid w:val="00630F2B"/>
    <w:rsid w:val="00632B30"/>
    <w:rsid w:val="006350E7"/>
    <w:rsid w:val="00640675"/>
    <w:rsid w:val="00643C28"/>
    <w:rsid w:val="00644F14"/>
    <w:rsid w:val="006454E4"/>
    <w:rsid w:val="006459A0"/>
    <w:rsid w:val="00653B24"/>
    <w:rsid w:val="00654303"/>
    <w:rsid w:val="0065443D"/>
    <w:rsid w:val="00656F48"/>
    <w:rsid w:val="00670B7F"/>
    <w:rsid w:val="00676429"/>
    <w:rsid w:val="006878AC"/>
    <w:rsid w:val="006919DA"/>
    <w:rsid w:val="006953E0"/>
    <w:rsid w:val="00696FE6"/>
    <w:rsid w:val="006A0C1C"/>
    <w:rsid w:val="006A669B"/>
    <w:rsid w:val="006B2AE0"/>
    <w:rsid w:val="006D079A"/>
    <w:rsid w:val="006D3F96"/>
    <w:rsid w:val="006E0BEF"/>
    <w:rsid w:val="006E1B8C"/>
    <w:rsid w:val="006E385C"/>
    <w:rsid w:val="006E6AE5"/>
    <w:rsid w:val="006E7B3A"/>
    <w:rsid w:val="006F2E17"/>
    <w:rsid w:val="006F3BD5"/>
    <w:rsid w:val="00701311"/>
    <w:rsid w:val="00701F1B"/>
    <w:rsid w:val="007024F4"/>
    <w:rsid w:val="00702A11"/>
    <w:rsid w:val="0070356D"/>
    <w:rsid w:val="00705CF2"/>
    <w:rsid w:val="00706D76"/>
    <w:rsid w:val="007104C3"/>
    <w:rsid w:val="00714E04"/>
    <w:rsid w:val="00722D4C"/>
    <w:rsid w:val="00743BCF"/>
    <w:rsid w:val="007444E0"/>
    <w:rsid w:val="007503AA"/>
    <w:rsid w:val="00751240"/>
    <w:rsid w:val="007549AD"/>
    <w:rsid w:val="00756302"/>
    <w:rsid w:val="00760A88"/>
    <w:rsid w:val="00777132"/>
    <w:rsid w:val="00777E22"/>
    <w:rsid w:val="00781D90"/>
    <w:rsid w:val="0078436D"/>
    <w:rsid w:val="00785EA2"/>
    <w:rsid w:val="00786812"/>
    <w:rsid w:val="00790E8F"/>
    <w:rsid w:val="00794E4E"/>
    <w:rsid w:val="00795E96"/>
    <w:rsid w:val="007A615F"/>
    <w:rsid w:val="007B2993"/>
    <w:rsid w:val="007B5B15"/>
    <w:rsid w:val="007B7E8A"/>
    <w:rsid w:val="007C710E"/>
    <w:rsid w:val="007D1B7D"/>
    <w:rsid w:val="007D2421"/>
    <w:rsid w:val="007D53F9"/>
    <w:rsid w:val="007E0B4B"/>
    <w:rsid w:val="007E0DDD"/>
    <w:rsid w:val="007E101D"/>
    <w:rsid w:val="007E2DCF"/>
    <w:rsid w:val="007E4F2C"/>
    <w:rsid w:val="007E5F24"/>
    <w:rsid w:val="007E7497"/>
    <w:rsid w:val="007F02EC"/>
    <w:rsid w:val="007F1CB9"/>
    <w:rsid w:val="007F2469"/>
    <w:rsid w:val="007F355E"/>
    <w:rsid w:val="00803929"/>
    <w:rsid w:val="00806852"/>
    <w:rsid w:val="00812BB7"/>
    <w:rsid w:val="008139CB"/>
    <w:rsid w:val="00813B9E"/>
    <w:rsid w:val="008175F4"/>
    <w:rsid w:val="008177D8"/>
    <w:rsid w:val="0082678B"/>
    <w:rsid w:val="00830B50"/>
    <w:rsid w:val="008311B3"/>
    <w:rsid w:val="0083457B"/>
    <w:rsid w:val="0087190A"/>
    <w:rsid w:val="00872A9E"/>
    <w:rsid w:val="00883BAD"/>
    <w:rsid w:val="00885D4F"/>
    <w:rsid w:val="00890D16"/>
    <w:rsid w:val="008931EF"/>
    <w:rsid w:val="008935CC"/>
    <w:rsid w:val="00895F74"/>
    <w:rsid w:val="008A03D0"/>
    <w:rsid w:val="008A0D3E"/>
    <w:rsid w:val="008A0E0D"/>
    <w:rsid w:val="008A2F9D"/>
    <w:rsid w:val="008A7458"/>
    <w:rsid w:val="008B5C42"/>
    <w:rsid w:val="008B62C7"/>
    <w:rsid w:val="008C0D4A"/>
    <w:rsid w:val="008C24D2"/>
    <w:rsid w:val="008C6D83"/>
    <w:rsid w:val="008C7206"/>
    <w:rsid w:val="008C7D13"/>
    <w:rsid w:val="008D0ED6"/>
    <w:rsid w:val="008D1083"/>
    <w:rsid w:val="008D770F"/>
    <w:rsid w:val="008E1C2A"/>
    <w:rsid w:val="008E3E3A"/>
    <w:rsid w:val="008E4718"/>
    <w:rsid w:val="008E5DBF"/>
    <w:rsid w:val="008E77E4"/>
    <w:rsid w:val="008F062B"/>
    <w:rsid w:val="008F2B8A"/>
    <w:rsid w:val="008F3122"/>
    <w:rsid w:val="008F483A"/>
    <w:rsid w:val="008F648A"/>
    <w:rsid w:val="00900A8E"/>
    <w:rsid w:val="00903012"/>
    <w:rsid w:val="009054A1"/>
    <w:rsid w:val="00917F28"/>
    <w:rsid w:val="00925DDC"/>
    <w:rsid w:val="009300D6"/>
    <w:rsid w:val="00934892"/>
    <w:rsid w:val="0094435F"/>
    <w:rsid w:val="00950FE7"/>
    <w:rsid w:val="0095174F"/>
    <w:rsid w:val="00953559"/>
    <w:rsid w:val="00960648"/>
    <w:rsid w:val="0097116A"/>
    <w:rsid w:val="00972B12"/>
    <w:rsid w:val="0097652F"/>
    <w:rsid w:val="00980FFD"/>
    <w:rsid w:val="009869AC"/>
    <w:rsid w:val="00993A92"/>
    <w:rsid w:val="00997106"/>
    <w:rsid w:val="009A1B44"/>
    <w:rsid w:val="009A61D8"/>
    <w:rsid w:val="009A63CB"/>
    <w:rsid w:val="009B2715"/>
    <w:rsid w:val="009C0721"/>
    <w:rsid w:val="009C18D6"/>
    <w:rsid w:val="009C2C1E"/>
    <w:rsid w:val="009C59B8"/>
    <w:rsid w:val="009E21EE"/>
    <w:rsid w:val="009E704C"/>
    <w:rsid w:val="009F740B"/>
    <w:rsid w:val="00A02A02"/>
    <w:rsid w:val="00A06902"/>
    <w:rsid w:val="00A13125"/>
    <w:rsid w:val="00A1533A"/>
    <w:rsid w:val="00A2149F"/>
    <w:rsid w:val="00A23D17"/>
    <w:rsid w:val="00A26408"/>
    <w:rsid w:val="00A26A7A"/>
    <w:rsid w:val="00A26A8B"/>
    <w:rsid w:val="00A26C86"/>
    <w:rsid w:val="00A30B9F"/>
    <w:rsid w:val="00A3259E"/>
    <w:rsid w:val="00A32E9B"/>
    <w:rsid w:val="00A33194"/>
    <w:rsid w:val="00A40DBD"/>
    <w:rsid w:val="00A42F1A"/>
    <w:rsid w:val="00A4489F"/>
    <w:rsid w:val="00A5606E"/>
    <w:rsid w:val="00A60EF7"/>
    <w:rsid w:val="00A65CFF"/>
    <w:rsid w:val="00A748B4"/>
    <w:rsid w:val="00A75426"/>
    <w:rsid w:val="00A778F0"/>
    <w:rsid w:val="00A857E6"/>
    <w:rsid w:val="00A862A3"/>
    <w:rsid w:val="00A9261C"/>
    <w:rsid w:val="00A96B5E"/>
    <w:rsid w:val="00A97196"/>
    <w:rsid w:val="00AA2363"/>
    <w:rsid w:val="00AA5D49"/>
    <w:rsid w:val="00AD2912"/>
    <w:rsid w:val="00AD3235"/>
    <w:rsid w:val="00AD7931"/>
    <w:rsid w:val="00AE6782"/>
    <w:rsid w:val="00AE763C"/>
    <w:rsid w:val="00AF219D"/>
    <w:rsid w:val="00AF638D"/>
    <w:rsid w:val="00B05CD6"/>
    <w:rsid w:val="00B13142"/>
    <w:rsid w:val="00B2006B"/>
    <w:rsid w:val="00B21571"/>
    <w:rsid w:val="00B21CD5"/>
    <w:rsid w:val="00B348CF"/>
    <w:rsid w:val="00B3587B"/>
    <w:rsid w:val="00B42384"/>
    <w:rsid w:val="00B4433E"/>
    <w:rsid w:val="00B44C3C"/>
    <w:rsid w:val="00B46FEA"/>
    <w:rsid w:val="00B5027B"/>
    <w:rsid w:val="00B52401"/>
    <w:rsid w:val="00B543C3"/>
    <w:rsid w:val="00B567C6"/>
    <w:rsid w:val="00B56C3E"/>
    <w:rsid w:val="00B62A16"/>
    <w:rsid w:val="00B649D5"/>
    <w:rsid w:val="00B64EFE"/>
    <w:rsid w:val="00B675B0"/>
    <w:rsid w:val="00B6798D"/>
    <w:rsid w:val="00B70669"/>
    <w:rsid w:val="00B73076"/>
    <w:rsid w:val="00B92099"/>
    <w:rsid w:val="00B953F4"/>
    <w:rsid w:val="00B973EB"/>
    <w:rsid w:val="00BA46F5"/>
    <w:rsid w:val="00BB201A"/>
    <w:rsid w:val="00BB6CEE"/>
    <w:rsid w:val="00BC00C0"/>
    <w:rsid w:val="00BC09CA"/>
    <w:rsid w:val="00BC10AD"/>
    <w:rsid w:val="00BC1B13"/>
    <w:rsid w:val="00BD597E"/>
    <w:rsid w:val="00BD66F6"/>
    <w:rsid w:val="00BE0203"/>
    <w:rsid w:val="00BE1443"/>
    <w:rsid w:val="00BE2BD5"/>
    <w:rsid w:val="00BE51C5"/>
    <w:rsid w:val="00BE5C82"/>
    <w:rsid w:val="00C02D8C"/>
    <w:rsid w:val="00C10AC3"/>
    <w:rsid w:val="00C11786"/>
    <w:rsid w:val="00C14960"/>
    <w:rsid w:val="00C217CE"/>
    <w:rsid w:val="00C22A9F"/>
    <w:rsid w:val="00C32EE6"/>
    <w:rsid w:val="00C33FEB"/>
    <w:rsid w:val="00C34D62"/>
    <w:rsid w:val="00C35EDE"/>
    <w:rsid w:val="00C423BB"/>
    <w:rsid w:val="00C51832"/>
    <w:rsid w:val="00C51A99"/>
    <w:rsid w:val="00C54BB2"/>
    <w:rsid w:val="00C626A5"/>
    <w:rsid w:val="00C6375A"/>
    <w:rsid w:val="00C65942"/>
    <w:rsid w:val="00C667EF"/>
    <w:rsid w:val="00C72FEA"/>
    <w:rsid w:val="00C820CE"/>
    <w:rsid w:val="00C84C0D"/>
    <w:rsid w:val="00C86A64"/>
    <w:rsid w:val="00C91062"/>
    <w:rsid w:val="00CA1751"/>
    <w:rsid w:val="00CA28C1"/>
    <w:rsid w:val="00CA5101"/>
    <w:rsid w:val="00CC3FA8"/>
    <w:rsid w:val="00CD07A0"/>
    <w:rsid w:val="00CD1B8F"/>
    <w:rsid w:val="00CD686B"/>
    <w:rsid w:val="00CE1AE1"/>
    <w:rsid w:val="00CE5BE9"/>
    <w:rsid w:val="00D001CE"/>
    <w:rsid w:val="00D05ECC"/>
    <w:rsid w:val="00D12E24"/>
    <w:rsid w:val="00D13607"/>
    <w:rsid w:val="00D32100"/>
    <w:rsid w:val="00D348EB"/>
    <w:rsid w:val="00D51E31"/>
    <w:rsid w:val="00D56C27"/>
    <w:rsid w:val="00D57215"/>
    <w:rsid w:val="00D6465A"/>
    <w:rsid w:val="00D659B4"/>
    <w:rsid w:val="00D73A3C"/>
    <w:rsid w:val="00D777C8"/>
    <w:rsid w:val="00D81D12"/>
    <w:rsid w:val="00D917D2"/>
    <w:rsid w:val="00D93256"/>
    <w:rsid w:val="00D97247"/>
    <w:rsid w:val="00DA3F3C"/>
    <w:rsid w:val="00DA62B1"/>
    <w:rsid w:val="00DB191C"/>
    <w:rsid w:val="00DC0FAE"/>
    <w:rsid w:val="00DC326A"/>
    <w:rsid w:val="00DC54FD"/>
    <w:rsid w:val="00DC6F7F"/>
    <w:rsid w:val="00DD2123"/>
    <w:rsid w:val="00DD2B19"/>
    <w:rsid w:val="00DD528B"/>
    <w:rsid w:val="00DD73C2"/>
    <w:rsid w:val="00DE2308"/>
    <w:rsid w:val="00DF2F7E"/>
    <w:rsid w:val="00DF317F"/>
    <w:rsid w:val="00DF3638"/>
    <w:rsid w:val="00DF478A"/>
    <w:rsid w:val="00DF5FE8"/>
    <w:rsid w:val="00DF6432"/>
    <w:rsid w:val="00E02A92"/>
    <w:rsid w:val="00E041F8"/>
    <w:rsid w:val="00E103CA"/>
    <w:rsid w:val="00E103E0"/>
    <w:rsid w:val="00E1407F"/>
    <w:rsid w:val="00E15FAB"/>
    <w:rsid w:val="00E20EFB"/>
    <w:rsid w:val="00E25260"/>
    <w:rsid w:val="00E25C72"/>
    <w:rsid w:val="00E26AB9"/>
    <w:rsid w:val="00E32E61"/>
    <w:rsid w:val="00E438B8"/>
    <w:rsid w:val="00E458A5"/>
    <w:rsid w:val="00E46F03"/>
    <w:rsid w:val="00E473E4"/>
    <w:rsid w:val="00E5497C"/>
    <w:rsid w:val="00E54C75"/>
    <w:rsid w:val="00E6486F"/>
    <w:rsid w:val="00E64E06"/>
    <w:rsid w:val="00E72652"/>
    <w:rsid w:val="00E76EE2"/>
    <w:rsid w:val="00E77C45"/>
    <w:rsid w:val="00E8517F"/>
    <w:rsid w:val="00E86E1F"/>
    <w:rsid w:val="00E9623F"/>
    <w:rsid w:val="00E9671A"/>
    <w:rsid w:val="00EA7FC8"/>
    <w:rsid w:val="00EB013C"/>
    <w:rsid w:val="00EB16F8"/>
    <w:rsid w:val="00EB3CC4"/>
    <w:rsid w:val="00EB4FFC"/>
    <w:rsid w:val="00EB7D55"/>
    <w:rsid w:val="00EC006C"/>
    <w:rsid w:val="00EC5F37"/>
    <w:rsid w:val="00EC7CF3"/>
    <w:rsid w:val="00ED0369"/>
    <w:rsid w:val="00ED058C"/>
    <w:rsid w:val="00ED43EF"/>
    <w:rsid w:val="00EE054F"/>
    <w:rsid w:val="00EE11EB"/>
    <w:rsid w:val="00EE7AE6"/>
    <w:rsid w:val="00EE7CAB"/>
    <w:rsid w:val="00EF6427"/>
    <w:rsid w:val="00F03A18"/>
    <w:rsid w:val="00F04EA0"/>
    <w:rsid w:val="00F066CF"/>
    <w:rsid w:val="00F11961"/>
    <w:rsid w:val="00F125A6"/>
    <w:rsid w:val="00F23E36"/>
    <w:rsid w:val="00F23E70"/>
    <w:rsid w:val="00F313E4"/>
    <w:rsid w:val="00F3352A"/>
    <w:rsid w:val="00F33A21"/>
    <w:rsid w:val="00F356C7"/>
    <w:rsid w:val="00F46AB7"/>
    <w:rsid w:val="00F47576"/>
    <w:rsid w:val="00F51F06"/>
    <w:rsid w:val="00F51F94"/>
    <w:rsid w:val="00F532D8"/>
    <w:rsid w:val="00F5644C"/>
    <w:rsid w:val="00F6081E"/>
    <w:rsid w:val="00F639DD"/>
    <w:rsid w:val="00F66390"/>
    <w:rsid w:val="00F752B9"/>
    <w:rsid w:val="00F76931"/>
    <w:rsid w:val="00F77C8F"/>
    <w:rsid w:val="00F82479"/>
    <w:rsid w:val="00F878AF"/>
    <w:rsid w:val="00F94900"/>
    <w:rsid w:val="00F95F97"/>
    <w:rsid w:val="00F97099"/>
    <w:rsid w:val="00FB0C7F"/>
    <w:rsid w:val="00FB77C8"/>
    <w:rsid w:val="00FC0401"/>
    <w:rsid w:val="00FC1DBC"/>
    <w:rsid w:val="00FC4F45"/>
    <w:rsid w:val="00FD0324"/>
    <w:rsid w:val="00FD3E6E"/>
    <w:rsid w:val="00FD3EA8"/>
    <w:rsid w:val="00FD5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2B878"/>
  <w15:docId w15:val="{D8AE623E-CEA2-4541-927A-6D6B473B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C82"/>
    <w:pPr>
      <w:spacing w:after="0" w:line="240" w:lineRule="auto"/>
    </w:pPr>
    <w:rPr>
      <w:rFonts w:ascii="Arial" w:eastAsia="Times New Roman" w:hAnsi="Arial" w:cs="Times New Roman"/>
      <w:sz w:val="24"/>
      <w:lang w:eastAsia="en-GB"/>
    </w:rPr>
  </w:style>
  <w:style w:type="paragraph" w:styleId="Heading1">
    <w:name w:val="heading 1"/>
    <w:next w:val="BodyText"/>
    <w:link w:val="Heading1Char"/>
    <w:qFormat/>
    <w:rsid w:val="00446CE5"/>
    <w:pPr>
      <w:keepNext/>
      <w:keepLines/>
      <w:spacing w:before="120" w:after="180" w:line="240" w:lineRule="auto"/>
      <w:outlineLvl w:val="0"/>
    </w:pPr>
    <w:rPr>
      <w:rFonts w:ascii="Arial" w:eastAsia="Times New Roman" w:hAnsi="Arial" w:cs="Arial"/>
      <w:b/>
      <w:bCs/>
      <w:color w:val="005984"/>
      <w:kern w:val="32"/>
      <w:sz w:val="28"/>
      <w:szCs w:val="32"/>
      <w:lang w:eastAsia="en-GB"/>
    </w:rPr>
  </w:style>
  <w:style w:type="paragraph" w:styleId="Heading2">
    <w:name w:val="heading 2"/>
    <w:basedOn w:val="BodyText"/>
    <w:next w:val="BodyText"/>
    <w:link w:val="Heading2Char"/>
    <w:qFormat/>
    <w:rsid w:val="00495290"/>
    <w:pPr>
      <w:keepNext/>
      <w:outlineLvl w:val="1"/>
    </w:pPr>
    <w:rPr>
      <w:rFonts w:eastAsia="Calibri"/>
      <w:b/>
      <w:color w:val="0085C8"/>
      <w:sz w:val="22"/>
      <w:lang w:eastAsia="en-US"/>
    </w:rPr>
  </w:style>
  <w:style w:type="paragraph" w:styleId="Heading3">
    <w:name w:val="heading 3"/>
    <w:basedOn w:val="Heading2"/>
    <w:next w:val="BodyText"/>
    <w:link w:val="Heading3Char"/>
    <w:qFormat/>
    <w:rsid w:val="002642C1"/>
    <w:pPr>
      <w:spacing w:before="360"/>
      <w:outlineLvl w:val="2"/>
    </w:pPr>
    <w:rPr>
      <w:bCs/>
      <w:i/>
      <w:color w:val="808080"/>
      <w:sz w:val="21"/>
      <w:szCs w:val="26"/>
    </w:rPr>
  </w:style>
  <w:style w:type="paragraph" w:styleId="Heading4">
    <w:name w:val="heading 4"/>
    <w:basedOn w:val="Heading3"/>
    <w:next w:val="BodyText"/>
    <w:link w:val="Heading4Char"/>
    <w:semiHidden/>
    <w:rsid w:val="00ED43EF"/>
    <w:pPr>
      <w:spacing w:before="240"/>
      <w:outlineLvl w:val="3"/>
    </w:pPr>
    <w:rPr>
      <w:bCs w:val="0"/>
      <w:i w:val="0"/>
      <w:sz w:val="23"/>
      <w:szCs w:val="28"/>
    </w:rPr>
  </w:style>
  <w:style w:type="paragraph" w:styleId="Heading5">
    <w:name w:val="heading 5"/>
    <w:basedOn w:val="Heading4"/>
    <w:next w:val="BodyText"/>
    <w:link w:val="Heading5Char"/>
    <w:semiHidden/>
    <w:rsid w:val="00ED43EF"/>
    <w:pPr>
      <w:spacing w:before="0"/>
      <w:outlineLvl w:val="4"/>
    </w:pPr>
    <w:rPr>
      <w:b w:val="0"/>
      <w:sz w:val="22"/>
      <w:szCs w:val="26"/>
    </w:rPr>
  </w:style>
  <w:style w:type="paragraph" w:styleId="Heading6">
    <w:name w:val="heading 6"/>
    <w:basedOn w:val="Heading5"/>
    <w:next w:val="BodyText"/>
    <w:link w:val="Heading6Char"/>
    <w:semiHidden/>
    <w:rsid w:val="00ED43EF"/>
    <w:pPr>
      <w:spacing w:before="240" w:after="60"/>
      <w:outlineLvl w:val="5"/>
    </w:pPr>
    <w:rPr>
      <w:bCs/>
      <w:sz w:val="18"/>
    </w:rPr>
  </w:style>
  <w:style w:type="paragraph" w:styleId="Heading7">
    <w:name w:val="heading 7"/>
    <w:basedOn w:val="Heading6"/>
    <w:next w:val="BodyText"/>
    <w:link w:val="Heading7Char"/>
    <w:semiHidden/>
    <w:rsid w:val="00ED43EF"/>
    <w:pPr>
      <w:outlineLvl w:val="6"/>
    </w:pPr>
    <w:rPr>
      <w:sz w:val="16"/>
      <w:szCs w:val="24"/>
    </w:rPr>
  </w:style>
  <w:style w:type="paragraph" w:styleId="Heading8">
    <w:name w:val="heading 8"/>
    <w:basedOn w:val="Heading7"/>
    <w:next w:val="BodyText"/>
    <w:link w:val="Heading8Char"/>
    <w:semiHidden/>
    <w:rsid w:val="00ED43EF"/>
    <w:pPr>
      <w:outlineLvl w:val="7"/>
    </w:pPr>
    <w:rPr>
      <w:iCs/>
      <w:sz w:val="14"/>
    </w:rPr>
  </w:style>
  <w:style w:type="paragraph" w:styleId="Heading9">
    <w:name w:val="heading 9"/>
    <w:basedOn w:val="Normal"/>
    <w:next w:val="Normal"/>
    <w:link w:val="Heading9Char"/>
    <w:semiHidden/>
    <w:rsid w:val="00ED43EF"/>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3EF"/>
    <w:pPr>
      <w:spacing w:after="0" w:line="240" w:lineRule="auto"/>
    </w:pPr>
  </w:style>
  <w:style w:type="table" w:styleId="TableGrid">
    <w:name w:val="Table Grid"/>
    <w:basedOn w:val="TableNormal"/>
    <w:rsid w:val="00ED43E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paragraph" w:customStyle="1" w:styleId="Default">
    <w:name w:val="Default"/>
    <w:rsid w:val="00DD2123"/>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semiHidden/>
    <w:rsid w:val="00ED43EF"/>
    <w:rPr>
      <w:rFonts w:ascii="Tahoma" w:hAnsi="Tahoma" w:cs="Tahoma"/>
      <w:sz w:val="16"/>
      <w:szCs w:val="16"/>
    </w:rPr>
  </w:style>
  <w:style w:type="character" w:customStyle="1" w:styleId="BalloonTextChar">
    <w:name w:val="Balloon Text Char"/>
    <w:basedOn w:val="DefaultParagraphFont"/>
    <w:link w:val="BalloonText"/>
    <w:semiHidden/>
    <w:rsid w:val="005321B4"/>
    <w:rPr>
      <w:rFonts w:ascii="Tahoma" w:eastAsia="Times New Roman" w:hAnsi="Tahoma" w:cs="Tahoma"/>
      <w:sz w:val="16"/>
      <w:szCs w:val="16"/>
      <w:lang w:eastAsia="en-GB"/>
    </w:rPr>
  </w:style>
  <w:style w:type="paragraph" w:styleId="FootnoteText">
    <w:name w:val="footnote text"/>
    <w:basedOn w:val="BodyText"/>
    <w:link w:val="FootnoteTextChar"/>
    <w:rsid w:val="00ED43EF"/>
    <w:pPr>
      <w:tabs>
        <w:tab w:val="left" w:pos="284"/>
      </w:tabs>
      <w:spacing w:after="60"/>
      <w:ind w:left="284" w:hanging="284"/>
    </w:pPr>
    <w:rPr>
      <w:sz w:val="18"/>
      <w:szCs w:val="20"/>
    </w:rPr>
  </w:style>
  <w:style w:type="character" w:customStyle="1" w:styleId="FootnoteTextChar">
    <w:name w:val="Footnote Text Char"/>
    <w:basedOn w:val="DefaultParagraphFont"/>
    <w:link w:val="FootnoteText"/>
    <w:rsid w:val="002B6E89"/>
    <w:rPr>
      <w:rFonts w:ascii="Arial" w:eastAsia="Times New Roman" w:hAnsi="Arial" w:cs="Times New Roman"/>
      <w:sz w:val="18"/>
      <w:szCs w:val="20"/>
      <w:lang w:eastAsia="en-GB"/>
    </w:rPr>
  </w:style>
  <w:style w:type="character" w:styleId="FootnoteReference">
    <w:name w:val="footnote reference"/>
    <w:rsid w:val="00036830"/>
    <w:rPr>
      <w:sz w:val="21"/>
      <w:vertAlign w:val="superscript"/>
    </w:rPr>
  </w:style>
  <w:style w:type="character" w:styleId="Hyperlink">
    <w:name w:val="Hyperlink"/>
    <w:uiPriority w:val="99"/>
    <w:rsid w:val="004F0CB7"/>
    <w:rPr>
      <w:color w:val="595959" w:themeColor="text1" w:themeTint="A6"/>
      <w:u w:val="single"/>
    </w:rPr>
  </w:style>
  <w:style w:type="character" w:customStyle="1" w:styleId="UnresolvedMention1">
    <w:name w:val="Unresolved Mention1"/>
    <w:basedOn w:val="DefaultParagraphFont"/>
    <w:uiPriority w:val="99"/>
    <w:semiHidden/>
    <w:unhideWhenUsed/>
    <w:rsid w:val="006A0C1C"/>
    <w:rPr>
      <w:color w:val="808080"/>
      <w:shd w:val="clear" w:color="auto" w:fill="E6E6E6"/>
    </w:rPr>
  </w:style>
  <w:style w:type="paragraph" w:styleId="Quote">
    <w:name w:val="Quote"/>
    <w:basedOn w:val="Normal"/>
    <w:next w:val="Normal"/>
    <w:link w:val="QuoteChar"/>
    <w:uiPriority w:val="29"/>
    <w:qFormat/>
    <w:rsid w:val="00917F28"/>
    <w:rPr>
      <w:i/>
      <w:iCs/>
      <w:color w:val="000000" w:themeColor="text1"/>
    </w:rPr>
  </w:style>
  <w:style w:type="character" w:customStyle="1" w:styleId="QuoteChar">
    <w:name w:val="Quote Char"/>
    <w:basedOn w:val="DefaultParagraphFont"/>
    <w:link w:val="Quote"/>
    <w:uiPriority w:val="29"/>
    <w:rsid w:val="00917F28"/>
    <w:rPr>
      <w:i/>
      <w:iCs/>
      <w:color w:val="000000" w:themeColor="text1"/>
    </w:rPr>
  </w:style>
  <w:style w:type="numbering" w:styleId="111111">
    <w:name w:val="Outline List 2"/>
    <w:basedOn w:val="NoList"/>
    <w:semiHidden/>
    <w:rsid w:val="00ED43EF"/>
    <w:pPr>
      <w:numPr>
        <w:numId w:val="1"/>
      </w:numPr>
    </w:pPr>
  </w:style>
  <w:style w:type="numbering" w:styleId="1ai">
    <w:name w:val="Outline List 1"/>
    <w:basedOn w:val="NoList"/>
    <w:semiHidden/>
    <w:rsid w:val="00ED43EF"/>
    <w:pPr>
      <w:numPr>
        <w:numId w:val="2"/>
      </w:numPr>
    </w:pPr>
  </w:style>
  <w:style w:type="paragraph" w:styleId="BodyText">
    <w:name w:val="Body Text"/>
    <w:link w:val="BodyTextChar"/>
    <w:qFormat/>
    <w:rsid w:val="00202C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180" w:after="180" w:line="288" w:lineRule="auto"/>
    </w:pPr>
    <w:rPr>
      <w:rFonts w:ascii="Arial" w:eastAsia="Times New Roman" w:hAnsi="Arial" w:cs="Times New Roman"/>
      <w:sz w:val="21"/>
      <w:lang w:eastAsia="en-GB"/>
    </w:rPr>
  </w:style>
  <w:style w:type="character" w:customStyle="1" w:styleId="BodyTextChar">
    <w:name w:val="Body Text Char"/>
    <w:link w:val="BodyText"/>
    <w:rsid w:val="00202C67"/>
    <w:rPr>
      <w:rFonts w:ascii="Arial" w:eastAsia="Times New Roman" w:hAnsi="Arial" w:cs="Times New Roman"/>
      <w:sz w:val="21"/>
      <w:lang w:eastAsia="en-GB"/>
    </w:rPr>
  </w:style>
  <w:style w:type="paragraph" w:customStyle="1" w:styleId="AcronymsList">
    <w:name w:val="Acronyms List"/>
    <w:basedOn w:val="BodyText"/>
    <w:uiPriority w:val="1"/>
    <w:unhideWhenUsed/>
    <w:rsid w:val="00ED43EF"/>
    <w:pPr>
      <w:tabs>
        <w:tab w:val="clear" w:pos="567"/>
        <w:tab w:val="clear" w:pos="1134"/>
        <w:tab w:val="clear" w:pos="1701"/>
      </w:tabs>
      <w:ind w:left="2268" w:hanging="2268"/>
    </w:pPr>
  </w:style>
  <w:style w:type="character" w:customStyle="1" w:styleId="Heading1Char">
    <w:name w:val="Heading 1 Char"/>
    <w:basedOn w:val="DefaultParagraphFont"/>
    <w:link w:val="Heading1"/>
    <w:rsid w:val="00446CE5"/>
    <w:rPr>
      <w:rFonts w:ascii="Arial" w:eastAsia="Times New Roman" w:hAnsi="Arial" w:cs="Arial"/>
      <w:b/>
      <w:bCs/>
      <w:color w:val="005984"/>
      <w:kern w:val="32"/>
      <w:sz w:val="28"/>
      <w:szCs w:val="32"/>
      <w:lang w:eastAsia="en-GB"/>
    </w:rPr>
  </w:style>
  <w:style w:type="character" w:customStyle="1" w:styleId="Heading2Char">
    <w:name w:val="Heading 2 Char"/>
    <w:basedOn w:val="DefaultParagraphFont"/>
    <w:link w:val="Heading2"/>
    <w:rsid w:val="00495290"/>
    <w:rPr>
      <w:rFonts w:ascii="Arial" w:eastAsia="Calibri" w:hAnsi="Arial" w:cs="Times New Roman"/>
      <w:b/>
      <w:color w:val="0085C8"/>
    </w:rPr>
  </w:style>
  <w:style w:type="character" w:customStyle="1" w:styleId="Heading3Char">
    <w:name w:val="Heading 3 Char"/>
    <w:basedOn w:val="DefaultParagraphFont"/>
    <w:link w:val="Heading3"/>
    <w:rsid w:val="002642C1"/>
    <w:rPr>
      <w:rFonts w:ascii="Arial" w:eastAsia="Calibri" w:hAnsi="Arial" w:cs="Times New Roman"/>
      <w:b/>
      <w:bCs/>
      <w:i/>
      <w:color w:val="808080"/>
      <w:sz w:val="21"/>
      <w:szCs w:val="26"/>
    </w:rPr>
  </w:style>
  <w:style w:type="character" w:customStyle="1" w:styleId="Heading4Char">
    <w:name w:val="Heading 4 Char"/>
    <w:basedOn w:val="DefaultParagraphFont"/>
    <w:link w:val="Heading4"/>
    <w:semiHidden/>
    <w:rsid w:val="00ED43EF"/>
    <w:rPr>
      <w:rFonts w:ascii="Arial" w:eastAsia="Calibri" w:hAnsi="Arial" w:cs="Times New Roman"/>
      <w:b/>
      <w:color w:val="808080"/>
      <w:sz w:val="23"/>
      <w:szCs w:val="28"/>
    </w:rPr>
  </w:style>
  <w:style w:type="character" w:customStyle="1" w:styleId="Heading5Char">
    <w:name w:val="Heading 5 Char"/>
    <w:basedOn w:val="DefaultParagraphFont"/>
    <w:link w:val="Heading5"/>
    <w:semiHidden/>
    <w:rsid w:val="00ED43EF"/>
    <w:rPr>
      <w:rFonts w:ascii="Arial" w:eastAsia="Calibri" w:hAnsi="Arial" w:cs="Times New Roman"/>
      <w:color w:val="808080"/>
      <w:szCs w:val="26"/>
    </w:rPr>
  </w:style>
  <w:style w:type="character" w:customStyle="1" w:styleId="Heading6Char">
    <w:name w:val="Heading 6 Char"/>
    <w:basedOn w:val="DefaultParagraphFont"/>
    <w:link w:val="Heading6"/>
    <w:semiHidden/>
    <w:rsid w:val="00ED43EF"/>
    <w:rPr>
      <w:rFonts w:ascii="Arial" w:eastAsia="Calibri" w:hAnsi="Arial" w:cs="Times New Roman"/>
      <w:bCs/>
      <w:color w:val="808080"/>
      <w:sz w:val="18"/>
      <w:szCs w:val="26"/>
    </w:rPr>
  </w:style>
  <w:style w:type="character" w:customStyle="1" w:styleId="Heading7Char">
    <w:name w:val="Heading 7 Char"/>
    <w:basedOn w:val="DefaultParagraphFont"/>
    <w:link w:val="Heading7"/>
    <w:semiHidden/>
    <w:rsid w:val="00ED43EF"/>
    <w:rPr>
      <w:rFonts w:ascii="Arial" w:eastAsia="Calibri" w:hAnsi="Arial" w:cs="Times New Roman"/>
      <w:bCs/>
      <w:color w:val="808080"/>
      <w:sz w:val="16"/>
      <w:szCs w:val="24"/>
    </w:rPr>
  </w:style>
  <w:style w:type="character" w:customStyle="1" w:styleId="Heading8Char">
    <w:name w:val="Heading 8 Char"/>
    <w:basedOn w:val="DefaultParagraphFont"/>
    <w:link w:val="Heading8"/>
    <w:semiHidden/>
    <w:rsid w:val="00ED43EF"/>
    <w:rPr>
      <w:rFonts w:ascii="Arial" w:eastAsia="Calibri" w:hAnsi="Arial" w:cs="Times New Roman"/>
      <w:bCs/>
      <w:iCs/>
      <w:color w:val="808080"/>
      <w:sz w:val="14"/>
      <w:szCs w:val="24"/>
    </w:rPr>
  </w:style>
  <w:style w:type="character" w:customStyle="1" w:styleId="Heading9Char">
    <w:name w:val="Heading 9 Char"/>
    <w:basedOn w:val="DefaultParagraphFont"/>
    <w:link w:val="Heading9"/>
    <w:semiHidden/>
    <w:rsid w:val="00ED43EF"/>
    <w:rPr>
      <w:rFonts w:ascii="Arial" w:eastAsia="Times New Roman" w:hAnsi="Arial" w:cs="Arial"/>
      <w:sz w:val="24"/>
      <w:lang w:eastAsia="en-GB"/>
    </w:rPr>
  </w:style>
  <w:style w:type="numbering" w:styleId="ArticleSection">
    <w:name w:val="Outline List 3"/>
    <w:basedOn w:val="NoList"/>
    <w:semiHidden/>
    <w:rsid w:val="00ED43EF"/>
    <w:pPr>
      <w:numPr>
        <w:numId w:val="3"/>
      </w:numPr>
    </w:pPr>
  </w:style>
  <w:style w:type="paragraph" w:styleId="BlockText">
    <w:name w:val="Block Text"/>
    <w:basedOn w:val="BodyText"/>
    <w:rsid w:val="00ED43EF"/>
    <w:pPr>
      <w:ind w:left="567" w:right="567"/>
    </w:pPr>
    <w:rPr>
      <w:sz w:val="20"/>
    </w:rPr>
  </w:style>
  <w:style w:type="paragraph" w:customStyle="1" w:styleId="BlockText-ListBullet">
    <w:name w:val="Block Text - List Bullet"/>
    <w:basedOn w:val="BlockText"/>
    <w:uiPriority w:val="1"/>
    <w:rsid w:val="00ED43EF"/>
    <w:pPr>
      <w:numPr>
        <w:numId w:val="4"/>
      </w:numPr>
      <w:tabs>
        <w:tab w:val="clear" w:pos="1134"/>
      </w:tabs>
      <w:spacing w:after="160"/>
    </w:pPr>
  </w:style>
  <w:style w:type="paragraph" w:customStyle="1" w:styleId="BlockText-ListBullet2">
    <w:name w:val="Block Text - List Bullet 2"/>
    <w:basedOn w:val="BlockText-ListBullet"/>
    <w:uiPriority w:val="1"/>
    <w:unhideWhenUsed/>
    <w:rsid w:val="00ED43EF"/>
    <w:pPr>
      <w:numPr>
        <w:ilvl w:val="1"/>
      </w:numPr>
      <w:tabs>
        <w:tab w:val="clear" w:pos="1701"/>
      </w:tabs>
    </w:pPr>
  </w:style>
  <w:style w:type="paragraph" w:customStyle="1" w:styleId="BlockText-ListBullet3">
    <w:name w:val="Block Text - List Bullet 3"/>
    <w:basedOn w:val="BlockText-ListBullet2"/>
    <w:uiPriority w:val="1"/>
    <w:semiHidden/>
    <w:rsid w:val="00ED43EF"/>
    <w:pPr>
      <w:numPr>
        <w:ilvl w:val="2"/>
      </w:numPr>
      <w:tabs>
        <w:tab w:val="clear" w:pos="2268"/>
      </w:tabs>
    </w:pPr>
  </w:style>
  <w:style w:type="paragraph" w:customStyle="1" w:styleId="BlockText-ListBullet4">
    <w:name w:val="Block Text - List Bullet 4"/>
    <w:basedOn w:val="BlockText-ListBullet3"/>
    <w:uiPriority w:val="1"/>
    <w:semiHidden/>
    <w:rsid w:val="00ED43EF"/>
    <w:pPr>
      <w:numPr>
        <w:ilvl w:val="3"/>
      </w:numPr>
      <w:tabs>
        <w:tab w:val="clear" w:pos="2835"/>
      </w:tabs>
    </w:pPr>
  </w:style>
  <w:style w:type="paragraph" w:customStyle="1" w:styleId="BlockText-ListBullet5">
    <w:name w:val="Block Text - List Bullet 5"/>
    <w:basedOn w:val="BlockText-ListBullet4"/>
    <w:uiPriority w:val="1"/>
    <w:semiHidden/>
    <w:rsid w:val="00ED43EF"/>
    <w:pPr>
      <w:numPr>
        <w:ilvl w:val="4"/>
      </w:numPr>
    </w:pPr>
  </w:style>
  <w:style w:type="paragraph" w:customStyle="1" w:styleId="BlockText-ListContinue">
    <w:name w:val="Block Text - List Continue"/>
    <w:basedOn w:val="BlockText"/>
    <w:uiPriority w:val="1"/>
    <w:rsid w:val="00ED43EF"/>
    <w:pPr>
      <w:numPr>
        <w:numId w:val="5"/>
      </w:numPr>
      <w:tabs>
        <w:tab w:val="clear" w:pos="1134"/>
      </w:tabs>
    </w:pPr>
  </w:style>
  <w:style w:type="paragraph" w:customStyle="1" w:styleId="BlockText-ListContinue2">
    <w:name w:val="Block Text - List Continue 2"/>
    <w:basedOn w:val="BlockText-ListContinue"/>
    <w:uiPriority w:val="1"/>
    <w:unhideWhenUsed/>
    <w:rsid w:val="00ED43EF"/>
    <w:pPr>
      <w:numPr>
        <w:ilvl w:val="1"/>
      </w:numPr>
      <w:tabs>
        <w:tab w:val="clear" w:pos="1701"/>
      </w:tabs>
    </w:pPr>
  </w:style>
  <w:style w:type="paragraph" w:customStyle="1" w:styleId="BlockText-ListContinue3">
    <w:name w:val="Block Text - List Continue 3"/>
    <w:basedOn w:val="BlockText-ListContinue2"/>
    <w:uiPriority w:val="1"/>
    <w:semiHidden/>
    <w:rsid w:val="00ED43EF"/>
    <w:pPr>
      <w:numPr>
        <w:ilvl w:val="2"/>
      </w:numPr>
      <w:tabs>
        <w:tab w:val="clear" w:pos="2268"/>
      </w:tabs>
    </w:pPr>
  </w:style>
  <w:style w:type="paragraph" w:customStyle="1" w:styleId="BlockText-ListContinue4">
    <w:name w:val="Block Text - List Continue 4"/>
    <w:basedOn w:val="BlockText-ListContinue3"/>
    <w:uiPriority w:val="1"/>
    <w:semiHidden/>
    <w:rsid w:val="00ED43EF"/>
    <w:pPr>
      <w:numPr>
        <w:ilvl w:val="3"/>
      </w:numPr>
      <w:tabs>
        <w:tab w:val="clear" w:pos="2835"/>
      </w:tabs>
    </w:pPr>
  </w:style>
  <w:style w:type="paragraph" w:customStyle="1" w:styleId="BlockText-ListContinue5">
    <w:name w:val="Block Text - List Continue 5"/>
    <w:basedOn w:val="BlockText-ListContinue4"/>
    <w:uiPriority w:val="1"/>
    <w:semiHidden/>
    <w:rsid w:val="00ED43EF"/>
    <w:pPr>
      <w:numPr>
        <w:ilvl w:val="4"/>
      </w:numPr>
    </w:pPr>
  </w:style>
  <w:style w:type="paragraph" w:customStyle="1" w:styleId="BlockText-ListLetter">
    <w:name w:val="Block Text - List Letter"/>
    <w:basedOn w:val="BlockText"/>
    <w:uiPriority w:val="1"/>
    <w:rsid w:val="00ED43EF"/>
    <w:pPr>
      <w:numPr>
        <w:numId w:val="6"/>
      </w:numPr>
      <w:tabs>
        <w:tab w:val="clear" w:pos="1134"/>
      </w:tabs>
    </w:pPr>
  </w:style>
  <w:style w:type="paragraph" w:customStyle="1" w:styleId="BlockText-ListLetter2">
    <w:name w:val="Block Text - List Letter 2"/>
    <w:basedOn w:val="BlockText-ListLetter"/>
    <w:uiPriority w:val="1"/>
    <w:unhideWhenUsed/>
    <w:rsid w:val="00ED43EF"/>
    <w:pPr>
      <w:numPr>
        <w:ilvl w:val="1"/>
      </w:numPr>
      <w:tabs>
        <w:tab w:val="clear" w:pos="1701"/>
      </w:tabs>
      <w:ind w:right="0"/>
    </w:pPr>
  </w:style>
  <w:style w:type="paragraph" w:customStyle="1" w:styleId="BlockText-ListLetter3">
    <w:name w:val="Block Text - List Letter 3"/>
    <w:basedOn w:val="BlockText-ListLetter2"/>
    <w:uiPriority w:val="1"/>
    <w:semiHidden/>
    <w:rsid w:val="00ED43EF"/>
    <w:pPr>
      <w:numPr>
        <w:ilvl w:val="2"/>
      </w:numPr>
      <w:tabs>
        <w:tab w:val="clear" w:pos="2268"/>
      </w:tabs>
    </w:pPr>
  </w:style>
  <w:style w:type="paragraph" w:customStyle="1" w:styleId="BlockText-ListLetter4">
    <w:name w:val="Block Text - List Letter 4"/>
    <w:basedOn w:val="BlockText-ListLetter3"/>
    <w:uiPriority w:val="1"/>
    <w:semiHidden/>
    <w:rsid w:val="00ED43EF"/>
    <w:pPr>
      <w:numPr>
        <w:ilvl w:val="3"/>
      </w:numPr>
      <w:tabs>
        <w:tab w:val="clear" w:pos="2835"/>
      </w:tabs>
    </w:pPr>
  </w:style>
  <w:style w:type="paragraph" w:customStyle="1" w:styleId="BlockText-ListLetter5">
    <w:name w:val="Block Text - List Letter 5"/>
    <w:basedOn w:val="BlockText-ListLetter4"/>
    <w:uiPriority w:val="1"/>
    <w:semiHidden/>
    <w:rsid w:val="00ED43EF"/>
    <w:pPr>
      <w:numPr>
        <w:ilvl w:val="4"/>
      </w:numPr>
    </w:pPr>
  </w:style>
  <w:style w:type="paragraph" w:customStyle="1" w:styleId="BlockText-ListNumber">
    <w:name w:val="Block Text - List Number"/>
    <w:basedOn w:val="BlockText"/>
    <w:uiPriority w:val="1"/>
    <w:rsid w:val="00ED43EF"/>
    <w:pPr>
      <w:numPr>
        <w:numId w:val="7"/>
      </w:numPr>
      <w:tabs>
        <w:tab w:val="clear" w:pos="1134"/>
      </w:tabs>
    </w:pPr>
  </w:style>
  <w:style w:type="paragraph" w:customStyle="1" w:styleId="BlockText-ListNumber2">
    <w:name w:val="Block Text - List Number 2"/>
    <w:basedOn w:val="BlockText-ListNumber"/>
    <w:uiPriority w:val="1"/>
    <w:unhideWhenUsed/>
    <w:rsid w:val="00ED43EF"/>
    <w:pPr>
      <w:numPr>
        <w:ilvl w:val="1"/>
      </w:numPr>
      <w:tabs>
        <w:tab w:val="clear" w:pos="1701"/>
      </w:tabs>
      <w:ind w:right="0"/>
    </w:pPr>
  </w:style>
  <w:style w:type="paragraph" w:customStyle="1" w:styleId="BlockText-ListNumber3">
    <w:name w:val="Block Text - List Number 3"/>
    <w:basedOn w:val="BlockText-ListNumber2"/>
    <w:uiPriority w:val="1"/>
    <w:semiHidden/>
    <w:rsid w:val="00ED43EF"/>
    <w:pPr>
      <w:numPr>
        <w:ilvl w:val="2"/>
      </w:numPr>
      <w:tabs>
        <w:tab w:val="clear" w:pos="2268"/>
      </w:tabs>
    </w:pPr>
  </w:style>
  <w:style w:type="paragraph" w:customStyle="1" w:styleId="BlockText-ListNumber4">
    <w:name w:val="Block Text - List Number 4"/>
    <w:basedOn w:val="BlockText-ListNumber3"/>
    <w:uiPriority w:val="1"/>
    <w:semiHidden/>
    <w:rsid w:val="00ED43EF"/>
    <w:pPr>
      <w:numPr>
        <w:ilvl w:val="3"/>
      </w:numPr>
      <w:tabs>
        <w:tab w:val="clear" w:pos="2835"/>
      </w:tabs>
    </w:pPr>
  </w:style>
  <w:style w:type="paragraph" w:customStyle="1" w:styleId="BlockText-ListNumber5">
    <w:name w:val="Block Text - List Number 5"/>
    <w:basedOn w:val="BlockText-ListNumber4"/>
    <w:uiPriority w:val="1"/>
    <w:semiHidden/>
    <w:rsid w:val="00ED43EF"/>
    <w:pPr>
      <w:numPr>
        <w:ilvl w:val="4"/>
      </w:numPr>
    </w:pPr>
  </w:style>
  <w:style w:type="paragraph" w:customStyle="1" w:styleId="BlockText-ListRoman">
    <w:name w:val="Block Text - List Roman"/>
    <w:basedOn w:val="BlockText"/>
    <w:uiPriority w:val="1"/>
    <w:rsid w:val="00ED43EF"/>
    <w:pPr>
      <w:numPr>
        <w:numId w:val="8"/>
      </w:numPr>
      <w:tabs>
        <w:tab w:val="clear" w:pos="1134"/>
      </w:tabs>
    </w:pPr>
  </w:style>
  <w:style w:type="paragraph" w:customStyle="1" w:styleId="BlockText-ListRoman2">
    <w:name w:val="Block Text - List Roman 2"/>
    <w:basedOn w:val="BlockText-ListRoman"/>
    <w:uiPriority w:val="1"/>
    <w:unhideWhenUsed/>
    <w:rsid w:val="00ED43EF"/>
    <w:pPr>
      <w:numPr>
        <w:ilvl w:val="1"/>
      </w:numPr>
      <w:tabs>
        <w:tab w:val="clear" w:pos="1701"/>
      </w:tabs>
      <w:ind w:right="0"/>
    </w:pPr>
  </w:style>
  <w:style w:type="paragraph" w:customStyle="1" w:styleId="BlockText-ListRoman3">
    <w:name w:val="Block Text - List Roman 3"/>
    <w:basedOn w:val="BlockText-ListRoman2"/>
    <w:uiPriority w:val="1"/>
    <w:semiHidden/>
    <w:rsid w:val="00ED43EF"/>
    <w:pPr>
      <w:numPr>
        <w:ilvl w:val="2"/>
      </w:numPr>
      <w:tabs>
        <w:tab w:val="clear" w:pos="2268"/>
      </w:tabs>
    </w:pPr>
  </w:style>
  <w:style w:type="paragraph" w:customStyle="1" w:styleId="BlockText-ListRoman4">
    <w:name w:val="Block Text - List Roman 4"/>
    <w:basedOn w:val="BlockText-ListRoman3"/>
    <w:uiPriority w:val="1"/>
    <w:semiHidden/>
    <w:rsid w:val="00ED43EF"/>
    <w:pPr>
      <w:numPr>
        <w:ilvl w:val="3"/>
      </w:numPr>
      <w:tabs>
        <w:tab w:val="clear" w:pos="2835"/>
      </w:tabs>
    </w:pPr>
  </w:style>
  <w:style w:type="paragraph" w:customStyle="1" w:styleId="BlockText-ListRoman5">
    <w:name w:val="Block Text - List Roman 5"/>
    <w:basedOn w:val="BlockText-ListRoman4"/>
    <w:uiPriority w:val="1"/>
    <w:semiHidden/>
    <w:rsid w:val="00ED43EF"/>
    <w:pPr>
      <w:numPr>
        <w:ilvl w:val="4"/>
      </w:numPr>
    </w:pPr>
  </w:style>
  <w:style w:type="paragraph" w:styleId="BodyText2">
    <w:name w:val="Body Text 2"/>
    <w:basedOn w:val="BodyText"/>
    <w:next w:val="BodyText"/>
    <w:link w:val="BodyText2Char"/>
    <w:semiHidden/>
    <w:rsid w:val="00ED43EF"/>
    <w:pPr>
      <w:ind w:left="284"/>
    </w:pPr>
  </w:style>
  <w:style w:type="character" w:customStyle="1" w:styleId="BodyText2Char">
    <w:name w:val="Body Text 2 Char"/>
    <w:basedOn w:val="DefaultParagraphFont"/>
    <w:link w:val="BodyText2"/>
    <w:semiHidden/>
    <w:rsid w:val="00ED43EF"/>
    <w:rPr>
      <w:rFonts w:ascii="Arial" w:eastAsia="Times New Roman" w:hAnsi="Arial" w:cs="Times New Roman"/>
      <w:sz w:val="21"/>
      <w:lang w:eastAsia="en-GB"/>
    </w:rPr>
  </w:style>
  <w:style w:type="paragraph" w:styleId="BodyText3">
    <w:name w:val="Body Text 3"/>
    <w:basedOn w:val="BodyText2"/>
    <w:next w:val="BodyText"/>
    <w:link w:val="BodyText3Char"/>
    <w:semiHidden/>
    <w:rsid w:val="00ED43EF"/>
    <w:pPr>
      <w:ind w:left="1134"/>
    </w:pPr>
    <w:rPr>
      <w:szCs w:val="16"/>
    </w:rPr>
  </w:style>
  <w:style w:type="character" w:customStyle="1" w:styleId="BodyText3Char">
    <w:name w:val="Body Text 3 Char"/>
    <w:basedOn w:val="DefaultParagraphFont"/>
    <w:link w:val="BodyText3"/>
    <w:semiHidden/>
    <w:rsid w:val="00ED43EF"/>
    <w:rPr>
      <w:rFonts w:ascii="Arial" w:eastAsia="Times New Roman" w:hAnsi="Arial" w:cs="Times New Roman"/>
      <w:sz w:val="21"/>
      <w:szCs w:val="16"/>
      <w:lang w:eastAsia="en-GB"/>
    </w:rPr>
  </w:style>
  <w:style w:type="paragraph" w:styleId="BodyTextFirstIndent">
    <w:name w:val="Body Text First Indent"/>
    <w:basedOn w:val="BodyText"/>
    <w:link w:val="BodyTextFirstIndentChar"/>
    <w:semiHidden/>
    <w:rsid w:val="00ED43EF"/>
    <w:pPr>
      <w:spacing w:after="120"/>
      <w:ind w:firstLine="210"/>
    </w:pPr>
  </w:style>
  <w:style w:type="character" w:customStyle="1" w:styleId="BodyTextFirstIndentChar">
    <w:name w:val="Body Text First Indent Char"/>
    <w:basedOn w:val="BodyTextChar"/>
    <w:link w:val="BodyTextFirstIndent"/>
    <w:semiHidden/>
    <w:rsid w:val="00ED43EF"/>
    <w:rPr>
      <w:rFonts w:ascii="Arial" w:eastAsia="Times New Roman" w:hAnsi="Arial" w:cs="Times New Roman"/>
      <w:sz w:val="21"/>
      <w:lang w:eastAsia="en-GB"/>
    </w:rPr>
  </w:style>
  <w:style w:type="paragraph" w:styleId="BodyTextIndent">
    <w:name w:val="Body Text Indent"/>
    <w:basedOn w:val="Normal"/>
    <w:link w:val="BodyTextIndentChar"/>
    <w:semiHidden/>
    <w:rsid w:val="00ED43EF"/>
    <w:pPr>
      <w:spacing w:after="120"/>
      <w:ind w:left="283"/>
    </w:pPr>
  </w:style>
  <w:style w:type="character" w:customStyle="1" w:styleId="BodyTextIndentChar">
    <w:name w:val="Body Text Indent Char"/>
    <w:basedOn w:val="DefaultParagraphFont"/>
    <w:link w:val="BodyTextIndent"/>
    <w:semiHidden/>
    <w:rsid w:val="00ED43EF"/>
    <w:rPr>
      <w:rFonts w:ascii="Arial" w:eastAsia="Times New Roman" w:hAnsi="Arial" w:cs="Times New Roman"/>
      <w:sz w:val="24"/>
      <w:lang w:eastAsia="en-GB"/>
    </w:rPr>
  </w:style>
  <w:style w:type="paragraph" w:styleId="BodyTextFirstIndent2">
    <w:name w:val="Body Text First Indent 2"/>
    <w:basedOn w:val="BodyTextIndent"/>
    <w:link w:val="BodyTextFirstIndent2Char"/>
    <w:semiHidden/>
    <w:rsid w:val="00ED43EF"/>
    <w:pPr>
      <w:ind w:firstLine="210"/>
    </w:pPr>
  </w:style>
  <w:style w:type="character" w:customStyle="1" w:styleId="BodyTextFirstIndent2Char">
    <w:name w:val="Body Text First Indent 2 Char"/>
    <w:basedOn w:val="BodyTextIndentChar"/>
    <w:link w:val="BodyTextFirstIndent2"/>
    <w:semiHidden/>
    <w:rsid w:val="00ED43EF"/>
    <w:rPr>
      <w:rFonts w:ascii="Arial" w:eastAsia="Times New Roman" w:hAnsi="Arial" w:cs="Times New Roman"/>
      <w:sz w:val="24"/>
      <w:lang w:eastAsia="en-GB"/>
    </w:rPr>
  </w:style>
  <w:style w:type="paragraph" w:styleId="BodyTextIndent2">
    <w:name w:val="Body Text Indent 2"/>
    <w:basedOn w:val="Normal"/>
    <w:link w:val="BodyTextIndent2Char"/>
    <w:semiHidden/>
    <w:rsid w:val="00ED43EF"/>
    <w:pPr>
      <w:spacing w:after="120" w:line="480" w:lineRule="auto"/>
      <w:ind w:left="283"/>
    </w:pPr>
  </w:style>
  <w:style w:type="character" w:customStyle="1" w:styleId="BodyTextIndent2Char">
    <w:name w:val="Body Text Indent 2 Char"/>
    <w:basedOn w:val="DefaultParagraphFont"/>
    <w:link w:val="BodyTextIndent2"/>
    <w:semiHidden/>
    <w:rsid w:val="00ED43EF"/>
    <w:rPr>
      <w:rFonts w:ascii="Arial" w:eastAsia="Times New Roman" w:hAnsi="Arial" w:cs="Times New Roman"/>
      <w:sz w:val="24"/>
      <w:lang w:eastAsia="en-GB"/>
    </w:rPr>
  </w:style>
  <w:style w:type="paragraph" w:styleId="BodyTextIndent3">
    <w:name w:val="Body Text Indent 3"/>
    <w:basedOn w:val="Normal"/>
    <w:link w:val="BodyTextIndent3Char"/>
    <w:semiHidden/>
    <w:rsid w:val="00ED43EF"/>
    <w:pPr>
      <w:spacing w:after="120"/>
      <w:ind w:left="283"/>
    </w:pPr>
    <w:rPr>
      <w:sz w:val="16"/>
      <w:szCs w:val="16"/>
    </w:rPr>
  </w:style>
  <w:style w:type="character" w:customStyle="1" w:styleId="BodyTextIndent3Char">
    <w:name w:val="Body Text Indent 3 Char"/>
    <w:basedOn w:val="DefaultParagraphFont"/>
    <w:link w:val="BodyTextIndent3"/>
    <w:semiHidden/>
    <w:rsid w:val="00ED43EF"/>
    <w:rPr>
      <w:rFonts w:ascii="Arial" w:eastAsia="Times New Roman" w:hAnsi="Arial" w:cs="Times New Roman"/>
      <w:sz w:val="16"/>
      <w:szCs w:val="16"/>
      <w:lang w:eastAsia="en-GB"/>
    </w:rPr>
  </w:style>
  <w:style w:type="paragraph" w:styleId="Caption">
    <w:name w:val="caption"/>
    <w:basedOn w:val="BodyText"/>
    <w:next w:val="BodyText"/>
    <w:uiPriority w:val="1"/>
    <w:rsid w:val="00ED43EF"/>
    <w:pPr>
      <w:spacing w:after="120"/>
    </w:pPr>
    <w:rPr>
      <w:b/>
      <w:bCs/>
      <w:sz w:val="20"/>
      <w:szCs w:val="20"/>
    </w:rPr>
  </w:style>
  <w:style w:type="paragraph" w:styleId="Closing">
    <w:name w:val="Closing"/>
    <w:basedOn w:val="Normal"/>
    <w:link w:val="ClosingChar"/>
    <w:semiHidden/>
    <w:rsid w:val="00ED43EF"/>
    <w:pPr>
      <w:ind w:left="4252"/>
    </w:pPr>
  </w:style>
  <w:style w:type="character" w:customStyle="1" w:styleId="ClosingChar">
    <w:name w:val="Closing Char"/>
    <w:basedOn w:val="DefaultParagraphFont"/>
    <w:link w:val="Closing"/>
    <w:semiHidden/>
    <w:rsid w:val="00ED43EF"/>
    <w:rPr>
      <w:rFonts w:ascii="Arial" w:eastAsia="Times New Roman" w:hAnsi="Arial" w:cs="Times New Roman"/>
      <w:sz w:val="24"/>
      <w:lang w:eastAsia="en-GB"/>
    </w:rPr>
  </w:style>
  <w:style w:type="character" w:styleId="CommentReference">
    <w:name w:val="annotation reference"/>
    <w:semiHidden/>
    <w:rsid w:val="00ED43EF"/>
    <w:rPr>
      <w:sz w:val="16"/>
      <w:szCs w:val="16"/>
    </w:rPr>
  </w:style>
  <w:style w:type="paragraph" w:styleId="CommentText">
    <w:name w:val="annotation text"/>
    <w:basedOn w:val="Normal"/>
    <w:link w:val="CommentTextChar"/>
    <w:semiHidden/>
    <w:rsid w:val="00ED43EF"/>
    <w:rPr>
      <w:sz w:val="20"/>
      <w:szCs w:val="20"/>
    </w:rPr>
  </w:style>
  <w:style w:type="character" w:customStyle="1" w:styleId="CommentTextChar">
    <w:name w:val="Comment Text Char"/>
    <w:basedOn w:val="DefaultParagraphFont"/>
    <w:link w:val="CommentText"/>
    <w:semiHidden/>
    <w:rsid w:val="00ED43E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ED43EF"/>
    <w:rPr>
      <w:b/>
      <w:bCs/>
    </w:rPr>
  </w:style>
  <w:style w:type="character" w:customStyle="1" w:styleId="CommentSubjectChar">
    <w:name w:val="Comment Subject Char"/>
    <w:basedOn w:val="CommentTextChar"/>
    <w:link w:val="CommentSubject"/>
    <w:semiHidden/>
    <w:rsid w:val="00ED43EF"/>
    <w:rPr>
      <w:rFonts w:ascii="Arial" w:eastAsia="Times New Roman" w:hAnsi="Arial" w:cs="Times New Roman"/>
      <w:b/>
      <w:bCs/>
      <w:sz w:val="20"/>
      <w:szCs w:val="20"/>
      <w:lang w:eastAsia="en-GB"/>
    </w:rPr>
  </w:style>
  <w:style w:type="paragraph" w:customStyle="1" w:styleId="Contactdetails">
    <w:name w:val="Contact details"/>
    <w:semiHidden/>
    <w:rsid w:val="00ED43EF"/>
    <w:pPr>
      <w:spacing w:after="0" w:line="240" w:lineRule="auto"/>
      <w:jc w:val="center"/>
    </w:pPr>
    <w:rPr>
      <w:rFonts w:ascii="Arial" w:eastAsia="Times New Roman" w:hAnsi="Arial" w:cs="Times New Roman"/>
      <w:color w:val="7F7F7F"/>
      <w:sz w:val="18"/>
      <w:lang w:eastAsia="en-GB"/>
    </w:rPr>
  </w:style>
  <w:style w:type="paragraph" w:styleId="Date">
    <w:name w:val="Date"/>
    <w:basedOn w:val="Normal"/>
    <w:next w:val="Normal"/>
    <w:link w:val="DateChar"/>
    <w:semiHidden/>
    <w:rsid w:val="00ED43EF"/>
  </w:style>
  <w:style w:type="character" w:customStyle="1" w:styleId="DateChar">
    <w:name w:val="Date Char"/>
    <w:basedOn w:val="DefaultParagraphFont"/>
    <w:link w:val="Date"/>
    <w:semiHidden/>
    <w:rsid w:val="00ED43EF"/>
    <w:rPr>
      <w:rFonts w:ascii="Arial" w:eastAsia="Times New Roman" w:hAnsi="Arial" w:cs="Times New Roman"/>
      <w:sz w:val="24"/>
      <w:lang w:eastAsia="en-GB"/>
    </w:rPr>
  </w:style>
  <w:style w:type="paragraph" w:styleId="DocumentMap">
    <w:name w:val="Document Map"/>
    <w:basedOn w:val="Normal"/>
    <w:link w:val="DocumentMapChar"/>
    <w:semiHidden/>
    <w:rsid w:val="00ED43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D43EF"/>
    <w:rPr>
      <w:rFonts w:ascii="Tahoma" w:eastAsia="Times New Roman" w:hAnsi="Tahoma" w:cs="Tahoma"/>
      <w:sz w:val="20"/>
      <w:szCs w:val="20"/>
      <w:shd w:val="clear" w:color="auto" w:fill="000080"/>
      <w:lang w:eastAsia="en-GB"/>
    </w:rPr>
  </w:style>
  <w:style w:type="paragraph" w:styleId="E-mailSignature">
    <w:name w:val="E-mail Signature"/>
    <w:basedOn w:val="Normal"/>
    <w:link w:val="E-mailSignatureChar"/>
    <w:semiHidden/>
    <w:rsid w:val="00ED43EF"/>
  </w:style>
  <w:style w:type="character" w:customStyle="1" w:styleId="E-mailSignatureChar">
    <w:name w:val="E-mail Signature Char"/>
    <w:basedOn w:val="DefaultParagraphFont"/>
    <w:link w:val="E-mailSignature"/>
    <w:semiHidden/>
    <w:rsid w:val="00ED43EF"/>
    <w:rPr>
      <w:rFonts w:ascii="Arial" w:eastAsia="Times New Roman" w:hAnsi="Arial" w:cs="Times New Roman"/>
      <w:sz w:val="24"/>
      <w:lang w:eastAsia="en-GB"/>
    </w:rPr>
  </w:style>
  <w:style w:type="character" w:styleId="Emphasis">
    <w:name w:val="Emphasis"/>
    <w:qFormat/>
    <w:rsid w:val="00ED43EF"/>
    <w:rPr>
      <w:i/>
      <w:iCs/>
    </w:rPr>
  </w:style>
  <w:style w:type="character" w:customStyle="1" w:styleId="endnotehyperlinks">
    <w:name w:val="endnote hyperlinks"/>
    <w:basedOn w:val="DefaultParagraphFont"/>
    <w:uiPriority w:val="1"/>
    <w:qFormat/>
    <w:rsid w:val="00ED43EF"/>
    <w:rPr>
      <w:color w:val="auto"/>
      <w:u w:val="none"/>
    </w:rPr>
  </w:style>
  <w:style w:type="character" w:styleId="EndnoteReference">
    <w:name w:val="endnote reference"/>
    <w:uiPriority w:val="99"/>
    <w:unhideWhenUsed/>
    <w:rsid w:val="00ED43EF"/>
    <w:rPr>
      <w:vertAlign w:val="superscript"/>
    </w:rPr>
  </w:style>
  <w:style w:type="paragraph" w:styleId="EndnoteText">
    <w:name w:val="endnote text"/>
    <w:basedOn w:val="Normal"/>
    <w:link w:val="EndnoteTextChar"/>
    <w:uiPriority w:val="99"/>
    <w:rsid w:val="00ED43EF"/>
    <w:pPr>
      <w:tabs>
        <w:tab w:val="left" w:pos="454"/>
        <w:tab w:val="left" w:pos="567"/>
      </w:tabs>
      <w:ind w:left="454" w:hanging="454"/>
    </w:pPr>
    <w:rPr>
      <w:rFonts w:eastAsia="Calibri"/>
      <w:sz w:val="18"/>
      <w:szCs w:val="20"/>
      <w:lang w:eastAsia="en-US"/>
    </w:rPr>
  </w:style>
  <w:style w:type="character" w:customStyle="1" w:styleId="EndnoteTextChar">
    <w:name w:val="Endnote Text Char"/>
    <w:basedOn w:val="DefaultParagraphFont"/>
    <w:link w:val="EndnoteText"/>
    <w:uiPriority w:val="99"/>
    <w:rsid w:val="00ED43EF"/>
    <w:rPr>
      <w:rFonts w:ascii="Arial" w:eastAsia="Calibri" w:hAnsi="Arial" w:cs="Times New Roman"/>
      <w:sz w:val="18"/>
      <w:szCs w:val="20"/>
    </w:rPr>
  </w:style>
  <w:style w:type="paragraph" w:styleId="EnvelopeAddress">
    <w:name w:val="envelope address"/>
    <w:basedOn w:val="Normal"/>
    <w:semiHidden/>
    <w:rsid w:val="00ED43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ED43EF"/>
    <w:rPr>
      <w:rFonts w:cs="Arial"/>
      <w:sz w:val="20"/>
      <w:szCs w:val="20"/>
    </w:rPr>
  </w:style>
  <w:style w:type="character" w:styleId="FollowedHyperlink">
    <w:name w:val="FollowedHyperlink"/>
    <w:semiHidden/>
    <w:rsid w:val="00ED43EF"/>
    <w:rPr>
      <w:color w:val="800080"/>
      <w:u w:val="single"/>
    </w:rPr>
  </w:style>
  <w:style w:type="paragraph" w:styleId="Footer">
    <w:name w:val="footer"/>
    <w:basedOn w:val="Normal"/>
    <w:link w:val="FooterChar"/>
    <w:uiPriority w:val="99"/>
    <w:rsid w:val="00404759"/>
    <w:pPr>
      <w:tabs>
        <w:tab w:val="center" w:pos="4513"/>
        <w:tab w:val="right" w:pos="9026"/>
      </w:tabs>
    </w:pPr>
    <w:rPr>
      <w:sz w:val="20"/>
      <w:szCs w:val="24"/>
      <w:lang w:eastAsia="en-AU"/>
    </w:rPr>
  </w:style>
  <w:style w:type="character" w:customStyle="1" w:styleId="FooterChar">
    <w:name w:val="Footer Char"/>
    <w:link w:val="Footer"/>
    <w:uiPriority w:val="99"/>
    <w:rsid w:val="00404759"/>
    <w:rPr>
      <w:rFonts w:ascii="Arial" w:eastAsia="Times New Roman" w:hAnsi="Arial" w:cs="Times New Roman"/>
      <w:sz w:val="20"/>
      <w:szCs w:val="24"/>
      <w:lang w:eastAsia="en-AU"/>
    </w:rPr>
  </w:style>
  <w:style w:type="paragraph" w:customStyle="1" w:styleId="Frontmatter">
    <w:name w:val="Frontmatter"/>
    <w:basedOn w:val="BodyText"/>
    <w:semiHidden/>
    <w:rsid w:val="00ED43EF"/>
    <w:pPr>
      <w:spacing w:after="120"/>
    </w:pPr>
    <w:rPr>
      <w:sz w:val="20"/>
    </w:rPr>
  </w:style>
  <w:style w:type="paragraph" w:customStyle="1" w:styleId="Furtherreading">
    <w:name w:val="Further reading"/>
    <w:basedOn w:val="BodyText"/>
    <w:qFormat/>
    <w:rsid w:val="00ED43EF"/>
    <w:pPr>
      <w:keepNext/>
      <w:spacing w:after="60"/>
    </w:pPr>
    <w:rPr>
      <w:rFonts w:eastAsia="Calibri"/>
      <w:b/>
      <w:lang w:eastAsia="en-US"/>
    </w:rPr>
  </w:style>
  <w:style w:type="paragraph" w:styleId="Header">
    <w:name w:val="header"/>
    <w:basedOn w:val="Normal"/>
    <w:link w:val="HeaderChar"/>
    <w:semiHidden/>
    <w:rsid w:val="00ED43EF"/>
    <w:pPr>
      <w:tabs>
        <w:tab w:val="center" w:pos="4153"/>
        <w:tab w:val="right" w:pos="8306"/>
      </w:tabs>
    </w:pPr>
  </w:style>
  <w:style w:type="character" w:customStyle="1" w:styleId="HeaderChar">
    <w:name w:val="Header Char"/>
    <w:basedOn w:val="DefaultParagraphFont"/>
    <w:link w:val="Header"/>
    <w:semiHidden/>
    <w:rsid w:val="00ED43EF"/>
    <w:rPr>
      <w:rFonts w:ascii="Arial" w:eastAsia="Times New Roman" w:hAnsi="Arial" w:cs="Times New Roman"/>
      <w:sz w:val="24"/>
      <w:lang w:eastAsia="en-GB"/>
    </w:rPr>
  </w:style>
  <w:style w:type="paragraph" w:customStyle="1" w:styleId="Heading1-Pagebreakbefore">
    <w:name w:val="Heading 1-Pagebreak before"/>
    <w:basedOn w:val="Heading1"/>
    <w:next w:val="BodyText"/>
    <w:rsid w:val="00ED43EF"/>
    <w:pPr>
      <w:pageBreakBefore/>
      <w:spacing w:before="0"/>
    </w:pPr>
  </w:style>
  <w:style w:type="character" w:styleId="HTMLAcronym">
    <w:name w:val="HTML Acronym"/>
    <w:basedOn w:val="DefaultParagraphFont"/>
    <w:semiHidden/>
    <w:rsid w:val="00ED43EF"/>
  </w:style>
  <w:style w:type="paragraph" w:styleId="HTMLAddress">
    <w:name w:val="HTML Address"/>
    <w:basedOn w:val="Normal"/>
    <w:link w:val="HTMLAddressChar"/>
    <w:semiHidden/>
    <w:rsid w:val="00ED43EF"/>
    <w:rPr>
      <w:i/>
      <w:iCs/>
    </w:rPr>
  </w:style>
  <w:style w:type="character" w:customStyle="1" w:styleId="HTMLAddressChar">
    <w:name w:val="HTML Address Char"/>
    <w:basedOn w:val="DefaultParagraphFont"/>
    <w:link w:val="HTMLAddress"/>
    <w:semiHidden/>
    <w:rsid w:val="00ED43EF"/>
    <w:rPr>
      <w:rFonts w:ascii="Arial" w:eastAsia="Times New Roman" w:hAnsi="Arial" w:cs="Times New Roman"/>
      <w:i/>
      <w:iCs/>
      <w:sz w:val="24"/>
      <w:lang w:eastAsia="en-GB"/>
    </w:rPr>
  </w:style>
  <w:style w:type="character" w:styleId="HTMLCite">
    <w:name w:val="HTML Cite"/>
    <w:semiHidden/>
    <w:rsid w:val="00ED43EF"/>
    <w:rPr>
      <w:i/>
      <w:iCs/>
    </w:rPr>
  </w:style>
  <w:style w:type="character" w:styleId="HTMLCode">
    <w:name w:val="HTML Code"/>
    <w:semiHidden/>
    <w:rsid w:val="00ED43EF"/>
    <w:rPr>
      <w:rFonts w:ascii="Courier New" w:hAnsi="Courier New" w:cs="Courier New"/>
      <w:sz w:val="20"/>
      <w:szCs w:val="20"/>
    </w:rPr>
  </w:style>
  <w:style w:type="character" w:styleId="HTMLDefinition">
    <w:name w:val="HTML Definition"/>
    <w:semiHidden/>
    <w:rsid w:val="00ED43EF"/>
    <w:rPr>
      <w:i/>
      <w:iCs/>
    </w:rPr>
  </w:style>
  <w:style w:type="character" w:styleId="HTMLKeyboard">
    <w:name w:val="HTML Keyboard"/>
    <w:semiHidden/>
    <w:rsid w:val="00ED43EF"/>
    <w:rPr>
      <w:rFonts w:ascii="Courier New" w:hAnsi="Courier New" w:cs="Courier New"/>
      <w:sz w:val="20"/>
      <w:szCs w:val="20"/>
    </w:rPr>
  </w:style>
  <w:style w:type="paragraph" w:styleId="HTMLPreformatted">
    <w:name w:val="HTML Preformatted"/>
    <w:basedOn w:val="Normal"/>
    <w:link w:val="HTMLPreformattedChar"/>
    <w:semiHidden/>
    <w:rsid w:val="00ED43EF"/>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ED43EF"/>
    <w:rPr>
      <w:rFonts w:ascii="Courier New" w:eastAsia="Times New Roman" w:hAnsi="Courier New" w:cs="Courier New"/>
      <w:sz w:val="20"/>
      <w:szCs w:val="20"/>
      <w:lang w:eastAsia="en-GB"/>
    </w:rPr>
  </w:style>
  <w:style w:type="character" w:styleId="HTMLSample">
    <w:name w:val="HTML Sample"/>
    <w:semiHidden/>
    <w:rsid w:val="00ED43EF"/>
    <w:rPr>
      <w:rFonts w:ascii="Courier New" w:hAnsi="Courier New" w:cs="Courier New"/>
    </w:rPr>
  </w:style>
  <w:style w:type="character" w:styleId="HTMLTypewriter">
    <w:name w:val="HTML Typewriter"/>
    <w:semiHidden/>
    <w:rsid w:val="00ED43EF"/>
    <w:rPr>
      <w:rFonts w:ascii="Courier New" w:hAnsi="Courier New" w:cs="Courier New"/>
      <w:sz w:val="20"/>
      <w:szCs w:val="20"/>
    </w:rPr>
  </w:style>
  <w:style w:type="character" w:styleId="HTMLVariable">
    <w:name w:val="HTML Variable"/>
    <w:semiHidden/>
    <w:rsid w:val="00ED43EF"/>
    <w:rPr>
      <w:i/>
      <w:iCs/>
    </w:rPr>
  </w:style>
  <w:style w:type="paragraph" w:customStyle="1" w:styleId="Style1">
    <w:name w:val="Style1"/>
    <w:basedOn w:val="BodyText"/>
    <w:qFormat/>
    <w:rsid w:val="00ED43EF"/>
    <w:pPr>
      <w:jc w:val="center"/>
    </w:pPr>
    <w:rPr>
      <w:rFonts w:eastAsia="Calibri"/>
      <w:noProof/>
      <w:lang w:eastAsia="en-AU"/>
    </w:rPr>
  </w:style>
  <w:style w:type="paragraph" w:customStyle="1" w:styleId="Image">
    <w:name w:val="Image"/>
    <w:basedOn w:val="Style1"/>
    <w:rsid w:val="00ED43EF"/>
  </w:style>
  <w:style w:type="character" w:styleId="LineNumber">
    <w:name w:val="line number"/>
    <w:basedOn w:val="DefaultParagraphFont"/>
    <w:semiHidden/>
    <w:rsid w:val="00ED43EF"/>
  </w:style>
  <w:style w:type="paragraph" w:styleId="List">
    <w:name w:val="List"/>
    <w:basedOn w:val="Normal"/>
    <w:semiHidden/>
    <w:rsid w:val="00ED43EF"/>
    <w:pPr>
      <w:ind w:left="283" w:hanging="283"/>
    </w:pPr>
  </w:style>
  <w:style w:type="paragraph" w:styleId="List2">
    <w:name w:val="List 2"/>
    <w:basedOn w:val="Normal"/>
    <w:semiHidden/>
    <w:rsid w:val="00ED43EF"/>
    <w:pPr>
      <w:ind w:left="566" w:hanging="283"/>
    </w:pPr>
  </w:style>
  <w:style w:type="paragraph" w:styleId="List3">
    <w:name w:val="List 3"/>
    <w:basedOn w:val="Normal"/>
    <w:semiHidden/>
    <w:rsid w:val="00ED43EF"/>
    <w:pPr>
      <w:ind w:left="849" w:hanging="283"/>
    </w:pPr>
  </w:style>
  <w:style w:type="paragraph" w:styleId="List4">
    <w:name w:val="List 4"/>
    <w:basedOn w:val="Normal"/>
    <w:semiHidden/>
    <w:rsid w:val="00ED43EF"/>
    <w:pPr>
      <w:ind w:left="1132" w:hanging="283"/>
    </w:pPr>
  </w:style>
  <w:style w:type="paragraph" w:styleId="List5">
    <w:name w:val="List 5"/>
    <w:basedOn w:val="Normal"/>
    <w:semiHidden/>
    <w:rsid w:val="00ED43EF"/>
    <w:pPr>
      <w:ind w:left="1415" w:hanging="283"/>
    </w:pPr>
  </w:style>
  <w:style w:type="paragraph" w:styleId="ListBullet">
    <w:name w:val="List Bullet"/>
    <w:basedOn w:val="BodyText"/>
    <w:qFormat/>
    <w:rsid w:val="00ED43EF"/>
    <w:pPr>
      <w:numPr>
        <w:numId w:val="9"/>
      </w:numPr>
      <w:tabs>
        <w:tab w:val="clear" w:pos="567"/>
      </w:tabs>
      <w:spacing w:after="120"/>
    </w:pPr>
  </w:style>
  <w:style w:type="paragraph" w:styleId="ListBullet2">
    <w:name w:val="List Bullet 2"/>
    <w:basedOn w:val="ListBullet"/>
    <w:unhideWhenUsed/>
    <w:rsid w:val="00ED43EF"/>
    <w:pPr>
      <w:numPr>
        <w:ilvl w:val="1"/>
      </w:numPr>
      <w:tabs>
        <w:tab w:val="clear" w:pos="1134"/>
      </w:tabs>
    </w:pPr>
  </w:style>
  <w:style w:type="paragraph" w:styleId="ListBullet3">
    <w:name w:val="List Bullet 3"/>
    <w:basedOn w:val="ListBullet2"/>
    <w:semiHidden/>
    <w:rsid w:val="00ED43EF"/>
    <w:pPr>
      <w:numPr>
        <w:ilvl w:val="2"/>
      </w:numPr>
      <w:tabs>
        <w:tab w:val="clear" w:pos="1701"/>
      </w:tabs>
    </w:pPr>
  </w:style>
  <w:style w:type="paragraph" w:styleId="ListBullet4">
    <w:name w:val="List Bullet 4"/>
    <w:basedOn w:val="ListBullet3"/>
    <w:semiHidden/>
    <w:rsid w:val="00ED43EF"/>
    <w:pPr>
      <w:numPr>
        <w:ilvl w:val="3"/>
      </w:numPr>
      <w:tabs>
        <w:tab w:val="clear" w:pos="2268"/>
      </w:tabs>
    </w:pPr>
  </w:style>
  <w:style w:type="paragraph" w:styleId="ListBullet5">
    <w:name w:val="List Bullet 5"/>
    <w:basedOn w:val="ListBullet4"/>
    <w:semiHidden/>
    <w:rsid w:val="00ED43EF"/>
    <w:pPr>
      <w:numPr>
        <w:ilvl w:val="4"/>
      </w:numPr>
    </w:pPr>
  </w:style>
  <w:style w:type="paragraph" w:styleId="ListContinue">
    <w:name w:val="List Continue"/>
    <w:basedOn w:val="BodyText"/>
    <w:rsid w:val="00ED43EF"/>
    <w:pPr>
      <w:numPr>
        <w:numId w:val="10"/>
      </w:numPr>
      <w:tabs>
        <w:tab w:val="clear" w:pos="567"/>
      </w:tabs>
    </w:pPr>
    <w:rPr>
      <w:sz w:val="24"/>
    </w:rPr>
  </w:style>
  <w:style w:type="paragraph" w:styleId="ListContinue2">
    <w:name w:val="List Continue 2"/>
    <w:basedOn w:val="ListContinue"/>
    <w:unhideWhenUsed/>
    <w:rsid w:val="00ED43EF"/>
    <w:pPr>
      <w:numPr>
        <w:ilvl w:val="1"/>
      </w:numPr>
      <w:tabs>
        <w:tab w:val="clear" w:pos="1134"/>
      </w:tabs>
    </w:pPr>
  </w:style>
  <w:style w:type="paragraph" w:styleId="ListContinue3">
    <w:name w:val="List Continue 3"/>
    <w:basedOn w:val="ListContinue2"/>
    <w:semiHidden/>
    <w:rsid w:val="00ED43EF"/>
    <w:pPr>
      <w:numPr>
        <w:ilvl w:val="2"/>
      </w:numPr>
      <w:tabs>
        <w:tab w:val="clear" w:pos="1701"/>
      </w:tabs>
    </w:pPr>
  </w:style>
  <w:style w:type="paragraph" w:styleId="ListContinue4">
    <w:name w:val="List Continue 4"/>
    <w:basedOn w:val="ListContinue3"/>
    <w:semiHidden/>
    <w:rsid w:val="00ED43EF"/>
    <w:pPr>
      <w:numPr>
        <w:ilvl w:val="3"/>
      </w:numPr>
      <w:tabs>
        <w:tab w:val="clear" w:pos="2268"/>
      </w:tabs>
    </w:pPr>
  </w:style>
  <w:style w:type="paragraph" w:styleId="ListContinue5">
    <w:name w:val="List Continue 5"/>
    <w:basedOn w:val="Normal"/>
    <w:semiHidden/>
    <w:rsid w:val="00ED43EF"/>
    <w:pPr>
      <w:numPr>
        <w:ilvl w:val="4"/>
        <w:numId w:val="10"/>
      </w:numPr>
      <w:spacing w:after="120"/>
    </w:pPr>
  </w:style>
  <w:style w:type="paragraph" w:customStyle="1" w:styleId="ListLetter">
    <w:name w:val="List Letter"/>
    <w:basedOn w:val="BodyText"/>
    <w:rsid w:val="00ED43EF"/>
    <w:pPr>
      <w:numPr>
        <w:numId w:val="11"/>
      </w:numPr>
      <w:tabs>
        <w:tab w:val="clear" w:pos="567"/>
      </w:tabs>
    </w:pPr>
    <w:rPr>
      <w:sz w:val="24"/>
    </w:rPr>
  </w:style>
  <w:style w:type="paragraph" w:customStyle="1" w:styleId="ListLetter2">
    <w:name w:val="List Letter 2"/>
    <w:basedOn w:val="ListLetter"/>
    <w:unhideWhenUsed/>
    <w:rsid w:val="00ED43EF"/>
    <w:pPr>
      <w:numPr>
        <w:ilvl w:val="1"/>
      </w:numPr>
      <w:tabs>
        <w:tab w:val="clear" w:pos="1134"/>
      </w:tabs>
    </w:pPr>
  </w:style>
  <w:style w:type="paragraph" w:customStyle="1" w:styleId="ListLetter3">
    <w:name w:val="List Letter 3"/>
    <w:basedOn w:val="ListLetter2"/>
    <w:semiHidden/>
    <w:rsid w:val="00ED43EF"/>
    <w:pPr>
      <w:numPr>
        <w:ilvl w:val="2"/>
      </w:numPr>
      <w:tabs>
        <w:tab w:val="clear" w:pos="1701"/>
      </w:tabs>
    </w:pPr>
  </w:style>
  <w:style w:type="paragraph" w:customStyle="1" w:styleId="ListLetter4">
    <w:name w:val="List Letter 4"/>
    <w:basedOn w:val="ListLetter3"/>
    <w:semiHidden/>
    <w:rsid w:val="00ED43EF"/>
    <w:pPr>
      <w:numPr>
        <w:ilvl w:val="3"/>
      </w:numPr>
      <w:tabs>
        <w:tab w:val="clear" w:pos="2268"/>
      </w:tabs>
    </w:pPr>
  </w:style>
  <w:style w:type="paragraph" w:customStyle="1" w:styleId="ListLetter5">
    <w:name w:val="List Letter 5"/>
    <w:basedOn w:val="ListLetter4"/>
    <w:semiHidden/>
    <w:rsid w:val="00ED43EF"/>
    <w:pPr>
      <w:numPr>
        <w:ilvl w:val="4"/>
      </w:numPr>
    </w:pPr>
  </w:style>
  <w:style w:type="paragraph" w:styleId="ListNumber">
    <w:name w:val="List Number"/>
    <w:basedOn w:val="BodyText"/>
    <w:rsid w:val="00ED43EF"/>
    <w:pPr>
      <w:numPr>
        <w:numId w:val="12"/>
      </w:numPr>
      <w:tabs>
        <w:tab w:val="clear" w:pos="567"/>
      </w:tabs>
    </w:pPr>
    <w:rPr>
      <w:sz w:val="24"/>
    </w:rPr>
  </w:style>
  <w:style w:type="paragraph" w:styleId="ListNumber2">
    <w:name w:val="List Number 2"/>
    <w:basedOn w:val="ListNumber"/>
    <w:unhideWhenUsed/>
    <w:rsid w:val="00ED43EF"/>
    <w:pPr>
      <w:numPr>
        <w:ilvl w:val="1"/>
      </w:numPr>
      <w:tabs>
        <w:tab w:val="clear" w:pos="1134"/>
      </w:tabs>
    </w:pPr>
  </w:style>
  <w:style w:type="paragraph" w:styleId="ListNumber3">
    <w:name w:val="List Number 3"/>
    <w:basedOn w:val="ListNumber2"/>
    <w:semiHidden/>
    <w:rsid w:val="00ED43EF"/>
    <w:pPr>
      <w:numPr>
        <w:ilvl w:val="2"/>
      </w:numPr>
      <w:tabs>
        <w:tab w:val="clear" w:pos="1701"/>
      </w:tabs>
    </w:pPr>
  </w:style>
  <w:style w:type="paragraph" w:styleId="ListNumber4">
    <w:name w:val="List Number 4"/>
    <w:basedOn w:val="ListNumber3"/>
    <w:semiHidden/>
    <w:rsid w:val="00ED43EF"/>
    <w:pPr>
      <w:numPr>
        <w:ilvl w:val="3"/>
      </w:numPr>
      <w:tabs>
        <w:tab w:val="clear" w:pos="2268"/>
      </w:tabs>
    </w:pPr>
  </w:style>
  <w:style w:type="paragraph" w:styleId="ListNumber5">
    <w:name w:val="List Number 5"/>
    <w:basedOn w:val="ListNumber4"/>
    <w:semiHidden/>
    <w:rsid w:val="00ED43EF"/>
    <w:pPr>
      <w:numPr>
        <w:ilvl w:val="4"/>
      </w:numPr>
    </w:pPr>
  </w:style>
  <w:style w:type="paragraph" w:customStyle="1" w:styleId="ListRoman">
    <w:name w:val="List Roman"/>
    <w:basedOn w:val="BodyText"/>
    <w:rsid w:val="00ED43EF"/>
    <w:pPr>
      <w:numPr>
        <w:numId w:val="13"/>
      </w:numPr>
      <w:tabs>
        <w:tab w:val="clear" w:pos="567"/>
      </w:tabs>
    </w:pPr>
    <w:rPr>
      <w:sz w:val="24"/>
    </w:rPr>
  </w:style>
  <w:style w:type="paragraph" w:customStyle="1" w:styleId="ListRoman2">
    <w:name w:val="List Roman 2"/>
    <w:basedOn w:val="ListRoman"/>
    <w:unhideWhenUsed/>
    <w:rsid w:val="00ED43EF"/>
    <w:pPr>
      <w:numPr>
        <w:ilvl w:val="1"/>
      </w:numPr>
      <w:tabs>
        <w:tab w:val="clear" w:pos="1134"/>
      </w:tabs>
    </w:pPr>
  </w:style>
  <w:style w:type="paragraph" w:customStyle="1" w:styleId="ListRoman3">
    <w:name w:val="List Roman 3"/>
    <w:basedOn w:val="ListRoman2"/>
    <w:semiHidden/>
    <w:rsid w:val="00ED43EF"/>
    <w:pPr>
      <w:numPr>
        <w:ilvl w:val="2"/>
      </w:numPr>
      <w:tabs>
        <w:tab w:val="clear" w:pos="1701"/>
      </w:tabs>
    </w:pPr>
  </w:style>
  <w:style w:type="paragraph" w:customStyle="1" w:styleId="ListRoman4">
    <w:name w:val="List Roman 4"/>
    <w:basedOn w:val="ListRoman3"/>
    <w:semiHidden/>
    <w:rsid w:val="00ED43EF"/>
    <w:pPr>
      <w:numPr>
        <w:ilvl w:val="3"/>
      </w:numPr>
      <w:tabs>
        <w:tab w:val="clear" w:pos="2268"/>
      </w:tabs>
    </w:pPr>
  </w:style>
  <w:style w:type="paragraph" w:customStyle="1" w:styleId="ListRoman5">
    <w:name w:val="List Roman 5"/>
    <w:basedOn w:val="ListRoman4"/>
    <w:semiHidden/>
    <w:rsid w:val="00ED43EF"/>
    <w:pPr>
      <w:numPr>
        <w:ilvl w:val="4"/>
      </w:numPr>
    </w:pPr>
  </w:style>
  <w:style w:type="paragraph" w:customStyle="1" w:styleId="Logo-Centred">
    <w:name w:val="Logo - Centred"/>
    <w:basedOn w:val="BodyText"/>
    <w:semiHidden/>
    <w:rsid w:val="00ED43EF"/>
    <w:pPr>
      <w:jc w:val="center"/>
    </w:pPr>
  </w:style>
  <w:style w:type="paragraph" w:styleId="MessageHeader">
    <w:name w:val="Message Header"/>
    <w:basedOn w:val="Normal"/>
    <w:link w:val="MessageHeaderChar"/>
    <w:semiHidden/>
    <w:rsid w:val="00ED43EF"/>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semiHidden/>
    <w:rsid w:val="00ED43EF"/>
    <w:rPr>
      <w:rFonts w:ascii="Arial" w:eastAsia="Times New Roman" w:hAnsi="Arial" w:cs="Arial"/>
      <w:sz w:val="24"/>
      <w:szCs w:val="24"/>
      <w:shd w:val="pct20" w:color="auto" w:fill="auto"/>
      <w:lang w:eastAsia="en-GB"/>
    </w:rPr>
  </w:style>
  <w:style w:type="paragraph" w:styleId="NormalWeb">
    <w:name w:val="Normal (Web)"/>
    <w:basedOn w:val="Normal"/>
    <w:semiHidden/>
    <w:rsid w:val="00ED43EF"/>
    <w:rPr>
      <w:rFonts w:ascii="Times New Roman" w:hAnsi="Times New Roman"/>
      <w:szCs w:val="24"/>
    </w:rPr>
  </w:style>
  <w:style w:type="paragraph" w:styleId="NormalIndent">
    <w:name w:val="Normal Indent"/>
    <w:basedOn w:val="Normal"/>
    <w:semiHidden/>
    <w:rsid w:val="00ED43EF"/>
    <w:pPr>
      <w:ind w:left="720"/>
    </w:pPr>
  </w:style>
  <w:style w:type="paragraph" w:styleId="NoteHeading">
    <w:name w:val="Note Heading"/>
    <w:basedOn w:val="Normal"/>
    <w:next w:val="Normal"/>
    <w:link w:val="NoteHeadingChar"/>
    <w:semiHidden/>
    <w:rsid w:val="00ED43EF"/>
  </w:style>
  <w:style w:type="character" w:customStyle="1" w:styleId="NoteHeadingChar">
    <w:name w:val="Note Heading Char"/>
    <w:basedOn w:val="DefaultParagraphFont"/>
    <w:link w:val="NoteHeading"/>
    <w:semiHidden/>
    <w:rsid w:val="00ED43EF"/>
    <w:rPr>
      <w:rFonts w:ascii="Arial" w:eastAsia="Times New Roman" w:hAnsi="Arial" w:cs="Times New Roman"/>
      <w:sz w:val="24"/>
      <w:lang w:eastAsia="en-GB"/>
    </w:rPr>
  </w:style>
  <w:style w:type="character" w:styleId="PageNumber">
    <w:name w:val="page number"/>
    <w:unhideWhenUsed/>
    <w:rsid w:val="00ED43EF"/>
    <w:rPr>
      <w:rFonts w:ascii="Arial" w:hAnsi="Arial"/>
      <w:sz w:val="24"/>
      <w:lang w:val="en-AU"/>
    </w:rPr>
  </w:style>
  <w:style w:type="paragraph" w:styleId="PlainText">
    <w:name w:val="Plain Text"/>
    <w:basedOn w:val="Normal"/>
    <w:link w:val="PlainTextChar"/>
    <w:semiHidden/>
    <w:rsid w:val="00ED43EF"/>
    <w:rPr>
      <w:rFonts w:ascii="Courier New" w:hAnsi="Courier New" w:cs="Courier New"/>
      <w:sz w:val="20"/>
      <w:szCs w:val="20"/>
    </w:rPr>
  </w:style>
  <w:style w:type="character" w:customStyle="1" w:styleId="PlainTextChar">
    <w:name w:val="Plain Text Char"/>
    <w:basedOn w:val="DefaultParagraphFont"/>
    <w:link w:val="PlainText"/>
    <w:semiHidden/>
    <w:rsid w:val="00ED43EF"/>
    <w:rPr>
      <w:rFonts w:ascii="Courier New" w:eastAsia="Times New Roman" w:hAnsi="Courier New" w:cs="Courier New"/>
      <w:sz w:val="20"/>
      <w:szCs w:val="20"/>
      <w:lang w:eastAsia="en-GB"/>
    </w:rPr>
  </w:style>
  <w:style w:type="table" w:customStyle="1" w:styleId="RecommendationsBox">
    <w:name w:val="Recommendations Box"/>
    <w:basedOn w:val="TableGrid"/>
    <w:rsid w:val="00ED43EF"/>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styleId="Salutation">
    <w:name w:val="Salutation"/>
    <w:basedOn w:val="Normal"/>
    <w:next w:val="Normal"/>
    <w:link w:val="SalutationChar"/>
    <w:semiHidden/>
    <w:rsid w:val="00ED43EF"/>
  </w:style>
  <w:style w:type="character" w:customStyle="1" w:styleId="SalutationChar">
    <w:name w:val="Salutation Char"/>
    <w:basedOn w:val="DefaultParagraphFont"/>
    <w:link w:val="Salutation"/>
    <w:semiHidden/>
    <w:rsid w:val="00ED43EF"/>
    <w:rPr>
      <w:rFonts w:ascii="Arial" w:eastAsia="Times New Roman" w:hAnsi="Arial" w:cs="Times New Roman"/>
      <w:sz w:val="24"/>
      <w:lang w:eastAsia="en-GB"/>
    </w:rPr>
  </w:style>
  <w:style w:type="paragraph" w:styleId="Signature">
    <w:name w:val="Signature"/>
    <w:basedOn w:val="Normal"/>
    <w:link w:val="SignatureChar"/>
    <w:semiHidden/>
    <w:rsid w:val="00ED43EF"/>
    <w:pPr>
      <w:ind w:left="4252"/>
    </w:pPr>
  </w:style>
  <w:style w:type="character" w:customStyle="1" w:styleId="SignatureChar">
    <w:name w:val="Signature Char"/>
    <w:basedOn w:val="DefaultParagraphFont"/>
    <w:link w:val="Signature"/>
    <w:semiHidden/>
    <w:rsid w:val="00ED43EF"/>
    <w:rPr>
      <w:rFonts w:ascii="Arial" w:eastAsia="Times New Roman" w:hAnsi="Arial" w:cs="Times New Roman"/>
      <w:sz w:val="24"/>
      <w:lang w:eastAsia="en-GB"/>
    </w:rPr>
  </w:style>
  <w:style w:type="character" w:styleId="Strong">
    <w:name w:val="Strong"/>
    <w:qFormat/>
    <w:rsid w:val="00ED43EF"/>
    <w:rPr>
      <w:b/>
      <w:bCs/>
    </w:rPr>
  </w:style>
  <w:style w:type="character" w:customStyle="1" w:styleId="Strongemphasis">
    <w:name w:val="Strong emphasis"/>
    <w:rsid w:val="00ED43EF"/>
    <w:rPr>
      <w:b/>
      <w:i/>
    </w:rPr>
  </w:style>
  <w:style w:type="paragraph" w:styleId="Title">
    <w:name w:val="Title"/>
    <w:link w:val="TitleChar"/>
    <w:rsid w:val="00ED43EF"/>
    <w:pPr>
      <w:spacing w:before="240" w:after="60" w:line="240" w:lineRule="auto"/>
      <w:jc w:val="center"/>
      <w:outlineLvl w:val="0"/>
    </w:pPr>
    <w:rPr>
      <w:rFonts w:ascii="Arial" w:eastAsia="Times New Roman" w:hAnsi="Arial" w:cs="Arial"/>
      <w:b/>
      <w:bCs/>
      <w:color w:val="333333"/>
      <w:kern w:val="28"/>
      <w:sz w:val="40"/>
      <w:szCs w:val="32"/>
      <w:lang w:eastAsia="en-GB"/>
    </w:rPr>
  </w:style>
  <w:style w:type="character" w:customStyle="1" w:styleId="TitleChar">
    <w:name w:val="Title Char"/>
    <w:basedOn w:val="DefaultParagraphFont"/>
    <w:link w:val="Title"/>
    <w:rsid w:val="00ED43EF"/>
    <w:rPr>
      <w:rFonts w:ascii="Arial" w:eastAsia="Times New Roman" w:hAnsi="Arial" w:cs="Arial"/>
      <w:b/>
      <w:bCs/>
      <w:color w:val="333333"/>
      <w:kern w:val="28"/>
      <w:sz w:val="40"/>
      <w:szCs w:val="32"/>
      <w:lang w:eastAsia="en-GB"/>
    </w:rPr>
  </w:style>
  <w:style w:type="paragraph" w:styleId="Subtitle">
    <w:name w:val="Subtitle"/>
    <w:basedOn w:val="Title"/>
    <w:link w:val="SubtitleChar"/>
    <w:rsid w:val="00ED43EF"/>
    <w:pPr>
      <w:spacing w:after="180"/>
      <w:outlineLvl w:val="1"/>
    </w:pPr>
    <w:rPr>
      <w:sz w:val="32"/>
      <w:szCs w:val="24"/>
    </w:rPr>
  </w:style>
  <w:style w:type="character" w:customStyle="1" w:styleId="SubtitleChar">
    <w:name w:val="Subtitle Char"/>
    <w:basedOn w:val="DefaultParagraphFont"/>
    <w:link w:val="Subtitle"/>
    <w:rsid w:val="00ED43EF"/>
    <w:rPr>
      <w:rFonts w:ascii="Arial" w:eastAsia="Times New Roman" w:hAnsi="Arial" w:cs="Arial"/>
      <w:b/>
      <w:bCs/>
      <w:color w:val="333333"/>
      <w:kern w:val="28"/>
      <w:sz w:val="32"/>
      <w:szCs w:val="24"/>
      <w:lang w:eastAsia="en-GB"/>
    </w:rPr>
  </w:style>
  <w:style w:type="paragraph" w:customStyle="1" w:styleId="TableBody">
    <w:name w:val="Table Body"/>
    <w:basedOn w:val="BodyText"/>
    <w:rsid w:val="00A857E6"/>
    <w:pPr>
      <w:spacing w:before="60" w:after="60"/>
    </w:pPr>
    <w:rPr>
      <w:sz w:val="18"/>
    </w:rPr>
  </w:style>
  <w:style w:type="paragraph" w:customStyle="1" w:styleId="Table-ListBullet">
    <w:name w:val="Table - List Bullet"/>
    <w:basedOn w:val="TableBody"/>
    <w:rsid w:val="00ED43EF"/>
    <w:pPr>
      <w:numPr>
        <w:numId w:val="14"/>
      </w:numPr>
    </w:pPr>
  </w:style>
  <w:style w:type="paragraph" w:customStyle="1" w:styleId="Table-ListBullet2">
    <w:name w:val="Table - List Bullet 2"/>
    <w:basedOn w:val="Table-ListBullet"/>
    <w:unhideWhenUsed/>
    <w:rsid w:val="00ED43EF"/>
    <w:pPr>
      <w:numPr>
        <w:ilvl w:val="1"/>
      </w:numPr>
      <w:tabs>
        <w:tab w:val="clear" w:pos="567"/>
      </w:tabs>
    </w:pPr>
  </w:style>
  <w:style w:type="paragraph" w:customStyle="1" w:styleId="Table-ListBullet3">
    <w:name w:val="Table - List Bullet 3"/>
    <w:basedOn w:val="Table-ListBullet2"/>
    <w:unhideWhenUsed/>
    <w:rsid w:val="00ED43EF"/>
    <w:pPr>
      <w:numPr>
        <w:ilvl w:val="2"/>
      </w:numPr>
    </w:pPr>
  </w:style>
  <w:style w:type="paragraph" w:customStyle="1" w:styleId="Table-ListLetter">
    <w:name w:val="Table - List Letter"/>
    <w:basedOn w:val="TableBody"/>
    <w:rsid w:val="00ED43EF"/>
    <w:pPr>
      <w:numPr>
        <w:numId w:val="15"/>
      </w:numPr>
    </w:pPr>
  </w:style>
  <w:style w:type="paragraph" w:customStyle="1" w:styleId="Table-ListLetter2">
    <w:name w:val="Table - List Letter 2"/>
    <w:basedOn w:val="Table-ListLetter"/>
    <w:unhideWhenUsed/>
    <w:rsid w:val="00ED43EF"/>
    <w:pPr>
      <w:numPr>
        <w:ilvl w:val="1"/>
      </w:numPr>
      <w:tabs>
        <w:tab w:val="clear" w:pos="567"/>
      </w:tabs>
    </w:pPr>
  </w:style>
  <w:style w:type="paragraph" w:customStyle="1" w:styleId="Table-ListLetter3">
    <w:name w:val="Table - List Letter 3"/>
    <w:basedOn w:val="Table-ListLetter2"/>
    <w:unhideWhenUsed/>
    <w:rsid w:val="00ED43EF"/>
    <w:pPr>
      <w:numPr>
        <w:ilvl w:val="2"/>
      </w:numPr>
    </w:pPr>
  </w:style>
  <w:style w:type="paragraph" w:customStyle="1" w:styleId="Table-ListNumber">
    <w:name w:val="Table - List Number"/>
    <w:basedOn w:val="TableBody"/>
    <w:rsid w:val="00ED43EF"/>
    <w:pPr>
      <w:numPr>
        <w:numId w:val="16"/>
      </w:numPr>
    </w:pPr>
  </w:style>
  <w:style w:type="paragraph" w:customStyle="1" w:styleId="Table-ListNumber2">
    <w:name w:val="Table - List Number 2"/>
    <w:basedOn w:val="Table-ListNumber"/>
    <w:unhideWhenUsed/>
    <w:rsid w:val="00ED43EF"/>
    <w:pPr>
      <w:numPr>
        <w:ilvl w:val="1"/>
      </w:numPr>
      <w:tabs>
        <w:tab w:val="clear" w:pos="567"/>
      </w:tabs>
    </w:pPr>
  </w:style>
  <w:style w:type="paragraph" w:customStyle="1" w:styleId="Table-ListNumber3">
    <w:name w:val="Table - List Number 3"/>
    <w:basedOn w:val="Table-ListNumber2"/>
    <w:unhideWhenUsed/>
    <w:rsid w:val="00ED43EF"/>
    <w:pPr>
      <w:numPr>
        <w:ilvl w:val="2"/>
      </w:numPr>
    </w:pPr>
  </w:style>
  <w:style w:type="paragraph" w:customStyle="1" w:styleId="Table-ListRoman">
    <w:name w:val="Table - List Roman"/>
    <w:basedOn w:val="TableBody"/>
    <w:rsid w:val="00ED43EF"/>
    <w:pPr>
      <w:numPr>
        <w:numId w:val="17"/>
      </w:numPr>
    </w:pPr>
  </w:style>
  <w:style w:type="paragraph" w:customStyle="1" w:styleId="Table-ListRoman2">
    <w:name w:val="Table - List Roman 2"/>
    <w:basedOn w:val="Table-ListRoman"/>
    <w:unhideWhenUsed/>
    <w:rsid w:val="00ED43EF"/>
    <w:pPr>
      <w:numPr>
        <w:ilvl w:val="1"/>
      </w:numPr>
      <w:tabs>
        <w:tab w:val="clear" w:pos="567"/>
      </w:tabs>
    </w:pPr>
  </w:style>
  <w:style w:type="paragraph" w:customStyle="1" w:styleId="Table-ListRoman3">
    <w:name w:val="Table - List Roman 3"/>
    <w:basedOn w:val="Table-ListRoman2"/>
    <w:unhideWhenUsed/>
    <w:rsid w:val="00ED43EF"/>
    <w:pPr>
      <w:numPr>
        <w:ilvl w:val="2"/>
      </w:numPr>
    </w:pPr>
  </w:style>
  <w:style w:type="table" w:styleId="Table3Deffects1">
    <w:name w:val="Table 3D effects 1"/>
    <w:basedOn w:val="TableNormal"/>
    <w:semiHidden/>
    <w:rsid w:val="00ED43EF"/>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D43EF"/>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D43EF"/>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D43EF"/>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D43EF"/>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D43EF"/>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D43EF"/>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D43EF"/>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D43EF"/>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D43EF"/>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D43EF"/>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D43EF"/>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D43EF"/>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D43EF"/>
    <w:p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D43EF"/>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D43EF"/>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D43EF"/>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D43EF"/>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D43EF"/>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D43EF"/>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D43EF"/>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D43EF"/>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D43EF"/>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D43EF"/>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D43EF"/>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ED43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A857E6"/>
    <w:pPr>
      <w:spacing w:before="80" w:after="60" w:line="240" w:lineRule="auto"/>
    </w:pPr>
    <w:rPr>
      <w:rFonts w:ascii="Arial" w:eastAsia="Times New Roman" w:hAnsi="Arial" w:cs="Times New Roman"/>
      <w:b/>
      <w:sz w:val="18"/>
      <w:lang w:eastAsia="en-GB"/>
    </w:rPr>
  </w:style>
  <w:style w:type="paragraph" w:customStyle="1" w:styleId="Tableheadingcentred">
    <w:name w:val="Table heading centred"/>
    <w:basedOn w:val="Tableheading"/>
    <w:qFormat/>
    <w:rsid w:val="00ED43EF"/>
    <w:pPr>
      <w:jc w:val="center"/>
    </w:pPr>
    <w:rPr>
      <w:rFonts w:eastAsia="Calibri"/>
      <w:lang w:eastAsia="en-US"/>
    </w:rPr>
  </w:style>
  <w:style w:type="table" w:styleId="TableList1">
    <w:name w:val="Table List 1"/>
    <w:basedOn w:val="TableNormal"/>
    <w:semiHidden/>
    <w:rsid w:val="00ED43EF"/>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D43EF"/>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D43EF"/>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D43EF"/>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D43EF"/>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D43EF"/>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D43EF"/>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D43EF"/>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semiHidden/>
    <w:rsid w:val="00ED43EF"/>
  </w:style>
  <w:style w:type="table" w:styleId="TableProfessional">
    <w:name w:val="Table Professional"/>
    <w:basedOn w:val="TableNormal"/>
    <w:semiHidden/>
    <w:rsid w:val="00ED43EF"/>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D43EF"/>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D43EF"/>
    <w:p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D43EF"/>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D43EF"/>
    <w:p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D43EF"/>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D43E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D43EF"/>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D43EF"/>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D43EF"/>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offactsheet">
    <w:name w:val="Title of factsheet"/>
    <w:rsid w:val="00ED43EF"/>
    <w:pPr>
      <w:spacing w:before="480" w:after="360" w:line="600" w:lineRule="exact"/>
      <w:jc w:val="center"/>
    </w:pPr>
    <w:rPr>
      <w:rFonts w:ascii="Arial" w:eastAsia="Times New Roman" w:hAnsi="Arial" w:cs="Arial"/>
      <w:b/>
      <w:bCs/>
      <w:color w:val="333333"/>
      <w:kern w:val="28"/>
      <w:sz w:val="36"/>
      <w:szCs w:val="32"/>
      <w:lang w:eastAsia="en-GB"/>
    </w:rPr>
  </w:style>
  <w:style w:type="paragraph" w:customStyle="1" w:styleId="Title-subtitle-StrategicFocusAreasentence">
    <w:name w:val="Title - subtitle - Strategic Focus Area sentence"/>
    <w:basedOn w:val="Titleoffactsheet"/>
    <w:qFormat/>
    <w:rsid w:val="00ED43EF"/>
    <w:pPr>
      <w:spacing w:before="240" w:after="480" w:line="240" w:lineRule="auto"/>
    </w:pPr>
    <w:rPr>
      <w:sz w:val="28"/>
    </w:rPr>
  </w:style>
  <w:style w:type="paragraph" w:customStyle="1" w:styleId="Titlepagesubtitle">
    <w:name w:val="Titlepage subtitle"/>
    <w:basedOn w:val="Titleoffactsheet"/>
    <w:semiHidden/>
    <w:rsid w:val="00ED43EF"/>
    <w:pPr>
      <w:spacing w:before="320"/>
    </w:pPr>
    <w:rPr>
      <w:sz w:val="32"/>
    </w:rPr>
  </w:style>
  <w:style w:type="paragraph" w:styleId="TOC1">
    <w:name w:val="toc 1"/>
    <w:next w:val="BodyText"/>
    <w:autoRedefine/>
    <w:uiPriority w:val="2"/>
    <w:semiHidden/>
    <w:rsid w:val="00ED43EF"/>
    <w:pPr>
      <w:spacing w:before="180" w:after="0" w:line="240" w:lineRule="auto"/>
    </w:pPr>
    <w:rPr>
      <w:rFonts w:ascii="Arial" w:eastAsia="Times New Roman" w:hAnsi="Arial" w:cs="Times New Roman"/>
      <w:b/>
      <w:sz w:val="24"/>
      <w:lang w:eastAsia="en-GB"/>
    </w:rPr>
  </w:style>
  <w:style w:type="paragraph" w:styleId="TOC2">
    <w:name w:val="toc 2"/>
    <w:basedOn w:val="TOC1"/>
    <w:next w:val="BodyText"/>
    <w:autoRedefine/>
    <w:uiPriority w:val="2"/>
    <w:semiHidden/>
    <w:rsid w:val="00ED43EF"/>
    <w:pPr>
      <w:spacing w:before="100"/>
      <w:ind w:left="567"/>
    </w:pPr>
    <w:rPr>
      <w:b w:val="0"/>
    </w:rPr>
  </w:style>
  <w:style w:type="paragraph" w:styleId="TOC3">
    <w:name w:val="toc 3"/>
    <w:basedOn w:val="TOC2"/>
    <w:next w:val="BodyText"/>
    <w:autoRedefine/>
    <w:uiPriority w:val="2"/>
    <w:semiHidden/>
    <w:rsid w:val="00ED43EF"/>
    <w:pPr>
      <w:ind w:left="1134"/>
    </w:pPr>
  </w:style>
  <w:style w:type="paragraph" w:styleId="TOC4">
    <w:name w:val="toc 4"/>
    <w:basedOn w:val="TOC3"/>
    <w:next w:val="BodyText"/>
    <w:autoRedefine/>
    <w:uiPriority w:val="2"/>
    <w:semiHidden/>
    <w:rsid w:val="00ED43EF"/>
    <w:pPr>
      <w:ind w:left="1701"/>
    </w:pPr>
  </w:style>
  <w:style w:type="paragraph" w:styleId="TOC5">
    <w:name w:val="toc 5"/>
    <w:basedOn w:val="TOC4"/>
    <w:next w:val="BodyText"/>
    <w:autoRedefine/>
    <w:uiPriority w:val="2"/>
    <w:semiHidden/>
    <w:rsid w:val="00ED43EF"/>
    <w:pPr>
      <w:ind w:left="2268"/>
    </w:pPr>
  </w:style>
  <w:style w:type="paragraph" w:styleId="TOC6">
    <w:name w:val="toc 6"/>
    <w:basedOn w:val="TOC5"/>
    <w:next w:val="BodyText"/>
    <w:autoRedefine/>
    <w:semiHidden/>
    <w:rsid w:val="00ED43EF"/>
    <w:pPr>
      <w:ind w:left="1200"/>
    </w:pPr>
  </w:style>
  <w:style w:type="paragraph" w:styleId="TOC7">
    <w:name w:val="toc 7"/>
    <w:basedOn w:val="TOC6"/>
    <w:next w:val="BodyText"/>
    <w:autoRedefine/>
    <w:semiHidden/>
    <w:rsid w:val="00ED43EF"/>
    <w:pPr>
      <w:ind w:left="1440"/>
    </w:pPr>
  </w:style>
  <w:style w:type="paragraph" w:styleId="TOC8">
    <w:name w:val="toc 8"/>
    <w:basedOn w:val="TOC7"/>
    <w:next w:val="BodyText"/>
    <w:autoRedefine/>
    <w:semiHidden/>
    <w:rsid w:val="00ED43EF"/>
    <w:pPr>
      <w:ind w:left="1680"/>
    </w:pPr>
  </w:style>
  <w:style w:type="paragraph" w:styleId="TOC9">
    <w:name w:val="toc 9"/>
    <w:basedOn w:val="TOC8"/>
    <w:next w:val="BodyText"/>
    <w:autoRedefine/>
    <w:semiHidden/>
    <w:rsid w:val="00ED43EF"/>
    <w:pPr>
      <w:ind w:left="1920"/>
    </w:pPr>
  </w:style>
  <w:style w:type="paragraph" w:customStyle="1" w:styleId="Wiki">
    <w:name w:val="Wiki"/>
    <w:basedOn w:val="BodyText"/>
    <w:semiHidden/>
    <w:rsid w:val="00ED43EF"/>
  </w:style>
  <w:style w:type="character" w:styleId="UnresolvedMention">
    <w:name w:val="Unresolved Mention"/>
    <w:basedOn w:val="DefaultParagraphFont"/>
    <w:uiPriority w:val="99"/>
    <w:semiHidden/>
    <w:unhideWhenUsed/>
    <w:rsid w:val="001A161D"/>
    <w:rPr>
      <w:color w:val="605E5C"/>
      <w:shd w:val="clear" w:color="auto" w:fill="E1DFDD"/>
    </w:rPr>
  </w:style>
  <w:style w:type="table" w:customStyle="1" w:styleId="TableGrid20">
    <w:name w:val="Table Grid2"/>
    <w:basedOn w:val="TableNormal"/>
    <w:next w:val="TableGrid"/>
    <w:rsid w:val="002578B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paragraph" w:customStyle="1" w:styleId="Tabletitle">
    <w:name w:val="Table title"/>
    <w:qFormat/>
    <w:rsid w:val="00403507"/>
    <w:pPr>
      <w:keepNext/>
      <w:spacing w:after="60"/>
    </w:pPr>
    <w:rPr>
      <w:rFonts w:ascii="Arial" w:eastAsia="Times New Roman" w:hAnsi="Arial" w:cs="Times New Roman"/>
      <w:b/>
      <w:sz w:val="20"/>
      <w:lang w:eastAsia="en-GB"/>
    </w:rPr>
  </w:style>
  <w:style w:type="paragraph" w:customStyle="1" w:styleId="Notes">
    <w:name w:val="Notes"/>
    <w:basedOn w:val="BodyText"/>
    <w:qFormat/>
    <w:rsid w:val="00C6375A"/>
    <w:rPr>
      <w:sz w:val="16"/>
      <w:szCs w:val="16"/>
    </w:rPr>
  </w:style>
  <w:style w:type="paragraph" w:customStyle="1" w:styleId="Factsheetdate">
    <w:name w:val="Factsheet date"/>
    <w:basedOn w:val="BodyText"/>
    <w:qFormat/>
    <w:rsid w:val="00A30B9F"/>
    <w:pPr>
      <w:spacing w:before="0"/>
      <w:ind w:left="4536"/>
      <w:jc w:val="right"/>
    </w:pPr>
    <w:rPr>
      <w:color w:val="808080"/>
      <w:sz w:val="20"/>
    </w:rPr>
  </w:style>
  <w:style w:type="paragraph" w:customStyle="1" w:styleId="Factsheet">
    <w:name w:val="Factsheet"/>
    <w:basedOn w:val="Logo-Centred"/>
    <w:qFormat/>
    <w:rsid w:val="001E6B74"/>
    <w:pPr>
      <w:spacing w:before="340" w:after="0"/>
      <w:ind w:left="4536"/>
      <w:jc w:val="right"/>
    </w:pPr>
    <w:rPr>
      <w:b/>
      <w:color w:val="80808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21458">
      <w:bodyDiv w:val="1"/>
      <w:marLeft w:val="0"/>
      <w:marRight w:val="0"/>
      <w:marTop w:val="0"/>
      <w:marBottom w:val="0"/>
      <w:divBdr>
        <w:top w:val="none" w:sz="0" w:space="0" w:color="auto"/>
        <w:left w:val="none" w:sz="0" w:space="0" w:color="auto"/>
        <w:bottom w:val="none" w:sz="0" w:space="0" w:color="auto"/>
        <w:right w:val="none" w:sz="0" w:space="0" w:color="auto"/>
      </w:divBdr>
      <w:divsChild>
        <w:div w:id="1771008002">
          <w:marLeft w:val="0"/>
          <w:marRight w:val="0"/>
          <w:marTop w:val="0"/>
          <w:marBottom w:val="0"/>
          <w:divBdr>
            <w:top w:val="none" w:sz="0" w:space="0" w:color="auto"/>
            <w:left w:val="none" w:sz="0" w:space="0" w:color="auto"/>
            <w:bottom w:val="none" w:sz="0" w:space="0" w:color="auto"/>
            <w:right w:val="none" w:sz="0" w:space="0" w:color="auto"/>
          </w:divBdr>
          <w:divsChild>
            <w:div w:id="192229710">
              <w:marLeft w:val="0"/>
              <w:marRight w:val="0"/>
              <w:marTop w:val="0"/>
              <w:marBottom w:val="0"/>
              <w:divBdr>
                <w:top w:val="none" w:sz="0" w:space="0" w:color="auto"/>
                <w:left w:val="none" w:sz="0" w:space="0" w:color="auto"/>
                <w:bottom w:val="none" w:sz="0" w:space="0" w:color="auto"/>
                <w:right w:val="none" w:sz="0" w:space="0" w:color="auto"/>
              </w:divBdr>
              <w:divsChild>
                <w:div w:id="890844958">
                  <w:marLeft w:val="0"/>
                  <w:marRight w:val="0"/>
                  <w:marTop w:val="0"/>
                  <w:marBottom w:val="0"/>
                  <w:divBdr>
                    <w:top w:val="none" w:sz="0" w:space="0" w:color="auto"/>
                    <w:left w:val="none" w:sz="0" w:space="0" w:color="auto"/>
                    <w:bottom w:val="none" w:sz="0" w:space="0" w:color="auto"/>
                    <w:right w:val="none" w:sz="0" w:space="0" w:color="auto"/>
                  </w:divBdr>
                  <w:divsChild>
                    <w:div w:id="1224293692">
                      <w:marLeft w:val="0"/>
                      <w:marRight w:val="0"/>
                      <w:marTop w:val="0"/>
                      <w:marBottom w:val="0"/>
                      <w:divBdr>
                        <w:top w:val="none" w:sz="0" w:space="0" w:color="auto"/>
                        <w:left w:val="none" w:sz="0" w:space="0" w:color="auto"/>
                        <w:bottom w:val="none" w:sz="0" w:space="0" w:color="auto"/>
                        <w:right w:val="none" w:sz="0" w:space="0" w:color="auto"/>
                      </w:divBdr>
                      <w:divsChild>
                        <w:div w:id="1921134454">
                          <w:marLeft w:val="0"/>
                          <w:marRight w:val="0"/>
                          <w:marTop w:val="0"/>
                          <w:marBottom w:val="0"/>
                          <w:divBdr>
                            <w:top w:val="none" w:sz="0" w:space="0" w:color="auto"/>
                            <w:left w:val="none" w:sz="0" w:space="0" w:color="auto"/>
                            <w:bottom w:val="none" w:sz="0" w:space="0" w:color="auto"/>
                            <w:right w:val="none" w:sz="0" w:space="0" w:color="auto"/>
                          </w:divBdr>
                          <w:divsChild>
                            <w:div w:id="583538969">
                              <w:marLeft w:val="0"/>
                              <w:marRight w:val="0"/>
                              <w:marTop w:val="0"/>
                              <w:marBottom w:val="0"/>
                              <w:divBdr>
                                <w:top w:val="none" w:sz="0" w:space="0" w:color="auto"/>
                                <w:left w:val="none" w:sz="0" w:space="0" w:color="auto"/>
                                <w:bottom w:val="none" w:sz="0" w:space="0" w:color="auto"/>
                                <w:right w:val="none" w:sz="0" w:space="0" w:color="auto"/>
                              </w:divBdr>
                              <w:divsChild>
                                <w:div w:id="415827818">
                                  <w:marLeft w:val="0"/>
                                  <w:marRight w:val="0"/>
                                  <w:marTop w:val="0"/>
                                  <w:marBottom w:val="0"/>
                                  <w:divBdr>
                                    <w:top w:val="none" w:sz="0" w:space="0" w:color="auto"/>
                                    <w:left w:val="none" w:sz="0" w:space="0" w:color="auto"/>
                                    <w:bottom w:val="none" w:sz="0" w:space="0" w:color="auto"/>
                                    <w:right w:val="none" w:sz="0" w:space="0" w:color="auto"/>
                                  </w:divBdr>
                                  <w:divsChild>
                                    <w:div w:id="1410232832">
                                      <w:marLeft w:val="0"/>
                                      <w:marRight w:val="0"/>
                                      <w:marTop w:val="0"/>
                                      <w:marBottom w:val="0"/>
                                      <w:divBdr>
                                        <w:top w:val="none" w:sz="0" w:space="0" w:color="auto"/>
                                        <w:left w:val="none" w:sz="0" w:space="0" w:color="auto"/>
                                        <w:bottom w:val="none" w:sz="0" w:space="0" w:color="auto"/>
                                        <w:right w:val="none" w:sz="0" w:space="0" w:color="auto"/>
                                      </w:divBdr>
                                      <w:divsChild>
                                        <w:div w:id="1160150517">
                                          <w:marLeft w:val="0"/>
                                          <w:marRight w:val="0"/>
                                          <w:marTop w:val="0"/>
                                          <w:marBottom w:val="0"/>
                                          <w:divBdr>
                                            <w:top w:val="none" w:sz="0" w:space="0" w:color="auto"/>
                                            <w:left w:val="none" w:sz="0" w:space="0" w:color="auto"/>
                                            <w:bottom w:val="none" w:sz="0" w:space="0" w:color="auto"/>
                                            <w:right w:val="none" w:sz="0" w:space="0" w:color="auto"/>
                                          </w:divBdr>
                                          <w:divsChild>
                                            <w:div w:id="5130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3560">
                                  <w:marLeft w:val="0"/>
                                  <w:marRight w:val="0"/>
                                  <w:marTop w:val="0"/>
                                  <w:marBottom w:val="0"/>
                                  <w:divBdr>
                                    <w:top w:val="none" w:sz="0" w:space="0" w:color="auto"/>
                                    <w:left w:val="none" w:sz="0" w:space="0" w:color="auto"/>
                                    <w:bottom w:val="none" w:sz="0" w:space="0" w:color="auto"/>
                                    <w:right w:val="none" w:sz="0" w:space="0" w:color="auto"/>
                                  </w:divBdr>
                                  <w:divsChild>
                                    <w:div w:id="718019599">
                                      <w:marLeft w:val="0"/>
                                      <w:marRight w:val="0"/>
                                      <w:marTop w:val="0"/>
                                      <w:marBottom w:val="0"/>
                                      <w:divBdr>
                                        <w:top w:val="none" w:sz="0" w:space="0" w:color="auto"/>
                                        <w:left w:val="none" w:sz="0" w:space="0" w:color="auto"/>
                                        <w:bottom w:val="none" w:sz="0" w:space="0" w:color="auto"/>
                                        <w:right w:val="none" w:sz="0" w:space="0" w:color="auto"/>
                                      </w:divBdr>
                                      <w:divsChild>
                                        <w:div w:id="1942756059">
                                          <w:marLeft w:val="0"/>
                                          <w:marRight w:val="0"/>
                                          <w:marTop w:val="0"/>
                                          <w:marBottom w:val="0"/>
                                          <w:divBdr>
                                            <w:top w:val="none" w:sz="0" w:space="0" w:color="auto"/>
                                            <w:left w:val="none" w:sz="0" w:space="0" w:color="auto"/>
                                            <w:bottom w:val="none" w:sz="0" w:space="0" w:color="auto"/>
                                            <w:right w:val="none" w:sz="0" w:space="0" w:color="auto"/>
                                          </w:divBdr>
                                        </w:div>
                                        <w:div w:id="1967543827">
                                          <w:marLeft w:val="0"/>
                                          <w:marRight w:val="0"/>
                                          <w:marTop w:val="0"/>
                                          <w:marBottom w:val="0"/>
                                          <w:divBdr>
                                            <w:top w:val="none" w:sz="0" w:space="0" w:color="auto"/>
                                            <w:left w:val="none" w:sz="0" w:space="0" w:color="auto"/>
                                            <w:bottom w:val="none" w:sz="0" w:space="0" w:color="auto"/>
                                            <w:right w:val="none" w:sz="0" w:space="0" w:color="auto"/>
                                          </w:divBdr>
                                          <w:divsChild>
                                            <w:div w:id="15359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5452">
                                      <w:marLeft w:val="0"/>
                                      <w:marRight w:val="0"/>
                                      <w:marTop w:val="0"/>
                                      <w:marBottom w:val="0"/>
                                      <w:divBdr>
                                        <w:top w:val="none" w:sz="0" w:space="0" w:color="auto"/>
                                        <w:left w:val="none" w:sz="0" w:space="0" w:color="auto"/>
                                        <w:bottom w:val="none" w:sz="0" w:space="0" w:color="auto"/>
                                        <w:right w:val="none" w:sz="0" w:space="0" w:color="auto"/>
                                      </w:divBdr>
                                      <w:divsChild>
                                        <w:div w:id="501243942">
                                          <w:marLeft w:val="0"/>
                                          <w:marRight w:val="0"/>
                                          <w:marTop w:val="0"/>
                                          <w:marBottom w:val="0"/>
                                          <w:divBdr>
                                            <w:top w:val="none" w:sz="0" w:space="0" w:color="auto"/>
                                            <w:left w:val="none" w:sz="0" w:space="0" w:color="auto"/>
                                            <w:bottom w:val="none" w:sz="0" w:space="0" w:color="auto"/>
                                            <w:right w:val="none" w:sz="0" w:space="0" w:color="auto"/>
                                          </w:divBdr>
                                          <w:divsChild>
                                            <w:div w:id="699282119">
                                              <w:marLeft w:val="0"/>
                                              <w:marRight w:val="0"/>
                                              <w:marTop w:val="0"/>
                                              <w:marBottom w:val="0"/>
                                              <w:divBdr>
                                                <w:top w:val="none" w:sz="0" w:space="0" w:color="auto"/>
                                                <w:left w:val="none" w:sz="0" w:space="0" w:color="auto"/>
                                                <w:bottom w:val="none" w:sz="0" w:space="0" w:color="auto"/>
                                                <w:right w:val="none" w:sz="0" w:space="0" w:color="auto"/>
                                              </w:divBdr>
                                            </w:div>
                                            <w:div w:id="1534070566">
                                              <w:marLeft w:val="0"/>
                                              <w:marRight w:val="0"/>
                                              <w:marTop w:val="0"/>
                                              <w:marBottom w:val="0"/>
                                              <w:divBdr>
                                                <w:top w:val="none" w:sz="0" w:space="0" w:color="auto"/>
                                                <w:left w:val="none" w:sz="0" w:space="0" w:color="auto"/>
                                                <w:bottom w:val="none" w:sz="0" w:space="0" w:color="auto"/>
                                                <w:right w:val="none" w:sz="0" w:space="0" w:color="auto"/>
                                              </w:divBdr>
                                            </w:div>
                                          </w:divsChild>
                                        </w:div>
                                        <w:div w:id="2001343812">
                                          <w:marLeft w:val="0"/>
                                          <w:marRight w:val="0"/>
                                          <w:marTop w:val="0"/>
                                          <w:marBottom w:val="0"/>
                                          <w:divBdr>
                                            <w:top w:val="none" w:sz="0" w:space="0" w:color="auto"/>
                                            <w:left w:val="none" w:sz="0" w:space="0" w:color="auto"/>
                                            <w:bottom w:val="none" w:sz="0" w:space="0" w:color="auto"/>
                                            <w:right w:val="none" w:sz="0" w:space="0" w:color="auto"/>
                                          </w:divBdr>
                                        </w:div>
                                      </w:divsChild>
                                    </w:div>
                                    <w:div w:id="1283270745">
                                      <w:marLeft w:val="0"/>
                                      <w:marRight w:val="0"/>
                                      <w:marTop w:val="0"/>
                                      <w:marBottom w:val="0"/>
                                      <w:divBdr>
                                        <w:top w:val="none" w:sz="0" w:space="0" w:color="auto"/>
                                        <w:left w:val="none" w:sz="0" w:space="0" w:color="auto"/>
                                        <w:bottom w:val="none" w:sz="0" w:space="0" w:color="auto"/>
                                        <w:right w:val="none" w:sz="0" w:space="0" w:color="auto"/>
                                      </w:divBdr>
                                      <w:divsChild>
                                        <w:div w:id="114103181">
                                          <w:marLeft w:val="0"/>
                                          <w:marRight w:val="0"/>
                                          <w:marTop w:val="0"/>
                                          <w:marBottom w:val="0"/>
                                          <w:divBdr>
                                            <w:top w:val="none" w:sz="0" w:space="0" w:color="auto"/>
                                            <w:left w:val="none" w:sz="0" w:space="0" w:color="auto"/>
                                            <w:bottom w:val="none" w:sz="0" w:space="0" w:color="auto"/>
                                            <w:right w:val="none" w:sz="0" w:space="0" w:color="auto"/>
                                          </w:divBdr>
                                        </w:div>
                                        <w:div w:id="1721398929">
                                          <w:marLeft w:val="0"/>
                                          <w:marRight w:val="0"/>
                                          <w:marTop w:val="0"/>
                                          <w:marBottom w:val="0"/>
                                          <w:divBdr>
                                            <w:top w:val="none" w:sz="0" w:space="0" w:color="auto"/>
                                            <w:left w:val="none" w:sz="0" w:space="0" w:color="auto"/>
                                            <w:bottom w:val="none" w:sz="0" w:space="0" w:color="auto"/>
                                            <w:right w:val="none" w:sz="0" w:space="0" w:color="auto"/>
                                          </w:divBdr>
                                          <w:divsChild>
                                            <w:div w:id="2630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9415">
                                      <w:marLeft w:val="0"/>
                                      <w:marRight w:val="0"/>
                                      <w:marTop w:val="0"/>
                                      <w:marBottom w:val="0"/>
                                      <w:divBdr>
                                        <w:top w:val="none" w:sz="0" w:space="0" w:color="auto"/>
                                        <w:left w:val="none" w:sz="0" w:space="0" w:color="auto"/>
                                        <w:bottom w:val="none" w:sz="0" w:space="0" w:color="auto"/>
                                        <w:right w:val="none" w:sz="0" w:space="0" w:color="auto"/>
                                      </w:divBdr>
                                      <w:divsChild>
                                        <w:div w:id="741028322">
                                          <w:marLeft w:val="0"/>
                                          <w:marRight w:val="0"/>
                                          <w:marTop w:val="0"/>
                                          <w:marBottom w:val="0"/>
                                          <w:divBdr>
                                            <w:top w:val="none" w:sz="0" w:space="0" w:color="auto"/>
                                            <w:left w:val="none" w:sz="0" w:space="0" w:color="auto"/>
                                            <w:bottom w:val="none" w:sz="0" w:space="0" w:color="auto"/>
                                            <w:right w:val="none" w:sz="0" w:space="0" w:color="auto"/>
                                          </w:divBdr>
                                        </w:div>
                                        <w:div w:id="1604609534">
                                          <w:marLeft w:val="0"/>
                                          <w:marRight w:val="0"/>
                                          <w:marTop w:val="0"/>
                                          <w:marBottom w:val="0"/>
                                          <w:divBdr>
                                            <w:top w:val="none" w:sz="0" w:space="0" w:color="auto"/>
                                            <w:left w:val="none" w:sz="0" w:space="0" w:color="auto"/>
                                            <w:bottom w:val="none" w:sz="0" w:space="0" w:color="auto"/>
                                            <w:right w:val="none" w:sz="0" w:space="0" w:color="auto"/>
                                          </w:divBdr>
                                          <w:divsChild>
                                            <w:div w:id="13057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7377">
                                      <w:marLeft w:val="0"/>
                                      <w:marRight w:val="0"/>
                                      <w:marTop w:val="0"/>
                                      <w:marBottom w:val="0"/>
                                      <w:divBdr>
                                        <w:top w:val="none" w:sz="0" w:space="0" w:color="auto"/>
                                        <w:left w:val="none" w:sz="0" w:space="0" w:color="auto"/>
                                        <w:bottom w:val="none" w:sz="0" w:space="0" w:color="auto"/>
                                        <w:right w:val="none" w:sz="0" w:space="0" w:color="auto"/>
                                      </w:divBdr>
                                      <w:divsChild>
                                        <w:div w:id="125398733">
                                          <w:marLeft w:val="0"/>
                                          <w:marRight w:val="0"/>
                                          <w:marTop w:val="0"/>
                                          <w:marBottom w:val="0"/>
                                          <w:divBdr>
                                            <w:top w:val="none" w:sz="0" w:space="0" w:color="auto"/>
                                            <w:left w:val="none" w:sz="0" w:space="0" w:color="auto"/>
                                            <w:bottom w:val="none" w:sz="0" w:space="0" w:color="auto"/>
                                            <w:right w:val="none" w:sz="0" w:space="0" w:color="auto"/>
                                          </w:divBdr>
                                          <w:divsChild>
                                            <w:div w:id="1097211960">
                                              <w:marLeft w:val="0"/>
                                              <w:marRight w:val="0"/>
                                              <w:marTop w:val="0"/>
                                              <w:marBottom w:val="0"/>
                                              <w:divBdr>
                                                <w:top w:val="none" w:sz="0" w:space="0" w:color="auto"/>
                                                <w:left w:val="none" w:sz="0" w:space="0" w:color="auto"/>
                                                <w:bottom w:val="none" w:sz="0" w:space="0" w:color="auto"/>
                                                <w:right w:val="none" w:sz="0" w:space="0" w:color="auto"/>
                                              </w:divBdr>
                                            </w:div>
                                          </w:divsChild>
                                        </w:div>
                                        <w:div w:id="821505432">
                                          <w:marLeft w:val="0"/>
                                          <w:marRight w:val="0"/>
                                          <w:marTop w:val="0"/>
                                          <w:marBottom w:val="0"/>
                                          <w:divBdr>
                                            <w:top w:val="none" w:sz="0" w:space="0" w:color="auto"/>
                                            <w:left w:val="none" w:sz="0" w:space="0" w:color="auto"/>
                                            <w:bottom w:val="none" w:sz="0" w:space="0" w:color="auto"/>
                                            <w:right w:val="none" w:sz="0" w:space="0" w:color="auto"/>
                                          </w:divBdr>
                                        </w:div>
                                      </w:divsChild>
                                    </w:div>
                                    <w:div w:id="1980110667">
                                      <w:marLeft w:val="0"/>
                                      <w:marRight w:val="0"/>
                                      <w:marTop w:val="0"/>
                                      <w:marBottom w:val="0"/>
                                      <w:divBdr>
                                        <w:top w:val="none" w:sz="0" w:space="0" w:color="auto"/>
                                        <w:left w:val="none" w:sz="0" w:space="0" w:color="auto"/>
                                        <w:bottom w:val="none" w:sz="0" w:space="0" w:color="auto"/>
                                        <w:right w:val="none" w:sz="0" w:space="0" w:color="auto"/>
                                      </w:divBdr>
                                      <w:divsChild>
                                        <w:div w:id="285235355">
                                          <w:marLeft w:val="0"/>
                                          <w:marRight w:val="0"/>
                                          <w:marTop w:val="0"/>
                                          <w:marBottom w:val="0"/>
                                          <w:divBdr>
                                            <w:top w:val="none" w:sz="0" w:space="0" w:color="auto"/>
                                            <w:left w:val="none" w:sz="0" w:space="0" w:color="auto"/>
                                            <w:bottom w:val="none" w:sz="0" w:space="0" w:color="auto"/>
                                            <w:right w:val="none" w:sz="0" w:space="0" w:color="auto"/>
                                          </w:divBdr>
                                        </w:div>
                                        <w:div w:id="1121338466">
                                          <w:marLeft w:val="0"/>
                                          <w:marRight w:val="0"/>
                                          <w:marTop w:val="0"/>
                                          <w:marBottom w:val="0"/>
                                          <w:divBdr>
                                            <w:top w:val="none" w:sz="0" w:space="0" w:color="auto"/>
                                            <w:left w:val="none" w:sz="0" w:space="0" w:color="auto"/>
                                            <w:bottom w:val="none" w:sz="0" w:space="0" w:color="auto"/>
                                            <w:right w:val="none" w:sz="0" w:space="0" w:color="auto"/>
                                          </w:divBdr>
                                          <w:divsChild>
                                            <w:div w:id="14710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6414">
                                      <w:marLeft w:val="0"/>
                                      <w:marRight w:val="0"/>
                                      <w:marTop w:val="0"/>
                                      <w:marBottom w:val="0"/>
                                      <w:divBdr>
                                        <w:top w:val="none" w:sz="0" w:space="0" w:color="auto"/>
                                        <w:left w:val="none" w:sz="0" w:space="0" w:color="auto"/>
                                        <w:bottom w:val="none" w:sz="0" w:space="0" w:color="auto"/>
                                        <w:right w:val="none" w:sz="0" w:space="0" w:color="auto"/>
                                      </w:divBdr>
                                      <w:divsChild>
                                        <w:div w:id="423456349">
                                          <w:marLeft w:val="0"/>
                                          <w:marRight w:val="0"/>
                                          <w:marTop w:val="0"/>
                                          <w:marBottom w:val="0"/>
                                          <w:divBdr>
                                            <w:top w:val="none" w:sz="0" w:space="0" w:color="auto"/>
                                            <w:left w:val="none" w:sz="0" w:space="0" w:color="auto"/>
                                            <w:bottom w:val="none" w:sz="0" w:space="0" w:color="auto"/>
                                            <w:right w:val="none" w:sz="0" w:space="0" w:color="auto"/>
                                          </w:divBdr>
                                        </w:div>
                                        <w:div w:id="423650978">
                                          <w:marLeft w:val="0"/>
                                          <w:marRight w:val="0"/>
                                          <w:marTop w:val="0"/>
                                          <w:marBottom w:val="0"/>
                                          <w:divBdr>
                                            <w:top w:val="none" w:sz="0" w:space="0" w:color="auto"/>
                                            <w:left w:val="none" w:sz="0" w:space="0" w:color="auto"/>
                                            <w:bottom w:val="none" w:sz="0" w:space="0" w:color="auto"/>
                                            <w:right w:val="none" w:sz="0" w:space="0" w:color="auto"/>
                                          </w:divBdr>
                                          <w:divsChild>
                                            <w:div w:id="1570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298693">
              <w:marLeft w:val="0"/>
              <w:marRight w:val="0"/>
              <w:marTop w:val="0"/>
              <w:marBottom w:val="0"/>
              <w:divBdr>
                <w:top w:val="none" w:sz="0" w:space="0" w:color="auto"/>
                <w:left w:val="none" w:sz="0" w:space="0" w:color="auto"/>
                <w:bottom w:val="none" w:sz="0" w:space="0" w:color="auto"/>
                <w:right w:val="none" w:sz="0" w:space="0" w:color="auto"/>
              </w:divBdr>
              <w:divsChild>
                <w:div w:id="1613054075">
                  <w:marLeft w:val="0"/>
                  <w:marRight w:val="0"/>
                  <w:marTop w:val="0"/>
                  <w:marBottom w:val="0"/>
                  <w:divBdr>
                    <w:top w:val="none" w:sz="0" w:space="0" w:color="auto"/>
                    <w:left w:val="none" w:sz="0" w:space="0" w:color="auto"/>
                    <w:bottom w:val="none" w:sz="0" w:space="0" w:color="auto"/>
                    <w:right w:val="none" w:sz="0" w:space="0" w:color="auto"/>
                  </w:divBdr>
                  <w:divsChild>
                    <w:div w:id="13075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728">
      <w:bodyDiv w:val="1"/>
      <w:marLeft w:val="0"/>
      <w:marRight w:val="0"/>
      <w:marTop w:val="0"/>
      <w:marBottom w:val="0"/>
      <w:divBdr>
        <w:top w:val="none" w:sz="0" w:space="0" w:color="auto"/>
        <w:left w:val="none" w:sz="0" w:space="0" w:color="auto"/>
        <w:bottom w:val="none" w:sz="0" w:space="0" w:color="auto"/>
        <w:right w:val="none" w:sz="0" w:space="0" w:color="auto"/>
      </w:divBdr>
    </w:div>
    <w:div w:id="609974281">
      <w:bodyDiv w:val="1"/>
      <w:marLeft w:val="0"/>
      <w:marRight w:val="0"/>
      <w:marTop w:val="0"/>
      <w:marBottom w:val="0"/>
      <w:divBdr>
        <w:top w:val="none" w:sz="0" w:space="0" w:color="auto"/>
        <w:left w:val="none" w:sz="0" w:space="0" w:color="auto"/>
        <w:bottom w:val="none" w:sz="0" w:space="0" w:color="auto"/>
        <w:right w:val="none" w:sz="0" w:space="0" w:color="auto"/>
      </w:divBdr>
    </w:div>
    <w:div w:id="1897742617">
      <w:bodyDiv w:val="1"/>
      <w:marLeft w:val="0"/>
      <w:marRight w:val="0"/>
      <w:marTop w:val="0"/>
      <w:marBottom w:val="0"/>
      <w:divBdr>
        <w:top w:val="none" w:sz="0" w:space="0" w:color="auto"/>
        <w:left w:val="none" w:sz="0" w:space="0" w:color="auto"/>
        <w:bottom w:val="none" w:sz="0" w:space="0" w:color="auto"/>
        <w:right w:val="none" w:sz="0" w:space="0" w:color="auto"/>
      </w:divBdr>
    </w:div>
    <w:div w:id="2138908744">
      <w:bodyDiv w:val="1"/>
      <w:marLeft w:val="0"/>
      <w:marRight w:val="0"/>
      <w:marTop w:val="0"/>
      <w:marBottom w:val="0"/>
      <w:divBdr>
        <w:top w:val="none" w:sz="0" w:space="0" w:color="auto"/>
        <w:left w:val="none" w:sz="0" w:space="0" w:color="auto"/>
        <w:bottom w:val="none" w:sz="0" w:space="0" w:color="auto"/>
        <w:right w:val="none" w:sz="0" w:space="0" w:color="auto"/>
      </w:divBdr>
      <w:divsChild>
        <w:div w:id="1467968172">
          <w:marLeft w:val="0"/>
          <w:marRight w:val="0"/>
          <w:marTop w:val="0"/>
          <w:marBottom w:val="0"/>
          <w:divBdr>
            <w:top w:val="none" w:sz="0" w:space="0" w:color="auto"/>
            <w:left w:val="none" w:sz="0" w:space="0" w:color="auto"/>
            <w:bottom w:val="none" w:sz="0" w:space="0" w:color="auto"/>
            <w:right w:val="none" w:sz="0" w:space="0" w:color="auto"/>
          </w:divBdr>
          <w:divsChild>
            <w:div w:id="339044478">
              <w:marLeft w:val="0"/>
              <w:marRight w:val="0"/>
              <w:marTop w:val="0"/>
              <w:marBottom w:val="0"/>
              <w:divBdr>
                <w:top w:val="none" w:sz="0" w:space="0" w:color="auto"/>
                <w:left w:val="none" w:sz="0" w:space="0" w:color="auto"/>
                <w:bottom w:val="none" w:sz="0" w:space="0" w:color="auto"/>
                <w:right w:val="none" w:sz="0" w:space="0" w:color="auto"/>
              </w:divBdr>
              <w:divsChild>
                <w:div w:id="676465535">
                  <w:marLeft w:val="0"/>
                  <w:marRight w:val="0"/>
                  <w:marTop w:val="0"/>
                  <w:marBottom w:val="0"/>
                  <w:divBdr>
                    <w:top w:val="none" w:sz="0" w:space="0" w:color="auto"/>
                    <w:left w:val="none" w:sz="0" w:space="0" w:color="auto"/>
                    <w:bottom w:val="none" w:sz="0" w:space="0" w:color="auto"/>
                    <w:right w:val="none" w:sz="0" w:space="0" w:color="auto"/>
                  </w:divBdr>
                  <w:divsChild>
                    <w:div w:id="7396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3027">
              <w:marLeft w:val="0"/>
              <w:marRight w:val="0"/>
              <w:marTop w:val="0"/>
              <w:marBottom w:val="0"/>
              <w:divBdr>
                <w:top w:val="none" w:sz="0" w:space="0" w:color="auto"/>
                <w:left w:val="none" w:sz="0" w:space="0" w:color="auto"/>
                <w:bottom w:val="none" w:sz="0" w:space="0" w:color="auto"/>
                <w:right w:val="none" w:sz="0" w:space="0" w:color="auto"/>
              </w:divBdr>
              <w:divsChild>
                <w:div w:id="413204752">
                  <w:marLeft w:val="0"/>
                  <w:marRight w:val="0"/>
                  <w:marTop w:val="0"/>
                  <w:marBottom w:val="0"/>
                  <w:divBdr>
                    <w:top w:val="none" w:sz="0" w:space="0" w:color="auto"/>
                    <w:left w:val="none" w:sz="0" w:space="0" w:color="auto"/>
                    <w:bottom w:val="none" w:sz="0" w:space="0" w:color="auto"/>
                    <w:right w:val="none" w:sz="0" w:space="0" w:color="auto"/>
                  </w:divBdr>
                  <w:divsChild>
                    <w:div w:id="1920362130">
                      <w:marLeft w:val="0"/>
                      <w:marRight w:val="0"/>
                      <w:marTop w:val="0"/>
                      <w:marBottom w:val="0"/>
                      <w:divBdr>
                        <w:top w:val="none" w:sz="0" w:space="0" w:color="auto"/>
                        <w:left w:val="none" w:sz="0" w:space="0" w:color="auto"/>
                        <w:bottom w:val="none" w:sz="0" w:space="0" w:color="auto"/>
                        <w:right w:val="none" w:sz="0" w:space="0" w:color="auto"/>
                      </w:divBdr>
                      <w:divsChild>
                        <w:div w:id="1310213938">
                          <w:marLeft w:val="0"/>
                          <w:marRight w:val="0"/>
                          <w:marTop w:val="0"/>
                          <w:marBottom w:val="0"/>
                          <w:divBdr>
                            <w:top w:val="none" w:sz="0" w:space="0" w:color="auto"/>
                            <w:left w:val="none" w:sz="0" w:space="0" w:color="auto"/>
                            <w:bottom w:val="none" w:sz="0" w:space="0" w:color="auto"/>
                            <w:right w:val="none" w:sz="0" w:space="0" w:color="auto"/>
                          </w:divBdr>
                          <w:divsChild>
                            <w:div w:id="1974290682">
                              <w:marLeft w:val="0"/>
                              <w:marRight w:val="0"/>
                              <w:marTop w:val="0"/>
                              <w:marBottom w:val="0"/>
                              <w:divBdr>
                                <w:top w:val="none" w:sz="0" w:space="0" w:color="auto"/>
                                <w:left w:val="none" w:sz="0" w:space="0" w:color="auto"/>
                                <w:bottom w:val="none" w:sz="0" w:space="0" w:color="auto"/>
                                <w:right w:val="none" w:sz="0" w:space="0" w:color="auto"/>
                              </w:divBdr>
                              <w:divsChild>
                                <w:div w:id="35083310">
                                  <w:marLeft w:val="0"/>
                                  <w:marRight w:val="0"/>
                                  <w:marTop w:val="0"/>
                                  <w:marBottom w:val="0"/>
                                  <w:divBdr>
                                    <w:top w:val="none" w:sz="0" w:space="0" w:color="auto"/>
                                    <w:left w:val="none" w:sz="0" w:space="0" w:color="auto"/>
                                    <w:bottom w:val="none" w:sz="0" w:space="0" w:color="auto"/>
                                    <w:right w:val="none" w:sz="0" w:space="0" w:color="auto"/>
                                  </w:divBdr>
                                  <w:divsChild>
                                    <w:div w:id="1739018269">
                                      <w:marLeft w:val="0"/>
                                      <w:marRight w:val="0"/>
                                      <w:marTop w:val="0"/>
                                      <w:marBottom w:val="0"/>
                                      <w:divBdr>
                                        <w:top w:val="none" w:sz="0" w:space="0" w:color="auto"/>
                                        <w:left w:val="none" w:sz="0" w:space="0" w:color="auto"/>
                                        <w:bottom w:val="none" w:sz="0" w:space="0" w:color="auto"/>
                                        <w:right w:val="none" w:sz="0" w:space="0" w:color="auto"/>
                                      </w:divBdr>
                                      <w:divsChild>
                                        <w:div w:id="1519075302">
                                          <w:marLeft w:val="0"/>
                                          <w:marRight w:val="0"/>
                                          <w:marTop w:val="0"/>
                                          <w:marBottom w:val="0"/>
                                          <w:divBdr>
                                            <w:top w:val="none" w:sz="0" w:space="0" w:color="auto"/>
                                            <w:left w:val="none" w:sz="0" w:space="0" w:color="auto"/>
                                            <w:bottom w:val="none" w:sz="0" w:space="0" w:color="auto"/>
                                            <w:right w:val="none" w:sz="0" w:space="0" w:color="auto"/>
                                          </w:divBdr>
                                          <w:divsChild>
                                            <w:div w:id="728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624">
                                  <w:marLeft w:val="0"/>
                                  <w:marRight w:val="0"/>
                                  <w:marTop w:val="0"/>
                                  <w:marBottom w:val="0"/>
                                  <w:divBdr>
                                    <w:top w:val="none" w:sz="0" w:space="0" w:color="auto"/>
                                    <w:left w:val="none" w:sz="0" w:space="0" w:color="auto"/>
                                    <w:bottom w:val="none" w:sz="0" w:space="0" w:color="auto"/>
                                    <w:right w:val="none" w:sz="0" w:space="0" w:color="auto"/>
                                  </w:divBdr>
                                  <w:divsChild>
                                    <w:div w:id="294258805">
                                      <w:marLeft w:val="0"/>
                                      <w:marRight w:val="0"/>
                                      <w:marTop w:val="0"/>
                                      <w:marBottom w:val="0"/>
                                      <w:divBdr>
                                        <w:top w:val="none" w:sz="0" w:space="0" w:color="auto"/>
                                        <w:left w:val="none" w:sz="0" w:space="0" w:color="auto"/>
                                        <w:bottom w:val="none" w:sz="0" w:space="0" w:color="auto"/>
                                        <w:right w:val="none" w:sz="0" w:space="0" w:color="auto"/>
                                      </w:divBdr>
                                      <w:divsChild>
                                        <w:div w:id="160194240">
                                          <w:marLeft w:val="0"/>
                                          <w:marRight w:val="0"/>
                                          <w:marTop w:val="0"/>
                                          <w:marBottom w:val="0"/>
                                          <w:divBdr>
                                            <w:top w:val="none" w:sz="0" w:space="0" w:color="auto"/>
                                            <w:left w:val="none" w:sz="0" w:space="0" w:color="auto"/>
                                            <w:bottom w:val="none" w:sz="0" w:space="0" w:color="auto"/>
                                            <w:right w:val="none" w:sz="0" w:space="0" w:color="auto"/>
                                          </w:divBdr>
                                          <w:divsChild>
                                            <w:div w:id="1657957490">
                                              <w:marLeft w:val="0"/>
                                              <w:marRight w:val="0"/>
                                              <w:marTop w:val="0"/>
                                              <w:marBottom w:val="0"/>
                                              <w:divBdr>
                                                <w:top w:val="none" w:sz="0" w:space="0" w:color="auto"/>
                                                <w:left w:val="none" w:sz="0" w:space="0" w:color="auto"/>
                                                <w:bottom w:val="none" w:sz="0" w:space="0" w:color="auto"/>
                                                <w:right w:val="none" w:sz="0" w:space="0" w:color="auto"/>
                                              </w:divBdr>
                                            </w:div>
                                          </w:divsChild>
                                        </w:div>
                                        <w:div w:id="1007095581">
                                          <w:marLeft w:val="0"/>
                                          <w:marRight w:val="0"/>
                                          <w:marTop w:val="0"/>
                                          <w:marBottom w:val="0"/>
                                          <w:divBdr>
                                            <w:top w:val="none" w:sz="0" w:space="0" w:color="auto"/>
                                            <w:left w:val="none" w:sz="0" w:space="0" w:color="auto"/>
                                            <w:bottom w:val="none" w:sz="0" w:space="0" w:color="auto"/>
                                            <w:right w:val="none" w:sz="0" w:space="0" w:color="auto"/>
                                          </w:divBdr>
                                        </w:div>
                                      </w:divsChild>
                                    </w:div>
                                    <w:div w:id="854002524">
                                      <w:marLeft w:val="0"/>
                                      <w:marRight w:val="0"/>
                                      <w:marTop w:val="0"/>
                                      <w:marBottom w:val="0"/>
                                      <w:divBdr>
                                        <w:top w:val="none" w:sz="0" w:space="0" w:color="auto"/>
                                        <w:left w:val="none" w:sz="0" w:space="0" w:color="auto"/>
                                        <w:bottom w:val="none" w:sz="0" w:space="0" w:color="auto"/>
                                        <w:right w:val="none" w:sz="0" w:space="0" w:color="auto"/>
                                      </w:divBdr>
                                      <w:divsChild>
                                        <w:div w:id="1857889831">
                                          <w:marLeft w:val="0"/>
                                          <w:marRight w:val="0"/>
                                          <w:marTop w:val="0"/>
                                          <w:marBottom w:val="0"/>
                                          <w:divBdr>
                                            <w:top w:val="none" w:sz="0" w:space="0" w:color="auto"/>
                                            <w:left w:val="none" w:sz="0" w:space="0" w:color="auto"/>
                                            <w:bottom w:val="none" w:sz="0" w:space="0" w:color="auto"/>
                                            <w:right w:val="none" w:sz="0" w:space="0" w:color="auto"/>
                                          </w:divBdr>
                                          <w:divsChild>
                                            <w:div w:id="199781540">
                                              <w:marLeft w:val="0"/>
                                              <w:marRight w:val="0"/>
                                              <w:marTop w:val="0"/>
                                              <w:marBottom w:val="0"/>
                                              <w:divBdr>
                                                <w:top w:val="none" w:sz="0" w:space="0" w:color="auto"/>
                                                <w:left w:val="none" w:sz="0" w:space="0" w:color="auto"/>
                                                <w:bottom w:val="none" w:sz="0" w:space="0" w:color="auto"/>
                                                <w:right w:val="none" w:sz="0" w:space="0" w:color="auto"/>
                                              </w:divBdr>
                                            </w:div>
                                          </w:divsChild>
                                        </w:div>
                                        <w:div w:id="2118987332">
                                          <w:marLeft w:val="0"/>
                                          <w:marRight w:val="0"/>
                                          <w:marTop w:val="0"/>
                                          <w:marBottom w:val="0"/>
                                          <w:divBdr>
                                            <w:top w:val="none" w:sz="0" w:space="0" w:color="auto"/>
                                            <w:left w:val="none" w:sz="0" w:space="0" w:color="auto"/>
                                            <w:bottom w:val="none" w:sz="0" w:space="0" w:color="auto"/>
                                            <w:right w:val="none" w:sz="0" w:space="0" w:color="auto"/>
                                          </w:divBdr>
                                        </w:div>
                                      </w:divsChild>
                                    </w:div>
                                    <w:div w:id="1199006518">
                                      <w:marLeft w:val="0"/>
                                      <w:marRight w:val="0"/>
                                      <w:marTop w:val="0"/>
                                      <w:marBottom w:val="0"/>
                                      <w:divBdr>
                                        <w:top w:val="none" w:sz="0" w:space="0" w:color="auto"/>
                                        <w:left w:val="none" w:sz="0" w:space="0" w:color="auto"/>
                                        <w:bottom w:val="none" w:sz="0" w:space="0" w:color="auto"/>
                                        <w:right w:val="none" w:sz="0" w:space="0" w:color="auto"/>
                                      </w:divBdr>
                                      <w:divsChild>
                                        <w:div w:id="43411686">
                                          <w:marLeft w:val="0"/>
                                          <w:marRight w:val="0"/>
                                          <w:marTop w:val="0"/>
                                          <w:marBottom w:val="0"/>
                                          <w:divBdr>
                                            <w:top w:val="none" w:sz="0" w:space="0" w:color="auto"/>
                                            <w:left w:val="none" w:sz="0" w:space="0" w:color="auto"/>
                                            <w:bottom w:val="none" w:sz="0" w:space="0" w:color="auto"/>
                                            <w:right w:val="none" w:sz="0" w:space="0" w:color="auto"/>
                                          </w:divBdr>
                                        </w:div>
                                        <w:div w:id="595797003">
                                          <w:marLeft w:val="0"/>
                                          <w:marRight w:val="0"/>
                                          <w:marTop w:val="0"/>
                                          <w:marBottom w:val="0"/>
                                          <w:divBdr>
                                            <w:top w:val="none" w:sz="0" w:space="0" w:color="auto"/>
                                            <w:left w:val="none" w:sz="0" w:space="0" w:color="auto"/>
                                            <w:bottom w:val="none" w:sz="0" w:space="0" w:color="auto"/>
                                            <w:right w:val="none" w:sz="0" w:space="0" w:color="auto"/>
                                          </w:divBdr>
                                          <w:divsChild>
                                            <w:div w:id="197476624">
                                              <w:marLeft w:val="0"/>
                                              <w:marRight w:val="0"/>
                                              <w:marTop w:val="0"/>
                                              <w:marBottom w:val="0"/>
                                              <w:divBdr>
                                                <w:top w:val="none" w:sz="0" w:space="0" w:color="auto"/>
                                                <w:left w:val="none" w:sz="0" w:space="0" w:color="auto"/>
                                                <w:bottom w:val="none" w:sz="0" w:space="0" w:color="auto"/>
                                                <w:right w:val="none" w:sz="0" w:space="0" w:color="auto"/>
                                              </w:divBdr>
                                            </w:div>
                                            <w:div w:id="19779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415">
                                      <w:marLeft w:val="0"/>
                                      <w:marRight w:val="0"/>
                                      <w:marTop w:val="0"/>
                                      <w:marBottom w:val="0"/>
                                      <w:divBdr>
                                        <w:top w:val="none" w:sz="0" w:space="0" w:color="auto"/>
                                        <w:left w:val="none" w:sz="0" w:space="0" w:color="auto"/>
                                        <w:bottom w:val="none" w:sz="0" w:space="0" w:color="auto"/>
                                        <w:right w:val="none" w:sz="0" w:space="0" w:color="auto"/>
                                      </w:divBdr>
                                      <w:divsChild>
                                        <w:div w:id="632056455">
                                          <w:marLeft w:val="0"/>
                                          <w:marRight w:val="0"/>
                                          <w:marTop w:val="0"/>
                                          <w:marBottom w:val="0"/>
                                          <w:divBdr>
                                            <w:top w:val="none" w:sz="0" w:space="0" w:color="auto"/>
                                            <w:left w:val="none" w:sz="0" w:space="0" w:color="auto"/>
                                            <w:bottom w:val="none" w:sz="0" w:space="0" w:color="auto"/>
                                            <w:right w:val="none" w:sz="0" w:space="0" w:color="auto"/>
                                          </w:divBdr>
                                        </w:div>
                                        <w:div w:id="1535001433">
                                          <w:marLeft w:val="0"/>
                                          <w:marRight w:val="0"/>
                                          <w:marTop w:val="0"/>
                                          <w:marBottom w:val="0"/>
                                          <w:divBdr>
                                            <w:top w:val="none" w:sz="0" w:space="0" w:color="auto"/>
                                            <w:left w:val="none" w:sz="0" w:space="0" w:color="auto"/>
                                            <w:bottom w:val="none" w:sz="0" w:space="0" w:color="auto"/>
                                            <w:right w:val="none" w:sz="0" w:space="0" w:color="auto"/>
                                          </w:divBdr>
                                          <w:divsChild>
                                            <w:div w:id="18140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51">
                                      <w:marLeft w:val="0"/>
                                      <w:marRight w:val="0"/>
                                      <w:marTop w:val="0"/>
                                      <w:marBottom w:val="0"/>
                                      <w:divBdr>
                                        <w:top w:val="none" w:sz="0" w:space="0" w:color="auto"/>
                                        <w:left w:val="none" w:sz="0" w:space="0" w:color="auto"/>
                                        <w:bottom w:val="none" w:sz="0" w:space="0" w:color="auto"/>
                                        <w:right w:val="none" w:sz="0" w:space="0" w:color="auto"/>
                                      </w:divBdr>
                                      <w:divsChild>
                                        <w:div w:id="1230269238">
                                          <w:marLeft w:val="0"/>
                                          <w:marRight w:val="0"/>
                                          <w:marTop w:val="0"/>
                                          <w:marBottom w:val="0"/>
                                          <w:divBdr>
                                            <w:top w:val="none" w:sz="0" w:space="0" w:color="auto"/>
                                            <w:left w:val="none" w:sz="0" w:space="0" w:color="auto"/>
                                            <w:bottom w:val="none" w:sz="0" w:space="0" w:color="auto"/>
                                            <w:right w:val="none" w:sz="0" w:space="0" w:color="auto"/>
                                          </w:divBdr>
                                        </w:div>
                                        <w:div w:id="1869954121">
                                          <w:marLeft w:val="0"/>
                                          <w:marRight w:val="0"/>
                                          <w:marTop w:val="0"/>
                                          <w:marBottom w:val="0"/>
                                          <w:divBdr>
                                            <w:top w:val="none" w:sz="0" w:space="0" w:color="auto"/>
                                            <w:left w:val="none" w:sz="0" w:space="0" w:color="auto"/>
                                            <w:bottom w:val="none" w:sz="0" w:space="0" w:color="auto"/>
                                            <w:right w:val="none" w:sz="0" w:space="0" w:color="auto"/>
                                          </w:divBdr>
                                          <w:divsChild>
                                            <w:div w:id="831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70846">
                                      <w:marLeft w:val="0"/>
                                      <w:marRight w:val="0"/>
                                      <w:marTop w:val="0"/>
                                      <w:marBottom w:val="0"/>
                                      <w:divBdr>
                                        <w:top w:val="none" w:sz="0" w:space="0" w:color="auto"/>
                                        <w:left w:val="none" w:sz="0" w:space="0" w:color="auto"/>
                                        <w:bottom w:val="none" w:sz="0" w:space="0" w:color="auto"/>
                                        <w:right w:val="none" w:sz="0" w:space="0" w:color="auto"/>
                                      </w:divBdr>
                                      <w:divsChild>
                                        <w:div w:id="603852096">
                                          <w:marLeft w:val="0"/>
                                          <w:marRight w:val="0"/>
                                          <w:marTop w:val="0"/>
                                          <w:marBottom w:val="0"/>
                                          <w:divBdr>
                                            <w:top w:val="none" w:sz="0" w:space="0" w:color="auto"/>
                                            <w:left w:val="none" w:sz="0" w:space="0" w:color="auto"/>
                                            <w:bottom w:val="none" w:sz="0" w:space="0" w:color="auto"/>
                                            <w:right w:val="none" w:sz="0" w:space="0" w:color="auto"/>
                                          </w:divBdr>
                                        </w:div>
                                        <w:div w:id="1954050742">
                                          <w:marLeft w:val="0"/>
                                          <w:marRight w:val="0"/>
                                          <w:marTop w:val="0"/>
                                          <w:marBottom w:val="0"/>
                                          <w:divBdr>
                                            <w:top w:val="none" w:sz="0" w:space="0" w:color="auto"/>
                                            <w:left w:val="none" w:sz="0" w:space="0" w:color="auto"/>
                                            <w:bottom w:val="none" w:sz="0" w:space="0" w:color="auto"/>
                                            <w:right w:val="none" w:sz="0" w:space="0" w:color="auto"/>
                                          </w:divBdr>
                                          <w:divsChild>
                                            <w:div w:id="18341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5211">
                                      <w:marLeft w:val="0"/>
                                      <w:marRight w:val="0"/>
                                      <w:marTop w:val="0"/>
                                      <w:marBottom w:val="0"/>
                                      <w:divBdr>
                                        <w:top w:val="none" w:sz="0" w:space="0" w:color="auto"/>
                                        <w:left w:val="none" w:sz="0" w:space="0" w:color="auto"/>
                                        <w:bottom w:val="none" w:sz="0" w:space="0" w:color="auto"/>
                                        <w:right w:val="none" w:sz="0" w:space="0" w:color="auto"/>
                                      </w:divBdr>
                                      <w:divsChild>
                                        <w:div w:id="794325190">
                                          <w:marLeft w:val="0"/>
                                          <w:marRight w:val="0"/>
                                          <w:marTop w:val="0"/>
                                          <w:marBottom w:val="0"/>
                                          <w:divBdr>
                                            <w:top w:val="none" w:sz="0" w:space="0" w:color="auto"/>
                                            <w:left w:val="none" w:sz="0" w:space="0" w:color="auto"/>
                                            <w:bottom w:val="none" w:sz="0" w:space="0" w:color="auto"/>
                                            <w:right w:val="none" w:sz="0" w:space="0" w:color="auto"/>
                                          </w:divBdr>
                                          <w:divsChild>
                                            <w:div w:id="646251738">
                                              <w:marLeft w:val="0"/>
                                              <w:marRight w:val="0"/>
                                              <w:marTop w:val="0"/>
                                              <w:marBottom w:val="0"/>
                                              <w:divBdr>
                                                <w:top w:val="none" w:sz="0" w:space="0" w:color="auto"/>
                                                <w:left w:val="none" w:sz="0" w:space="0" w:color="auto"/>
                                                <w:bottom w:val="none" w:sz="0" w:space="0" w:color="auto"/>
                                                <w:right w:val="none" w:sz="0" w:space="0" w:color="auto"/>
                                              </w:divBdr>
                                            </w:div>
                                          </w:divsChild>
                                        </w:div>
                                        <w:div w:id="13364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er.gov.au/retail-markets/performance-reporting/annual-report-on-compliance-and-performance-of-the-retail-energy-market-2017-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endnotes.xml.rels><?xml version="1.0" encoding="UTF-8" standalone="yes"?>
<Relationships xmlns="http://schemas.openxmlformats.org/package/2006/relationships"><Relationship Id="rId8" Type="http://schemas.openxmlformats.org/officeDocument/2006/relationships/hyperlink" Target="http://www.acoss.org.au/wp-content/uploads/2017/07/ACOSS_BSL_TCI_Empowering-households.pdf" TargetMode="External"/><Relationship Id="rId13" Type="http://schemas.openxmlformats.org/officeDocument/2006/relationships/hyperlink" Target="https://www.environment.act.gov.au/energy/smarter-use-of-energy/energy-efficiency-improvement-scheme/how-the-scheme-works/priority-household-target" TargetMode="External"/><Relationship Id="rId18" Type="http://schemas.openxmlformats.org/officeDocument/2006/relationships/hyperlink" Target="https://www.aer.gov.au/retail-markets/performance-reporting/annual-report-on-compliance-and-performance-of-the-retail-energy-market-2017-18" TargetMode="External"/><Relationship Id="rId3" Type="http://schemas.openxmlformats.org/officeDocument/2006/relationships/hyperlink" Target="https://www.acoss.org.au/wp-content/uploads/2018/10/Energy-Stressed-in-Australia.pdf" TargetMode="External"/><Relationship Id="rId21" Type="http://schemas.openxmlformats.org/officeDocument/2006/relationships/hyperlink" Target="https://www.aer.gov.au/consumers/my-energy-service/energy-disconnections" TargetMode="External"/><Relationship Id="rId7" Type="http://schemas.openxmlformats.org/officeDocument/2006/relationships/hyperlink" Target="https://www.acoss.org.au/wp-content/uploads/2018/10/ACOSS_Poverty-in-Australia-Report_Web-Final.pdf" TargetMode="External"/><Relationship Id="rId12" Type="http://schemas.openxmlformats.org/officeDocument/2006/relationships/hyperlink" Target="https://www.environment.act.gov.au/energy/smarter-use-of-energy/energy-efficiency-improvement-scheme" TargetMode="External"/><Relationship Id="rId17" Type="http://schemas.openxmlformats.org/officeDocument/2006/relationships/hyperlink" Target="http://acat.act.gov.au/application-type/energy_water" TargetMode="External"/><Relationship Id="rId25" Type="http://schemas.openxmlformats.org/officeDocument/2006/relationships/hyperlink" Target="https://www.betterrenting.org.au/home_truths" TargetMode="External"/><Relationship Id="rId2" Type="http://schemas.openxmlformats.org/officeDocument/2006/relationships/hyperlink" Target="https://www.actcoss.org.au/publications/advocacy-publications/act-cost-living-report-2019" TargetMode="External"/><Relationship Id="rId16" Type="http://schemas.openxmlformats.org/officeDocument/2006/relationships/hyperlink" Target="https://www.aer.gov.au/retail-markets/performance-reporting/annual-report-on-compliance-and-performance-of-the-retail-energy-market-2017-18" TargetMode="External"/><Relationship Id="rId20" Type="http://schemas.openxmlformats.org/officeDocument/2006/relationships/hyperlink" Target="https://www.aer.gov.au/consumers/my-energy-bill/experiencing-trouble-paying-your-energy-bills%23sustainable-payment-plans-framework" TargetMode="External"/><Relationship Id="rId1" Type="http://schemas.openxmlformats.org/officeDocument/2006/relationships/hyperlink" Target="http://www.coagenergycouncil.gov.au/sites/prod.energycouncil/files/publications/documents/the%20health%20of%20the%20national%20electricity%20market%20-%202018.pdf" TargetMode="External"/><Relationship Id="rId6" Type="http://schemas.openxmlformats.org/officeDocument/2006/relationships/hyperlink" Target="http://www.actcoss.org.au/publications/advocacy-publications/hidden-disadvantage-act-report-anti-poverty-week-2017" TargetMode="External"/><Relationship Id="rId11" Type="http://schemas.openxmlformats.org/officeDocument/2006/relationships/hyperlink" Target="https://d3n8a8pro7vhmx.cloudfront.net/betterrenting/pages/112/attachments/original/1530085206/Frozen_out_The_Burden_of_Energy_Deficiency_on_People_who_Rent_Better_Renting.pdf?1530085206" TargetMode="External"/><Relationship Id="rId24" Type="http://schemas.openxmlformats.org/officeDocument/2006/relationships/hyperlink" Target="https://www.environment.act.gov.au/energy/smarter-use-of-energy/energy-efficiency-improvement-scheme" TargetMode="External"/><Relationship Id="rId5" Type="http://schemas.openxmlformats.org/officeDocument/2006/relationships/hyperlink" Target="https://www.sacoss.org.au/sites/default/files/public/documents/Reports/APW%20Statements/APW_Fact_Sheet_A4_FINAL.pdf" TargetMode="External"/><Relationship Id="rId15" Type="http://schemas.openxmlformats.org/officeDocument/2006/relationships/hyperlink" Target="http://www.legislation.act.gov.au/di/2017-251/default.asp" TargetMode="External"/><Relationship Id="rId23" Type="http://schemas.openxmlformats.org/officeDocument/2006/relationships/hyperlink" Target="https://www.actsmart.act.gov.au/what-can-i-do/homes/Actsmart-household-energy-efficiency-program" TargetMode="External"/><Relationship Id="rId10" Type="http://schemas.openxmlformats.org/officeDocument/2006/relationships/hyperlink" Target="https://www.actsmart.act.gov.au/__data/assets/pdf_file/0018/503109/201301010-Landlord-factsheet-updated.pdf" TargetMode="External"/><Relationship Id="rId19" Type="http://schemas.openxmlformats.org/officeDocument/2006/relationships/hyperlink" Target="https://www.aer.gov.au/retail-markets/retail-guidelines-reviews/customer-hardship-policy-guideline" TargetMode="External"/><Relationship Id="rId4" Type="http://schemas.openxmlformats.org/officeDocument/2006/relationships/hyperlink" Target="https://www.aer.gov.au/retail-markets/performance-reporting/annual-report-on-compliance-and-performance-of-the-retail-energy-market-2017-18" TargetMode="External"/><Relationship Id="rId9" Type="http://schemas.openxmlformats.org/officeDocument/2006/relationships/hyperlink" Target="https://www.actcoss.org.au/publications/advocacy-publications/hidden-disadvantage-act-report-anti-poverty-week-2017" TargetMode="External"/><Relationship Id="rId14" Type="http://schemas.openxmlformats.org/officeDocument/2006/relationships/hyperlink" Target="https://www.legislation.act.gov.au/a/2012-17/default.asp" TargetMode="External"/><Relationship Id="rId22" Type="http://schemas.openxmlformats.org/officeDocument/2006/relationships/hyperlink" Target="https://www.revenue.act.gov.au/community-assistance/utilities-conc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8162b117008f5f3fe9f0ab747966548e">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13fc71eb8f7d8e8089edaf306fcf8877"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72093-6794-4B4E-A5B6-35AE0C9A9654}">
  <ds:schemaRefs>
    <ds:schemaRef ds:uri="http://schemas.microsoft.com/sharepoint/v3/contenttype/forms"/>
  </ds:schemaRefs>
</ds:datastoreItem>
</file>

<file path=customXml/itemProps2.xml><?xml version="1.0" encoding="utf-8"?>
<ds:datastoreItem xmlns:ds="http://schemas.openxmlformats.org/officeDocument/2006/customXml" ds:itemID="{89375EC3-4E0E-4561-822F-9D76019AF279}">
  <ds:schemaRefs>
    <ds:schemaRef ds:uri="ef2741e4-cc31-428c-aca2-d2da616e4ed0"/>
    <ds:schemaRef ds:uri="http://purl.org/dc/elements/1.1/"/>
    <ds:schemaRef ds:uri="http://schemas.microsoft.com/office/2006/metadata/properties"/>
    <ds:schemaRef ds:uri="32918964-d11d-4bda-ba04-9b8184f6a17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4007B4C-3163-4F40-B090-C2586A9A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CA8EA-91FA-418E-9C7E-70452A50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7</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Factsheet: Energy hardship in the ACT</vt:lpstr>
    </vt:vector>
  </TitlesOfParts>
  <Company>Paradigm Management Group</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Energy hardship in the ACT</dc:title>
  <dc:creator/>
  <cp:lastModifiedBy>Suzanne Richardson</cp:lastModifiedBy>
  <cp:revision>439</cp:revision>
  <cp:lastPrinted>2018-06-01T05:42:00Z</cp:lastPrinted>
  <dcterms:created xsi:type="dcterms:W3CDTF">2019-05-21T23:33:00Z</dcterms:created>
  <dcterms:modified xsi:type="dcterms:W3CDTF">2019-06-26T06:28:00Z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AuthorIds_UIVersion_9728">
    <vt:lpwstr>6</vt:lpwstr>
  </property>
</Properties>
</file>