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BCC49" w14:textId="340F8188" w:rsidR="00F62238" w:rsidRPr="00CA7855" w:rsidRDefault="00BC4F47" w:rsidP="003F3AC3">
      <w:pPr>
        <w:pStyle w:val="BodyText"/>
      </w:pPr>
      <w:bookmarkStart w:id="0" w:name="_GoBack"/>
      <w:bookmarkEnd w:id="0"/>
      <w:r>
        <w:rPr>
          <w:noProof/>
          <w:lang w:eastAsia="en-AU"/>
        </w:rPr>
        <w:drawing>
          <wp:anchor distT="0" distB="0" distL="114300" distR="114300" simplePos="0" relativeHeight="251657728" behindDoc="1" locked="0" layoutInCell="1" allowOverlap="1" wp14:anchorId="66308F6E" wp14:editId="3E1B0562">
            <wp:simplePos x="0" y="0"/>
            <wp:positionH relativeFrom="column">
              <wp:posOffset>-1192530</wp:posOffset>
            </wp:positionH>
            <wp:positionV relativeFrom="page">
              <wp:posOffset>-242570</wp:posOffset>
            </wp:positionV>
            <wp:extent cx="9237345" cy="3506470"/>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7345" cy="3506470"/>
                    </a:xfrm>
                    <a:prstGeom prst="rect">
                      <a:avLst/>
                    </a:prstGeom>
                    <a:noFill/>
                  </pic:spPr>
                </pic:pic>
              </a:graphicData>
            </a:graphic>
            <wp14:sizeRelH relativeFrom="page">
              <wp14:pctWidth>0</wp14:pctWidth>
            </wp14:sizeRelH>
            <wp14:sizeRelV relativeFrom="page">
              <wp14:pctHeight>0</wp14:pctHeight>
            </wp14:sizeRelV>
          </wp:anchor>
        </w:drawing>
      </w:r>
    </w:p>
    <w:p w14:paraId="3E323E14" w14:textId="2E10FBF6" w:rsidR="00F62238" w:rsidRPr="00CA7855" w:rsidRDefault="00BC4F47" w:rsidP="00E314FD">
      <w:pPr>
        <w:pStyle w:val="Logo-Centred"/>
        <w:spacing w:before="3200"/>
      </w:pPr>
      <w:r>
        <w:rPr>
          <w:noProof/>
          <w:lang w:eastAsia="en-AU"/>
        </w:rPr>
        <w:drawing>
          <wp:inline distT="0" distB="0" distL="0" distR="0" wp14:anchorId="6FFB493F" wp14:editId="0EADD6ED">
            <wp:extent cx="2886075" cy="1085850"/>
            <wp:effectExtent l="0" t="0" r="0" b="0"/>
            <wp:docPr id="1" name="Picture 1" descr="ACT Council of Social Service Inc. (ACTC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1085850"/>
                    </a:xfrm>
                    <a:prstGeom prst="rect">
                      <a:avLst/>
                    </a:prstGeom>
                    <a:noFill/>
                    <a:ln>
                      <a:noFill/>
                    </a:ln>
                  </pic:spPr>
                </pic:pic>
              </a:graphicData>
            </a:graphic>
          </wp:inline>
        </w:drawing>
      </w:r>
    </w:p>
    <w:p w14:paraId="2884512B" w14:textId="77777777" w:rsidR="00F62238" w:rsidRPr="00CA7855" w:rsidRDefault="00F62238" w:rsidP="003F3AC3">
      <w:pPr>
        <w:pStyle w:val="BodyText"/>
      </w:pPr>
    </w:p>
    <w:p w14:paraId="772AB888" w14:textId="77777777" w:rsidR="00F62238" w:rsidRPr="00CA7855" w:rsidRDefault="00F62238" w:rsidP="003F3AC3">
      <w:pPr>
        <w:pStyle w:val="BodyText"/>
      </w:pPr>
    </w:p>
    <w:p w14:paraId="4CDEE97D" w14:textId="66E87C58" w:rsidR="00F62238" w:rsidRDefault="00007554" w:rsidP="00F62238">
      <w:pPr>
        <w:pStyle w:val="Titlepagetitle"/>
      </w:pPr>
      <w:r>
        <w:t>ACT Cost of Living Report</w:t>
      </w:r>
    </w:p>
    <w:p w14:paraId="7FF72C48" w14:textId="4BE28FF3" w:rsidR="0028217D" w:rsidRDefault="0028217D" w:rsidP="00F62238">
      <w:pPr>
        <w:pStyle w:val="Titlepagetitle"/>
      </w:pPr>
    </w:p>
    <w:p w14:paraId="4DB94906" w14:textId="59FB879F" w:rsidR="009A2A5C" w:rsidRPr="00CA7855" w:rsidRDefault="009A2A5C" w:rsidP="00E11280">
      <w:pPr>
        <w:pStyle w:val="Titlepagesubtitle"/>
      </w:pPr>
      <w:r>
        <w:t>Tracking changes in the cost of living</w:t>
      </w:r>
      <w:r w:rsidR="008E64CC">
        <w:t xml:space="preserve"> </w:t>
      </w:r>
      <w:r>
        <w:t xml:space="preserve">for </w:t>
      </w:r>
      <w:r w:rsidR="00E11280">
        <w:br/>
      </w:r>
      <w:r>
        <w:t>low</w:t>
      </w:r>
      <w:r w:rsidR="008E64CC">
        <w:t>-</w:t>
      </w:r>
      <w:r>
        <w:t xml:space="preserve">income households in the </w:t>
      </w:r>
      <w:r w:rsidR="00E11280">
        <w:br/>
      </w:r>
      <w:r>
        <w:t>Australian Capital Territory</w:t>
      </w:r>
    </w:p>
    <w:p w14:paraId="1EB035FB" w14:textId="77777777" w:rsidR="00F62238" w:rsidRPr="00CA7855" w:rsidRDefault="00F62238" w:rsidP="00F62238">
      <w:pPr>
        <w:pStyle w:val="BodyText"/>
      </w:pPr>
    </w:p>
    <w:p w14:paraId="21315C3A" w14:textId="0A174E43" w:rsidR="0028217D" w:rsidRDefault="00A74E08" w:rsidP="00E314FD">
      <w:pPr>
        <w:pStyle w:val="Titlepagesubtitle"/>
      </w:pPr>
      <w:r w:rsidRPr="00E11280">
        <w:t>May</w:t>
      </w:r>
      <w:r w:rsidR="00007554" w:rsidRPr="00E11280">
        <w:t xml:space="preserve"> 2019</w:t>
      </w:r>
    </w:p>
    <w:p w14:paraId="63E2834A" w14:textId="77777777" w:rsidR="005913F7" w:rsidRPr="00CA7855" w:rsidRDefault="005913F7" w:rsidP="00703089">
      <w:pPr>
        <w:pStyle w:val="PseudoHeading1"/>
      </w:pPr>
      <w:r w:rsidRPr="00CA7855">
        <w:lastRenderedPageBreak/>
        <w:t>About ACTCOSS</w:t>
      </w:r>
    </w:p>
    <w:p w14:paraId="03D3A8EB" w14:textId="77777777" w:rsidR="005913F7" w:rsidRPr="00C71376" w:rsidRDefault="00C71376" w:rsidP="005913F7">
      <w:pPr>
        <w:pStyle w:val="Frontmatter"/>
      </w:pPr>
      <w:r w:rsidRPr="00C71376">
        <w:t>ACTCOSS acknowledges Canberra has been built on the land of the Ngunnawal people. We pay respects to their Elders and recognise the strength and resilience of Aboriginal and Torres Strait Islander peoples. We celebrate Aboriginal and Torres Strait Islander cultures and ongoing contribution to the ACT community.</w:t>
      </w:r>
    </w:p>
    <w:p w14:paraId="6A03FC96" w14:textId="1BC0223D" w:rsidR="005913F7" w:rsidRPr="00CA7855" w:rsidRDefault="00C11E94" w:rsidP="005913F7">
      <w:pPr>
        <w:pStyle w:val="Frontmatter"/>
      </w:pPr>
      <w:r w:rsidRPr="00C11E94">
        <w:t>The ACT Council of Social Service Inc. (ACTCOSS) represents not-for-profit community organisations and advocates for social justice in the ACT.</w:t>
      </w:r>
      <w:r w:rsidR="005913F7" w:rsidRPr="00CA7855">
        <w:t xml:space="preserve"> </w:t>
      </w:r>
    </w:p>
    <w:p w14:paraId="35FDEFB1" w14:textId="77777777" w:rsidR="005913F7" w:rsidRPr="00CA7855" w:rsidRDefault="005913F7" w:rsidP="005913F7">
      <w:pPr>
        <w:pStyle w:val="Frontmatter"/>
      </w:pPr>
      <w:r w:rsidRPr="00CA7855">
        <w:t>ACTCOSS is a member of the nationwide COSS network, made up of each of the state and territory Councils and the national body, the Australian Council of Social Service (ACOSS).</w:t>
      </w:r>
    </w:p>
    <w:p w14:paraId="69E13409" w14:textId="77777777" w:rsidR="005913F7" w:rsidRPr="00CA7855" w:rsidRDefault="00703089" w:rsidP="005913F7">
      <w:pPr>
        <w:pStyle w:val="Frontmatter"/>
      </w:pPr>
      <w:r w:rsidRPr="004442A4">
        <w:t>ACTCOSS’ vision is to live in a fair and equitable community that respects and values diversity</w:t>
      </w:r>
      <w:r w:rsidR="00942524">
        <w:t>, human rights and sustainability</w:t>
      </w:r>
      <w:r w:rsidRPr="004442A4">
        <w:t xml:space="preserve"> and </w:t>
      </w:r>
      <w:r w:rsidR="00942524">
        <w:t xml:space="preserve">promotes justice, equity, reconciliation and </w:t>
      </w:r>
      <w:r w:rsidRPr="004442A4">
        <w:t>social inclusion.</w:t>
      </w:r>
    </w:p>
    <w:p w14:paraId="7F963C32" w14:textId="00A8B34C" w:rsidR="005913F7" w:rsidRPr="00CA7855" w:rsidRDefault="005913F7" w:rsidP="005913F7">
      <w:pPr>
        <w:pStyle w:val="Frontmatter"/>
      </w:pPr>
      <w:r w:rsidRPr="00CA7855">
        <w:t>The membership of the Council includes the majority of community</w:t>
      </w:r>
      <w:r w:rsidR="00E61F0D">
        <w:t>-</w:t>
      </w:r>
      <w:r w:rsidRPr="00CA7855">
        <w:t>based service providers in the social welfare area, a range of community associations and networks, self-help and consumer groups and interested individuals.</w:t>
      </w:r>
    </w:p>
    <w:p w14:paraId="41903ED4" w14:textId="77777777" w:rsidR="005913F7" w:rsidRDefault="005913F7" w:rsidP="005913F7">
      <w:pPr>
        <w:pStyle w:val="Frontmatter"/>
      </w:pPr>
      <w:r w:rsidRPr="00CA7855">
        <w:t>ACTCOSS advises that this document may be publicly distributed, including by placing a copy on our website.</w:t>
      </w:r>
    </w:p>
    <w:p w14:paraId="55C71DCF" w14:textId="77777777" w:rsidR="005913F7" w:rsidRPr="00CA7855" w:rsidRDefault="005913F7" w:rsidP="005913F7">
      <w:pPr>
        <w:pStyle w:val="Frontmatter"/>
        <w:rPr>
          <w:rStyle w:val="Bold"/>
        </w:rPr>
      </w:pPr>
      <w:r w:rsidRPr="00CA7855">
        <w:rPr>
          <w:rStyle w:val="Bold"/>
        </w:rPr>
        <w:t>Contact Details</w:t>
      </w:r>
    </w:p>
    <w:p w14:paraId="52CF8363" w14:textId="4B3206A9" w:rsidR="004F6015" w:rsidRPr="001D19C8" w:rsidRDefault="004F6015" w:rsidP="004F6015">
      <w:pPr>
        <w:pStyle w:val="Frontmatter"/>
      </w:pPr>
      <w:r w:rsidRPr="001D19C8">
        <w:t>Phone:</w:t>
      </w:r>
      <w:r w:rsidRPr="001D19C8">
        <w:tab/>
      </w:r>
      <w:r w:rsidRPr="001D19C8">
        <w:tab/>
        <w:t>02 6202 7200</w:t>
      </w:r>
      <w:r w:rsidRPr="001D19C8">
        <w:br/>
      </w:r>
      <w:r w:rsidR="00D5570A">
        <w:t>Address</w:t>
      </w:r>
      <w:r w:rsidRPr="001D19C8">
        <w:t>:</w:t>
      </w:r>
      <w:r w:rsidRPr="001D19C8">
        <w:tab/>
      </w:r>
      <w:r w:rsidRPr="001D19C8">
        <w:tab/>
      </w:r>
      <w:r w:rsidR="00D5570A" w:rsidRPr="001D19C8">
        <w:t xml:space="preserve">Weston Community Hub, 1/6 </w:t>
      </w:r>
      <w:proofErr w:type="spellStart"/>
      <w:r w:rsidR="00D5570A" w:rsidRPr="001D19C8">
        <w:t>Gritten</w:t>
      </w:r>
      <w:proofErr w:type="spellEnd"/>
      <w:r w:rsidR="00D5570A" w:rsidRPr="001D19C8">
        <w:t xml:space="preserve"> St, Weston ACT 2611</w:t>
      </w:r>
      <w:r w:rsidRPr="001D19C8">
        <w:br/>
        <w:t>Email:</w:t>
      </w:r>
      <w:r w:rsidRPr="001D19C8">
        <w:tab/>
      </w:r>
      <w:r w:rsidRPr="001D19C8">
        <w:tab/>
      </w:r>
      <w:r w:rsidRPr="001D19C8">
        <w:tab/>
      </w:r>
      <w:hyperlink r:id="rId13" w:history="1">
        <w:r w:rsidRPr="001D19C8">
          <w:rPr>
            <w:rStyle w:val="Hyperlink"/>
          </w:rPr>
          <w:t>actcoss@actcoss.org.au</w:t>
        </w:r>
      </w:hyperlink>
      <w:r w:rsidRPr="001D19C8">
        <w:t xml:space="preserve">  </w:t>
      </w:r>
      <w:r w:rsidRPr="001D19C8">
        <w:br/>
        <w:t xml:space="preserve">Web:  </w:t>
      </w:r>
      <w:r w:rsidRPr="001D19C8">
        <w:tab/>
      </w:r>
      <w:r w:rsidRPr="001D19C8">
        <w:tab/>
      </w:r>
      <w:hyperlink r:id="rId14" w:history="1">
        <w:r w:rsidR="00E61F0D" w:rsidRPr="00AC219B">
          <w:rPr>
            <w:rStyle w:val="Hyperlink"/>
          </w:rPr>
          <w:t>www.actcoss.org.au</w:t>
        </w:r>
      </w:hyperlink>
    </w:p>
    <w:p w14:paraId="7DF04A19" w14:textId="0CDD89E3" w:rsidR="004F6015" w:rsidRPr="001D19C8" w:rsidRDefault="004F6015" w:rsidP="004F6015">
      <w:pPr>
        <w:pStyle w:val="Frontmatter"/>
      </w:pPr>
      <w:r w:rsidRPr="001D19C8">
        <w:t>Director:</w:t>
      </w:r>
      <w:r w:rsidRPr="001D19C8">
        <w:tab/>
      </w:r>
      <w:r w:rsidRPr="001D19C8">
        <w:tab/>
      </w:r>
      <w:r>
        <w:t>Susan Helyar</w:t>
      </w:r>
      <w:r w:rsidRPr="001D19C8">
        <w:br/>
        <w:t>Policy Officer:</w:t>
      </w:r>
      <w:r w:rsidRPr="001D19C8">
        <w:tab/>
      </w:r>
      <w:r w:rsidR="00024D1F">
        <w:t>Geoff Buchanan</w:t>
      </w:r>
    </w:p>
    <w:p w14:paraId="065798D2" w14:textId="77777777" w:rsidR="005913F7" w:rsidRPr="00CA7855" w:rsidRDefault="005913F7" w:rsidP="005913F7">
      <w:pPr>
        <w:pStyle w:val="Frontmatter"/>
      </w:pPr>
    </w:p>
    <w:p w14:paraId="698E6DF4" w14:textId="41EA878B" w:rsidR="005913F7" w:rsidRPr="00CA7855" w:rsidRDefault="00C62BE4" w:rsidP="005913F7">
      <w:pPr>
        <w:pStyle w:val="Frontmatter"/>
      </w:pPr>
      <w:r>
        <w:t>May</w:t>
      </w:r>
      <w:r w:rsidR="00024D1F">
        <w:t xml:space="preserve"> 2019</w:t>
      </w:r>
    </w:p>
    <w:p w14:paraId="181D164A" w14:textId="2CDC7B44" w:rsidR="005913F7" w:rsidRPr="00CA7855" w:rsidRDefault="005913F7" w:rsidP="005913F7">
      <w:pPr>
        <w:pStyle w:val="Frontmatter"/>
      </w:pPr>
      <w:r w:rsidRPr="00CA7855">
        <w:t xml:space="preserve">ISBN </w:t>
      </w:r>
      <w:r w:rsidR="00A136CF" w:rsidRPr="00A136CF">
        <w:t>978-1-876632-70-0</w:t>
      </w:r>
      <w:r w:rsidRPr="00CA7855">
        <w:t xml:space="preserve"> </w:t>
      </w:r>
      <w:r w:rsidRPr="00A136CF">
        <w:t>(electronic version</w:t>
      </w:r>
      <w:r w:rsidR="00A136CF" w:rsidRPr="00A136CF">
        <w:t>)</w:t>
      </w:r>
      <w:r w:rsidRPr="00CA7855">
        <w:br/>
        <w:t>© Copyright ACT Council of Social Service Incorporated</w:t>
      </w:r>
    </w:p>
    <w:p w14:paraId="2EECD6E5" w14:textId="77777777" w:rsidR="001B2FCD" w:rsidRDefault="005913F7" w:rsidP="005913F7">
      <w:pPr>
        <w:pStyle w:val="Frontmatter"/>
      </w:pPr>
      <w:r w:rsidRPr="00CA7855">
        <w:t>This publication is copyright, apart from use by those agencies for which it has been produced. Non-profit associations and groups have permission to reproduce parts of this publication as long as the original meaning is retained and proper credit is given to the ACT Council of Social Service Inc (ACTCOSS). All other individuals and Agencies seeking to reproduce material from this publication should obtain the permission of the Director of ACTCOSS.</w:t>
      </w:r>
    </w:p>
    <w:p w14:paraId="4EFCEA01" w14:textId="77777777" w:rsidR="000622B1" w:rsidRDefault="000622B1" w:rsidP="005913F7">
      <w:pPr>
        <w:pStyle w:val="Frontmatter"/>
      </w:pPr>
    </w:p>
    <w:p w14:paraId="57AA07E5" w14:textId="77777777" w:rsidR="000622B1" w:rsidRPr="00CA7855" w:rsidRDefault="000622B1" w:rsidP="000622B1">
      <w:pPr>
        <w:pStyle w:val="Frontmatter"/>
      </w:pPr>
      <w:r w:rsidRPr="000622B1">
        <w:t>An ACT Government funded initiative</w:t>
      </w:r>
      <w:r>
        <w:t>.</w:t>
      </w:r>
    </w:p>
    <w:p w14:paraId="30FDCCBC" w14:textId="12FEA1C2" w:rsidR="000622B1" w:rsidRDefault="00BC4F47" w:rsidP="005913F7">
      <w:pPr>
        <w:pStyle w:val="Frontmatter"/>
        <w:rPr>
          <w:noProof/>
        </w:rPr>
      </w:pPr>
      <w:r>
        <w:rPr>
          <w:noProof/>
          <w:lang w:eastAsia="en-AU"/>
        </w:rPr>
        <w:drawing>
          <wp:inline distT="0" distB="0" distL="0" distR="0" wp14:anchorId="1635F15F" wp14:editId="2DC0F360">
            <wp:extent cx="1466850" cy="1009650"/>
            <wp:effectExtent l="0" t="0" r="0" b="0"/>
            <wp:docPr id="2" name="Picture 2"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itiative_of_ACTGov"/>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6850" cy="1009650"/>
                    </a:xfrm>
                    <a:prstGeom prst="rect">
                      <a:avLst/>
                    </a:prstGeom>
                    <a:noFill/>
                    <a:ln>
                      <a:noFill/>
                    </a:ln>
                  </pic:spPr>
                </pic:pic>
              </a:graphicData>
            </a:graphic>
          </wp:inline>
        </w:drawing>
      </w:r>
    </w:p>
    <w:p w14:paraId="741FFC15" w14:textId="7D2A170F" w:rsidR="000B4C25" w:rsidRPr="004502BA" w:rsidRDefault="000B4C25" w:rsidP="004502BA">
      <w:pPr>
        <w:pStyle w:val="Frontmatter"/>
        <w:spacing w:before="1080"/>
        <w:rPr>
          <w:b/>
          <w:bCs/>
        </w:rPr>
      </w:pPr>
      <w:r w:rsidRPr="004E5456">
        <w:rPr>
          <w:rStyle w:val="Strong"/>
        </w:rPr>
        <w:t xml:space="preserve">ACTCOSS acknowledges the work of </w:t>
      </w:r>
      <w:proofErr w:type="spellStart"/>
      <w:r w:rsidRPr="004E5456">
        <w:rPr>
          <w:rStyle w:val="Strong"/>
        </w:rPr>
        <w:t>SACOSS</w:t>
      </w:r>
      <w:proofErr w:type="spellEnd"/>
      <w:r w:rsidRPr="004E5456">
        <w:rPr>
          <w:rStyle w:val="Strong"/>
        </w:rPr>
        <w:t xml:space="preserve"> and </w:t>
      </w:r>
      <w:proofErr w:type="spellStart"/>
      <w:r w:rsidRPr="004E5456">
        <w:rPr>
          <w:rStyle w:val="Strong"/>
        </w:rPr>
        <w:t>NTCOSS</w:t>
      </w:r>
      <w:proofErr w:type="spellEnd"/>
      <w:r w:rsidRPr="004E5456">
        <w:rPr>
          <w:rStyle w:val="Strong"/>
        </w:rPr>
        <w:t xml:space="preserve"> whose Cost of Living Reports have informed the development of this ACTCOSS Cost of Living Report.</w:t>
      </w:r>
    </w:p>
    <w:p w14:paraId="13A41B65" w14:textId="77777777" w:rsidR="005913F7" w:rsidRPr="00CA7855" w:rsidRDefault="00AB255D" w:rsidP="00703089">
      <w:pPr>
        <w:pStyle w:val="PseudoHeading1"/>
      </w:pPr>
      <w:r w:rsidRPr="00CA7855">
        <w:lastRenderedPageBreak/>
        <w:t>Table of contents</w:t>
      </w:r>
    </w:p>
    <w:p w14:paraId="5B0E78A0" w14:textId="60CB64A0" w:rsidR="00C01D34" w:rsidRDefault="00AB255D">
      <w:pPr>
        <w:pStyle w:val="TOC1"/>
        <w:rPr>
          <w:rFonts w:asciiTheme="minorHAnsi" w:eastAsiaTheme="minorEastAsia" w:hAnsiTheme="minorHAnsi" w:cstheme="minorBidi"/>
          <w:b w:val="0"/>
          <w:noProof/>
          <w:sz w:val="22"/>
          <w:lang w:eastAsia="en-AU"/>
        </w:rPr>
      </w:pPr>
      <w:r w:rsidRPr="00CA7855">
        <w:fldChar w:fldCharType="begin"/>
      </w:r>
      <w:r w:rsidRPr="00CA7855">
        <w:instrText xml:space="preserve"> TOC \o "1-3" \h \z \u </w:instrText>
      </w:r>
      <w:r w:rsidRPr="00CA7855">
        <w:fldChar w:fldCharType="separate"/>
      </w:r>
      <w:hyperlink w:anchor="_Toc7787728" w:history="1">
        <w:r w:rsidR="00C01D34" w:rsidRPr="00C42058">
          <w:rPr>
            <w:rStyle w:val="Hyperlink"/>
            <w:noProof/>
          </w:rPr>
          <w:t>Acronyms</w:t>
        </w:r>
        <w:r w:rsidR="00C01D34">
          <w:rPr>
            <w:noProof/>
            <w:webHidden/>
          </w:rPr>
          <w:tab/>
        </w:r>
        <w:r w:rsidR="00C01D34">
          <w:rPr>
            <w:noProof/>
            <w:webHidden/>
          </w:rPr>
          <w:fldChar w:fldCharType="begin"/>
        </w:r>
        <w:r w:rsidR="00C01D34">
          <w:rPr>
            <w:noProof/>
            <w:webHidden/>
          </w:rPr>
          <w:instrText xml:space="preserve"> PAGEREF _Toc7787728 \h </w:instrText>
        </w:r>
        <w:r w:rsidR="00C01D34">
          <w:rPr>
            <w:noProof/>
            <w:webHidden/>
          </w:rPr>
        </w:r>
        <w:r w:rsidR="00C01D34">
          <w:rPr>
            <w:noProof/>
            <w:webHidden/>
          </w:rPr>
          <w:fldChar w:fldCharType="separate"/>
        </w:r>
        <w:r w:rsidR="00C01D34">
          <w:rPr>
            <w:noProof/>
            <w:webHidden/>
          </w:rPr>
          <w:t>4</w:t>
        </w:r>
        <w:r w:rsidR="00C01D34">
          <w:rPr>
            <w:noProof/>
            <w:webHidden/>
          </w:rPr>
          <w:fldChar w:fldCharType="end"/>
        </w:r>
      </w:hyperlink>
    </w:p>
    <w:p w14:paraId="55367F12" w14:textId="2FE7C82F" w:rsidR="00C01D34" w:rsidRDefault="00306DF3">
      <w:pPr>
        <w:pStyle w:val="TOC1"/>
        <w:rPr>
          <w:rFonts w:asciiTheme="minorHAnsi" w:eastAsiaTheme="minorEastAsia" w:hAnsiTheme="minorHAnsi" w:cstheme="minorBidi"/>
          <w:b w:val="0"/>
          <w:noProof/>
          <w:sz w:val="22"/>
          <w:lang w:eastAsia="en-AU"/>
        </w:rPr>
      </w:pPr>
      <w:hyperlink w:anchor="_Toc7787729" w:history="1">
        <w:r w:rsidR="00C01D34" w:rsidRPr="00C42058">
          <w:rPr>
            <w:rStyle w:val="Hyperlink"/>
            <w:noProof/>
          </w:rPr>
          <w:t>Overview</w:t>
        </w:r>
        <w:r w:rsidR="00C01D34">
          <w:rPr>
            <w:noProof/>
            <w:webHidden/>
          </w:rPr>
          <w:tab/>
        </w:r>
        <w:r w:rsidR="00C01D34">
          <w:rPr>
            <w:noProof/>
            <w:webHidden/>
          </w:rPr>
          <w:fldChar w:fldCharType="begin"/>
        </w:r>
        <w:r w:rsidR="00C01D34">
          <w:rPr>
            <w:noProof/>
            <w:webHidden/>
          </w:rPr>
          <w:instrText xml:space="preserve"> PAGEREF _Toc7787729 \h </w:instrText>
        </w:r>
        <w:r w:rsidR="00C01D34">
          <w:rPr>
            <w:noProof/>
            <w:webHidden/>
          </w:rPr>
        </w:r>
        <w:r w:rsidR="00C01D34">
          <w:rPr>
            <w:noProof/>
            <w:webHidden/>
          </w:rPr>
          <w:fldChar w:fldCharType="separate"/>
        </w:r>
        <w:r w:rsidR="00C01D34">
          <w:rPr>
            <w:noProof/>
            <w:webHidden/>
          </w:rPr>
          <w:t>5</w:t>
        </w:r>
        <w:r w:rsidR="00C01D34">
          <w:rPr>
            <w:noProof/>
            <w:webHidden/>
          </w:rPr>
          <w:fldChar w:fldCharType="end"/>
        </w:r>
      </w:hyperlink>
    </w:p>
    <w:p w14:paraId="26B5B36D" w14:textId="6C0335B6" w:rsidR="00C01D34" w:rsidRDefault="00306DF3">
      <w:pPr>
        <w:pStyle w:val="TOC1"/>
        <w:rPr>
          <w:rFonts w:asciiTheme="minorHAnsi" w:eastAsiaTheme="minorEastAsia" w:hAnsiTheme="minorHAnsi" w:cstheme="minorBidi"/>
          <w:b w:val="0"/>
          <w:noProof/>
          <w:sz w:val="22"/>
          <w:lang w:eastAsia="en-AU"/>
        </w:rPr>
      </w:pPr>
      <w:hyperlink w:anchor="_Toc7787730" w:history="1">
        <w:r w:rsidR="00C01D34" w:rsidRPr="00C42058">
          <w:rPr>
            <w:rStyle w:val="Hyperlink"/>
            <w:noProof/>
          </w:rPr>
          <w:t>Recommendations</w:t>
        </w:r>
        <w:r w:rsidR="00C01D34">
          <w:rPr>
            <w:noProof/>
            <w:webHidden/>
          </w:rPr>
          <w:tab/>
        </w:r>
        <w:r w:rsidR="00C01D34">
          <w:rPr>
            <w:noProof/>
            <w:webHidden/>
          </w:rPr>
          <w:fldChar w:fldCharType="begin"/>
        </w:r>
        <w:r w:rsidR="00C01D34">
          <w:rPr>
            <w:noProof/>
            <w:webHidden/>
          </w:rPr>
          <w:instrText xml:space="preserve"> PAGEREF _Toc7787730 \h </w:instrText>
        </w:r>
        <w:r w:rsidR="00C01D34">
          <w:rPr>
            <w:noProof/>
            <w:webHidden/>
          </w:rPr>
        </w:r>
        <w:r w:rsidR="00C01D34">
          <w:rPr>
            <w:noProof/>
            <w:webHidden/>
          </w:rPr>
          <w:fldChar w:fldCharType="separate"/>
        </w:r>
        <w:r w:rsidR="00C01D34">
          <w:rPr>
            <w:noProof/>
            <w:webHidden/>
          </w:rPr>
          <w:t>6</w:t>
        </w:r>
        <w:r w:rsidR="00C01D34">
          <w:rPr>
            <w:noProof/>
            <w:webHidden/>
          </w:rPr>
          <w:fldChar w:fldCharType="end"/>
        </w:r>
      </w:hyperlink>
    </w:p>
    <w:p w14:paraId="23B126EE" w14:textId="3E54AC2B" w:rsidR="00C01D34" w:rsidRDefault="00306DF3">
      <w:pPr>
        <w:pStyle w:val="TOC1"/>
        <w:rPr>
          <w:rFonts w:asciiTheme="minorHAnsi" w:eastAsiaTheme="minorEastAsia" w:hAnsiTheme="minorHAnsi" w:cstheme="minorBidi"/>
          <w:b w:val="0"/>
          <w:noProof/>
          <w:sz w:val="22"/>
          <w:lang w:eastAsia="en-AU"/>
        </w:rPr>
      </w:pPr>
      <w:hyperlink w:anchor="_Toc7787731" w:history="1">
        <w:r w:rsidR="00C01D34" w:rsidRPr="00C42058">
          <w:rPr>
            <w:rStyle w:val="Hyperlink"/>
            <w:noProof/>
          </w:rPr>
          <w:t>Introduction</w:t>
        </w:r>
        <w:r w:rsidR="00C01D34">
          <w:rPr>
            <w:noProof/>
            <w:webHidden/>
          </w:rPr>
          <w:tab/>
        </w:r>
        <w:r w:rsidR="00C01D34">
          <w:rPr>
            <w:noProof/>
            <w:webHidden/>
          </w:rPr>
          <w:fldChar w:fldCharType="begin"/>
        </w:r>
        <w:r w:rsidR="00C01D34">
          <w:rPr>
            <w:noProof/>
            <w:webHidden/>
          </w:rPr>
          <w:instrText xml:space="preserve"> PAGEREF _Toc7787731 \h </w:instrText>
        </w:r>
        <w:r w:rsidR="00C01D34">
          <w:rPr>
            <w:noProof/>
            <w:webHidden/>
          </w:rPr>
        </w:r>
        <w:r w:rsidR="00C01D34">
          <w:rPr>
            <w:noProof/>
            <w:webHidden/>
          </w:rPr>
          <w:fldChar w:fldCharType="separate"/>
        </w:r>
        <w:r w:rsidR="00C01D34">
          <w:rPr>
            <w:noProof/>
            <w:webHidden/>
          </w:rPr>
          <w:t>8</w:t>
        </w:r>
        <w:r w:rsidR="00C01D34">
          <w:rPr>
            <w:noProof/>
            <w:webHidden/>
          </w:rPr>
          <w:fldChar w:fldCharType="end"/>
        </w:r>
      </w:hyperlink>
    </w:p>
    <w:p w14:paraId="5E2F3321" w14:textId="1598B8F5" w:rsidR="00C01D34" w:rsidRDefault="00306DF3">
      <w:pPr>
        <w:pStyle w:val="TOC1"/>
        <w:rPr>
          <w:rFonts w:asciiTheme="minorHAnsi" w:eastAsiaTheme="minorEastAsia" w:hAnsiTheme="minorHAnsi" w:cstheme="minorBidi"/>
          <w:b w:val="0"/>
          <w:noProof/>
          <w:sz w:val="22"/>
          <w:lang w:eastAsia="en-AU"/>
        </w:rPr>
      </w:pPr>
      <w:hyperlink w:anchor="_Toc7787732" w:history="1">
        <w:r w:rsidR="00C01D34" w:rsidRPr="00C42058">
          <w:rPr>
            <w:rStyle w:val="Hyperlink"/>
            <w:noProof/>
          </w:rPr>
          <w:t>Tracking changes in the price of key goods and services: CPI</w:t>
        </w:r>
        <w:r w:rsidR="00C01D34">
          <w:rPr>
            <w:noProof/>
            <w:webHidden/>
          </w:rPr>
          <w:tab/>
        </w:r>
        <w:r w:rsidR="00C01D34">
          <w:rPr>
            <w:noProof/>
            <w:webHidden/>
          </w:rPr>
          <w:fldChar w:fldCharType="begin"/>
        </w:r>
        <w:r w:rsidR="00C01D34">
          <w:rPr>
            <w:noProof/>
            <w:webHidden/>
          </w:rPr>
          <w:instrText xml:space="preserve"> PAGEREF _Toc7787732 \h </w:instrText>
        </w:r>
        <w:r w:rsidR="00C01D34">
          <w:rPr>
            <w:noProof/>
            <w:webHidden/>
          </w:rPr>
        </w:r>
        <w:r w:rsidR="00C01D34">
          <w:rPr>
            <w:noProof/>
            <w:webHidden/>
          </w:rPr>
          <w:fldChar w:fldCharType="separate"/>
        </w:r>
        <w:r w:rsidR="00C01D34">
          <w:rPr>
            <w:noProof/>
            <w:webHidden/>
          </w:rPr>
          <w:t>9</w:t>
        </w:r>
        <w:r w:rsidR="00C01D34">
          <w:rPr>
            <w:noProof/>
            <w:webHidden/>
          </w:rPr>
          <w:fldChar w:fldCharType="end"/>
        </w:r>
      </w:hyperlink>
    </w:p>
    <w:p w14:paraId="53C95B71" w14:textId="5C6502E6" w:rsidR="00C01D34" w:rsidRDefault="00306DF3">
      <w:pPr>
        <w:pStyle w:val="TOC2"/>
        <w:rPr>
          <w:rFonts w:asciiTheme="minorHAnsi" w:eastAsiaTheme="minorEastAsia" w:hAnsiTheme="minorHAnsi" w:cstheme="minorBidi"/>
          <w:noProof/>
          <w:sz w:val="22"/>
          <w:lang w:eastAsia="en-AU"/>
        </w:rPr>
      </w:pPr>
      <w:hyperlink w:anchor="_Toc7787733" w:history="1">
        <w:r w:rsidR="00C01D34" w:rsidRPr="00C42058">
          <w:rPr>
            <w:rStyle w:val="Hyperlink"/>
            <w:noProof/>
          </w:rPr>
          <w:t>Fuel prices</w:t>
        </w:r>
        <w:r w:rsidR="00C01D34">
          <w:rPr>
            <w:noProof/>
            <w:webHidden/>
          </w:rPr>
          <w:tab/>
        </w:r>
        <w:r w:rsidR="00C01D34">
          <w:rPr>
            <w:noProof/>
            <w:webHidden/>
          </w:rPr>
          <w:fldChar w:fldCharType="begin"/>
        </w:r>
        <w:r w:rsidR="00C01D34">
          <w:rPr>
            <w:noProof/>
            <w:webHidden/>
          </w:rPr>
          <w:instrText xml:space="preserve"> PAGEREF _Toc7787733 \h </w:instrText>
        </w:r>
        <w:r w:rsidR="00C01D34">
          <w:rPr>
            <w:noProof/>
            <w:webHidden/>
          </w:rPr>
        </w:r>
        <w:r w:rsidR="00C01D34">
          <w:rPr>
            <w:noProof/>
            <w:webHidden/>
          </w:rPr>
          <w:fldChar w:fldCharType="separate"/>
        </w:r>
        <w:r w:rsidR="00C01D34">
          <w:rPr>
            <w:noProof/>
            <w:webHidden/>
          </w:rPr>
          <w:t>11</w:t>
        </w:r>
        <w:r w:rsidR="00C01D34">
          <w:rPr>
            <w:noProof/>
            <w:webHidden/>
          </w:rPr>
          <w:fldChar w:fldCharType="end"/>
        </w:r>
      </w:hyperlink>
    </w:p>
    <w:p w14:paraId="6EC5F1D0" w14:textId="4FD37CB8" w:rsidR="00C01D34" w:rsidRDefault="00306DF3">
      <w:pPr>
        <w:pStyle w:val="TOC2"/>
        <w:rPr>
          <w:rFonts w:asciiTheme="minorHAnsi" w:eastAsiaTheme="minorEastAsia" w:hAnsiTheme="minorHAnsi" w:cstheme="minorBidi"/>
          <w:noProof/>
          <w:sz w:val="22"/>
          <w:lang w:eastAsia="en-AU"/>
        </w:rPr>
      </w:pPr>
      <w:hyperlink w:anchor="_Toc7787734" w:history="1">
        <w:r w:rsidR="00C01D34" w:rsidRPr="00C42058">
          <w:rPr>
            <w:rStyle w:val="Hyperlink"/>
            <w:noProof/>
          </w:rPr>
          <w:t>Energy prices</w:t>
        </w:r>
        <w:r w:rsidR="00C01D34">
          <w:rPr>
            <w:noProof/>
            <w:webHidden/>
          </w:rPr>
          <w:tab/>
        </w:r>
        <w:r w:rsidR="00C01D34">
          <w:rPr>
            <w:noProof/>
            <w:webHidden/>
          </w:rPr>
          <w:fldChar w:fldCharType="begin"/>
        </w:r>
        <w:r w:rsidR="00C01D34">
          <w:rPr>
            <w:noProof/>
            <w:webHidden/>
          </w:rPr>
          <w:instrText xml:space="preserve"> PAGEREF _Toc7787734 \h </w:instrText>
        </w:r>
        <w:r w:rsidR="00C01D34">
          <w:rPr>
            <w:noProof/>
            <w:webHidden/>
          </w:rPr>
        </w:r>
        <w:r w:rsidR="00C01D34">
          <w:rPr>
            <w:noProof/>
            <w:webHidden/>
          </w:rPr>
          <w:fldChar w:fldCharType="separate"/>
        </w:r>
        <w:r w:rsidR="00C01D34">
          <w:rPr>
            <w:noProof/>
            <w:webHidden/>
          </w:rPr>
          <w:t>13</w:t>
        </w:r>
        <w:r w:rsidR="00C01D34">
          <w:rPr>
            <w:noProof/>
            <w:webHidden/>
          </w:rPr>
          <w:fldChar w:fldCharType="end"/>
        </w:r>
      </w:hyperlink>
    </w:p>
    <w:p w14:paraId="3ADAAAC1" w14:textId="7CAEEA31" w:rsidR="00C01D34" w:rsidRDefault="00306DF3">
      <w:pPr>
        <w:pStyle w:val="TOC1"/>
        <w:rPr>
          <w:rFonts w:asciiTheme="minorHAnsi" w:eastAsiaTheme="minorEastAsia" w:hAnsiTheme="minorHAnsi" w:cstheme="minorBidi"/>
          <w:b w:val="0"/>
          <w:noProof/>
          <w:sz w:val="22"/>
          <w:lang w:eastAsia="en-AU"/>
        </w:rPr>
      </w:pPr>
      <w:hyperlink w:anchor="_Toc7787735" w:history="1">
        <w:r w:rsidR="00C01D34" w:rsidRPr="00C42058">
          <w:rPr>
            <w:rStyle w:val="Hyperlink"/>
            <w:noProof/>
          </w:rPr>
          <w:t xml:space="preserve">Tracking changes in the cost of living for </w:t>
        </w:r>
        <w:r w:rsidR="004A2C73">
          <w:rPr>
            <w:rStyle w:val="Hyperlink"/>
            <w:noProof/>
          </w:rPr>
          <w:br/>
        </w:r>
        <w:r w:rsidR="00C01D34" w:rsidRPr="00C42058">
          <w:rPr>
            <w:rStyle w:val="Hyperlink"/>
            <w:noProof/>
          </w:rPr>
          <w:t>low-income households: SLCI</w:t>
        </w:r>
        <w:r w:rsidR="00C01D34">
          <w:rPr>
            <w:noProof/>
            <w:webHidden/>
          </w:rPr>
          <w:tab/>
        </w:r>
        <w:r w:rsidR="00C01D34">
          <w:rPr>
            <w:noProof/>
            <w:webHidden/>
          </w:rPr>
          <w:fldChar w:fldCharType="begin"/>
        </w:r>
        <w:r w:rsidR="00C01D34">
          <w:rPr>
            <w:noProof/>
            <w:webHidden/>
          </w:rPr>
          <w:instrText xml:space="preserve"> PAGEREF _Toc7787735 \h </w:instrText>
        </w:r>
        <w:r w:rsidR="00C01D34">
          <w:rPr>
            <w:noProof/>
            <w:webHidden/>
          </w:rPr>
        </w:r>
        <w:r w:rsidR="00C01D34">
          <w:rPr>
            <w:noProof/>
            <w:webHidden/>
          </w:rPr>
          <w:fldChar w:fldCharType="separate"/>
        </w:r>
        <w:r w:rsidR="00C01D34">
          <w:rPr>
            <w:noProof/>
            <w:webHidden/>
          </w:rPr>
          <w:t>15</w:t>
        </w:r>
        <w:r w:rsidR="00C01D34">
          <w:rPr>
            <w:noProof/>
            <w:webHidden/>
          </w:rPr>
          <w:fldChar w:fldCharType="end"/>
        </w:r>
      </w:hyperlink>
    </w:p>
    <w:p w14:paraId="71D5810E" w14:textId="18FCFE18" w:rsidR="00C01D34" w:rsidRDefault="00306DF3">
      <w:pPr>
        <w:pStyle w:val="TOC1"/>
        <w:rPr>
          <w:rFonts w:asciiTheme="minorHAnsi" w:eastAsiaTheme="minorEastAsia" w:hAnsiTheme="minorHAnsi" w:cstheme="minorBidi"/>
          <w:b w:val="0"/>
          <w:noProof/>
          <w:sz w:val="22"/>
          <w:lang w:eastAsia="en-AU"/>
        </w:rPr>
      </w:pPr>
      <w:hyperlink w:anchor="_Toc7787736" w:history="1">
        <w:r w:rsidR="00C01D34" w:rsidRPr="00C42058">
          <w:rPr>
            <w:rStyle w:val="Hyperlink"/>
            <w:noProof/>
          </w:rPr>
          <w:t>Appendix: Explanatory Notes</w:t>
        </w:r>
        <w:r w:rsidR="00C01D34">
          <w:rPr>
            <w:noProof/>
            <w:webHidden/>
          </w:rPr>
          <w:tab/>
        </w:r>
        <w:r w:rsidR="00C01D34">
          <w:rPr>
            <w:noProof/>
            <w:webHidden/>
          </w:rPr>
          <w:fldChar w:fldCharType="begin"/>
        </w:r>
        <w:r w:rsidR="00C01D34">
          <w:rPr>
            <w:noProof/>
            <w:webHidden/>
          </w:rPr>
          <w:instrText xml:space="preserve"> PAGEREF _Toc7787736 \h </w:instrText>
        </w:r>
        <w:r w:rsidR="00C01D34">
          <w:rPr>
            <w:noProof/>
            <w:webHidden/>
          </w:rPr>
        </w:r>
        <w:r w:rsidR="00C01D34">
          <w:rPr>
            <w:noProof/>
            <w:webHidden/>
          </w:rPr>
          <w:fldChar w:fldCharType="separate"/>
        </w:r>
        <w:r w:rsidR="00C01D34">
          <w:rPr>
            <w:noProof/>
            <w:webHidden/>
          </w:rPr>
          <w:t>20</w:t>
        </w:r>
        <w:r w:rsidR="00C01D34">
          <w:rPr>
            <w:noProof/>
            <w:webHidden/>
          </w:rPr>
          <w:fldChar w:fldCharType="end"/>
        </w:r>
      </w:hyperlink>
    </w:p>
    <w:p w14:paraId="26C4F936" w14:textId="6490926D" w:rsidR="00C01D34" w:rsidRDefault="00306DF3">
      <w:pPr>
        <w:pStyle w:val="TOC2"/>
        <w:rPr>
          <w:rFonts w:asciiTheme="minorHAnsi" w:eastAsiaTheme="minorEastAsia" w:hAnsiTheme="minorHAnsi" w:cstheme="minorBidi"/>
          <w:noProof/>
          <w:sz w:val="22"/>
          <w:lang w:eastAsia="en-AU"/>
        </w:rPr>
      </w:pPr>
      <w:hyperlink w:anchor="_Toc7787737" w:history="1">
        <w:r w:rsidR="00C01D34" w:rsidRPr="00C42058">
          <w:rPr>
            <w:rStyle w:val="Hyperlink"/>
            <w:noProof/>
          </w:rPr>
          <w:t>Consumer Price Index and Selected Living Cost Indexes</w:t>
        </w:r>
        <w:r w:rsidR="00C01D34">
          <w:rPr>
            <w:noProof/>
            <w:webHidden/>
          </w:rPr>
          <w:tab/>
        </w:r>
        <w:r w:rsidR="00C01D34">
          <w:rPr>
            <w:noProof/>
            <w:webHidden/>
          </w:rPr>
          <w:fldChar w:fldCharType="begin"/>
        </w:r>
        <w:r w:rsidR="00C01D34">
          <w:rPr>
            <w:noProof/>
            <w:webHidden/>
          </w:rPr>
          <w:instrText xml:space="preserve"> PAGEREF _Toc7787737 \h </w:instrText>
        </w:r>
        <w:r w:rsidR="00C01D34">
          <w:rPr>
            <w:noProof/>
            <w:webHidden/>
          </w:rPr>
        </w:r>
        <w:r w:rsidR="00C01D34">
          <w:rPr>
            <w:noProof/>
            <w:webHidden/>
          </w:rPr>
          <w:fldChar w:fldCharType="separate"/>
        </w:r>
        <w:r w:rsidR="00C01D34">
          <w:rPr>
            <w:noProof/>
            <w:webHidden/>
          </w:rPr>
          <w:t>20</w:t>
        </w:r>
        <w:r w:rsidR="00C01D34">
          <w:rPr>
            <w:noProof/>
            <w:webHidden/>
          </w:rPr>
          <w:fldChar w:fldCharType="end"/>
        </w:r>
      </w:hyperlink>
    </w:p>
    <w:p w14:paraId="6D9961A9" w14:textId="4E7316C3" w:rsidR="00C01D34" w:rsidRDefault="00306DF3">
      <w:pPr>
        <w:pStyle w:val="TOC2"/>
        <w:rPr>
          <w:rFonts w:asciiTheme="minorHAnsi" w:eastAsiaTheme="minorEastAsia" w:hAnsiTheme="minorHAnsi" w:cstheme="minorBidi"/>
          <w:noProof/>
          <w:sz w:val="22"/>
          <w:lang w:eastAsia="en-AU"/>
        </w:rPr>
      </w:pPr>
      <w:hyperlink w:anchor="_Toc7787738" w:history="1">
        <w:r w:rsidR="00C01D34" w:rsidRPr="00C42058">
          <w:rPr>
            <w:rStyle w:val="Hyperlink"/>
            <w:noProof/>
          </w:rPr>
          <w:t>Limitations of the Selected Living Cost Indexes</w:t>
        </w:r>
        <w:r w:rsidR="00C01D34">
          <w:rPr>
            <w:noProof/>
            <w:webHidden/>
          </w:rPr>
          <w:tab/>
        </w:r>
        <w:r w:rsidR="00C01D34">
          <w:rPr>
            <w:noProof/>
            <w:webHidden/>
          </w:rPr>
          <w:fldChar w:fldCharType="begin"/>
        </w:r>
        <w:r w:rsidR="00C01D34">
          <w:rPr>
            <w:noProof/>
            <w:webHidden/>
          </w:rPr>
          <w:instrText xml:space="preserve"> PAGEREF _Toc7787738 \h </w:instrText>
        </w:r>
        <w:r w:rsidR="00C01D34">
          <w:rPr>
            <w:noProof/>
            <w:webHidden/>
          </w:rPr>
        </w:r>
        <w:r w:rsidR="00C01D34">
          <w:rPr>
            <w:noProof/>
            <w:webHidden/>
          </w:rPr>
          <w:fldChar w:fldCharType="separate"/>
        </w:r>
        <w:r w:rsidR="00C01D34">
          <w:rPr>
            <w:noProof/>
            <w:webHidden/>
          </w:rPr>
          <w:t>20</w:t>
        </w:r>
        <w:r w:rsidR="00C01D34">
          <w:rPr>
            <w:noProof/>
            <w:webHidden/>
          </w:rPr>
          <w:fldChar w:fldCharType="end"/>
        </w:r>
      </w:hyperlink>
    </w:p>
    <w:p w14:paraId="30447074" w14:textId="7C05BE68" w:rsidR="00C01D34" w:rsidRDefault="00306DF3">
      <w:pPr>
        <w:pStyle w:val="TOC2"/>
        <w:rPr>
          <w:rFonts w:asciiTheme="minorHAnsi" w:eastAsiaTheme="minorEastAsia" w:hAnsiTheme="minorHAnsi" w:cstheme="minorBidi"/>
          <w:noProof/>
          <w:sz w:val="22"/>
          <w:lang w:eastAsia="en-AU"/>
        </w:rPr>
      </w:pPr>
      <w:hyperlink w:anchor="_Toc7787739" w:history="1">
        <w:r w:rsidR="00C01D34" w:rsidRPr="00C42058">
          <w:rPr>
            <w:rStyle w:val="Hyperlink"/>
            <w:noProof/>
          </w:rPr>
          <w:t xml:space="preserve">Income support payment calculations – </w:t>
        </w:r>
        <w:r w:rsidR="004502BA">
          <w:rPr>
            <w:rStyle w:val="Hyperlink"/>
            <w:noProof/>
          </w:rPr>
          <w:br/>
        </w:r>
        <w:r w:rsidR="00C01D34" w:rsidRPr="00C42058">
          <w:rPr>
            <w:rStyle w:val="Hyperlink"/>
            <w:noProof/>
          </w:rPr>
          <w:t>December 2017 to December 2018</w:t>
        </w:r>
        <w:r w:rsidR="00C01D34">
          <w:rPr>
            <w:noProof/>
            <w:webHidden/>
          </w:rPr>
          <w:tab/>
        </w:r>
        <w:r w:rsidR="00C01D34">
          <w:rPr>
            <w:noProof/>
            <w:webHidden/>
          </w:rPr>
          <w:fldChar w:fldCharType="begin"/>
        </w:r>
        <w:r w:rsidR="00C01D34">
          <w:rPr>
            <w:noProof/>
            <w:webHidden/>
          </w:rPr>
          <w:instrText xml:space="preserve"> PAGEREF _Toc7787739 \h </w:instrText>
        </w:r>
        <w:r w:rsidR="00C01D34">
          <w:rPr>
            <w:noProof/>
            <w:webHidden/>
          </w:rPr>
        </w:r>
        <w:r w:rsidR="00C01D34">
          <w:rPr>
            <w:noProof/>
            <w:webHidden/>
          </w:rPr>
          <w:fldChar w:fldCharType="separate"/>
        </w:r>
        <w:r w:rsidR="00C01D34">
          <w:rPr>
            <w:noProof/>
            <w:webHidden/>
          </w:rPr>
          <w:t>21</w:t>
        </w:r>
        <w:r w:rsidR="00C01D34">
          <w:rPr>
            <w:noProof/>
            <w:webHidden/>
          </w:rPr>
          <w:fldChar w:fldCharType="end"/>
        </w:r>
      </w:hyperlink>
    </w:p>
    <w:p w14:paraId="4C9AE6E2" w14:textId="2992BFE7" w:rsidR="00C01D34" w:rsidRDefault="00306DF3">
      <w:pPr>
        <w:pStyle w:val="TOC2"/>
        <w:rPr>
          <w:rFonts w:asciiTheme="minorHAnsi" w:eastAsiaTheme="minorEastAsia" w:hAnsiTheme="minorHAnsi" w:cstheme="minorBidi"/>
          <w:noProof/>
          <w:sz w:val="22"/>
          <w:lang w:eastAsia="en-AU"/>
        </w:rPr>
      </w:pPr>
      <w:hyperlink w:anchor="_Toc7787740" w:history="1">
        <w:r w:rsidR="00C01D34" w:rsidRPr="00C42058">
          <w:rPr>
            <w:rStyle w:val="Hyperlink"/>
            <w:noProof/>
          </w:rPr>
          <w:t>How Pension rates are adjusted</w:t>
        </w:r>
        <w:r w:rsidR="00C01D34">
          <w:rPr>
            <w:noProof/>
            <w:webHidden/>
          </w:rPr>
          <w:tab/>
        </w:r>
        <w:r w:rsidR="00C01D34">
          <w:rPr>
            <w:noProof/>
            <w:webHidden/>
          </w:rPr>
          <w:fldChar w:fldCharType="begin"/>
        </w:r>
        <w:r w:rsidR="00C01D34">
          <w:rPr>
            <w:noProof/>
            <w:webHidden/>
          </w:rPr>
          <w:instrText xml:space="preserve"> PAGEREF _Toc7787740 \h </w:instrText>
        </w:r>
        <w:r w:rsidR="00C01D34">
          <w:rPr>
            <w:noProof/>
            <w:webHidden/>
          </w:rPr>
        </w:r>
        <w:r w:rsidR="00C01D34">
          <w:rPr>
            <w:noProof/>
            <w:webHidden/>
          </w:rPr>
          <w:fldChar w:fldCharType="separate"/>
        </w:r>
        <w:r w:rsidR="00C01D34">
          <w:rPr>
            <w:noProof/>
            <w:webHidden/>
          </w:rPr>
          <w:t>22</w:t>
        </w:r>
        <w:r w:rsidR="00C01D34">
          <w:rPr>
            <w:noProof/>
            <w:webHidden/>
          </w:rPr>
          <w:fldChar w:fldCharType="end"/>
        </w:r>
      </w:hyperlink>
    </w:p>
    <w:p w14:paraId="4F93FAA1" w14:textId="6B717E43" w:rsidR="00AB255D" w:rsidRPr="00CA7855" w:rsidRDefault="00AB255D" w:rsidP="00F62238">
      <w:pPr>
        <w:pStyle w:val="BodyText"/>
      </w:pPr>
      <w:r w:rsidRPr="00CA7855">
        <w:fldChar w:fldCharType="end"/>
      </w:r>
    </w:p>
    <w:p w14:paraId="7B02E4FA" w14:textId="77777777" w:rsidR="00AB255D" w:rsidRPr="00CA7855" w:rsidRDefault="00AB255D" w:rsidP="00AB255D">
      <w:pPr>
        <w:pStyle w:val="Heading1-Pagebreakbefore"/>
      </w:pPr>
      <w:bookmarkStart w:id="1" w:name="_Toc7787728"/>
      <w:r w:rsidRPr="00CA7855">
        <w:lastRenderedPageBreak/>
        <w:t>Acronyms</w:t>
      </w:r>
      <w:bookmarkEnd w:id="1"/>
    </w:p>
    <w:p w14:paraId="0A1C80D2" w14:textId="4FD8E8FC" w:rsidR="002359E8" w:rsidRDefault="002359E8" w:rsidP="00AB255D">
      <w:pPr>
        <w:pStyle w:val="AcronymsList"/>
      </w:pPr>
      <w:r>
        <w:t>ABS</w:t>
      </w:r>
      <w:r>
        <w:tab/>
        <w:t>Australian Bureau of Statistics</w:t>
      </w:r>
    </w:p>
    <w:p w14:paraId="2D7A0D71" w14:textId="51FBC731" w:rsidR="00975215" w:rsidRDefault="00975215" w:rsidP="00AB255D">
      <w:pPr>
        <w:pStyle w:val="AcronymsList"/>
      </w:pPr>
      <w:r>
        <w:t>ACOSS</w:t>
      </w:r>
      <w:r>
        <w:tab/>
        <w:t>Australian Council of Social Service</w:t>
      </w:r>
    </w:p>
    <w:p w14:paraId="4315846F" w14:textId="31255FE4" w:rsidR="003E618E" w:rsidRDefault="003E618E" w:rsidP="00AB255D">
      <w:pPr>
        <w:pStyle w:val="AcronymsList"/>
      </w:pPr>
      <w:r w:rsidRPr="003E618E">
        <w:t>ACT</w:t>
      </w:r>
      <w:r w:rsidRPr="003E618E">
        <w:tab/>
        <w:t>Australian Capital Territory</w:t>
      </w:r>
    </w:p>
    <w:p w14:paraId="391739A4" w14:textId="34A8D53F" w:rsidR="00AB255D" w:rsidRDefault="00703089" w:rsidP="00AB255D">
      <w:pPr>
        <w:pStyle w:val="AcronymsList"/>
      </w:pPr>
      <w:r>
        <w:t>ACTCOSS</w:t>
      </w:r>
      <w:r>
        <w:tab/>
        <w:t>ACT Council of S</w:t>
      </w:r>
      <w:r w:rsidR="00AB255D" w:rsidRPr="00CA7855">
        <w:t>ocial Service Inc.</w:t>
      </w:r>
    </w:p>
    <w:p w14:paraId="4C09AA4D" w14:textId="3FC0D7FE" w:rsidR="00B42C96" w:rsidRDefault="00B42C96" w:rsidP="00AB255D">
      <w:pPr>
        <w:pStyle w:val="AcronymsList"/>
      </w:pPr>
      <w:r w:rsidRPr="00B42C96">
        <w:t>AMC</w:t>
      </w:r>
      <w:r w:rsidRPr="00B42C96">
        <w:tab/>
        <w:t>Alexander Maconochie Centre</w:t>
      </w:r>
    </w:p>
    <w:p w14:paraId="6C06DCC6" w14:textId="253CDADF" w:rsidR="002359E8" w:rsidRDefault="002359E8" w:rsidP="00AB255D">
      <w:pPr>
        <w:pStyle w:val="AcronymsList"/>
      </w:pPr>
      <w:r>
        <w:t>CPI</w:t>
      </w:r>
      <w:r>
        <w:tab/>
        <w:t>Consumer Price Index</w:t>
      </w:r>
    </w:p>
    <w:p w14:paraId="2AA55B6E" w14:textId="49E5D6FB" w:rsidR="006356FC" w:rsidRDefault="006356FC" w:rsidP="00AB255D">
      <w:pPr>
        <w:pStyle w:val="AcronymsList"/>
      </w:pPr>
      <w:proofErr w:type="spellStart"/>
      <w:r>
        <w:t>LCI</w:t>
      </w:r>
      <w:proofErr w:type="spellEnd"/>
      <w:r>
        <w:tab/>
        <w:t>Living Cost Index</w:t>
      </w:r>
    </w:p>
    <w:p w14:paraId="7C136C95" w14:textId="63C204BE" w:rsidR="006356FC" w:rsidRDefault="006356FC" w:rsidP="00AB255D">
      <w:pPr>
        <w:pStyle w:val="AcronymsList"/>
      </w:pPr>
      <w:proofErr w:type="spellStart"/>
      <w:r>
        <w:t>SACOSS</w:t>
      </w:r>
      <w:proofErr w:type="spellEnd"/>
      <w:r>
        <w:tab/>
        <w:t>South Australian Council of Social Service</w:t>
      </w:r>
    </w:p>
    <w:p w14:paraId="3232FFA9" w14:textId="49E5830E" w:rsidR="002359E8" w:rsidRPr="00CA7855" w:rsidRDefault="002359E8" w:rsidP="00AB255D">
      <w:pPr>
        <w:pStyle w:val="AcronymsList"/>
      </w:pPr>
      <w:proofErr w:type="spellStart"/>
      <w:r>
        <w:t>SLCI</w:t>
      </w:r>
      <w:proofErr w:type="spellEnd"/>
      <w:r>
        <w:tab/>
        <w:t>Selected Living Cost Indexes</w:t>
      </w:r>
    </w:p>
    <w:p w14:paraId="662FA388" w14:textId="2D5C9D5A" w:rsidR="00670C5A" w:rsidRDefault="00670C5A" w:rsidP="00F54FAF">
      <w:pPr>
        <w:pStyle w:val="Heading1-Pagebreakbefore"/>
      </w:pPr>
      <w:bookmarkStart w:id="2" w:name="_Toc7787729"/>
      <w:r>
        <w:lastRenderedPageBreak/>
        <w:t>Overview</w:t>
      </w:r>
      <w:bookmarkEnd w:id="2"/>
    </w:p>
    <w:p w14:paraId="3CD98F4B" w14:textId="77777777" w:rsidR="00670C5A" w:rsidRDefault="00670C5A" w:rsidP="00670C5A">
      <w:pPr>
        <w:pStyle w:val="BodyText"/>
      </w:pPr>
      <w:r w:rsidRPr="004D5640">
        <w:t>Canberra’s overall CPI has continued to increase above the national rate</w:t>
      </w:r>
      <w:r>
        <w:t xml:space="preserve"> over the past year.</w:t>
      </w:r>
      <w:r w:rsidRPr="004D5640">
        <w:t xml:space="preserve"> Across most essential goods and services, prices in the ACT rose above the national rate</w:t>
      </w:r>
      <w:r>
        <w:t>. F</w:t>
      </w:r>
      <w:r w:rsidRPr="004D5640">
        <w:t xml:space="preserve">uel prices </w:t>
      </w:r>
      <w:r>
        <w:t xml:space="preserve">in Canberra rose by 15% over the past year and have risen by 30% over the past decade – the </w:t>
      </w:r>
      <w:r w:rsidRPr="004D5640">
        <w:t>highest rate of any Australian capital city</w:t>
      </w:r>
      <w:r>
        <w:t xml:space="preserve">. </w:t>
      </w:r>
      <w:r w:rsidRPr="004D5640">
        <w:t>Energy prices in the ACT also continued to increase well above the national rate.</w:t>
      </w:r>
      <w:r>
        <w:t xml:space="preserve"> The r</w:t>
      </w:r>
      <w:r w:rsidRPr="005B1750">
        <w:t>ising</w:t>
      </w:r>
      <w:r>
        <w:t xml:space="preserve"> and relatively high</w:t>
      </w:r>
      <w:r w:rsidRPr="005B1750">
        <w:t xml:space="preserve"> cost of </w:t>
      </w:r>
      <w:r>
        <w:t>essential goods and services</w:t>
      </w:r>
      <w:r w:rsidRPr="005B1750">
        <w:t xml:space="preserve"> </w:t>
      </w:r>
      <w:r>
        <w:t xml:space="preserve">in the ACT </w:t>
      </w:r>
      <w:r w:rsidRPr="005B1750">
        <w:t>continues to hit low-income households hardest</w:t>
      </w:r>
      <w:r>
        <w:t xml:space="preserve"> as they account for a greater proportion of these households’ disposable income</w:t>
      </w:r>
      <w:r w:rsidRPr="005B1750">
        <w:t>.</w:t>
      </w:r>
    </w:p>
    <w:p w14:paraId="015AF6E8" w14:textId="1B33E5DE" w:rsidR="00670C5A" w:rsidRDefault="00670C5A" w:rsidP="00670C5A">
      <w:pPr>
        <w:pStyle w:val="BodyText"/>
      </w:pPr>
      <w:r>
        <w:t xml:space="preserve">There are almost 26,000 people living below the poverty line the ACT. </w:t>
      </w:r>
      <w:r w:rsidR="00E86D43" w:rsidRPr="00E86D43">
        <w:t xml:space="preserve">While people living in households whose sole source of income is Newstart, Youth Allowance or related payments face the greatest risk of living in poverty, almost 40% of people living in poverty live in households whose main source of income is from employment. </w:t>
      </w:r>
      <w:r w:rsidRPr="004D5640">
        <w:t xml:space="preserve">Our analysis highlights yet again that </w:t>
      </w:r>
      <w:r>
        <w:t>these working-age allowances</w:t>
      </w:r>
      <w:r w:rsidRPr="004D5640">
        <w:t xml:space="preserve"> are inadequate to meet essential living costs in the ACT</w:t>
      </w:r>
      <w:r>
        <w:t>. This report</w:t>
      </w:r>
      <w:r w:rsidRPr="004D5640">
        <w:t xml:space="preserve"> provides further evidence of the urgent need to raise the rate of these allowances and to index them to wage</w:t>
      </w:r>
      <w:r>
        <w:t>s so that they can catch up to and keep up with the cost of living. With over 10,000 people living on these allowances in the ACT, t</w:t>
      </w:r>
      <w:r w:rsidRPr="00B437D9">
        <w:t xml:space="preserve">his is the single most effective policy to immediately reduce poverty and inequality in </w:t>
      </w:r>
      <w:r>
        <w:t>the Canberra and across Australia</w:t>
      </w:r>
      <w:r w:rsidRPr="00B437D9">
        <w:t xml:space="preserve"> today.</w:t>
      </w:r>
      <w:r w:rsidR="00E86D43">
        <w:t xml:space="preserve"> </w:t>
      </w:r>
    </w:p>
    <w:p w14:paraId="550D43A9" w14:textId="03ED5F03" w:rsidR="00670C5A" w:rsidRPr="00670C5A" w:rsidRDefault="0096289D" w:rsidP="00670C5A">
      <w:pPr>
        <w:pStyle w:val="BodyText"/>
      </w:pPr>
      <w:r>
        <w:t xml:space="preserve">This report outlines a range of measures the ACT Government should take to </w:t>
      </w:r>
      <w:r w:rsidRPr="0096289D">
        <w:t>address the disproportionate cost of essential goods and services for Canberra’s low-income households</w:t>
      </w:r>
      <w:r>
        <w:t xml:space="preserve">. This includes </w:t>
      </w:r>
      <w:r w:rsidRPr="0096289D">
        <w:t xml:space="preserve">improving the concessions scheme operated by the ACT Government along with other fee and charging regimes by expanding access according to need, not age or source of income. ACTCOSS is </w:t>
      </w:r>
      <w:r>
        <w:t xml:space="preserve">also </w:t>
      </w:r>
      <w:r w:rsidRPr="0096289D">
        <w:t>calling for the introduction of income-based fines as well as increases to financial counselling services to keep pace with demand. These an</w:t>
      </w:r>
      <w:r>
        <w:t>d other measures outlined in this</w:t>
      </w:r>
      <w:r w:rsidRPr="0096289D">
        <w:t xml:space="preserve"> report are critical if we</w:t>
      </w:r>
      <w:r>
        <w:t xml:space="preserve"> are</w:t>
      </w:r>
      <w:r w:rsidRPr="0096289D">
        <w:t xml:space="preserve"> to improve the wellbeing of almost 37,000 people – including around 8,000 children – living in low-income households in the ACT. By reducing hardship and inequality these measures would improve the wellbeing of the entire Canberra community.</w:t>
      </w:r>
    </w:p>
    <w:p w14:paraId="4AC1D223" w14:textId="489F8E03" w:rsidR="00670C5A" w:rsidRDefault="00670C5A" w:rsidP="00F54FAF">
      <w:pPr>
        <w:pStyle w:val="Heading1-Pagebreakbefore"/>
      </w:pPr>
      <w:bookmarkStart w:id="3" w:name="_Toc7787730"/>
      <w:r>
        <w:lastRenderedPageBreak/>
        <w:t>Recommendations</w:t>
      </w:r>
      <w:bookmarkEnd w:id="3"/>
    </w:p>
    <w:p w14:paraId="2C17F07E" w14:textId="101AE78A" w:rsidR="00670C5A" w:rsidRDefault="00302BC3" w:rsidP="00670C5A">
      <w:pPr>
        <w:pStyle w:val="BodyText"/>
      </w:pPr>
      <w:r w:rsidRPr="00302BC3">
        <w:t xml:space="preserve">ACTCOSS calls on the </w:t>
      </w:r>
      <w:r w:rsidRPr="005B5F6E">
        <w:rPr>
          <w:b/>
        </w:rPr>
        <w:t xml:space="preserve">ACT Government </w:t>
      </w:r>
      <w:r w:rsidRPr="00302BC3">
        <w:t>to prioritise investments and policy settings that will lift the financial wellbeing of households in the bottom 40</w:t>
      </w:r>
      <w:r w:rsidR="00B91BD8">
        <w:t xml:space="preserve">% </w:t>
      </w:r>
      <w:r w:rsidRPr="00302BC3">
        <w:t>income groups at a rate higher than the average.</w:t>
      </w:r>
      <w:r w:rsidR="0006560E">
        <w:t xml:space="preserve"> Th</w:t>
      </w:r>
      <w:r w:rsidR="005058DE">
        <w:t xml:space="preserve">ese </w:t>
      </w:r>
      <w:r w:rsidR="0006560E">
        <w:t>households</w:t>
      </w:r>
      <w:r w:rsidR="005058DE">
        <w:t xml:space="preserve"> include many</w:t>
      </w:r>
      <w:r w:rsidR="0006560E">
        <w:t xml:space="preserve"> whose main source of income </w:t>
      </w:r>
      <w:r w:rsidR="0049400B">
        <w:t>is</w:t>
      </w:r>
      <w:r w:rsidR="0006560E">
        <w:t xml:space="preserve"> Newstart</w:t>
      </w:r>
      <w:r w:rsidR="00E74792">
        <w:t xml:space="preserve"> </w:t>
      </w:r>
      <w:r w:rsidR="0049400B">
        <w:t xml:space="preserve">or </w:t>
      </w:r>
      <w:r w:rsidR="00E74792">
        <w:t>similar allowances</w:t>
      </w:r>
      <w:r w:rsidR="00DC4BC1">
        <w:t xml:space="preserve"> and pensions</w:t>
      </w:r>
      <w:r w:rsidR="00E74792">
        <w:t xml:space="preserve"> as well as </w:t>
      </w:r>
      <w:r w:rsidR="009E5AB7">
        <w:t>a significant number</w:t>
      </w:r>
      <w:r w:rsidR="00602CCD">
        <w:t xml:space="preserve"> of low-income households</w:t>
      </w:r>
      <w:r w:rsidR="00422782">
        <w:t xml:space="preserve"> </w:t>
      </w:r>
      <w:r w:rsidR="00953C54">
        <w:t xml:space="preserve">whose main source of income </w:t>
      </w:r>
      <w:r w:rsidR="00C81C99">
        <w:t>is wages</w:t>
      </w:r>
      <w:r w:rsidR="00925B14">
        <w:t>.</w:t>
      </w:r>
    </w:p>
    <w:p w14:paraId="4CC25BC5" w14:textId="57D7CE0E" w:rsidR="0042109C" w:rsidRDefault="003D1E76" w:rsidP="00670C5A">
      <w:pPr>
        <w:pStyle w:val="BodyText"/>
      </w:pPr>
      <w:r>
        <w:t xml:space="preserve">Related </w:t>
      </w:r>
      <w:r w:rsidR="00237CB5">
        <w:t xml:space="preserve">ACTCOSS priorities </w:t>
      </w:r>
      <w:r>
        <w:t xml:space="preserve">outlined in our </w:t>
      </w:r>
      <w:r w:rsidR="002B715D" w:rsidRPr="00711883">
        <w:rPr>
          <w:rStyle w:val="Emphasis"/>
        </w:rPr>
        <w:t>ACT Budget Priorities 2019-2020</w:t>
      </w:r>
      <w:r w:rsidR="002B715D">
        <w:t xml:space="preserve"> include</w:t>
      </w:r>
      <w:r w:rsidR="00237CB5">
        <w:t>:</w:t>
      </w:r>
    </w:p>
    <w:p w14:paraId="5EAEC3C8" w14:textId="61116905" w:rsidR="00FB60A6" w:rsidRDefault="00FB60A6" w:rsidP="00FB60A6">
      <w:pPr>
        <w:pStyle w:val="ListBullet"/>
      </w:pPr>
      <w:r>
        <w:t xml:space="preserve">Improving the concessions scheme operated by the ACT Government, and other fee and charging regimes, to expand access according to need, not age or source of income, in view of persistent and widening cost of living pressures for low-income households in the ACT </w:t>
      </w:r>
    </w:p>
    <w:p w14:paraId="73F6DBCD" w14:textId="07038E7E" w:rsidR="00605D04" w:rsidRDefault="00605D04" w:rsidP="00605D04">
      <w:pPr>
        <w:pStyle w:val="ListBullet"/>
      </w:pPr>
      <w:r w:rsidRPr="00605D04">
        <w:t>Improving the fairness and adequacy of transport related concessions. This should include concessions for learner, probationary and restricted driver’s licenses and aligning the discount on license fees for Health Care Card holders (currently 50% of costs) with Pension Card Holders (100%)</w:t>
      </w:r>
    </w:p>
    <w:p w14:paraId="7199BC00" w14:textId="77777777" w:rsidR="00FB60A6" w:rsidRDefault="00FB60A6" w:rsidP="00FB60A6">
      <w:pPr>
        <w:pStyle w:val="ListBullet"/>
      </w:pPr>
      <w:r>
        <w:t xml:space="preserve">Introduction of income-based fines </w:t>
      </w:r>
    </w:p>
    <w:p w14:paraId="4C86F0A5" w14:textId="357FA3EA" w:rsidR="00FB60A6" w:rsidRDefault="00FB60A6" w:rsidP="00FB60A6">
      <w:pPr>
        <w:pStyle w:val="ListBullet"/>
      </w:pPr>
      <w:r>
        <w:t>Increases to financial counselling services to keep pace with demand</w:t>
      </w:r>
    </w:p>
    <w:p w14:paraId="3AE03303" w14:textId="4E05AD76" w:rsidR="004A4C2D" w:rsidRDefault="004A4C2D" w:rsidP="004A4C2D">
      <w:pPr>
        <w:pStyle w:val="ListBullet"/>
      </w:pPr>
      <w:r w:rsidRPr="004A4C2D">
        <w:t xml:space="preserve">Investment in counselling services for middle-income earners – the ‘missing middle’ who are often unable to pay for services but are missed by current funding targeted at low-income earners </w:t>
      </w:r>
    </w:p>
    <w:p w14:paraId="4ADC5DBC" w14:textId="19DD64E7" w:rsidR="002773D4" w:rsidRDefault="002773D4" w:rsidP="002773D4">
      <w:pPr>
        <w:pStyle w:val="ListBullet"/>
      </w:pPr>
      <w:r w:rsidRPr="002773D4">
        <w:t>Increas</w:t>
      </w:r>
      <w:r w:rsidR="007D40DE">
        <w:t>ing</w:t>
      </w:r>
      <w:r w:rsidRPr="002773D4">
        <w:t xml:space="preserve"> investment to allow financial counselling services to offer services to detainees while they are in the </w:t>
      </w:r>
      <w:r w:rsidR="0084147A">
        <w:t>Alexander M</w:t>
      </w:r>
      <w:r w:rsidR="000A58ED">
        <w:t>aconochie Centre (</w:t>
      </w:r>
      <w:r w:rsidRPr="002773D4">
        <w:t>AMC</w:t>
      </w:r>
      <w:r w:rsidR="000A58ED">
        <w:t>)</w:t>
      </w:r>
    </w:p>
    <w:p w14:paraId="30B1AB26" w14:textId="538B214C" w:rsidR="00237CB5" w:rsidRDefault="00144931" w:rsidP="00144931">
      <w:pPr>
        <w:pStyle w:val="ListBullet"/>
      </w:pPr>
      <w:r w:rsidRPr="00144931">
        <w:t>An in-depth, finely grained community needs assessment which would account for demographic characteristics including levels of disadvantage and the current availability and distribution of services</w:t>
      </w:r>
    </w:p>
    <w:p w14:paraId="1FDACADD" w14:textId="550605B7" w:rsidR="001416D3" w:rsidRDefault="001416D3" w:rsidP="001416D3">
      <w:pPr>
        <w:pStyle w:val="ListBullet"/>
      </w:pPr>
      <w:r w:rsidRPr="001416D3">
        <w:t>Undertaking a study of transport costs to examine how individuals on low and fixed incomes meet costs of vehicle operation and maintenance</w:t>
      </w:r>
      <w:r w:rsidR="008E7B45">
        <w:t>,</w:t>
      </w:r>
      <w:r w:rsidRPr="001416D3">
        <w:t xml:space="preserve"> and if and to what extent this involves reliance on sub-prime loans. Measures should then be developed to address findings on the broader relationship between transport costs, indebtedness and infringements (e.g. driving unregistered) for people on low and moderate incomes</w:t>
      </w:r>
    </w:p>
    <w:p w14:paraId="09A06DA6" w14:textId="385D47C5" w:rsidR="00144931" w:rsidRDefault="00532BAE" w:rsidP="00144931">
      <w:pPr>
        <w:pStyle w:val="ListBullet"/>
      </w:pPr>
      <w:r w:rsidRPr="00532BAE">
        <w:t>Continued investment in community legal services to improve access to justice and timely intervention in the ACT, particularly for low-socio economic Canberrans, those from marginalised backgrounds and people living in public housing</w:t>
      </w:r>
    </w:p>
    <w:p w14:paraId="2E1206A3" w14:textId="2A7FD37D" w:rsidR="00532BAE" w:rsidRDefault="00CE0D06" w:rsidP="00144931">
      <w:pPr>
        <w:pStyle w:val="ListBullet"/>
      </w:pPr>
      <w:r w:rsidRPr="00CE0D06">
        <w:t>A ‘Budgeting for Life Work Development Program’ to provide regular financial literacy sessions for people in the community as part of the ACT Government’s Work Development Order offering</w:t>
      </w:r>
    </w:p>
    <w:p w14:paraId="675E6710" w14:textId="35E8E3D9" w:rsidR="00CE0D06" w:rsidRDefault="00655B60" w:rsidP="00144931">
      <w:pPr>
        <w:pStyle w:val="ListBullet"/>
      </w:pPr>
      <w:r w:rsidRPr="00655B60">
        <w:lastRenderedPageBreak/>
        <w:t xml:space="preserve">The ACT Government </w:t>
      </w:r>
      <w:r w:rsidR="00FB3CC8">
        <w:t>legislating a</w:t>
      </w:r>
      <w:r w:rsidRPr="00655B60">
        <w:t xml:space="preserve"> minimum 5</w:t>
      </w:r>
      <w:r w:rsidR="00695CE2">
        <w:t>-</w:t>
      </w:r>
      <w:r w:rsidRPr="00655B60">
        <w:t>star energy rating as a requirement for all private rental housing, and balanc</w:t>
      </w:r>
      <w:r w:rsidR="00207E9C">
        <w:t>ing</w:t>
      </w:r>
      <w:r w:rsidRPr="00655B60">
        <w:t xml:space="preserve"> this increased obligation on private landlords with creation of a Zero Emissions housing support fund that supports private rental housing owners to install energy supply and efficiency infrastructure. The legislation should also include a requirement that rents charged cannot be increased above CPI after those houses have been upgraded using the fund to support private rental housing owners to install energy supply and efficiency infrastructure</w:t>
      </w:r>
    </w:p>
    <w:p w14:paraId="5B89CECD" w14:textId="57DFF246" w:rsidR="00825432" w:rsidRDefault="00825432" w:rsidP="00825432">
      <w:pPr>
        <w:pStyle w:val="ListBullet"/>
      </w:pPr>
      <w:r>
        <w:t>Reduc</w:t>
      </w:r>
      <w:r w:rsidR="00072C5F">
        <w:t>ing</w:t>
      </w:r>
      <w:r>
        <w:t xml:space="preserve"> energy poverty through targeted expansion of household energy efficiency measures</w:t>
      </w:r>
    </w:p>
    <w:p w14:paraId="4617070E" w14:textId="68E77218" w:rsidR="00825432" w:rsidRDefault="00825432" w:rsidP="00825432">
      <w:pPr>
        <w:pStyle w:val="ListBullet"/>
      </w:pPr>
      <w:r>
        <w:t>Ensur</w:t>
      </w:r>
      <w:r w:rsidR="00072C5F">
        <w:t>ing</w:t>
      </w:r>
      <w:r>
        <w:t xml:space="preserve"> a just transition to adapt to climate change by developing further responses in consultation with climate affected communities and workers.</w:t>
      </w:r>
      <w:r w:rsidR="00DB594F">
        <w:rPr>
          <w:rStyle w:val="FootnoteReference"/>
        </w:rPr>
        <w:footnoteReference w:id="1"/>
      </w:r>
    </w:p>
    <w:p w14:paraId="7F85F87C" w14:textId="16387857" w:rsidR="00701473" w:rsidRDefault="00701473" w:rsidP="00431502">
      <w:pPr>
        <w:pStyle w:val="BodyText"/>
      </w:pPr>
      <w:r>
        <w:t xml:space="preserve">ACTCOSS calls on the </w:t>
      </w:r>
      <w:r w:rsidRPr="005B5F6E">
        <w:rPr>
          <w:b/>
        </w:rPr>
        <w:t>Australian Government</w:t>
      </w:r>
      <w:r w:rsidR="004370CA">
        <w:t xml:space="preserve"> to reduce poverty and inequality </w:t>
      </w:r>
      <w:r w:rsidR="00431502">
        <w:t>by supporting changes to income support payments so that they can catch up to and keep up with increases in the cost of living.</w:t>
      </w:r>
      <w:r w:rsidR="00B35C24">
        <w:t xml:space="preserve"> </w:t>
      </w:r>
      <w:r w:rsidR="000010BC">
        <w:t xml:space="preserve">ACOSS’ social security priorities for the 2019 </w:t>
      </w:r>
      <w:r w:rsidR="003E31AB">
        <w:t>f</w:t>
      </w:r>
      <w:r w:rsidR="000010BC">
        <w:t xml:space="preserve">ederal </w:t>
      </w:r>
      <w:r w:rsidR="003E31AB">
        <w:t>e</w:t>
      </w:r>
      <w:r w:rsidR="000010BC">
        <w:t>lection</w:t>
      </w:r>
      <w:r w:rsidR="006864A4">
        <w:t xml:space="preserve"> include</w:t>
      </w:r>
      <w:r w:rsidR="000010BC">
        <w:t>:</w:t>
      </w:r>
    </w:p>
    <w:p w14:paraId="287080CD" w14:textId="35221C23" w:rsidR="000010BC" w:rsidRDefault="000010BC" w:rsidP="00E373CA">
      <w:pPr>
        <w:pStyle w:val="ListBullet"/>
      </w:pPr>
      <w:bookmarkStart w:id="4" w:name="_Hlk7707294"/>
      <w:r>
        <w:t>Raise the rate of Newstart, Youth Allowance and related payments by a minimum of $75 per week</w:t>
      </w:r>
    </w:p>
    <w:bookmarkEnd w:id="4"/>
    <w:p w14:paraId="789E3304" w14:textId="527FDF04" w:rsidR="000010BC" w:rsidRDefault="000010BC" w:rsidP="00E373CA">
      <w:pPr>
        <w:pStyle w:val="ListBullet"/>
      </w:pPr>
      <w:r>
        <w:t>Establish a Single Parent Payment Supplement to help single parents with the cost of raising children</w:t>
      </w:r>
    </w:p>
    <w:p w14:paraId="0E9B71E0" w14:textId="52D14201" w:rsidR="000010BC" w:rsidRDefault="000010BC" w:rsidP="00E373CA">
      <w:pPr>
        <w:pStyle w:val="ListBullet"/>
      </w:pPr>
      <w:r>
        <w:t>Establish a Social Security Commission to guide the Parliament on payment settings</w:t>
      </w:r>
    </w:p>
    <w:p w14:paraId="40DE14C4" w14:textId="69DD950F" w:rsidR="00362C97" w:rsidRDefault="00362C97" w:rsidP="00E373CA">
      <w:pPr>
        <w:pStyle w:val="ListBullet"/>
      </w:pPr>
      <w:r>
        <w:t>Index income support and family payments to wage movements</w:t>
      </w:r>
      <w:r w:rsidR="00E373CA">
        <w:t>.</w:t>
      </w:r>
      <w:r w:rsidR="009F4002">
        <w:rPr>
          <w:rStyle w:val="FootnoteReference"/>
        </w:rPr>
        <w:footnoteReference w:id="2"/>
      </w:r>
    </w:p>
    <w:p w14:paraId="3D421331" w14:textId="694E65D8" w:rsidR="00CB6B7B" w:rsidRDefault="00A81459" w:rsidP="00431502">
      <w:pPr>
        <w:pStyle w:val="BodyText"/>
      </w:pPr>
      <w:r w:rsidRPr="00A81459">
        <w:t xml:space="preserve">ACTCOSS invites the </w:t>
      </w:r>
      <w:r w:rsidRPr="00A81459">
        <w:rPr>
          <w:b/>
        </w:rPr>
        <w:t>ACT community</w:t>
      </w:r>
      <w:r w:rsidRPr="00A81459">
        <w:t xml:space="preserve"> to support the increase and proper indexation of </w:t>
      </w:r>
      <w:r>
        <w:t>Newstart, Youth Allowance and related payments</w:t>
      </w:r>
      <w:r w:rsidRPr="00A81459">
        <w:t xml:space="preserve"> so that Canberrans living on low incomes – many living below the poverty line – can afford the basics required for health and wellbeing.</w:t>
      </w:r>
      <w:r w:rsidR="00802F21">
        <w:t xml:space="preserve"> We encourage </w:t>
      </w:r>
      <w:r w:rsidR="00822FB3">
        <w:t>individuals and organisations</w:t>
      </w:r>
      <w:r w:rsidR="00802F21">
        <w:t xml:space="preserve"> to join the Raise the Rate campaign</w:t>
      </w:r>
      <w:r w:rsidR="00DD305D">
        <w:t xml:space="preserve"> to increase</w:t>
      </w:r>
      <w:r w:rsidR="00DD305D" w:rsidRPr="00DD305D">
        <w:t xml:space="preserve"> Newstart, Youth Allowance and related payments by a minimum of $75 per week</w:t>
      </w:r>
      <w:r w:rsidR="00822FB3">
        <w:t xml:space="preserve"> via: </w:t>
      </w:r>
      <w:hyperlink r:id="rId16" w:history="1">
        <w:r w:rsidR="00822FB3" w:rsidRPr="00B04F12">
          <w:rPr>
            <w:rStyle w:val="Hyperlink"/>
          </w:rPr>
          <w:t>https://raisetherate.org.au/</w:t>
        </w:r>
      </w:hyperlink>
      <w:r w:rsidR="00822FB3">
        <w:t xml:space="preserve"> </w:t>
      </w:r>
    </w:p>
    <w:p w14:paraId="032ECBD3" w14:textId="19BEE0C6" w:rsidR="00AB255D" w:rsidRDefault="00F54FAF" w:rsidP="00F54FAF">
      <w:pPr>
        <w:pStyle w:val="Heading1-Pagebreakbefore"/>
      </w:pPr>
      <w:bookmarkStart w:id="5" w:name="_Toc7787731"/>
      <w:r w:rsidRPr="00CA7855">
        <w:lastRenderedPageBreak/>
        <w:t>Introduction</w:t>
      </w:r>
      <w:bookmarkEnd w:id="5"/>
    </w:p>
    <w:p w14:paraId="4C61DC2A" w14:textId="5DECC452" w:rsidR="00B80760" w:rsidRDefault="00030863" w:rsidP="00350EF6">
      <w:pPr>
        <w:pStyle w:val="BodyText"/>
      </w:pPr>
      <w:r>
        <w:t xml:space="preserve">The </w:t>
      </w:r>
      <w:r w:rsidR="00FA5DDA">
        <w:t xml:space="preserve">ACT Cost of Living Report series </w:t>
      </w:r>
      <w:r w:rsidR="00350EF6">
        <w:t>track</w:t>
      </w:r>
      <w:r w:rsidR="00116590">
        <w:t>s</w:t>
      </w:r>
      <w:r w:rsidR="00350EF6">
        <w:t xml:space="preserve"> changes in the cost of living</w:t>
      </w:r>
      <w:r w:rsidR="00983EA9">
        <w:t xml:space="preserve"> for low-income households</w:t>
      </w:r>
      <w:r>
        <w:t xml:space="preserve"> in the ACT</w:t>
      </w:r>
      <w:r w:rsidR="00374BC0">
        <w:t xml:space="preserve">. </w:t>
      </w:r>
      <w:r w:rsidR="007D501F">
        <w:t>L</w:t>
      </w:r>
      <w:r w:rsidR="00B7767F">
        <w:t xml:space="preserve">ow-income households </w:t>
      </w:r>
      <w:r w:rsidR="00A66D33">
        <w:t>tend to be hidden</w:t>
      </w:r>
      <w:r w:rsidR="00C374E8">
        <w:t xml:space="preserve"> </w:t>
      </w:r>
      <w:r w:rsidR="00295384">
        <w:t>behind</w:t>
      </w:r>
      <w:r w:rsidR="00D037C5">
        <w:t xml:space="preserve"> </w:t>
      </w:r>
      <w:r w:rsidR="00A124C8">
        <w:t>our</w:t>
      </w:r>
      <w:r w:rsidR="00F544B7">
        <w:t xml:space="preserve"> high average income</w:t>
      </w:r>
      <w:r w:rsidR="00A42361">
        <w:t xml:space="preserve"> and </w:t>
      </w:r>
      <w:r w:rsidR="00A40857">
        <w:t xml:space="preserve">within </w:t>
      </w:r>
      <w:r w:rsidR="00993C94">
        <w:t xml:space="preserve">a </w:t>
      </w:r>
      <w:r w:rsidR="00B80760">
        <w:t xml:space="preserve">purposeful </w:t>
      </w:r>
      <w:r w:rsidR="00A124C8">
        <w:t>social mix</w:t>
      </w:r>
      <w:r w:rsidR="00A40857">
        <w:t xml:space="preserve"> of</w:t>
      </w:r>
      <w:r w:rsidR="00993C94">
        <w:t xml:space="preserve"> housing </w:t>
      </w:r>
      <w:r w:rsidR="0023267C">
        <w:t xml:space="preserve">across </w:t>
      </w:r>
      <w:r w:rsidR="00C374E8">
        <w:t>Canberra’s suburbs</w:t>
      </w:r>
      <w:r w:rsidR="0023267C">
        <w:t>.</w:t>
      </w:r>
      <w:r w:rsidR="00A66D33">
        <w:t xml:space="preserve"> </w:t>
      </w:r>
      <w:r w:rsidR="007062AF">
        <w:t xml:space="preserve">Closer analysis </w:t>
      </w:r>
      <w:r w:rsidR="002356DB">
        <w:t>reveals that a sizeable number of people in the ACT</w:t>
      </w:r>
      <w:r w:rsidR="00A11D37">
        <w:t xml:space="preserve"> are</w:t>
      </w:r>
      <w:r w:rsidR="002356DB">
        <w:t xml:space="preserve"> living in low-income households</w:t>
      </w:r>
      <w:r w:rsidR="000167AD">
        <w:t xml:space="preserve"> with </w:t>
      </w:r>
      <w:r w:rsidR="00FB0FA0">
        <w:t>many</w:t>
      </w:r>
      <w:r w:rsidR="000167AD">
        <w:t xml:space="preserve"> </w:t>
      </w:r>
      <w:r w:rsidR="001E4D38">
        <w:t xml:space="preserve">living </w:t>
      </w:r>
      <w:r w:rsidR="00FE5B5B">
        <w:t>below the poverty line.</w:t>
      </w:r>
    </w:p>
    <w:p w14:paraId="4813DB43" w14:textId="469D14A8" w:rsidR="005C612E" w:rsidRDefault="00532E1B" w:rsidP="00350EF6">
      <w:pPr>
        <w:pStyle w:val="BodyText"/>
      </w:pPr>
      <w:r>
        <w:t>Approximately</w:t>
      </w:r>
      <w:r w:rsidR="00EB3988">
        <w:t xml:space="preserve"> 37,000 people </w:t>
      </w:r>
      <w:r>
        <w:t>live</w:t>
      </w:r>
      <w:r w:rsidR="00EB3988">
        <w:t xml:space="preserve"> in low-income households</w:t>
      </w:r>
      <w:r w:rsidR="002669F0">
        <w:t xml:space="preserve"> in the ACT, representing 11% of the total population.</w:t>
      </w:r>
      <w:r w:rsidR="000971A9">
        <w:rPr>
          <w:rStyle w:val="FootnoteReference"/>
        </w:rPr>
        <w:footnoteReference w:id="3"/>
      </w:r>
      <w:r w:rsidR="002669F0">
        <w:t xml:space="preserve"> This include</w:t>
      </w:r>
      <w:r w:rsidR="00FC1373">
        <w:t>s</w:t>
      </w:r>
      <w:r w:rsidR="002669F0">
        <w:t xml:space="preserve"> almost 8,000 children</w:t>
      </w:r>
      <w:r w:rsidR="007D035D">
        <w:t>, representing 12% of those aged 0-14.</w:t>
      </w:r>
      <w:r w:rsidR="000F6628">
        <w:rPr>
          <w:rStyle w:val="FootnoteReference"/>
        </w:rPr>
        <w:footnoteReference w:id="4"/>
      </w:r>
      <w:r w:rsidR="007D035D">
        <w:t xml:space="preserve"> </w:t>
      </w:r>
      <w:r w:rsidR="005528CE">
        <w:t>Aboriginal and/or Torres Strait Islander people, people from culturally and linguistically diverse backgrounds, people with disability</w:t>
      </w:r>
      <w:r w:rsidR="003C48A7">
        <w:t xml:space="preserve">, and women are </w:t>
      </w:r>
      <w:r w:rsidR="007111B0">
        <w:t>over-represented</w:t>
      </w:r>
      <w:r w:rsidR="003C48A7">
        <w:t xml:space="preserve"> in</w:t>
      </w:r>
      <w:r w:rsidR="002F4765">
        <w:t xml:space="preserve"> Canberra’s</w:t>
      </w:r>
      <w:r w:rsidR="003C48A7">
        <w:t xml:space="preserve"> low-income households</w:t>
      </w:r>
      <w:r w:rsidR="00DF6BE4">
        <w:t>.</w:t>
      </w:r>
      <w:r w:rsidR="0082655A">
        <w:rPr>
          <w:rStyle w:val="FootnoteReference"/>
        </w:rPr>
        <w:footnoteReference w:id="5"/>
      </w:r>
      <w:r w:rsidR="00DF6BE4">
        <w:t xml:space="preserve"> </w:t>
      </w:r>
      <w:r w:rsidR="00735FFF">
        <w:t xml:space="preserve">Around 70% of </w:t>
      </w:r>
      <w:r w:rsidR="007111B0">
        <w:t>people</w:t>
      </w:r>
      <w:r w:rsidR="00576D91">
        <w:t xml:space="preserve"> living</w:t>
      </w:r>
      <w:r w:rsidR="00AD4D50">
        <w:t xml:space="preserve"> </w:t>
      </w:r>
      <w:r w:rsidR="00DD1CF0">
        <w:t xml:space="preserve">in low-income households </w:t>
      </w:r>
      <w:r w:rsidR="007111B0">
        <w:t xml:space="preserve">in the ACT </w:t>
      </w:r>
      <w:r w:rsidR="00796F27">
        <w:t>are</w:t>
      </w:r>
      <w:r w:rsidR="00FB5E21">
        <w:t xml:space="preserve"> likely to be</w:t>
      </w:r>
      <w:r w:rsidR="00796F27">
        <w:t xml:space="preserve"> living below the poverty line.</w:t>
      </w:r>
      <w:r w:rsidR="00644C7E">
        <w:t xml:space="preserve"> </w:t>
      </w:r>
      <w:r w:rsidR="0056015D">
        <w:t xml:space="preserve">In Australia, the poverty line is defined as a single adult living on less than $433 a week, or $909 </w:t>
      </w:r>
      <w:r w:rsidR="00B002D0">
        <w:t>for a couple with two children.</w:t>
      </w:r>
      <w:r w:rsidR="00304764">
        <w:rPr>
          <w:rStyle w:val="FootnoteReference"/>
        </w:rPr>
        <w:footnoteReference w:id="6"/>
      </w:r>
      <w:r w:rsidR="00B002D0">
        <w:t xml:space="preserve"> </w:t>
      </w:r>
      <w:r w:rsidR="00904AD1">
        <w:t>It is estimated that there are almost</w:t>
      </w:r>
      <w:r w:rsidR="003B2BB4">
        <w:t xml:space="preserve"> </w:t>
      </w:r>
      <w:r w:rsidR="00587860">
        <w:t>26,000</w:t>
      </w:r>
      <w:r w:rsidR="003B2BB4">
        <w:t xml:space="preserve"> people living </w:t>
      </w:r>
      <w:r w:rsidR="00E10798">
        <w:t>below the</w:t>
      </w:r>
      <w:r w:rsidR="003B2BB4">
        <w:t xml:space="preserve"> poverty</w:t>
      </w:r>
      <w:r w:rsidR="00E10798">
        <w:t xml:space="preserve"> line</w:t>
      </w:r>
      <w:r w:rsidR="003B2BB4">
        <w:t xml:space="preserve"> in the ACT, representing 7.7% of the total populatio</w:t>
      </w:r>
      <w:r w:rsidR="0056015D">
        <w:t>n.</w:t>
      </w:r>
      <w:r w:rsidR="007A1420">
        <w:rPr>
          <w:rStyle w:val="FootnoteReference"/>
        </w:rPr>
        <w:footnoteReference w:id="7"/>
      </w:r>
      <w:r w:rsidR="003B2BB4">
        <w:t xml:space="preserve"> </w:t>
      </w:r>
    </w:p>
    <w:p w14:paraId="2D94756B" w14:textId="0626505C" w:rsidR="00B913CD" w:rsidRDefault="00C35D3F" w:rsidP="00350EF6">
      <w:pPr>
        <w:pStyle w:val="BodyText"/>
      </w:pPr>
      <w:r>
        <w:t>The Australian Council of Social Service (ACOSS) notes that t</w:t>
      </w:r>
      <w:r w:rsidR="00D42598" w:rsidRPr="00D42598">
        <w:t>he biggest risk to living in poverty in Australia is to receive Newstart, Youth Allowance or another allowance as your sole source of income.</w:t>
      </w:r>
      <w:r w:rsidR="00237E8F">
        <w:rPr>
          <w:rStyle w:val="FootnoteReference"/>
        </w:rPr>
        <w:footnoteReference w:id="8"/>
      </w:r>
      <w:r w:rsidR="00D42598" w:rsidRPr="00D42598">
        <w:t xml:space="preserve"> These payments have not increased in real terms in 25 years and </w:t>
      </w:r>
      <w:r w:rsidR="00744CBB">
        <w:t xml:space="preserve">they </w:t>
      </w:r>
      <w:r w:rsidR="00D42598" w:rsidRPr="00D42598">
        <w:t>trap people in poverty.</w:t>
      </w:r>
      <w:r w:rsidR="00FD1FB7">
        <w:t xml:space="preserve"> </w:t>
      </w:r>
      <w:r w:rsidR="00744CBB">
        <w:t xml:space="preserve">As at December 2018, there were </w:t>
      </w:r>
      <w:r w:rsidR="00FD1FB7">
        <w:t>over 1</w:t>
      </w:r>
      <w:r w:rsidR="008C062B">
        <w:t>0</w:t>
      </w:r>
      <w:r w:rsidR="00FD1FB7">
        <w:t>,000 people living on such payments</w:t>
      </w:r>
      <w:r w:rsidR="0024554E">
        <w:t xml:space="preserve"> in the ACT</w:t>
      </w:r>
      <w:r w:rsidR="00B50A56">
        <w:t xml:space="preserve"> and thus at greatest risk</w:t>
      </w:r>
      <w:r>
        <w:t xml:space="preserve"> of living in poverty.</w:t>
      </w:r>
      <w:r w:rsidR="00B50A56">
        <w:rPr>
          <w:rStyle w:val="FootnoteReference"/>
        </w:rPr>
        <w:footnoteReference w:id="9"/>
      </w:r>
      <w:r w:rsidR="003E6337">
        <w:t xml:space="preserve"> This include</w:t>
      </w:r>
      <w:r w:rsidR="00744CBB">
        <w:t>d</w:t>
      </w:r>
      <w:r w:rsidR="00064908">
        <w:t xml:space="preserve"> 6,044 </w:t>
      </w:r>
      <w:r w:rsidR="00FD3C75">
        <w:t>recipients of Newstart Allowance and 3,</w:t>
      </w:r>
      <w:r w:rsidR="00283DB4">
        <w:t>23</w:t>
      </w:r>
      <w:r w:rsidR="00FD3C75">
        <w:t>9 recipients of Youth Allowance</w:t>
      </w:r>
      <w:r w:rsidR="00AD36B4">
        <w:t>.</w:t>
      </w:r>
      <w:r w:rsidR="0038221F">
        <w:rPr>
          <w:rStyle w:val="FootnoteReference"/>
        </w:rPr>
        <w:footnoteReference w:id="10"/>
      </w:r>
      <w:r w:rsidR="00EA3E52">
        <w:t xml:space="preserve"> </w:t>
      </w:r>
      <w:r w:rsidR="008A6675">
        <w:t xml:space="preserve">ACOSS also </w:t>
      </w:r>
      <w:r w:rsidR="00424F77">
        <w:t xml:space="preserve">notes that a significant proportion of people </w:t>
      </w:r>
      <w:r w:rsidR="00402612">
        <w:t>experiencing</w:t>
      </w:r>
      <w:r w:rsidR="00424F77">
        <w:t xml:space="preserve"> poverty (38%)</w:t>
      </w:r>
      <w:r w:rsidR="00EB3777">
        <w:t xml:space="preserve"> live in households </w:t>
      </w:r>
      <w:r w:rsidR="00DF182C">
        <w:t>whose</w:t>
      </w:r>
      <w:r w:rsidR="00EB3777">
        <w:t xml:space="preserve"> main source of income is wages</w:t>
      </w:r>
      <w:r w:rsidR="00DF182C">
        <w:t>.</w:t>
      </w:r>
      <w:r w:rsidR="003C7ECB">
        <w:rPr>
          <w:rStyle w:val="FootnoteReference"/>
        </w:rPr>
        <w:footnoteReference w:id="11"/>
      </w:r>
    </w:p>
    <w:p w14:paraId="66983167" w14:textId="42489990" w:rsidR="00350EF6" w:rsidRDefault="00374BC0" w:rsidP="00350EF6">
      <w:pPr>
        <w:pStyle w:val="BodyText"/>
      </w:pPr>
      <w:r>
        <w:t>Th</w:t>
      </w:r>
      <w:r w:rsidR="00403A44">
        <w:t xml:space="preserve">is </w:t>
      </w:r>
      <w:r w:rsidR="00744CBB">
        <w:t xml:space="preserve">report </w:t>
      </w:r>
      <w:r>
        <w:t xml:space="preserve">adopts the methodology used by Councils of Social Service in </w:t>
      </w:r>
      <w:r w:rsidR="006E2349">
        <w:t xml:space="preserve">South Australia and the Northern Territory. It draws on </w:t>
      </w:r>
      <w:r w:rsidR="00F85A62">
        <w:t xml:space="preserve">the latest </w:t>
      </w:r>
      <w:r w:rsidR="00E3035D">
        <w:t xml:space="preserve">Consumer Price </w:t>
      </w:r>
      <w:r w:rsidR="00E3035D">
        <w:lastRenderedPageBreak/>
        <w:t>Index (CPI) and Selected Living Cost Indexes (</w:t>
      </w:r>
      <w:proofErr w:type="spellStart"/>
      <w:r w:rsidR="00E3035D">
        <w:t>SLCI</w:t>
      </w:r>
      <w:proofErr w:type="spellEnd"/>
      <w:r w:rsidR="00E3035D">
        <w:t>) data released by the</w:t>
      </w:r>
      <w:r w:rsidR="00F85A62">
        <w:t xml:space="preserve"> Australian Bureau of Statistics (ABS)</w:t>
      </w:r>
      <w:r w:rsidR="005465EF">
        <w:t xml:space="preserve"> to show changes in the cost of living over the past 12 months.</w:t>
      </w:r>
      <w:r w:rsidR="00C613BC">
        <w:t xml:space="preserve"> </w:t>
      </w:r>
      <w:r w:rsidR="00C947D4">
        <w:t>Explanatory notes</w:t>
      </w:r>
      <w:r w:rsidR="00F20939">
        <w:t xml:space="preserve"> about these indexes</w:t>
      </w:r>
      <w:r w:rsidR="00C947D4">
        <w:t>,</w:t>
      </w:r>
      <w:r w:rsidR="00F20939">
        <w:t xml:space="preserve"> their limitations</w:t>
      </w:r>
      <w:r w:rsidR="00C947D4">
        <w:t xml:space="preserve"> and income support payment </w:t>
      </w:r>
      <w:r w:rsidR="00355F21">
        <w:t>calculations are</w:t>
      </w:r>
      <w:r w:rsidR="00F20939">
        <w:t xml:space="preserve"> provided in </w:t>
      </w:r>
      <w:r w:rsidR="00C947D4">
        <w:t xml:space="preserve">the Appendix. </w:t>
      </w:r>
      <w:r w:rsidR="00F5251C">
        <w:t xml:space="preserve">This </w:t>
      </w:r>
      <w:r w:rsidR="00355F21">
        <w:t>report</w:t>
      </w:r>
      <w:r w:rsidR="00F5251C">
        <w:t xml:space="preserve"> </w:t>
      </w:r>
      <w:r w:rsidR="00AC61CB">
        <w:t xml:space="preserve">highlights changes in the cost of living for those </w:t>
      </w:r>
      <w:r w:rsidR="00392A50">
        <w:t xml:space="preserve">in receipt of income support. </w:t>
      </w:r>
      <w:r w:rsidR="005C50A5">
        <w:t xml:space="preserve">Tracking changes in the cost of living for these households is important as </w:t>
      </w:r>
      <w:r w:rsidR="0065351C">
        <w:t>they have the least financial capacity to cope with rises in the cost of essential goods and services</w:t>
      </w:r>
      <w:r w:rsidR="00A570BD">
        <w:t>.</w:t>
      </w:r>
    </w:p>
    <w:p w14:paraId="72579A43" w14:textId="456CF839" w:rsidR="00D92A9C" w:rsidRDefault="00D92A9C" w:rsidP="00350EF6">
      <w:pPr>
        <w:pStyle w:val="BodyText"/>
      </w:pPr>
      <w:r>
        <w:t xml:space="preserve">The following sections of the report </w:t>
      </w:r>
      <w:r w:rsidR="0042787A">
        <w:t>track</w:t>
      </w:r>
      <w:r>
        <w:t xml:space="preserve"> changes in the CPI and </w:t>
      </w:r>
      <w:proofErr w:type="spellStart"/>
      <w:r>
        <w:t>SLCI</w:t>
      </w:r>
      <w:proofErr w:type="spellEnd"/>
      <w:r>
        <w:t xml:space="preserve"> over the past year, </w:t>
      </w:r>
      <w:r w:rsidR="00933CB4">
        <w:t>with a focus on the impact of these changes for people living in low-income households in the ACT</w:t>
      </w:r>
      <w:r w:rsidR="00FE0999">
        <w:t xml:space="preserve">. </w:t>
      </w:r>
      <w:bookmarkStart w:id="6" w:name="_Hlk5975130"/>
      <w:r w:rsidR="00FE0999">
        <w:t>Consistent with last year’s report, we find that</w:t>
      </w:r>
      <w:r w:rsidR="00C252B6">
        <w:t xml:space="preserve"> the</w:t>
      </w:r>
      <w:r w:rsidR="00FE0999">
        <w:t xml:space="preserve"> </w:t>
      </w:r>
      <w:r w:rsidR="00E85F52">
        <w:t xml:space="preserve">rising cost of living continues to hit Canberra’s low-income households the hardest. Canberra’s </w:t>
      </w:r>
      <w:r w:rsidR="00C73DA6">
        <w:t xml:space="preserve">overall </w:t>
      </w:r>
      <w:r w:rsidR="00E85F52">
        <w:t>CPI</w:t>
      </w:r>
      <w:r w:rsidR="00C73DA6">
        <w:t xml:space="preserve"> has</w:t>
      </w:r>
      <w:r w:rsidR="00E85F52">
        <w:t xml:space="preserve"> continued to increase above the national rate. </w:t>
      </w:r>
      <w:r w:rsidR="00681807">
        <w:t>Across most essential goods and services, prices in the ACT rose above the national rate</w:t>
      </w:r>
      <w:r w:rsidR="00351698">
        <w:t>, with fuel prices rising at the highest rate</w:t>
      </w:r>
      <w:r w:rsidR="00C73DA6">
        <w:t xml:space="preserve"> of any Australian capital city</w:t>
      </w:r>
      <w:r w:rsidR="00FE22B2">
        <w:t xml:space="preserve"> at almost 15%</w:t>
      </w:r>
      <w:r w:rsidR="00351698">
        <w:t>.</w:t>
      </w:r>
      <w:r w:rsidR="00E26059">
        <w:t xml:space="preserve"> Energy</w:t>
      </w:r>
      <w:r w:rsidR="003C5343">
        <w:t xml:space="preserve"> prices in the ACT</w:t>
      </w:r>
      <w:r w:rsidR="00E26059">
        <w:t xml:space="preserve"> also continued to increase</w:t>
      </w:r>
      <w:r w:rsidR="003C5343">
        <w:t xml:space="preserve"> well above the national rate.</w:t>
      </w:r>
      <w:r w:rsidR="00351698">
        <w:t xml:space="preserve"> Our </w:t>
      </w:r>
      <w:r w:rsidR="009177E1">
        <w:t xml:space="preserve">analysis of changes in the </w:t>
      </w:r>
      <w:proofErr w:type="spellStart"/>
      <w:r w:rsidR="009177E1">
        <w:t>SLCI</w:t>
      </w:r>
      <w:proofErr w:type="spellEnd"/>
      <w:r w:rsidR="009177E1">
        <w:t xml:space="preserve"> alongside changes in income support payments over the past year </w:t>
      </w:r>
      <w:r w:rsidR="008D1281">
        <w:t>highlight</w:t>
      </w:r>
      <w:r w:rsidR="005F4D40">
        <w:t xml:space="preserve">s yet again that </w:t>
      </w:r>
      <w:r w:rsidR="008D1281">
        <w:t xml:space="preserve">Newstart, Youth Allowance and related payments are inadequate to meet essential living costs in the ACT. </w:t>
      </w:r>
      <w:r w:rsidR="00FE22B2">
        <w:t xml:space="preserve">This </w:t>
      </w:r>
      <w:r w:rsidR="002048EC">
        <w:t>provides further evidence of the</w:t>
      </w:r>
      <w:r w:rsidR="00EA1CCA">
        <w:t xml:space="preserve"> urgent</w:t>
      </w:r>
      <w:r w:rsidR="002048EC">
        <w:t xml:space="preserve"> need to raise the rate of these allowances and to index them </w:t>
      </w:r>
      <w:r w:rsidR="00EA1CCA">
        <w:t>to wages.</w:t>
      </w:r>
    </w:p>
    <w:p w14:paraId="00A5B2CB" w14:textId="5BF593AE" w:rsidR="00171562" w:rsidRDefault="00171562" w:rsidP="003C5343">
      <w:pPr>
        <w:pStyle w:val="Heading1"/>
      </w:pPr>
      <w:bookmarkStart w:id="7" w:name="_Toc7787732"/>
      <w:bookmarkEnd w:id="6"/>
      <w:r>
        <w:t>Tracking changes in the price of key goods and services: CPI</w:t>
      </w:r>
      <w:bookmarkEnd w:id="7"/>
    </w:p>
    <w:p w14:paraId="365D68C2" w14:textId="6FA10A4D" w:rsidR="005317AD" w:rsidRDefault="00DC0228" w:rsidP="00075E6A">
      <w:pPr>
        <w:pStyle w:val="BodyText"/>
      </w:pPr>
      <w:r w:rsidRPr="00DC0228">
        <w:t xml:space="preserve">The </w:t>
      </w:r>
      <w:r w:rsidR="00FE2018">
        <w:t xml:space="preserve">overall </w:t>
      </w:r>
      <w:r>
        <w:t>(or All Groups)</w:t>
      </w:r>
      <w:r w:rsidRPr="00DC0228">
        <w:t xml:space="preserve"> CPI figure covers a large number of goods and services</w:t>
      </w:r>
      <w:r w:rsidR="00D736B6">
        <w:t xml:space="preserve">. Eleven </w:t>
      </w:r>
      <w:r w:rsidRPr="00DC0228">
        <w:t>major categories with over 100 individual goods and services mak</w:t>
      </w:r>
      <w:r w:rsidR="00D736B6">
        <w:t>e</w:t>
      </w:r>
      <w:r w:rsidRPr="00DC0228">
        <w:t xml:space="preserve"> up the CPI basket</w:t>
      </w:r>
      <w:r w:rsidR="00D736B6">
        <w:t xml:space="preserve">. </w:t>
      </w:r>
      <w:r w:rsidRPr="00DC0228">
        <w:t>There can be wide variations in the CPI for specific goods and services, which may impact particular population groups differently.</w:t>
      </w:r>
      <w:r w:rsidR="00FE2018">
        <w:t xml:space="preserve"> </w:t>
      </w:r>
      <w:r w:rsidR="00FE2018" w:rsidRPr="00FE2018">
        <w:t xml:space="preserve">The overall CPI figure can be separated into </w:t>
      </w:r>
      <w:r w:rsidR="00324AA9">
        <w:t>its</w:t>
      </w:r>
      <w:r w:rsidR="00FE2018" w:rsidRPr="00FE2018">
        <w:t xml:space="preserve"> component parts, allowing us to track changes in the price of key basic goods and services in the ACT and nationally. Table 1 shows the upward and downward trends</w:t>
      </w:r>
      <w:r w:rsidR="009B38EC">
        <w:t xml:space="preserve"> in prices</w:t>
      </w:r>
      <w:r w:rsidR="00FE2018" w:rsidRPr="00FE2018">
        <w:t xml:space="preserve"> across key areas of </w:t>
      </w:r>
      <w:r w:rsidR="009B38EC">
        <w:t xml:space="preserve">household </w:t>
      </w:r>
      <w:r w:rsidR="00FE2018" w:rsidRPr="00FE2018">
        <w:t>expenditure over the past year</w:t>
      </w:r>
      <w:r w:rsidR="003946DE">
        <w:t>.</w:t>
      </w:r>
    </w:p>
    <w:p w14:paraId="101523C9" w14:textId="16449E71" w:rsidR="00CE47F5" w:rsidRDefault="00CE47F5" w:rsidP="00075E6A">
      <w:pPr>
        <w:pStyle w:val="BodyText"/>
      </w:pPr>
      <w:r>
        <w:t>In the year from December 2017 to December 2018</w:t>
      </w:r>
      <w:r w:rsidR="003E4091">
        <w:t>,</w:t>
      </w:r>
      <w:r>
        <w:t xml:space="preserve"> the overall CPI for Canberra increased by 2.5% </w:t>
      </w:r>
      <w:r w:rsidRPr="002A400F">
        <w:t xml:space="preserve">– </w:t>
      </w:r>
      <w:r>
        <w:t xml:space="preserve">this was above the national CPI increase of 1.8% (see Table 1). The Canberra CPI for most essential goods and services rose above the national rate – including for food (1.7% vs 1.5%), clothing (0.3% vs -0.7%), housing (4.2% vs 1.5%), transport (4.8% vs 2.8%), and education </w:t>
      </w:r>
      <w:bookmarkStart w:id="8" w:name="_Hlk5023615"/>
      <w:r>
        <w:t>(3.2% vs 2.7%)</w:t>
      </w:r>
      <w:bookmarkEnd w:id="8"/>
      <w:r>
        <w:t>. The increase in the CPI for housing included increases in rents (3.0% vs 0.5%) and utilities (5.9% vs 2.0%). The increase in the CPI for utilities was driven by significant price increases for electricity (11.2% vs 1.8%) and gas (6.8% vs 3.2%). Increases in the prices of essential goods and service</w:t>
      </w:r>
      <w:r w:rsidR="001D4505">
        <w:t>s</w:t>
      </w:r>
      <w:r>
        <w:t xml:space="preserve"> hit Canberra’s low-income households hardest as expenditure on these items</w:t>
      </w:r>
      <w:r w:rsidR="003E4091">
        <w:t xml:space="preserve"> </w:t>
      </w:r>
      <w:r>
        <w:t>accounts for a greater proportion of weekly household income than in average- and high-income households.</w:t>
      </w:r>
    </w:p>
    <w:p w14:paraId="1397FFBD" w14:textId="77777777" w:rsidR="00347601" w:rsidRDefault="00347601" w:rsidP="00CE47F5">
      <w:pPr>
        <w:pStyle w:val="Figuretitle"/>
      </w:pPr>
      <w:r>
        <w:lastRenderedPageBreak/>
        <w:t>Table 1 CPI changes for key household expenditure areas, Canberra and Australia, Dec 2017 – Dec 2018</w:t>
      </w:r>
    </w:p>
    <w:tbl>
      <w:tblPr>
        <w:tblW w:w="51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8"/>
        <w:gridCol w:w="1611"/>
        <w:gridCol w:w="1681"/>
      </w:tblGrid>
      <w:tr w:rsidR="00347601" w:rsidRPr="00FC20E5" w14:paraId="5D854563" w14:textId="77777777" w:rsidTr="00EB51B4">
        <w:trPr>
          <w:cantSplit/>
          <w:trHeight w:val="1095"/>
          <w:tblHeader/>
          <w:jc w:val="center"/>
        </w:trPr>
        <w:tc>
          <w:tcPr>
            <w:tcW w:w="3111" w:type="pct"/>
            <w:tcBorders>
              <w:left w:val="nil"/>
              <w:bottom w:val="single" w:sz="4" w:space="0" w:color="auto"/>
              <w:right w:val="nil"/>
            </w:tcBorders>
            <w:vAlign w:val="center"/>
          </w:tcPr>
          <w:p w14:paraId="7DEC49F2" w14:textId="77777777" w:rsidR="00347601" w:rsidRPr="00DA4B71" w:rsidRDefault="00347601" w:rsidP="00EB51B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rPr>
                <w:rFonts w:ascii="Calibri" w:hAnsi="Calibri" w:cs="Arial"/>
                <w:b/>
                <w:lang w:eastAsia="en-US"/>
              </w:rPr>
            </w:pPr>
            <w:r w:rsidRPr="00DA4B71">
              <w:rPr>
                <w:b/>
                <w:bCs/>
                <w:sz w:val="18"/>
                <w:szCs w:val="18"/>
              </w:rPr>
              <w:t>Cost of Living area</w:t>
            </w:r>
          </w:p>
        </w:tc>
        <w:tc>
          <w:tcPr>
            <w:tcW w:w="924" w:type="pct"/>
            <w:tcBorders>
              <w:left w:val="nil"/>
              <w:bottom w:val="single" w:sz="4" w:space="0" w:color="auto"/>
              <w:right w:val="nil"/>
            </w:tcBorders>
            <w:vAlign w:val="center"/>
            <w:hideMark/>
          </w:tcPr>
          <w:p w14:paraId="6CDDC5BE"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b/>
                <w:bCs/>
                <w:sz w:val="18"/>
                <w:szCs w:val="18"/>
              </w:rPr>
            </w:pPr>
            <w:r w:rsidRPr="00DA4B71">
              <w:rPr>
                <w:b/>
                <w:bCs/>
                <w:sz w:val="18"/>
                <w:szCs w:val="18"/>
              </w:rPr>
              <w:t xml:space="preserve">Canberra CPI </w:t>
            </w:r>
          </w:p>
          <w:p w14:paraId="12F7FB8B"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b/>
                <w:bCs/>
                <w:sz w:val="18"/>
                <w:szCs w:val="18"/>
              </w:rPr>
            </w:pPr>
            <w:r w:rsidRPr="00DA4B71">
              <w:rPr>
                <w:b/>
                <w:bCs/>
                <w:sz w:val="18"/>
                <w:szCs w:val="18"/>
              </w:rPr>
              <w:t>Dec 2017 –</w:t>
            </w:r>
          </w:p>
          <w:p w14:paraId="4E79BE2A"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b/>
                <w:bCs/>
                <w:sz w:val="18"/>
                <w:szCs w:val="18"/>
              </w:rPr>
            </w:pPr>
            <w:r w:rsidRPr="00DA4B71">
              <w:rPr>
                <w:b/>
                <w:bCs/>
                <w:sz w:val="18"/>
                <w:szCs w:val="18"/>
              </w:rPr>
              <w:t>Dec 2018</w:t>
            </w:r>
          </w:p>
          <w:p w14:paraId="2F8133B7"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b/>
                <w:bCs/>
                <w:sz w:val="18"/>
                <w:szCs w:val="18"/>
              </w:rPr>
            </w:pPr>
            <w:r w:rsidRPr="00DA4B71">
              <w:rPr>
                <w:b/>
                <w:bCs/>
                <w:sz w:val="18"/>
                <w:szCs w:val="18"/>
              </w:rPr>
              <w:t>% change</w:t>
            </w:r>
          </w:p>
        </w:tc>
        <w:tc>
          <w:tcPr>
            <w:tcW w:w="964" w:type="pct"/>
            <w:tcBorders>
              <w:left w:val="nil"/>
              <w:bottom w:val="single" w:sz="4" w:space="0" w:color="auto"/>
              <w:right w:val="nil"/>
            </w:tcBorders>
            <w:vAlign w:val="center"/>
            <w:hideMark/>
          </w:tcPr>
          <w:p w14:paraId="0AA9C0E3"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b/>
                <w:bCs/>
                <w:sz w:val="18"/>
                <w:szCs w:val="18"/>
              </w:rPr>
            </w:pPr>
            <w:r w:rsidRPr="00DA4B71">
              <w:rPr>
                <w:b/>
                <w:bCs/>
                <w:sz w:val="18"/>
                <w:szCs w:val="18"/>
              </w:rPr>
              <w:t xml:space="preserve">National CPI </w:t>
            </w:r>
          </w:p>
          <w:p w14:paraId="2D5969EE"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b/>
                <w:bCs/>
                <w:sz w:val="18"/>
                <w:szCs w:val="18"/>
              </w:rPr>
            </w:pPr>
            <w:r w:rsidRPr="00DA4B71">
              <w:rPr>
                <w:b/>
                <w:bCs/>
                <w:sz w:val="18"/>
                <w:szCs w:val="18"/>
              </w:rPr>
              <w:t>Dec 2017 –</w:t>
            </w:r>
          </w:p>
          <w:p w14:paraId="5A41A268"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b/>
                <w:bCs/>
                <w:sz w:val="18"/>
                <w:szCs w:val="18"/>
              </w:rPr>
            </w:pPr>
            <w:r w:rsidRPr="00DA4B71">
              <w:rPr>
                <w:b/>
                <w:bCs/>
                <w:sz w:val="18"/>
                <w:szCs w:val="18"/>
              </w:rPr>
              <w:t>Dec 2018</w:t>
            </w:r>
          </w:p>
          <w:p w14:paraId="23004C8B"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b/>
                <w:bCs/>
                <w:sz w:val="18"/>
                <w:szCs w:val="18"/>
              </w:rPr>
            </w:pPr>
            <w:r w:rsidRPr="00DA4B71">
              <w:rPr>
                <w:b/>
                <w:bCs/>
                <w:sz w:val="18"/>
                <w:szCs w:val="18"/>
              </w:rPr>
              <w:t>% change</w:t>
            </w:r>
          </w:p>
        </w:tc>
      </w:tr>
      <w:tr w:rsidR="00347601" w:rsidRPr="00FC20E5" w14:paraId="6B57128D" w14:textId="77777777" w:rsidTr="00CE47F5">
        <w:trPr>
          <w:cantSplit/>
          <w:trHeight w:val="288"/>
          <w:jc w:val="center"/>
        </w:trPr>
        <w:tc>
          <w:tcPr>
            <w:tcW w:w="3111" w:type="pct"/>
            <w:tcBorders>
              <w:top w:val="single" w:sz="4" w:space="0" w:color="auto"/>
              <w:left w:val="nil"/>
              <w:bottom w:val="nil"/>
              <w:right w:val="nil"/>
            </w:tcBorders>
            <w:shd w:val="clear" w:color="auto" w:fill="DAEEF3"/>
            <w:hideMark/>
          </w:tcPr>
          <w:p w14:paraId="5CC3DF73"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rFonts w:cs="Arial"/>
                <w:b/>
                <w:sz w:val="22"/>
                <w:szCs w:val="20"/>
                <w:lang w:eastAsia="en-US"/>
              </w:rPr>
            </w:pPr>
            <w:r w:rsidRPr="00DA4B71">
              <w:rPr>
                <w:rFonts w:cs="Arial"/>
                <w:b/>
                <w:bCs/>
                <w:sz w:val="16"/>
                <w:szCs w:val="16"/>
              </w:rPr>
              <w:t xml:space="preserve">Food &amp; Non-Alcoholic Beverages </w:t>
            </w:r>
          </w:p>
        </w:tc>
        <w:tc>
          <w:tcPr>
            <w:tcW w:w="924" w:type="pct"/>
            <w:tcBorders>
              <w:top w:val="single" w:sz="4" w:space="0" w:color="auto"/>
              <w:left w:val="nil"/>
              <w:bottom w:val="nil"/>
              <w:right w:val="nil"/>
            </w:tcBorders>
            <w:shd w:val="clear" w:color="auto" w:fill="DAEEF3"/>
            <w:hideMark/>
          </w:tcPr>
          <w:p w14:paraId="61601B9D"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1.7%</w:t>
            </w:r>
          </w:p>
        </w:tc>
        <w:tc>
          <w:tcPr>
            <w:tcW w:w="964" w:type="pct"/>
            <w:tcBorders>
              <w:top w:val="single" w:sz="4" w:space="0" w:color="auto"/>
              <w:left w:val="nil"/>
              <w:bottom w:val="nil"/>
              <w:right w:val="nil"/>
            </w:tcBorders>
            <w:shd w:val="clear" w:color="auto" w:fill="DAEEF3"/>
          </w:tcPr>
          <w:p w14:paraId="3F1031E6"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1.5%</w:t>
            </w:r>
          </w:p>
        </w:tc>
      </w:tr>
      <w:tr w:rsidR="00347601" w:rsidRPr="00FC20E5" w14:paraId="2F89D5DB" w14:textId="77777777" w:rsidTr="00CE47F5">
        <w:trPr>
          <w:cantSplit/>
          <w:trHeight w:val="288"/>
          <w:jc w:val="center"/>
        </w:trPr>
        <w:tc>
          <w:tcPr>
            <w:tcW w:w="3111" w:type="pct"/>
            <w:tcBorders>
              <w:top w:val="nil"/>
              <w:left w:val="nil"/>
              <w:bottom w:val="nil"/>
              <w:right w:val="nil"/>
            </w:tcBorders>
            <w:shd w:val="clear" w:color="auto" w:fill="DAEEF3"/>
          </w:tcPr>
          <w:p w14:paraId="066FAECD" w14:textId="77777777" w:rsidR="00347601" w:rsidRPr="00DA4B71" w:rsidRDefault="00347601" w:rsidP="00014A98">
            <w:pPr>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76" w:lineRule="auto"/>
              <w:rPr>
                <w:rFonts w:cs="Arial"/>
                <w:b/>
                <w:bCs/>
                <w:sz w:val="16"/>
                <w:szCs w:val="16"/>
              </w:rPr>
            </w:pPr>
            <w:r w:rsidRPr="00DA4B71">
              <w:rPr>
                <w:rFonts w:cs="Arial"/>
                <w:b/>
                <w:bCs/>
                <w:sz w:val="16"/>
                <w:szCs w:val="16"/>
              </w:rPr>
              <w:t>Bread and cereal products</w:t>
            </w:r>
          </w:p>
        </w:tc>
        <w:tc>
          <w:tcPr>
            <w:tcW w:w="924" w:type="pct"/>
            <w:tcBorders>
              <w:top w:val="nil"/>
              <w:left w:val="nil"/>
              <w:bottom w:val="nil"/>
              <w:right w:val="nil"/>
            </w:tcBorders>
            <w:shd w:val="clear" w:color="auto" w:fill="DAEEF3"/>
          </w:tcPr>
          <w:p w14:paraId="0591A074"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0.2%</w:t>
            </w:r>
          </w:p>
        </w:tc>
        <w:tc>
          <w:tcPr>
            <w:tcW w:w="964" w:type="pct"/>
            <w:tcBorders>
              <w:top w:val="nil"/>
              <w:left w:val="nil"/>
              <w:bottom w:val="nil"/>
              <w:right w:val="nil"/>
            </w:tcBorders>
            <w:shd w:val="clear" w:color="auto" w:fill="DAEEF3"/>
          </w:tcPr>
          <w:p w14:paraId="3EC53B89"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0.5%</w:t>
            </w:r>
          </w:p>
        </w:tc>
      </w:tr>
      <w:tr w:rsidR="00347601" w:rsidRPr="00FC20E5" w14:paraId="344145E3" w14:textId="77777777" w:rsidTr="00CE47F5">
        <w:trPr>
          <w:cantSplit/>
          <w:trHeight w:val="288"/>
          <w:jc w:val="center"/>
        </w:trPr>
        <w:tc>
          <w:tcPr>
            <w:tcW w:w="3111" w:type="pct"/>
            <w:tcBorders>
              <w:top w:val="nil"/>
              <w:left w:val="nil"/>
              <w:bottom w:val="nil"/>
              <w:right w:val="nil"/>
            </w:tcBorders>
            <w:shd w:val="clear" w:color="auto" w:fill="DAEEF3"/>
            <w:hideMark/>
          </w:tcPr>
          <w:p w14:paraId="55DDF94A" w14:textId="77777777" w:rsidR="00347601" w:rsidRPr="00DA4B71" w:rsidRDefault="00347601" w:rsidP="00014A98">
            <w:pPr>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76" w:lineRule="auto"/>
              <w:rPr>
                <w:rFonts w:cs="Arial"/>
                <w:b/>
                <w:bCs/>
                <w:sz w:val="16"/>
                <w:szCs w:val="16"/>
              </w:rPr>
            </w:pPr>
            <w:r w:rsidRPr="00DA4B71">
              <w:rPr>
                <w:rFonts w:cs="Arial"/>
                <w:b/>
                <w:bCs/>
                <w:sz w:val="16"/>
                <w:szCs w:val="16"/>
              </w:rPr>
              <w:t>Meat and seafoods</w:t>
            </w:r>
          </w:p>
        </w:tc>
        <w:tc>
          <w:tcPr>
            <w:tcW w:w="924" w:type="pct"/>
            <w:tcBorders>
              <w:top w:val="nil"/>
              <w:left w:val="nil"/>
              <w:bottom w:val="nil"/>
              <w:right w:val="nil"/>
            </w:tcBorders>
            <w:shd w:val="clear" w:color="auto" w:fill="DAEEF3"/>
          </w:tcPr>
          <w:p w14:paraId="3FB177B4"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2.6%</w:t>
            </w:r>
          </w:p>
        </w:tc>
        <w:tc>
          <w:tcPr>
            <w:tcW w:w="964" w:type="pct"/>
            <w:tcBorders>
              <w:top w:val="nil"/>
              <w:left w:val="nil"/>
              <w:bottom w:val="nil"/>
              <w:right w:val="nil"/>
            </w:tcBorders>
            <w:shd w:val="clear" w:color="auto" w:fill="DAEEF3"/>
          </w:tcPr>
          <w:p w14:paraId="164A1CD8"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2.4%</w:t>
            </w:r>
          </w:p>
        </w:tc>
      </w:tr>
      <w:tr w:rsidR="00347601" w:rsidRPr="00FC20E5" w14:paraId="2F5D6C62" w14:textId="77777777" w:rsidTr="00CE47F5">
        <w:trPr>
          <w:cantSplit/>
          <w:trHeight w:val="288"/>
          <w:jc w:val="center"/>
        </w:trPr>
        <w:tc>
          <w:tcPr>
            <w:tcW w:w="3111" w:type="pct"/>
            <w:tcBorders>
              <w:top w:val="nil"/>
              <w:left w:val="nil"/>
              <w:bottom w:val="nil"/>
              <w:right w:val="nil"/>
            </w:tcBorders>
            <w:shd w:val="clear" w:color="auto" w:fill="DAEEF3"/>
            <w:hideMark/>
          </w:tcPr>
          <w:p w14:paraId="4722F0E1" w14:textId="77777777" w:rsidR="00347601" w:rsidRPr="00DA4B71" w:rsidRDefault="00347601" w:rsidP="00014A98">
            <w:pPr>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76" w:lineRule="auto"/>
              <w:rPr>
                <w:rFonts w:cs="Arial"/>
                <w:b/>
                <w:bCs/>
                <w:sz w:val="16"/>
                <w:szCs w:val="16"/>
              </w:rPr>
            </w:pPr>
            <w:r w:rsidRPr="00DA4B71">
              <w:rPr>
                <w:rFonts w:cs="Arial"/>
                <w:b/>
                <w:bCs/>
                <w:sz w:val="16"/>
                <w:szCs w:val="16"/>
              </w:rPr>
              <w:t>Dairy &amp; related products</w:t>
            </w:r>
          </w:p>
        </w:tc>
        <w:tc>
          <w:tcPr>
            <w:tcW w:w="924" w:type="pct"/>
            <w:tcBorders>
              <w:top w:val="nil"/>
              <w:left w:val="nil"/>
              <w:bottom w:val="nil"/>
              <w:right w:val="nil"/>
            </w:tcBorders>
            <w:shd w:val="clear" w:color="auto" w:fill="DAEEF3"/>
          </w:tcPr>
          <w:p w14:paraId="227FB24B"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0.9%</w:t>
            </w:r>
          </w:p>
        </w:tc>
        <w:tc>
          <w:tcPr>
            <w:tcW w:w="964" w:type="pct"/>
            <w:tcBorders>
              <w:top w:val="nil"/>
              <w:left w:val="nil"/>
              <w:bottom w:val="nil"/>
              <w:right w:val="nil"/>
            </w:tcBorders>
            <w:shd w:val="clear" w:color="auto" w:fill="DAEEF3"/>
          </w:tcPr>
          <w:p w14:paraId="17E7B6D3"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1.1%</w:t>
            </w:r>
          </w:p>
        </w:tc>
      </w:tr>
      <w:tr w:rsidR="00347601" w:rsidRPr="00FC20E5" w14:paraId="44F01031" w14:textId="77777777" w:rsidTr="00CE47F5">
        <w:trPr>
          <w:cantSplit/>
          <w:trHeight w:val="272"/>
          <w:jc w:val="center"/>
        </w:trPr>
        <w:tc>
          <w:tcPr>
            <w:tcW w:w="3111" w:type="pct"/>
            <w:tcBorders>
              <w:top w:val="nil"/>
              <w:left w:val="nil"/>
              <w:bottom w:val="nil"/>
              <w:right w:val="nil"/>
            </w:tcBorders>
            <w:shd w:val="clear" w:color="auto" w:fill="DAEEF3"/>
            <w:hideMark/>
          </w:tcPr>
          <w:p w14:paraId="2E13BA21" w14:textId="77777777" w:rsidR="00347601" w:rsidRPr="00DA4B71" w:rsidRDefault="00347601" w:rsidP="00014A98">
            <w:pPr>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76" w:lineRule="auto"/>
              <w:rPr>
                <w:rFonts w:cs="Arial"/>
                <w:b/>
                <w:bCs/>
                <w:sz w:val="16"/>
                <w:szCs w:val="16"/>
              </w:rPr>
            </w:pPr>
            <w:r w:rsidRPr="00DA4B71">
              <w:rPr>
                <w:rFonts w:cs="Arial"/>
                <w:b/>
                <w:bCs/>
                <w:sz w:val="16"/>
                <w:szCs w:val="16"/>
              </w:rPr>
              <w:t>Fruit and vegetables</w:t>
            </w:r>
          </w:p>
        </w:tc>
        <w:tc>
          <w:tcPr>
            <w:tcW w:w="924" w:type="pct"/>
            <w:tcBorders>
              <w:top w:val="nil"/>
              <w:left w:val="nil"/>
              <w:bottom w:val="nil"/>
              <w:right w:val="nil"/>
            </w:tcBorders>
            <w:shd w:val="clear" w:color="auto" w:fill="DAEEF3"/>
          </w:tcPr>
          <w:p w14:paraId="45D84540"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1.5%</w:t>
            </w:r>
          </w:p>
        </w:tc>
        <w:tc>
          <w:tcPr>
            <w:tcW w:w="964" w:type="pct"/>
            <w:tcBorders>
              <w:top w:val="nil"/>
              <w:left w:val="nil"/>
              <w:bottom w:val="nil"/>
              <w:right w:val="nil"/>
            </w:tcBorders>
            <w:shd w:val="clear" w:color="auto" w:fill="DAEEF3"/>
          </w:tcPr>
          <w:p w14:paraId="14E58A1C"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1.6%</w:t>
            </w:r>
          </w:p>
        </w:tc>
      </w:tr>
      <w:tr w:rsidR="00347601" w:rsidRPr="00FC20E5" w14:paraId="46BE3F49" w14:textId="77777777" w:rsidTr="00CE47F5">
        <w:trPr>
          <w:cantSplit/>
          <w:trHeight w:val="288"/>
          <w:jc w:val="center"/>
        </w:trPr>
        <w:tc>
          <w:tcPr>
            <w:tcW w:w="3111" w:type="pct"/>
            <w:tcBorders>
              <w:top w:val="nil"/>
              <w:left w:val="nil"/>
              <w:bottom w:val="nil"/>
              <w:right w:val="nil"/>
            </w:tcBorders>
            <w:shd w:val="clear" w:color="auto" w:fill="DAEEF3"/>
            <w:hideMark/>
          </w:tcPr>
          <w:p w14:paraId="48A9EE3C" w14:textId="77777777" w:rsidR="00347601" w:rsidRPr="00DA4B71" w:rsidRDefault="00347601" w:rsidP="00014A98">
            <w:pPr>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76" w:lineRule="auto"/>
              <w:rPr>
                <w:rFonts w:cs="Arial"/>
                <w:b/>
                <w:bCs/>
                <w:sz w:val="16"/>
                <w:szCs w:val="16"/>
              </w:rPr>
            </w:pPr>
            <w:r w:rsidRPr="00DA4B71">
              <w:rPr>
                <w:rFonts w:cs="Arial"/>
                <w:b/>
                <w:bCs/>
                <w:sz w:val="16"/>
                <w:szCs w:val="16"/>
              </w:rPr>
              <w:t xml:space="preserve">Food products </w:t>
            </w:r>
            <w:proofErr w:type="spellStart"/>
            <w:r w:rsidRPr="00DA4B71">
              <w:rPr>
                <w:rFonts w:cs="Arial"/>
                <w:b/>
                <w:bCs/>
                <w:sz w:val="16"/>
                <w:szCs w:val="16"/>
              </w:rPr>
              <w:t>n.e.c.</w:t>
            </w:r>
            <w:proofErr w:type="spellEnd"/>
          </w:p>
        </w:tc>
        <w:tc>
          <w:tcPr>
            <w:tcW w:w="924" w:type="pct"/>
            <w:tcBorders>
              <w:top w:val="nil"/>
              <w:left w:val="nil"/>
              <w:bottom w:val="nil"/>
              <w:right w:val="nil"/>
            </w:tcBorders>
            <w:shd w:val="clear" w:color="auto" w:fill="DAEEF3"/>
          </w:tcPr>
          <w:p w14:paraId="3A2543BF"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-0.6%</w:t>
            </w:r>
          </w:p>
        </w:tc>
        <w:tc>
          <w:tcPr>
            <w:tcW w:w="964" w:type="pct"/>
            <w:tcBorders>
              <w:top w:val="nil"/>
              <w:left w:val="nil"/>
              <w:bottom w:val="nil"/>
              <w:right w:val="nil"/>
            </w:tcBorders>
            <w:shd w:val="clear" w:color="auto" w:fill="DAEEF3"/>
          </w:tcPr>
          <w:p w14:paraId="42A4C8F5"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-0.5%</w:t>
            </w:r>
          </w:p>
        </w:tc>
      </w:tr>
      <w:tr w:rsidR="00347601" w:rsidRPr="00FC20E5" w14:paraId="6B87F8EC" w14:textId="77777777" w:rsidTr="00CE47F5">
        <w:trPr>
          <w:cantSplit/>
          <w:trHeight w:val="288"/>
          <w:jc w:val="center"/>
        </w:trPr>
        <w:tc>
          <w:tcPr>
            <w:tcW w:w="3111" w:type="pct"/>
            <w:tcBorders>
              <w:top w:val="nil"/>
              <w:left w:val="nil"/>
              <w:bottom w:val="nil"/>
              <w:right w:val="nil"/>
            </w:tcBorders>
            <w:shd w:val="clear" w:color="auto" w:fill="DAEEF3"/>
          </w:tcPr>
          <w:p w14:paraId="0B8EBD06" w14:textId="77777777" w:rsidR="00347601" w:rsidRPr="00DA4B71" w:rsidRDefault="00347601" w:rsidP="00014A98">
            <w:pPr>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76" w:lineRule="auto"/>
              <w:rPr>
                <w:rFonts w:cs="Arial"/>
                <w:b/>
                <w:bCs/>
                <w:sz w:val="16"/>
                <w:szCs w:val="16"/>
              </w:rPr>
            </w:pPr>
            <w:r w:rsidRPr="00DA4B71">
              <w:rPr>
                <w:rFonts w:cs="Arial"/>
                <w:b/>
                <w:bCs/>
                <w:sz w:val="16"/>
                <w:szCs w:val="16"/>
              </w:rPr>
              <w:t>Non-alcoholic beverages</w:t>
            </w:r>
          </w:p>
        </w:tc>
        <w:tc>
          <w:tcPr>
            <w:tcW w:w="924" w:type="pct"/>
            <w:tcBorders>
              <w:top w:val="nil"/>
              <w:left w:val="nil"/>
              <w:bottom w:val="nil"/>
              <w:right w:val="nil"/>
            </w:tcBorders>
            <w:shd w:val="clear" w:color="auto" w:fill="DAEEF3"/>
          </w:tcPr>
          <w:p w14:paraId="7DF63910"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3.9%</w:t>
            </w:r>
          </w:p>
        </w:tc>
        <w:tc>
          <w:tcPr>
            <w:tcW w:w="964" w:type="pct"/>
            <w:tcBorders>
              <w:top w:val="nil"/>
              <w:left w:val="nil"/>
              <w:bottom w:val="nil"/>
              <w:right w:val="nil"/>
            </w:tcBorders>
            <w:shd w:val="clear" w:color="auto" w:fill="DAEEF3"/>
          </w:tcPr>
          <w:p w14:paraId="69F80941"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1.2%</w:t>
            </w:r>
          </w:p>
        </w:tc>
      </w:tr>
      <w:tr w:rsidR="00347601" w:rsidRPr="00FC20E5" w14:paraId="6FBE7966" w14:textId="77777777" w:rsidTr="00CE47F5">
        <w:trPr>
          <w:cantSplit/>
          <w:trHeight w:val="288"/>
          <w:jc w:val="center"/>
        </w:trPr>
        <w:tc>
          <w:tcPr>
            <w:tcW w:w="3111" w:type="pct"/>
            <w:tcBorders>
              <w:top w:val="nil"/>
              <w:left w:val="nil"/>
              <w:bottom w:val="nil"/>
              <w:right w:val="nil"/>
            </w:tcBorders>
            <w:shd w:val="clear" w:color="auto" w:fill="DAEEF3"/>
          </w:tcPr>
          <w:p w14:paraId="5A656EAB" w14:textId="77777777" w:rsidR="00347601" w:rsidRPr="00DA4B71" w:rsidRDefault="00347601" w:rsidP="00014A98">
            <w:pPr>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76" w:lineRule="auto"/>
              <w:rPr>
                <w:rFonts w:cs="Arial"/>
                <w:b/>
                <w:bCs/>
                <w:sz w:val="16"/>
                <w:szCs w:val="16"/>
              </w:rPr>
            </w:pPr>
            <w:r w:rsidRPr="00DA4B71">
              <w:rPr>
                <w:rFonts w:cs="Arial"/>
                <w:b/>
                <w:bCs/>
                <w:sz w:val="16"/>
                <w:szCs w:val="16"/>
              </w:rPr>
              <w:t>Meals out and takeaway foods</w:t>
            </w:r>
          </w:p>
        </w:tc>
        <w:tc>
          <w:tcPr>
            <w:tcW w:w="924" w:type="pct"/>
            <w:tcBorders>
              <w:top w:val="nil"/>
              <w:left w:val="nil"/>
              <w:bottom w:val="nil"/>
              <w:right w:val="nil"/>
            </w:tcBorders>
            <w:shd w:val="clear" w:color="auto" w:fill="DAEEF3"/>
          </w:tcPr>
          <w:p w14:paraId="0053768F"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2.6%</w:t>
            </w:r>
          </w:p>
        </w:tc>
        <w:tc>
          <w:tcPr>
            <w:tcW w:w="964" w:type="pct"/>
            <w:tcBorders>
              <w:top w:val="nil"/>
              <w:left w:val="nil"/>
              <w:bottom w:val="nil"/>
              <w:right w:val="nil"/>
            </w:tcBorders>
            <w:shd w:val="clear" w:color="auto" w:fill="DAEEF3"/>
          </w:tcPr>
          <w:p w14:paraId="1CF7F6A9"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2.1%</w:t>
            </w:r>
          </w:p>
        </w:tc>
      </w:tr>
      <w:tr w:rsidR="00347601" w:rsidRPr="00FC20E5" w14:paraId="7A1FEBA9" w14:textId="77777777" w:rsidTr="00CE47F5">
        <w:trPr>
          <w:cantSplit/>
          <w:trHeight w:val="256"/>
          <w:jc w:val="center"/>
        </w:trPr>
        <w:tc>
          <w:tcPr>
            <w:tcW w:w="3111" w:type="pct"/>
            <w:tcBorders>
              <w:top w:val="nil"/>
              <w:left w:val="nil"/>
              <w:bottom w:val="nil"/>
              <w:right w:val="nil"/>
            </w:tcBorders>
            <w:shd w:val="clear" w:color="auto" w:fill="auto"/>
            <w:hideMark/>
          </w:tcPr>
          <w:p w14:paraId="79443BA2"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rFonts w:cs="Arial"/>
                <w:b/>
                <w:sz w:val="22"/>
                <w:szCs w:val="20"/>
                <w:lang w:eastAsia="en-US"/>
              </w:rPr>
            </w:pPr>
            <w:r w:rsidRPr="00DA4B71">
              <w:rPr>
                <w:rFonts w:cs="Arial"/>
                <w:b/>
                <w:bCs/>
                <w:sz w:val="16"/>
                <w:szCs w:val="16"/>
              </w:rPr>
              <w:t>Alcohol &amp; Tobacco</w:t>
            </w:r>
            <w:r w:rsidRPr="00DA4B71">
              <w:rPr>
                <w:rFonts w:cs="Arial"/>
                <w:b/>
                <w:sz w:val="22"/>
                <w:szCs w:val="20"/>
                <w:lang w:eastAsia="en-US"/>
              </w:rPr>
              <w:t xml:space="preserve"> </w:t>
            </w:r>
          </w:p>
        </w:tc>
        <w:tc>
          <w:tcPr>
            <w:tcW w:w="924" w:type="pct"/>
            <w:tcBorders>
              <w:top w:val="nil"/>
              <w:left w:val="nil"/>
              <w:bottom w:val="nil"/>
              <w:right w:val="nil"/>
            </w:tcBorders>
            <w:shd w:val="clear" w:color="auto" w:fill="auto"/>
          </w:tcPr>
          <w:p w14:paraId="49B0A02D"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7.3%</w:t>
            </w:r>
          </w:p>
        </w:tc>
        <w:tc>
          <w:tcPr>
            <w:tcW w:w="964" w:type="pct"/>
            <w:tcBorders>
              <w:top w:val="nil"/>
              <w:left w:val="nil"/>
              <w:bottom w:val="nil"/>
              <w:right w:val="nil"/>
            </w:tcBorders>
            <w:shd w:val="clear" w:color="auto" w:fill="auto"/>
          </w:tcPr>
          <w:p w14:paraId="17FDAE99"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6.8%</w:t>
            </w:r>
          </w:p>
        </w:tc>
      </w:tr>
      <w:tr w:rsidR="00347601" w:rsidRPr="00FC20E5" w14:paraId="0247AF50" w14:textId="77777777" w:rsidTr="00CE47F5">
        <w:trPr>
          <w:cantSplit/>
          <w:trHeight w:val="256"/>
          <w:jc w:val="center"/>
        </w:trPr>
        <w:tc>
          <w:tcPr>
            <w:tcW w:w="3111" w:type="pct"/>
            <w:tcBorders>
              <w:top w:val="nil"/>
              <w:left w:val="nil"/>
              <w:bottom w:val="nil"/>
              <w:right w:val="nil"/>
            </w:tcBorders>
            <w:shd w:val="clear" w:color="auto" w:fill="auto"/>
            <w:hideMark/>
          </w:tcPr>
          <w:p w14:paraId="35A0A88F" w14:textId="77777777" w:rsidR="00347601" w:rsidRPr="00DA4B71" w:rsidRDefault="00347601" w:rsidP="00014A98">
            <w:pPr>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76" w:lineRule="auto"/>
              <w:rPr>
                <w:rFonts w:cs="Arial"/>
                <w:b/>
                <w:bCs/>
                <w:sz w:val="16"/>
                <w:szCs w:val="16"/>
              </w:rPr>
            </w:pPr>
            <w:r w:rsidRPr="00DA4B71">
              <w:rPr>
                <w:rFonts w:cs="Arial"/>
                <w:b/>
                <w:bCs/>
                <w:sz w:val="16"/>
                <w:szCs w:val="16"/>
              </w:rPr>
              <w:t xml:space="preserve">Alcohol </w:t>
            </w:r>
          </w:p>
        </w:tc>
        <w:tc>
          <w:tcPr>
            <w:tcW w:w="924" w:type="pct"/>
            <w:tcBorders>
              <w:top w:val="nil"/>
              <w:left w:val="nil"/>
              <w:bottom w:val="nil"/>
              <w:right w:val="nil"/>
            </w:tcBorders>
            <w:shd w:val="clear" w:color="auto" w:fill="auto"/>
          </w:tcPr>
          <w:p w14:paraId="6F6F3AA8"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4.0%</w:t>
            </w:r>
          </w:p>
        </w:tc>
        <w:tc>
          <w:tcPr>
            <w:tcW w:w="964" w:type="pct"/>
            <w:tcBorders>
              <w:top w:val="nil"/>
              <w:left w:val="nil"/>
              <w:bottom w:val="nil"/>
              <w:right w:val="nil"/>
            </w:tcBorders>
            <w:shd w:val="clear" w:color="auto" w:fill="auto"/>
          </w:tcPr>
          <w:p w14:paraId="192A2E87"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1.8%</w:t>
            </w:r>
          </w:p>
        </w:tc>
      </w:tr>
      <w:tr w:rsidR="00347601" w:rsidRPr="00FC20E5" w14:paraId="590EBFB6" w14:textId="77777777" w:rsidTr="00CE47F5">
        <w:trPr>
          <w:cantSplit/>
          <w:trHeight w:val="256"/>
          <w:jc w:val="center"/>
        </w:trPr>
        <w:tc>
          <w:tcPr>
            <w:tcW w:w="3111" w:type="pct"/>
            <w:tcBorders>
              <w:top w:val="nil"/>
              <w:left w:val="nil"/>
              <w:bottom w:val="nil"/>
              <w:right w:val="nil"/>
            </w:tcBorders>
            <w:shd w:val="clear" w:color="auto" w:fill="auto"/>
            <w:hideMark/>
          </w:tcPr>
          <w:p w14:paraId="131D415E" w14:textId="77777777" w:rsidR="00347601" w:rsidRPr="00DA4B71" w:rsidRDefault="00347601" w:rsidP="00014A98">
            <w:pPr>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76" w:lineRule="auto"/>
              <w:rPr>
                <w:rFonts w:cs="Arial"/>
                <w:b/>
                <w:bCs/>
                <w:sz w:val="16"/>
                <w:szCs w:val="16"/>
              </w:rPr>
            </w:pPr>
            <w:r w:rsidRPr="00DA4B71">
              <w:rPr>
                <w:rFonts w:cs="Arial"/>
                <w:b/>
                <w:bCs/>
                <w:sz w:val="16"/>
                <w:szCs w:val="16"/>
              </w:rPr>
              <w:t>Tobacco</w:t>
            </w:r>
          </w:p>
        </w:tc>
        <w:tc>
          <w:tcPr>
            <w:tcW w:w="924" w:type="pct"/>
            <w:tcBorders>
              <w:top w:val="nil"/>
              <w:left w:val="nil"/>
              <w:bottom w:val="nil"/>
              <w:right w:val="nil"/>
            </w:tcBorders>
            <w:shd w:val="clear" w:color="auto" w:fill="auto"/>
          </w:tcPr>
          <w:p w14:paraId="64617A8E"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14.8%</w:t>
            </w:r>
          </w:p>
        </w:tc>
        <w:tc>
          <w:tcPr>
            <w:tcW w:w="964" w:type="pct"/>
            <w:tcBorders>
              <w:top w:val="nil"/>
              <w:left w:val="nil"/>
              <w:bottom w:val="nil"/>
              <w:right w:val="nil"/>
            </w:tcBorders>
            <w:shd w:val="clear" w:color="auto" w:fill="auto"/>
          </w:tcPr>
          <w:p w14:paraId="0AA78E67"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15.0%</w:t>
            </w:r>
          </w:p>
        </w:tc>
      </w:tr>
      <w:tr w:rsidR="00347601" w:rsidRPr="00FC20E5" w14:paraId="2409F33C" w14:textId="77777777" w:rsidTr="00CE47F5">
        <w:trPr>
          <w:cantSplit/>
          <w:trHeight w:val="32"/>
          <w:jc w:val="center"/>
        </w:trPr>
        <w:tc>
          <w:tcPr>
            <w:tcW w:w="3111" w:type="pct"/>
            <w:tcBorders>
              <w:top w:val="nil"/>
              <w:left w:val="nil"/>
              <w:bottom w:val="nil"/>
              <w:right w:val="nil"/>
            </w:tcBorders>
            <w:shd w:val="clear" w:color="auto" w:fill="DAEEF3"/>
            <w:hideMark/>
          </w:tcPr>
          <w:p w14:paraId="25DD8F19"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rFonts w:cs="Arial"/>
                <w:b/>
                <w:sz w:val="22"/>
                <w:szCs w:val="20"/>
                <w:lang w:eastAsia="en-US"/>
              </w:rPr>
            </w:pPr>
            <w:r w:rsidRPr="00DA4B71">
              <w:rPr>
                <w:rFonts w:cs="Arial"/>
                <w:b/>
                <w:bCs/>
                <w:sz w:val="16"/>
                <w:szCs w:val="16"/>
              </w:rPr>
              <w:t>Clothing &amp; Footwear</w:t>
            </w:r>
          </w:p>
        </w:tc>
        <w:tc>
          <w:tcPr>
            <w:tcW w:w="924" w:type="pct"/>
            <w:tcBorders>
              <w:top w:val="nil"/>
              <w:left w:val="nil"/>
              <w:bottom w:val="nil"/>
              <w:right w:val="nil"/>
            </w:tcBorders>
            <w:shd w:val="clear" w:color="auto" w:fill="DAEEF3"/>
          </w:tcPr>
          <w:p w14:paraId="3FC76DBA"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0.3%</w:t>
            </w:r>
          </w:p>
        </w:tc>
        <w:tc>
          <w:tcPr>
            <w:tcW w:w="964" w:type="pct"/>
            <w:tcBorders>
              <w:top w:val="nil"/>
              <w:left w:val="nil"/>
              <w:bottom w:val="nil"/>
              <w:right w:val="nil"/>
            </w:tcBorders>
            <w:shd w:val="clear" w:color="auto" w:fill="DAEEF3"/>
          </w:tcPr>
          <w:p w14:paraId="60C94286"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-0.7%</w:t>
            </w:r>
          </w:p>
        </w:tc>
      </w:tr>
      <w:tr w:rsidR="00347601" w:rsidRPr="00FC20E5" w14:paraId="07F0F40D" w14:textId="77777777" w:rsidTr="00CE47F5">
        <w:trPr>
          <w:cantSplit/>
          <w:trHeight w:val="272"/>
          <w:jc w:val="center"/>
        </w:trPr>
        <w:tc>
          <w:tcPr>
            <w:tcW w:w="3111" w:type="pct"/>
            <w:tcBorders>
              <w:top w:val="nil"/>
              <w:left w:val="nil"/>
              <w:bottom w:val="nil"/>
              <w:right w:val="nil"/>
            </w:tcBorders>
            <w:shd w:val="clear" w:color="auto" w:fill="auto"/>
            <w:hideMark/>
          </w:tcPr>
          <w:p w14:paraId="2CC5157F"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rFonts w:cs="Arial"/>
                <w:b/>
                <w:sz w:val="22"/>
                <w:szCs w:val="20"/>
                <w:lang w:eastAsia="en-US"/>
              </w:rPr>
            </w:pPr>
            <w:r w:rsidRPr="00DA4B71">
              <w:rPr>
                <w:rFonts w:cs="Arial"/>
                <w:b/>
                <w:bCs/>
                <w:sz w:val="16"/>
                <w:szCs w:val="16"/>
              </w:rPr>
              <w:t>Housing (includes utilities)</w:t>
            </w:r>
            <w:r w:rsidRPr="00DA4B71">
              <w:rPr>
                <w:rFonts w:cs="Arial"/>
                <w:b/>
                <w:sz w:val="22"/>
                <w:szCs w:val="20"/>
                <w:lang w:eastAsia="en-US"/>
              </w:rPr>
              <w:t xml:space="preserve"> </w:t>
            </w:r>
          </w:p>
        </w:tc>
        <w:tc>
          <w:tcPr>
            <w:tcW w:w="924" w:type="pct"/>
            <w:tcBorders>
              <w:top w:val="nil"/>
              <w:left w:val="nil"/>
              <w:bottom w:val="nil"/>
              <w:right w:val="nil"/>
            </w:tcBorders>
            <w:shd w:val="clear" w:color="auto" w:fill="auto"/>
          </w:tcPr>
          <w:p w14:paraId="1FD674AB"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4.2%</w:t>
            </w:r>
          </w:p>
        </w:tc>
        <w:tc>
          <w:tcPr>
            <w:tcW w:w="964" w:type="pct"/>
            <w:tcBorders>
              <w:top w:val="nil"/>
              <w:left w:val="nil"/>
              <w:bottom w:val="nil"/>
              <w:right w:val="nil"/>
            </w:tcBorders>
            <w:shd w:val="clear" w:color="auto" w:fill="auto"/>
          </w:tcPr>
          <w:p w14:paraId="01467B33"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1.5%</w:t>
            </w:r>
          </w:p>
        </w:tc>
      </w:tr>
      <w:tr w:rsidR="00347601" w:rsidRPr="00FC20E5" w14:paraId="20CEA371" w14:textId="77777777" w:rsidTr="00CE47F5">
        <w:trPr>
          <w:cantSplit/>
          <w:trHeight w:val="288"/>
          <w:jc w:val="center"/>
        </w:trPr>
        <w:tc>
          <w:tcPr>
            <w:tcW w:w="3111" w:type="pct"/>
            <w:tcBorders>
              <w:top w:val="nil"/>
              <w:left w:val="nil"/>
              <w:bottom w:val="nil"/>
              <w:right w:val="nil"/>
            </w:tcBorders>
            <w:shd w:val="clear" w:color="auto" w:fill="auto"/>
            <w:hideMark/>
          </w:tcPr>
          <w:p w14:paraId="41CF43C2" w14:textId="77777777" w:rsidR="00347601" w:rsidRPr="00DA4B71" w:rsidRDefault="00347601" w:rsidP="00014A98">
            <w:pPr>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76" w:lineRule="auto"/>
              <w:rPr>
                <w:rFonts w:cs="Arial"/>
                <w:b/>
                <w:bCs/>
                <w:sz w:val="16"/>
                <w:szCs w:val="16"/>
              </w:rPr>
            </w:pPr>
            <w:r w:rsidRPr="00DA4B71">
              <w:rPr>
                <w:rFonts w:cs="Arial"/>
                <w:b/>
                <w:bCs/>
                <w:sz w:val="16"/>
                <w:szCs w:val="16"/>
              </w:rPr>
              <w:t>Rents</w:t>
            </w:r>
          </w:p>
        </w:tc>
        <w:tc>
          <w:tcPr>
            <w:tcW w:w="924" w:type="pct"/>
            <w:tcBorders>
              <w:top w:val="nil"/>
              <w:left w:val="nil"/>
              <w:bottom w:val="nil"/>
              <w:right w:val="nil"/>
            </w:tcBorders>
            <w:shd w:val="clear" w:color="auto" w:fill="auto"/>
          </w:tcPr>
          <w:p w14:paraId="47672ED3"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3.0%</w:t>
            </w:r>
          </w:p>
        </w:tc>
        <w:tc>
          <w:tcPr>
            <w:tcW w:w="964" w:type="pct"/>
            <w:tcBorders>
              <w:top w:val="nil"/>
              <w:left w:val="nil"/>
              <w:bottom w:val="nil"/>
              <w:right w:val="nil"/>
            </w:tcBorders>
            <w:shd w:val="clear" w:color="auto" w:fill="auto"/>
          </w:tcPr>
          <w:p w14:paraId="5C7C1F6E"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0.5%</w:t>
            </w:r>
          </w:p>
        </w:tc>
      </w:tr>
      <w:tr w:rsidR="00347601" w:rsidRPr="00FC20E5" w14:paraId="6DD0FF75" w14:textId="77777777" w:rsidTr="00CE47F5">
        <w:trPr>
          <w:cantSplit/>
          <w:trHeight w:val="288"/>
          <w:jc w:val="center"/>
        </w:trPr>
        <w:tc>
          <w:tcPr>
            <w:tcW w:w="3111" w:type="pct"/>
            <w:tcBorders>
              <w:top w:val="nil"/>
              <w:left w:val="nil"/>
              <w:bottom w:val="nil"/>
              <w:right w:val="nil"/>
            </w:tcBorders>
            <w:shd w:val="clear" w:color="auto" w:fill="auto"/>
            <w:hideMark/>
          </w:tcPr>
          <w:p w14:paraId="3260EFC8" w14:textId="77777777" w:rsidR="00347601" w:rsidRPr="00DA4B71" w:rsidRDefault="00347601" w:rsidP="00014A98">
            <w:pPr>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76" w:lineRule="auto"/>
              <w:rPr>
                <w:rFonts w:cs="Arial"/>
                <w:b/>
                <w:bCs/>
                <w:sz w:val="16"/>
                <w:szCs w:val="16"/>
              </w:rPr>
            </w:pPr>
            <w:r w:rsidRPr="00DA4B71">
              <w:rPr>
                <w:rFonts w:cs="Arial"/>
                <w:b/>
                <w:bCs/>
                <w:sz w:val="16"/>
                <w:szCs w:val="16"/>
              </w:rPr>
              <w:t xml:space="preserve">New dwelling purchase </w:t>
            </w:r>
          </w:p>
        </w:tc>
        <w:tc>
          <w:tcPr>
            <w:tcW w:w="924" w:type="pct"/>
            <w:tcBorders>
              <w:top w:val="nil"/>
              <w:left w:val="nil"/>
              <w:bottom w:val="nil"/>
              <w:right w:val="nil"/>
            </w:tcBorders>
            <w:shd w:val="clear" w:color="auto" w:fill="auto"/>
          </w:tcPr>
          <w:p w14:paraId="4BDB9B4E"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3.6%</w:t>
            </w:r>
          </w:p>
        </w:tc>
        <w:tc>
          <w:tcPr>
            <w:tcW w:w="964" w:type="pct"/>
            <w:tcBorders>
              <w:top w:val="nil"/>
              <w:left w:val="nil"/>
              <w:bottom w:val="nil"/>
              <w:right w:val="nil"/>
            </w:tcBorders>
            <w:shd w:val="clear" w:color="auto" w:fill="auto"/>
          </w:tcPr>
          <w:p w14:paraId="42E1DC66"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1.8%</w:t>
            </w:r>
          </w:p>
        </w:tc>
      </w:tr>
      <w:tr w:rsidR="00347601" w:rsidRPr="00FC20E5" w14:paraId="56B24CA4" w14:textId="77777777" w:rsidTr="00CE47F5">
        <w:trPr>
          <w:cantSplit/>
          <w:trHeight w:val="288"/>
          <w:jc w:val="center"/>
        </w:trPr>
        <w:tc>
          <w:tcPr>
            <w:tcW w:w="3111" w:type="pct"/>
            <w:tcBorders>
              <w:top w:val="nil"/>
              <w:left w:val="nil"/>
              <w:bottom w:val="nil"/>
              <w:right w:val="nil"/>
            </w:tcBorders>
            <w:shd w:val="clear" w:color="auto" w:fill="auto"/>
            <w:hideMark/>
          </w:tcPr>
          <w:p w14:paraId="05E51382" w14:textId="77777777" w:rsidR="00347601" w:rsidRPr="00DA4B71" w:rsidRDefault="00347601" w:rsidP="00014A98">
            <w:pPr>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76" w:lineRule="auto"/>
              <w:rPr>
                <w:rFonts w:cs="Arial"/>
                <w:b/>
                <w:bCs/>
                <w:sz w:val="16"/>
                <w:szCs w:val="16"/>
              </w:rPr>
            </w:pPr>
            <w:r w:rsidRPr="00DA4B71">
              <w:rPr>
                <w:rFonts w:cs="Arial"/>
                <w:b/>
                <w:bCs/>
                <w:sz w:val="16"/>
                <w:szCs w:val="16"/>
              </w:rPr>
              <w:t>Utilities</w:t>
            </w:r>
          </w:p>
        </w:tc>
        <w:tc>
          <w:tcPr>
            <w:tcW w:w="924" w:type="pct"/>
            <w:tcBorders>
              <w:top w:val="nil"/>
              <w:left w:val="nil"/>
              <w:bottom w:val="nil"/>
              <w:right w:val="nil"/>
            </w:tcBorders>
            <w:shd w:val="clear" w:color="auto" w:fill="auto"/>
          </w:tcPr>
          <w:p w14:paraId="402A1A33"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5.9%</w:t>
            </w:r>
          </w:p>
        </w:tc>
        <w:tc>
          <w:tcPr>
            <w:tcW w:w="964" w:type="pct"/>
            <w:tcBorders>
              <w:top w:val="nil"/>
              <w:left w:val="nil"/>
              <w:bottom w:val="nil"/>
              <w:right w:val="nil"/>
            </w:tcBorders>
            <w:shd w:val="clear" w:color="auto" w:fill="auto"/>
          </w:tcPr>
          <w:p w14:paraId="2A3BE44E"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2.0%</w:t>
            </w:r>
          </w:p>
        </w:tc>
      </w:tr>
      <w:tr w:rsidR="00347601" w:rsidRPr="00FC20E5" w14:paraId="30F2703E" w14:textId="77777777" w:rsidTr="00CE47F5">
        <w:trPr>
          <w:cantSplit/>
          <w:trHeight w:val="288"/>
          <w:jc w:val="center"/>
        </w:trPr>
        <w:tc>
          <w:tcPr>
            <w:tcW w:w="3111" w:type="pct"/>
            <w:tcBorders>
              <w:top w:val="nil"/>
              <w:left w:val="nil"/>
              <w:bottom w:val="nil"/>
              <w:right w:val="nil"/>
            </w:tcBorders>
            <w:shd w:val="clear" w:color="auto" w:fill="auto"/>
            <w:hideMark/>
          </w:tcPr>
          <w:p w14:paraId="11331449" w14:textId="77777777" w:rsidR="00347601" w:rsidRPr="00DA4B71" w:rsidRDefault="00347601" w:rsidP="00014A98">
            <w:pPr>
              <w:numPr>
                <w:ilvl w:val="0"/>
                <w:numId w:val="2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76" w:lineRule="auto"/>
              <w:rPr>
                <w:rFonts w:cs="Arial"/>
                <w:i/>
                <w:sz w:val="16"/>
                <w:szCs w:val="16"/>
              </w:rPr>
            </w:pPr>
            <w:r w:rsidRPr="00DA4B71">
              <w:rPr>
                <w:rFonts w:cs="Arial"/>
                <w:i/>
                <w:sz w:val="16"/>
                <w:szCs w:val="16"/>
              </w:rPr>
              <w:t>Water &amp; sewerage</w:t>
            </w:r>
          </w:p>
        </w:tc>
        <w:tc>
          <w:tcPr>
            <w:tcW w:w="924" w:type="pct"/>
            <w:tcBorders>
              <w:top w:val="nil"/>
              <w:left w:val="nil"/>
              <w:bottom w:val="nil"/>
              <w:right w:val="nil"/>
            </w:tcBorders>
            <w:shd w:val="clear" w:color="auto" w:fill="auto"/>
          </w:tcPr>
          <w:p w14:paraId="6F9DECCA"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-5.0%</w:t>
            </w:r>
          </w:p>
        </w:tc>
        <w:tc>
          <w:tcPr>
            <w:tcW w:w="964" w:type="pct"/>
            <w:tcBorders>
              <w:top w:val="nil"/>
              <w:left w:val="nil"/>
              <w:bottom w:val="nil"/>
              <w:right w:val="nil"/>
            </w:tcBorders>
            <w:shd w:val="clear" w:color="auto" w:fill="auto"/>
          </w:tcPr>
          <w:p w14:paraId="1891EB09"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1.3%</w:t>
            </w:r>
          </w:p>
        </w:tc>
      </w:tr>
      <w:tr w:rsidR="00347601" w:rsidRPr="00FC20E5" w14:paraId="6CAA98C5" w14:textId="77777777" w:rsidTr="00CE47F5">
        <w:trPr>
          <w:cantSplit/>
          <w:trHeight w:val="288"/>
          <w:jc w:val="center"/>
        </w:trPr>
        <w:tc>
          <w:tcPr>
            <w:tcW w:w="3111" w:type="pct"/>
            <w:tcBorders>
              <w:top w:val="nil"/>
              <w:left w:val="nil"/>
              <w:bottom w:val="nil"/>
              <w:right w:val="nil"/>
            </w:tcBorders>
            <w:shd w:val="clear" w:color="auto" w:fill="auto"/>
            <w:hideMark/>
          </w:tcPr>
          <w:p w14:paraId="5FC8C84C" w14:textId="77777777" w:rsidR="00347601" w:rsidRPr="00DA4B71" w:rsidRDefault="00347601" w:rsidP="00014A98">
            <w:pPr>
              <w:numPr>
                <w:ilvl w:val="0"/>
                <w:numId w:val="2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76" w:lineRule="auto"/>
              <w:rPr>
                <w:rFonts w:cs="Arial"/>
                <w:i/>
                <w:sz w:val="16"/>
                <w:szCs w:val="16"/>
              </w:rPr>
            </w:pPr>
            <w:r w:rsidRPr="00DA4B71">
              <w:rPr>
                <w:rFonts w:cs="Arial"/>
                <w:i/>
                <w:sz w:val="16"/>
                <w:szCs w:val="16"/>
              </w:rPr>
              <w:t>Electricity</w:t>
            </w:r>
          </w:p>
        </w:tc>
        <w:tc>
          <w:tcPr>
            <w:tcW w:w="924" w:type="pct"/>
            <w:tcBorders>
              <w:top w:val="nil"/>
              <w:left w:val="nil"/>
              <w:bottom w:val="nil"/>
              <w:right w:val="nil"/>
            </w:tcBorders>
            <w:shd w:val="clear" w:color="auto" w:fill="auto"/>
          </w:tcPr>
          <w:p w14:paraId="34B8FA48"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11.2%</w:t>
            </w:r>
          </w:p>
        </w:tc>
        <w:tc>
          <w:tcPr>
            <w:tcW w:w="964" w:type="pct"/>
            <w:tcBorders>
              <w:top w:val="nil"/>
              <w:left w:val="nil"/>
              <w:bottom w:val="nil"/>
              <w:right w:val="nil"/>
            </w:tcBorders>
            <w:shd w:val="clear" w:color="auto" w:fill="auto"/>
          </w:tcPr>
          <w:p w14:paraId="37665A7F"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1.8%</w:t>
            </w:r>
          </w:p>
        </w:tc>
      </w:tr>
      <w:tr w:rsidR="00347601" w:rsidRPr="00FC20E5" w14:paraId="6A235F58" w14:textId="77777777" w:rsidTr="00CE47F5">
        <w:trPr>
          <w:cantSplit/>
          <w:trHeight w:val="288"/>
          <w:jc w:val="center"/>
        </w:trPr>
        <w:tc>
          <w:tcPr>
            <w:tcW w:w="3111" w:type="pct"/>
            <w:tcBorders>
              <w:top w:val="nil"/>
              <w:left w:val="nil"/>
              <w:bottom w:val="nil"/>
              <w:right w:val="nil"/>
            </w:tcBorders>
            <w:shd w:val="clear" w:color="auto" w:fill="auto"/>
          </w:tcPr>
          <w:p w14:paraId="67B3A737" w14:textId="77777777" w:rsidR="00347601" w:rsidRPr="00DA4B71" w:rsidRDefault="00347601" w:rsidP="00014A98">
            <w:pPr>
              <w:numPr>
                <w:ilvl w:val="0"/>
                <w:numId w:val="2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76" w:lineRule="auto"/>
              <w:rPr>
                <w:rFonts w:cs="Arial"/>
                <w:i/>
                <w:sz w:val="16"/>
                <w:szCs w:val="16"/>
              </w:rPr>
            </w:pPr>
            <w:r w:rsidRPr="00DA4B71">
              <w:rPr>
                <w:rFonts w:cs="Arial"/>
                <w:i/>
                <w:sz w:val="16"/>
                <w:szCs w:val="16"/>
              </w:rPr>
              <w:t>Gas and other household fuels</w:t>
            </w:r>
          </w:p>
        </w:tc>
        <w:tc>
          <w:tcPr>
            <w:tcW w:w="924" w:type="pct"/>
            <w:tcBorders>
              <w:top w:val="nil"/>
              <w:left w:val="nil"/>
              <w:bottom w:val="nil"/>
              <w:right w:val="nil"/>
            </w:tcBorders>
            <w:shd w:val="clear" w:color="auto" w:fill="auto"/>
          </w:tcPr>
          <w:p w14:paraId="7222C750"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6.8%</w:t>
            </w:r>
          </w:p>
        </w:tc>
        <w:tc>
          <w:tcPr>
            <w:tcW w:w="964" w:type="pct"/>
            <w:tcBorders>
              <w:top w:val="nil"/>
              <w:left w:val="nil"/>
              <w:bottom w:val="nil"/>
              <w:right w:val="nil"/>
            </w:tcBorders>
            <w:shd w:val="clear" w:color="auto" w:fill="auto"/>
          </w:tcPr>
          <w:p w14:paraId="3B453C34"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3.2%</w:t>
            </w:r>
          </w:p>
        </w:tc>
      </w:tr>
      <w:tr w:rsidR="00347601" w:rsidRPr="00FC20E5" w14:paraId="04BB66C3" w14:textId="77777777" w:rsidTr="00CE47F5">
        <w:trPr>
          <w:cantSplit/>
          <w:trHeight w:val="288"/>
          <w:jc w:val="center"/>
        </w:trPr>
        <w:tc>
          <w:tcPr>
            <w:tcW w:w="3111" w:type="pct"/>
            <w:tcBorders>
              <w:top w:val="nil"/>
              <w:left w:val="nil"/>
              <w:bottom w:val="nil"/>
              <w:right w:val="nil"/>
            </w:tcBorders>
            <w:shd w:val="clear" w:color="auto" w:fill="DAEEF3"/>
            <w:hideMark/>
          </w:tcPr>
          <w:p w14:paraId="6A0DA59B"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rFonts w:cs="Arial"/>
                <w:b/>
                <w:sz w:val="22"/>
                <w:szCs w:val="20"/>
                <w:lang w:eastAsia="en-US"/>
              </w:rPr>
            </w:pPr>
            <w:r w:rsidRPr="00DA4B71">
              <w:rPr>
                <w:rFonts w:cs="Arial"/>
                <w:b/>
                <w:bCs/>
                <w:sz w:val="16"/>
                <w:szCs w:val="16"/>
              </w:rPr>
              <w:t>Furnishings, household equipment/ services</w:t>
            </w:r>
          </w:p>
        </w:tc>
        <w:tc>
          <w:tcPr>
            <w:tcW w:w="924" w:type="pct"/>
            <w:tcBorders>
              <w:top w:val="nil"/>
              <w:left w:val="nil"/>
              <w:bottom w:val="nil"/>
              <w:right w:val="nil"/>
            </w:tcBorders>
            <w:shd w:val="clear" w:color="auto" w:fill="DAEEF3"/>
          </w:tcPr>
          <w:p w14:paraId="28972811"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-2.3%</w:t>
            </w:r>
          </w:p>
        </w:tc>
        <w:tc>
          <w:tcPr>
            <w:tcW w:w="964" w:type="pct"/>
            <w:tcBorders>
              <w:top w:val="nil"/>
              <w:left w:val="nil"/>
              <w:bottom w:val="nil"/>
              <w:right w:val="nil"/>
            </w:tcBorders>
            <w:shd w:val="clear" w:color="auto" w:fill="DAEEF3"/>
          </w:tcPr>
          <w:p w14:paraId="49E8D836"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-0.8%</w:t>
            </w:r>
          </w:p>
        </w:tc>
      </w:tr>
      <w:tr w:rsidR="00347601" w:rsidRPr="00FC20E5" w14:paraId="574530EF" w14:textId="77777777" w:rsidTr="00CE47F5">
        <w:trPr>
          <w:cantSplit/>
          <w:trHeight w:val="288"/>
          <w:jc w:val="center"/>
        </w:trPr>
        <w:tc>
          <w:tcPr>
            <w:tcW w:w="3111" w:type="pct"/>
            <w:tcBorders>
              <w:top w:val="nil"/>
              <w:left w:val="nil"/>
              <w:bottom w:val="nil"/>
              <w:right w:val="nil"/>
            </w:tcBorders>
            <w:shd w:val="clear" w:color="auto" w:fill="auto"/>
            <w:hideMark/>
          </w:tcPr>
          <w:p w14:paraId="246203D5"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rFonts w:cs="Arial"/>
                <w:b/>
                <w:sz w:val="22"/>
                <w:szCs w:val="20"/>
                <w:lang w:eastAsia="en-US"/>
              </w:rPr>
            </w:pPr>
            <w:r w:rsidRPr="00DA4B71">
              <w:rPr>
                <w:rFonts w:cs="Arial"/>
                <w:b/>
                <w:bCs/>
                <w:sz w:val="16"/>
                <w:szCs w:val="16"/>
              </w:rPr>
              <w:t xml:space="preserve">Health </w:t>
            </w:r>
          </w:p>
        </w:tc>
        <w:tc>
          <w:tcPr>
            <w:tcW w:w="924" w:type="pct"/>
            <w:tcBorders>
              <w:top w:val="nil"/>
              <w:left w:val="nil"/>
              <w:bottom w:val="nil"/>
              <w:right w:val="nil"/>
            </w:tcBorders>
            <w:shd w:val="clear" w:color="auto" w:fill="auto"/>
          </w:tcPr>
          <w:p w14:paraId="5F39D6AC"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2.8%</w:t>
            </w:r>
          </w:p>
        </w:tc>
        <w:tc>
          <w:tcPr>
            <w:tcW w:w="964" w:type="pct"/>
            <w:tcBorders>
              <w:top w:val="nil"/>
              <w:left w:val="nil"/>
              <w:bottom w:val="nil"/>
              <w:right w:val="nil"/>
            </w:tcBorders>
            <w:shd w:val="clear" w:color="auto" w:fill="auto"/>
          </w:tcPr>
          <w:p w14:paraId="48ED6B96"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3.3%</w:t>
            </w:r>
          </w:p>
        </w:tc>
      </w:tr>
      <w:tr w:rsidR="00347601" w:rsidRPr="00FC20E5" w14:paraId="707F7E48" w14:textId="77777777" w:rsidTr="00CE47F5">
        <w:trPr>
          <w:cantSplit/>
          <w:trHeight w:val="288"/>
          <w:jc w:val="center"/>
        </w:trPr>
        <w:tc>
          <w:tcPr>
            <w:tcW w:w="3111" w:type="pct"/>
            <w:tcBorders>
              <w:top w:val="nil"/>
              <w:left w:val="nil"/>
              <w:bottom w:val="nil"/>
              <w:right w:val="nil"/>
            </w:tcBorders>
            <w:shd w:val="clear" w:color="auto" w:fill="DAEEF3"/>
            <w:hideMark/>
          </w:tcPr>
          <w:p w14:paraId="147319B1"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rFonts w:cs="Arial"/>
                <w:b/>
                <w:sz w:val="22"/>
                <w:szCs w:val="20"/>
                <w:lang w:eastAsia="en-US"/>
              </w:rPr>
            </w:pPr>
            <w:r w:rsidRPr="00DA4B71">
              <w:rPr>
                <w:rFonts w:cs="Arial"/>
                <w:b/>
                <w:bCs/>
                <w:sz w:val="16"/>
                <w:szCs w:val="16"/>
              </w:rPr>
              <w:t>Transport</w:t>
            </w:r>
          </w:p>
        </w:tc>
        <w:tc>
          <w:tcPr>
            <w:tcW w:w="924" w:type="pct"/>
            <w:tcBorders>
              <w:top w:val="nil"/>
              <w:left w:val="nil"/>
              <w:bottom w:val="nil"/>
              <w:right w:val="nil"/>
            </w:tcBorders>
            <w:shd w:val="clear" w:color="auto" w:fill="DAEEF3"/>
          </w:tcPr>
          <w:p w14:paraId="1EAD5F1D"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4.8%</w:t>
            </w:r>
          </w:p>
        </w:tc>
        <w:tc>
          <w:tcPr>
            <w:tcW w:w="964" w:type="pct"/>
            <w:tcBorders>
              <w:top w:val="nil"/>
              <w:left w:val="nil"/>
              <w:bottom w:val="nil"/>
              <w:right w:val="nil"/>
            </w:tcBorders>
            <w:shd w:val="clear" w:color="auto" w:fill="DAEEF3"/>
          </w:tcPr>
          <w:p w14:paraId="7C269DC5"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2.8%</w:t>
            </w:r>
          </w:p>
        </w:tc>
      </w:tr>
      <w:tr w:rsidR="00347601" w:rsidRPr="00FC20E5" w14:paraId="3D62C598" w14:textId="77777777" w:rsidTr="00CE47F5">
        <w:trPr>
          <w:cantSplit/>
          <w:trHeight w:val="288"/>
          <w:jc w:val="center"/>
        </w:trPr>
        <w:tc>
          <w:tcPr>
            <w:tcW w:w="3111" w:type="pct"/>
            <w:tcBorders>
              <w:top w:val="nil"/>
              <w:left w:val="nil"/>
              <w:bottom w:val="nil"/>
              <w:right w:val="nil"/>
            </w:tcBorders>
            <w:shd w:val="clear" w:color="auto" w:fill="DAEEF3"/>
            <w:hideMark/>
          </w:tcPr>
          <w:p w14:paraId="661C89C3" w14:textId="77777777" w:rsidR="00347601" w:rsidRPr="00DA4B71" w:rsidRDefault="00347601" w:rsidP="00014A98">
            <w:pPr>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76" w:lineRule="auto"/>
              <w:rPr>
                <w:rFonts w:cs="Arial"/>
                <w:b/>
                <w:bCs/>
                <w:sz w:val="16"/>
                <w:szCs w:val="16"/>
              </w:rPr>
            </w:pPr>
            <w:r w:rsidRPr="00DA4B71">
              <w:rPr>
                <w:rFonts w:cs="Arial"/>
                <w:b/>
                <w:bCs/>
                <w:sz w:val="16"/>
                <w:szCs w:val="16"/>
              </w:rPr>
              <w:t xml:space="preserve">Automotive Fuel </w:t>
            </w:r>
          </w:p>
        </w:tc>
        <w:tc>
          <w:tcPr>
            <w:tcW w:w="924" w:type="pct"/>
            <w:tcBorders>
              <w:top w:val="nil"/>
              <w:left w:val="nil"/>
              <w:bottom w:val="nil"/>
              <w:right w:val="nil"/>
            </w:tcBorders>
            <w:shd w:val="clear" w:color="auto" w:fill="DAEEF3"/>
          </w:tcPr>
          <w:p w14:paraId="6FDDF68C"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14.8%</w:t>
            </w:r>
          </w:p>
        </w:tc>
        <w:tc>
          <w:tcPr>
            <w:tcW w:w="964" w:type="pct"/>
            <w:tcBorders>
              <w:top w:val="nil"/>
              <w:left w:val="nil"/>
              <w:bottom w:val="nil"/>
              <w:right w:val="nil"/>
            </w:tcBorders>
            <w:shd w:val="clear" w:color="auto" w:fill="DAEEF3"/>
          </w:tcPr>
          <w:p w14:paraId="31484A9A"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6.7%</w:t>
            </w:r>
          </w:p>
        </w:tc>
      </w:tr>
      <w:tr w:rsidR="00347601" w:rsidRPr="00FC20E5" w14:paraId="2FC7669D" w14:textId="77777777" w:rsidTr="00CE47F5">
        <w:trPr>
          <w:cantSplit/>
          <w:trHeight w:val="288"/>
          <w:jc w:val="center"/>
        </w:trPr>
        <w:tc>
          <w:tcPr>
            <w:tcW w:w="3111" w:type="pct"/>
            <w:tcBorders>
              <w:top w:val="nil"/>
              <w:left w:val="nil"/>
              <w:bottom w:val="nil"/>
              <w:right w:val="nil"/>
            </w:tcBorders>
            <w:shd w:val="clear" w:color="auto" w:fill="DAEEF3"/>
            <w:hideMark/>
          </w:tcPr>
          <w:p w14:paraId="11433548" w14:textId="77777777" w:rsidR="00347601" w:rsidRPr="00DA4B71" w:rsidRDefault="00347601" w:rsidP="00014A98">
            <w:pPr>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76" w:lineRule="auto"/>
              <w:rPr>
                <w:rFonts w:cs="Arial"/>
                <w:b/>
                <w:bCs/>
                <w:sz w:val="16"/>
                <w:szCs w:val="16"/>
              </w:rPr>
            </w:pPr>
            <w:r w:rsidRPr="00DA4B71">
              <w:rPr>
                <w:rFonts w:cs="Arial"/>
                <w:b/>
                <w:bCs/>
                <w:sz w:val="16"/>
                <w:szCs w:val="16"/>
              </w:rPr>
              <w:t>Public Transport</w:t>
            </w:r>
          </w:p>
        </w:tc>
        <w:tc>
          <w:tcPr>
            <w:tcW w:w="924" w:type="pct"/>
            <w:tcBorders>
              <w:top w:val="nil"/>
              <w:left w:val="nil"/>
              <w:bottom w:val="nil"/>
              <w:right w:val="nil"/>
            </w:tcBorders>
            <w:shd w:val="clear" w:color="auto" w:fill="DAEEF3"/>
          </w:tcPr>
          <w:p w14:paraId="5A5FD58F"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0.9%</w:t>
            </w:r>
          </w:p>
        </w:tc>
        <w:tc>
          <w:tcPr>
            <w:tcW w:w="964" w:type="pct"/>
            <w:tcBorders>
              <w:top w:val="nil"/>
              <w:left w:val="nil"/>
              <w:bottom w:val="nil"/>
              <w:right w:val="nil"/>
            </w:tcBorders>
            <w:shd w:val="clear" w:color="auto" w:fill="DAEEF3"/>
          </w:tcPr>
          <w:p w14:paraId="2990B6F4"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2.5%</w:t>
            </w:r>
          </w:p>
        </w:tc>
      </w:tr>
      <w:tr w:rsidR="00347601" w:rsidRPr="00FC20E5" w14:paraId="0B07F555" w14:textId="77777777" w:rsidTr="00CE47F5">
        <w:trPr>
          <w:cantSplit/>
          <w:trHeight w:val="288"/>
          <w:jc w:val="center"/>
        </w:trPr>
        <w:tc>
          <w:tcPr>
            <w:tcW w:w="3111" w:type="pct"/>
            <w:tcBorders>
              <w:top w:val="nil"/>
              <w:left w:val="nil"/>
              <w:bottom w:val="nil"/>
              <w:right w:val="nil"/>
            </w:tcBorders>
            <w:shd w:val="clear" w:color="auto" w:fill="auto"/>
            <w:hideMark/>
          </w:tcPr>
          <w:p w14:paraId="0FB862D0"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rFonts w:cs="Arial"/>
                <w:sz w:val="22"/>
                <w:szCs w:val="20"/>
                <w:lang w:eastAsia="en-US"/>
              </w:rPr>
            </w:pPr>
            <w:r w:rsidRPr="00DA4B71">
              <w:rPr>
                <w:rFonts w:cs="Arial"/>
                <w:b/>
                <w:bCs/>
                <w:sz w:val="16"/>
                <w:szCs w:val="16"/>
              </w:rPr>
              <w:t>Communication</w:t>
            </w:r>
          </w:p>
        </w:tc>
        <w:tc>
          <w:tcPr>
            <w:tcW w:w="924" w:type="pct"/>
            <w:tcBorders>
              <w:top w:val="nil"/>
              <w:left w:val="nil"/>
              <w:bottom w:val="nil"/>
              <w:right w:val="nil"/>
            </w:tcBorders>
            <w:shd w:val="clear" w:color="auto" w:fill="auto"/>
          </w:tcPr>
          <w:p w14:paraId="2FB38DDF"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-4.0%</w:t>
            </w:r>
          </w:p>
        </w:tc>
        <w:tc>
          <w:tcPr>
            <w:tcW w:w="964" w:type="pct"/>
            <w:tcBorders>
              <w:top w:val="nil"/>
              <w:left w:val="nil"/>
              <w:bottom w:val="nil"/>
              <w:right w:val="nil"/>
            </w:tcBorders>
            <w:shd w:val="clear" w:color="auto" w:fill="auto"/>
          </w:tcPr>
          <w:p w14:paraId="1656625B"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-4.3%</w:t>
            </w:r>
          </w:p>
        </w:tc>
      </w:tr>
      <w:tr w:rsidR="00347601" w:rsidRPr="00FC20E5" w14:paraId="296CA52A" w14:textId="77777777" w:rsidTr="00CE47F5">
        <w:trPr>
          <w:cantSplit/>
          <w:trHeight w:val="288"/>
          <w:jc w:val="center"/>
        </w:trPr>
        <w:tc>
          <w:tcPr>
            <w:tcW w:w="3111" w:type="pct"/>
            <w:tcBorders>
              <w:top w:val="nil"/>
              <w:left w:val="nil"/>
              <w:bottom w:val="nil"/>
              <w:right w:val="nil"/>
            </w:tcBorders>
            <w:shd w:val="clear" w:color="auto" w:fill="auto"/>
          </w:tcPr>
          <w:p w14:paraId="4B5B812A" w14:textId="77777777" w:rsidR="00347601" w:rsidRPr="00DA4B71" w:rsidRDefault="00347601" w:rsidP="00014A98">
            <w:pPr>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76" w:lineRule="auto"/>
              <w:rPr>
                <w:rFonts w:cs="Arial"/>
                <w:b/>
                <w:bCs/>
                <w:sz w:val="16"/>
                <w:szCs w:val="16"/>
              </w:rPr>
            </w:pPr>
            <w:r w:rsidRPr="00DA4B71">
              <w:rPr>
                <w:rFonts w:cs="Arial"/>
                <w:b/>
                <w:bCs/>
                <w:sz w:val="16"/>
                <w:szCs w:val="16"/>
              </w:rPr>
              <w:t>Telecommunication Equipment &amp; Services</w:t>
            </w:r>
          </w:p>
        </w:tc>
        <w:tc>
          <w:tcPr>
            <w:tcW w:w="924" w:type="pct"/>
            <w:tcBorders>
              <w:top w:val="nil"/>
              <w:left w:val="nil"/>
              <w:bottom w:val="nil"/>
              <w:right w:val="nil"/>
            </w:tcBorders>
            <w:shd w:val="clear" w:color="auto" w:fill="auto"/>
          </w:tcPr>
          <w:p w14:paraId="10770672"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-4.8%</w:t>
            </w:r>
          </w:p>
        </w:tc>
        <w:tc>
          <w:tcPr>
            <w:tcW w:w="964" w:type="pct"/>
            <w:tcBorders>
              <w:top w:val="nil"/>
              <w:left w:val="nil"/>
              <w:bottom w:val="nil"/>
              <w:right w:val="nil"/>
            </w:tcBorders>
            <w:shd w:val="clear" w:color="auto" w:fill="auto"/>
          </w:tcPr>
          <w:p w14:paraId="413F0341"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-4.7%</w:t>
            </w:r>
          </w:p>
        </w:tc>
      </w:tr>
      <w:tr w:rsidR="00347601" w:rsidRPr="00FC20E5" w14:paraId="5ED715A5" w14:textId="77777777" w:rsidTr="00CE47F5">
        <w:trPr>
          <w:cantSplit/>
          <w:trHeight w:val="288"/>
          <w:jc w:val="center"/>
        </w:trPr>
        <w:tc>
          <w:tcPr>
            <w:tcW w:w="3111" w:type="pct"/>
            <w:tcBorders>
              <w:top w:val="nil"/>
              <w:left w:val="nil"/>
              <w:bottom w:val="nil"/>
              <w:right w:val="nil"/>
            </w:tcBorders>
            <w:shd w:val="clear" w:color="auto" w:fill="DAEEF3"/>
            <w:hideMark/>
          </w:tcPr>
          <w:p w14:paraId="4808F9D9"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rFonts w:cs="Arial"/>
                <w:sz w:val="22"/>
                <w:szCs w:val="20"/>
                <w:lang w:eastAsia="en-US"/>
              </w:rPr>
            </w:pPr>
            <w:r w:rsidRPr="00DA4B71">
              <w:rPr>
                <w:rFonts w:cs="Arial"/>
                <w:b/>
                <w:bCs/>
                <w:sz w:val="16"/>
                <w:szCs w:val="16"/>
              </w:rPr>
              <w:t>Recreation &amp; culture</w:t>
            </w:r>
          </w:p>
        </w:tc>
        <w:tc>
          <w:tcPr>
            <w:tcW w:w="924" w:type="pct"/>
            <w:tcBorders>
              <w:top w:val="nil"/>
              <w:left w:val="nil"/>
              <w:bottom w:val="nil"/>
              <w:right w:val="nil"/>
            </w:tcBorders>
            <w:shd w:val="clear" w:color="auto" w:fill="DAEEF3"/>
          </w:tcPr>
          <w:p w14:paraId="1B65DF83"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2.7%</w:t>
            </w:r>
          </w:p>
        </w:tc>
        <w:tc>
          <w:tcPr>
            <w:tcW w:w="964" w:type="pct"/>
            <w:tcBorders>
              <w:top w:val="nil"/>
              <w:left w:val="nil"/>
              <w:bottom w:val="nil"/>
              <w:right w:val="nil"/>
            </w:tcBorders>
            <w:shd w:val="clear" w:color="auto" w:fill="DAEEF3"/>
          </w:tcPr>
          <w:p w14:paraId="2E3C6AB9"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1.7%</w:t>
            </w:r>
          </w:p>
        </w:tc>
      </w:tr>
      <w:tr w:rsidR="00347601" w:rsidRPr="00FC20E5" w14:paraId="13EDEC65" w14:textId="77777777" w:rsidTr="00CE47F5">
        <w:trPr>
          <w:cantSplit/>
          <w:trHeight w:val="288"/>
          <w:jc w:val="center"/>
        </w:trPr>
        <w:tc>
          <w:tcPr>
            <w:tcW w:w="3111" w:type="pct"/>
            <w:tcBorders>
              <w:top w:val="nil"/>
              <w:left w:val="nil"/>
              <w:bottom w:val="nil"/>
              <w:right w:val="nil"/>
            </w:tcBorders>
            <w:shd w:val="clear" w:color="auto" w:fill="DAEEF3"/>
          </w:tcPr>
          <w:p w14:paraId="7C663DFE" w14:textId="77777777" w:rsidR="00347601" w:rsidRPr="00DA4B71" w:rsidRDefault="00347601" w:rsidP="00014A98">
            <w:pPr>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76" w:lineRule="auto"/>
              <w:rPr>
                <w:rFonts w:cs="Arial"/>
                <w:b/>
                <w:bCs/>
                <w:sz w:val="16"/>
                <w:szCs w:val="16"/>
              </w:rPr>
            </w:pPr>
            <w:r w:rsidRPr="00DA4B71">
              <w:rPr>
                <w:rFonts w:cs="Arial"/>
                <w:b/>
                <w:bCs/>
                <w:sz w:val="16"/>
                <w:szCs w:val="16"/>
              </w:rPr>
              <w:t>Audio, visual and computing equipment</w:t>
            </w:r>
          </w:p>
        </w:tc>
        <w:tc>
          <w:tcPr>
            <w:tcW w:w="924" w:type="pct"/>
            <w:tcBorders>
              <w:top w:val="nil"/>
              <w:left w:val="nil"/>
              <w:bottom w:val="nil"/>
              <w:right w:val="nil"/>
            </w:tcBorders>
            <w:shd w:val="clear" w:color="auto" w:fill="DAEEF3"/>
          </w:tcPr>
          <w:p w14:paraId="79653E6B"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-7.8%</w:t>
            </w:r>
          </w:p>
        </w:tc>
        <w:tc>
          <w:tcPr>
            <w:tcW w:w="964" w:type="pct"/>
            <w:tcBorders>
              <w:top w:val="nil"/>
              <w:left w:val="nil"/>
              <w:bottom w:val="nil"/>
              <w:right w:val="nil"/>
            </w:tcBorders>
            <w:shd w:val="clear" w:color="auto" w:fill="DAEEF3"/>
          </w:tcPr>
          <w:p w14:paraId="3C188688"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-8.8%</w:t>
            </w:r>
          </w:p>
        </w:tc>
      </w:tr>
      <w:tr w:rsidR="00347601" w:rsidRPr="00FC20E5" w14:paraId="642B69C7" w14:textId="77777777" w:rsidTr="00CE47F5">
        <w:trPr>
          <w:cantSplit/>
          <w:trHeight w:val="288"/>
          <w:jc w:val="center"/>
        </w:trPr>
        <w:tc>
          <w:tcPr>
            <w:tcW w:w="3111" w:type="pct"/>
            <w:tcBorders>
              <w:top w:val="nil"/>
              <w:left w:val="nil"/>
              <w:bottom w:val="nil"/>
              <w:right w:val="nil"/>
            </w:tcBorders>
            <w:shd w:val="clear" w:color="auto" w:fill="DAEEF3"/>
          </w:tcPr>
          <w:p w14:paraId="2992A221" w14:textId="77777777" w:rsidR="00347601" w:rsidRPr="00DA4B71" w:rsidRDefault="00347601" w:rsidP="00014A98">
            <w:pPr>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76" w:lineRule="auto"/>
              <w:rPr>
                <w:rFonts w:cs="Arial"/>
                <w:b/>
                <w:bCs/>
                <w:sz w:val="16"/>
                <w:szCs w:val="16"/>
              </w:rPr>
            </w:pPr>
            <w:r w:rsidRPr="00DA4B71">
              <w:rPr>
                <w:rFonts w:cs="Arial"/>
                <w:b/>
                <w:bCs/>
                <w:sz w:val="16"/>
                <w:szCs w:val="16"/>
              </w:rPr>
              <w:t>Audio, visual and computing media &amp; services</w:t>
            </w:r>
          </w:p>
        </w:tc>
        <w:tc>
          <w:tcPr>
            <w:tcW w:w="924" w:type="pct"/>
            <w:tcBorders>
              <w:top w:val="nil"/>
              <w:left w:val="nil"/>
              <w:bottom w:val="nil"/>
              <w:right w:val="nil"/>
            </w:tcBorders>
            <w:shd w:val="clear" w:color="auto" w:fill="DAEEF3"/>
          </w:tcPr>
          <w:p w14:paraId="796291BE"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1.2%</w:t>
            </w:r>
          </w:p>
        </w:tc>
        <w:tc>
          <w:tcPr>
            <w:tcW w:w="964" w:type="pct"/>
            <w:tcBorders>
              <w:top w:val="nil"/>
              <w:left w:val="nil"/>
              <w:bottom w:val="nil"/>
              <w:right w:val="nil"/>
            </w:tcBorders>
            <w:shd w:val="clear" w:color="auto" w:fill="DAEEF3"/>
          </w:tcPr>
          <w:p w14:paraId="557E2A59"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-0.2%</w:t>
            </w:r>
          </w:p>
        </w:tc>
      </w:tr>
      <w:tr w:rsidR="00347601" w:rsidRPr="00FC20E5" w14:paraId="77E0DF29" w14:textId="77777777" w:rsidTr="00CE47F5">
        <w:trPr>
          <w:cantSplit/>
          <w:trHeight w:val="288"/>
          <w:jc w:val="center"/>
        </w:trPr>
        <w:tc>
          <w:tcPr>
            <w:tcW w:w="3111" w:type="pct"/>
            <w:tcBorders>
              <w:top w:val="nil"/>
              <w:left w:val="nil"/>
              <w:bottom w:val="nil"/>
              <w:right w:val="nil"/>
            </w:tcBorders>
            <w:shd w:val="clear" w:color="auto" w:fill="auto"/>
            <w:hideMark/>
          </w:tcPr>
          <w:p w14:paraId="7085E223"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rFonts w:cs="Arial"/>
                <w:b/>
                <w:sz w:val="22"/>
                <w:szCs w:val="20"/>
                <w:lang w:eastAsia="en-US"/>
              </w:rPr>
            </w:pPr>
            <w:r w:rsidRPr="00DA4B71">
              <w:rPr>
                <w:rFonts w:cs="Arial"/>
                <w:b/>
                <w:bCs/>
                <w:sz w:val="16"/>
                <w:szCs w:val="16"/>
              </w:rPr>
              <w:t>Education</w:t>
            </w:r>
          </w:p>
        </w:tc>
        <w:tc>
          <w:tcPr>
            <w:tcW w:w="924" w:type="pct"/>
            <w:tcBorders>
              <w:top w:val="nil"/>
              <w:left w:val="nil"/>
              <w:bottom w:val="nil"/>
              <w:right w:val="nil"/>
            </w:tcBorders>
            <w:shd w:val="clear" w:color="auto" w:fill="auto"/>
          </w:tcPr>
          <w:p w14:paraId="5B4159AA"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3.2%</w:t>
            </w:r>
          </w:p>
        </w:tc>
        <w:tc>
          <w:tcPr>
            <w:tcW w:w="964" w:type="pct"/>
            <w:tcBorders>
              <w:top w:val="nil"/>
              <w:left w:val="nil"/>
              <w:bottom w:val="nil"/>
              <w:right w:val="nil"/>
            </w:tcBorders>
            <w:shd w:val="clear" w:color="auto" w:fill="auto"/>
          </w:tcPr>
          <w:p w14:paraId="7519BFD2"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2.7%</w:t>
            </w:r>
          </w:p>
        </w:tc>
      </w:tr>
      <w:tr w:rsidR="00347601" w:rsidRPr="00FC20E5" w14:paraId="2906D58A" w14:textId="77777777" w:rsidTr="00CE47F5">
        <w:trPr>
          <w:cantSplit/>
          <w:trHeight w:val="288"/>
          <w:jc w:val="center"/>
        </w:trPr>
        <w:tc>
          <w:tcPr>
            <w:tcW w:w="3111" w:type="pct"/>
            <w:tcBorders>
              <w:top w:val="nil"/>
              <w:left w:val="nil"/>
              <w:bottom w:val="nil"/>
              <w:right w:val="nil"/>
            </w:tcBorders>
            <w:shd w:val="clear" w:color="auto" w:fill="DAEEF3"/>
            <w:hideMark/>
          </w:tcPr>
          <w:p w14:paraId="08DE1C1D"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rFonts w:cs="Arial"/>
                <w:b/>
                <w:sz w:val="22"/>
                <w:szCs w:val="20"/>
                <w:lang w:eastAsia="en-US"/>
              </w:rPr>
            </w:pPr>
            <w:r w:rsidRPr="00DA4B71">
              <w:rPr>
                <w:rFonts w:cs="Arial"/>
                <w:b/>
                <w:bCs/>
                <w:sz w:val="16"/>
                <w:szCs w:val="16"/>
              </w:rPr>
              <w:t>Insurance &amp; financial services</w:t>
            </w:r>
          </w:p>
        </w:tc>
        <w:tc>
          <w:tcPr>
            <w:tcW w:w="924" w:type="pct"/>
            <w:tcBorders>
              <w:top w:val="nil"/>
              <w:left w:val="nil"/>
              <w:bottom w:val="nil"/>
              <w:right w:val="nil"/>
            </w:tcBorders>
            <w:shd w:val="clear" w:color="auto" w:fill="DAEEF3"/>
          </w:tcPr>
          <w:p w14:paraId="4BE92D85"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-0.1%</w:t>
            </w:r>
          </w:p>
        </w:tc>
        <w:tc>
          <w:tcPr>
            <w:tcW w:w="964" w:type="pct"/>
            <w:tcBorders>
              <w:top w:val="nil"/>
              <w:left w:val="nil"/>
              <w:bottom w:val="nil"/>
              <w:right w:val="nil"/>
            </w:tcBorders>
            <w:shd w:val="clear" w:color="auto" w:fill="DAEEF3"/>
          </w:tcPr>
          <w:p w14:paraId="4B842EDE"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1.5%</w:t>
            </w:r>
          </w:p>
        </w:tc>
      </w:tr>
      <w:tr w:rsidR="00347601" w:rsidRPr="00FC20E5" w14:paraId="4151DAEA" w14:textId="77777777" w:rsidTr="00CE47F5">
        <w:trPr>
          <w:cantSplit/>
          <w:trHeight w:val="288"/>
          <w:jc w:val="center"/>
        </w:trPr>
        <w:tc>
          <w:tcPr>
            <w:tcW w:w="3111" w:type="pct"/>
            <w:tcBorders>
              <w:top w:val="nil"/>
              <w:left w:val="nil"/>
              <w:bottom w:val="nil"/>
              <w:right w:val="nil"/>
            </w:tcBorders>
            <w:shd w:val="clear" w:color="auto" w:fill="DAEEF3"/>
          </w:tcPr>
          <w:p w14:paraId="063ACF46" w14:textId="77777777" w:rsidR="00347601" w:rsidRPr="00DA4B71" w:rsidRDefault="00347601" w:rsidP="00014A98">
            <w:pPr>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76" w:lineRule="auto"/>
              <w:rPr>
                <w:rFonts w:cs="Arial"/>
                <w:b/>
                <w:bCs/>
                <w:sz w:val="16"/>
                <w:szCs w:val="16"/>
              </w:rPr>
            </w:pPr>
            <w:r w:rsidRPr="00DA4B71">
              <w:rPr>
                <w:rFonts w:cs="Arial"/>
                <w:b/>
                <w:bCs/>
                <w:sz w:val="16"/>
                <w:szCs w:val="16"/>
              </w:rPr>
              <w:t>Insurance</w:t>
            </w:r>
          </w:p>
        </w:tc>
        <w:tc>
          <w:tcPr>
            <w:tcW w:w="924" w:type="pct"/>
            <w:tcBorders>
              <w:top w:val="nil"/>
              <w:left w:val="nil"/>
              <w:bottom w:val="nil"/>
              <w:right w:val="nil"/>
            </w:tcBorders>
            <w:shd w:val="clear" w:color="auto" w:fill="DAEEF3"/>
          </w:tcPr>
          <w:p w14:paraId="192E767E"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4.0%</w:t>
            </w:r>
          </w:p>
        </w:tc>
        <w:tc>
          <w:tcPr>
            <w:tcW w:w="964" w:type="pct"/>
            <w:tcBorders>
              <w:top w:val="nil"/>
              <w:left w:val="nil"/>
              <w:bottom w:val="nil"/>
              <w:right w:val="nil"/>
            </w:tcBorders>
            <w:shd w:val="clear" w:color="auto" w:fill="DAEEF3"/>
          </w:tcPr>
          <w:p w14:paraId="26846CE2"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2.9%</w:t>
            </w:r>
          </w:p>
        </w:tc>
      </w:tr>
      <w:tr w:rsidR="00347601" w:rsidRPr="00FC20E5" w14:paraId="562C5027" w14:textId="77777777" w:rsidTr="00CE47F5">
        <w:trPr>
          <w:cantSplit/>
          <w:trHeight w:val="288"/>
          <w:jc w:val="center"/>
        </w:trPr>
        <w:tc>
          <w:tcPr>
            <w:tcW w:w="3111" w:type="pct"/>
            <w:tcBorders>
              <w:top w:val="nil"/>
              <w:left w:val="nil"/>
              <w:right w:val="nil"/>
            </w:tcBorders>
            <w:shd w:val="clear" w:color="auto" w:fill="auto"/>
            <w:hideMark/>
          </w:tcPr>
          <w:p w14:paraId="7C48216A"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rPr>
                <w:rFonts w:cs="Arial"/>
                <w:b/>
                <w:sz w:val="22"/>
                <w:szCs w:val="20"/>
                <w:lang w:eastAsia="en-US"/>
              </w:rPr>
            </w:pPr>
            <w:r w:rsidRPr="00DA4B71">
              <w:rPr>
                <w:rFonts w:cs="Arial"/>
                <w:b/>
                <w:bCs/>
                <w:sz w:val="16"/>
                <w:szCs w:val="16"/>
              </w:rPr>
              <w:t>CPI All Groups</w:t>
            </w:r>
          </w:p>
        </w:tc>
        <w:tc>
          <w:tcPr>
            <w:tcW w:w="924" w:type="pct"/>
            <w:tcBorders>
              <w:top w:val="nil"/>
              <w:left w:val="nil"/>
              <w:right w:val="nil"/>
            </w:tcBorders>
            <w:shd w:val="clear" w:color="auto" w:fill="auto"/>
          </w:tcPr>
          <w:p w14:paraId="7636DA9D"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2.5%</w:t>
            </w:r>
          </w:p>
        </w:tc>
        <w:tc>
          <w:tcPr>
            <w:tcW w:w="964" w:type="pct"/>
            <w:tcBorders>
              <w:top w:val="nil"/>
              <w:left w:val="nil"/>
              <w:right w:val="nil"/>
            </w:tcBorders>
            <w:shd w:val="clear" w:color="auto" w:fill="auto"/>
          </w:tcPr>
          <w:p w14:paraId="316DA3A9" w14:textId="77777777" w:rsidR="00347601" w:rsidRPr="00DA4B71" w:rsidRDefault="00347601" w:rsidP="00014A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60" w:after="60" w:line="264" w:lineRule="auto"/>
              <w:jc w:val="right"/>
              <w:rPr>
                <w:rFonts w:cs="Arial"/>
                <w:b/>
                <w:sz w:val="16"/>
                <w:szCs w:val="16"/>
              </w:rPr>
            </w:pPr>
            <w:r w:rsidRPr="00DA4B71">
              <w:rPr>
                <w:rFonts w:cs="Arial"/>
                <w:b/>
                <w:sz w:val="16"/>
                <w:szCs w:val="16"/>
              </w:rPr>
              <w:t>1.8%</w:t>
            </w:r>
          </w:p>
        </w:tc>
      </w:tr>
    </w:tbl>
    <w:p w14:paraId="7D0BC620" w14:textId="3A445999" w:rsidR="00347601" w:rsidRDefault="00347601" w:rsidP="001D4505">
      <w:pPr>
        <w:pStyle w:val="Source"/>
      </w:pPr>
      <w:r>
        <w:t xml:space="preserve">Source: </w:t>
      </w:r>
      <w:bookmarkStart w:id="9" w:name="_Hlk5780851"/>
      <w:r>
        <w:t xml:space="preserve">ABS, </w:t>
      </w:r>
      <w:r w:rsidRPr="00D76B54">
        <w:rPr>
          <w:i/>
        </w:rPr>
        <w:t>Consumer Price Index, Australia, Dec 2018</w:t>
      </w:r>
      <w:r>
        <w:t xml:space="preserve">, cat. no. 6401.0, ABS, Canberra, 2019, Table 10: </w:t>
      </w:r>
      <w:r w:rsidRPr="00DC3B6F">
        <w:t>CPI: Group, Sub-group and Expenditure Class, Percentage change from corresponding quarter of previous year by Capital City</w:t>
      </w:r>
      <w:r>
        <w:t>, viewed 12 Feb 2019, &lt;</w:t>
      </w:r>
      <w:hyperlink r:id="rId17" w:history="1">
        <w:r w:rsidRPr="00CF7436">
          <w:rPr>
            <w:rStyle w:val="Hyperlink"/>
          </w:rPr>
          <w:t>http://www.abs.gov.au/AUSSTATS/abs@.nsf/DetailsPage/6401.0Dec%202018?OpenDocument</w:t>
        </w:r>
      </w:hyperlink>
      <w:r>
        <w:t>&gt;.</w:t>
      </w:r>
    </w:p>
    <w:bookmarkEnd w:id="9"/>
    <w:p w14:paraId="6FCB1C0E" w14:textId="663FC33F" w:rsidR="003C6231" w:rsidRDefault="003C6231" w:rsidP="00075E6A">
      <w:pPr>
        <w:pStyle w:val="BodyText"/>
      </w:pPr>
      <w:r>
        <w:lastRenderedPageBreak/>
        <w:t>The CPI for health</w:t>
      </w:r>
      <w:r w:rsidR="005C10B1">
        <w:t xml:space="preserve"> in </w:t>
      </w:r>
      <w:r w:rsidR="00713346">
        <w:t>C</w:t>
      </w:r>
      <w:r w:rsidR="00A863F5">
        <w:t xml:space="preserve">anberra </w:t>
      </w:r>
      <w:r w:rsidR="005C10B1">
        <w:t>increased</w:t>
      </w:r>
      <w:r w:rsidR="00FA05CE">
        <w:t>,</w:t>
      </w:r>
      <w:r w:rsidR="005C10B1">
        <w:t xml:space="preserve"> but this</w:t>
      </w:r>
      <w:r w:rsidR="00FA05CE">
        <w:t xml:space="preserve"> increase</w:t>
      </w:r>
      <w:r w:rsidR="005C10B1">
        <w:t xml:space="preserve"> was below the national rate </w:t>
      </w:r>
      <w:r w:rsidR="00FA05CE">
        <w:t>(2.8% vs 3.3%)</w:t>
      </w:r>
      <w:r w:rsidR="00D2382D">
        <w:t xml:space="preserve">. </w:t>
      </w:r>
      <w:r w:rsidR="00BD18FC">
        <w:t xml:space="preserve">The </w:t>
      </w:r>
      <w:r w:rsidR="007A4BE7">
        <w:t xml:space="preserve">Canberra </w:t>
      </w:r>
      <w:r w:rsidR="00BD18FC">
        <w:t xml:space="preserve">CPI for telecommunications equipment and services </w:t>
      </w:r>
      <w:r w:rsidR="00A863F5">
        <w:t>decreased</w:t>
      </w:r>
      <w:r w:rsidR="00951353">
        <w:t xml:space="preserve"> (</w:t>
      </w:r>
      <w:r w:rsidR="00882328">
        <w:t>-4.8%) as did the CPI for audio, visual and computing equipment (-7.8%)</w:t>
      </w:r>
      <w:r w:rsidR="009376FC">
        <w:t xml:space="preserve">. </w:t>
      </w:r>
    </w:p>
    <w:p w14:paraId="4CC8B391" w14:textId="108B1C07" w:rsidR="000F5FAA" w:rsidRDefault="000F5FAA" w:rsidP="00075E6A">
      <w:pPr>
        <w:pStyle w:val="BodyText"/>
      </w:pPr>
      <w:r w:rsidRPr="000F5FAA">
        <w:t>The largest price increases in Canberra over the year were for the sub-categories of automotive fuel (up 14.8% in ACT vs 6.7% nationally) and tobacco (up 14.8% in ACT vs 15.0% nationally).</w:t>
      </w:r>
      <w:r w:rsidR="00145108">
        <w:t xml:space="preserve"> </w:t>
      </w:r>
      <w:r w:rsidR="006A32CD">
        <w:t>The ABS notes that ‘t</w:t>
      </w:r>
      <w:r w:rsidR="00145108" w:rsidRPr="00145108">
        <w:t>he rise in tobacco is due to the effects of the 12.5% increase in the federal excise tax and the further increase based on Average Weekly Ordinary Time Earnings (</w:t>
      </w:r>
      <w:proofErr w:type="spellStart"/>
      <w:r w:rsidR="00145108" w:rsidRPr="00145108">
        <w:t>AWOTE</w:t>
      </w:r>
      <w:proofErr w:type="spellEnd"/>
      <w:r w:rsidR="00145108" w:rsidRPr="00145108">
        <w:t>), effective from 1 September 2018</w:t>
      </w:r>
      <w:r w:rsidR="006A32CD">
        <w:t>’</w:t>
      </w:r>
      <w:r w:rsidR="00145108" w:rsidRPr="00145108">
        <w:t>.</w:t>
      </w:r>
      <w:r w:rsidR="00742B8C">
        <w:rPr>
          <w:rStyle w:val="FootnoteReference"/>
        </w:rPr>
        <w:footnoteReference w:id="12"/>
      </w:r>
      <w:r w:rsidR="00FA5A16">
        <w:t xml:space="preserve"> </w:t>
      </w:r>
      <w:r w:rsidR="00D45C2A">
        <w:t>Explaining the</w:t>
      </w:r>
      <w:r w:rsidR="00FA5A16">
        <w:t xml:space="preserve"> </w:t>
      </w:r>
      <w:r w:rsidR="00BD73EC">
        <w:t>increase in</w:t>
      </w:r>
      <w:r w:rsidR="0012043B">
        <w:t xml:space="preserve"> Canberra fuel prices</w:t>
      </w:r>
      <w:r w:rsidR="00031113">
        <w:t xml:space="preserve"> over the past year</w:t>
      </w:r>
      <w:r w:rsidR="0012043B">
        <w:t xml:space="preserve"> is </w:t>
      </w:r>
      <w:r w:rsidR="00D45C2A">
        <w:t>more challenging</w:t>
      </w:r>
      <w:r w:rsidR="001C20F6">
        <w:t>, but some insights from an analysis of CPI data is provided below.</w:t>
      </w:r>
    </w:p>
    <w:p w14:paraId="2763ABDF" w14:textId="380FA44C" w:rsidR="00CD5837" w:rsidRDefault="00CD5837" w:rsidP="003C5343">
      <w:pPr>
        <w:pStyle w:val="Heading2"/>
      </w:pPr>
      <w:bookmarkStart w:id="10" w:name="_Toc7787733"/>
      <w:r>
        <w:t>Fuel prices</w:t>
      </w:r>
      <w:bookmarkEnd w:id="10"/>
      <w:r w:rsidR="00FE578D">
        <w:t xml:space="preserve"> </w:t>
      </w:r>
    </w:p>
    <w:p w14:paraId="754B30D2" w14:textId="621C9EF1" w:rsidR="001255D6" w:rsidRDefault="001C20F6" w:rsidP="00075E6A">
      <w:pPr>
        <w:pStyle w:val="BodyText"/>
      </w:pPr>
      <w:r>
        <w:t>Fuel</w:t>
      </w:r>
      <w:r w:rsidR="00EE374F" w:rsidRPr="00EE374F">
        <w:t xml:space="preserve"> prices in the ACT have been the subject of much public concern and media commentary in recent month</w:t>
      </w:r>
      <w:r w:rsidR="00E708A6">
        <w:t>s.</w:t>
      </w:r>
      <w:r w:rsidR="00C77C23">
        <w:rPr>
          <w:rStyle w:val="FootnoteReference"/>
        </w:rPr>
        <w:footnoteReference w:id="13"/>
      </w:r>
      <w:r w:rsidR="00E708A6">
        <w:t xml:space="preserve"> </w:t>
      </w:r>
      <w:r w:rsidR="00D87F9F">
        <w:t xml:space="preserve">In February 2019, the ACT Legislative Assembly </w:t>
      </w:r>
      <w:r w:rsidR="002A529D">
        <w:t>referred matters related to fuel prices in the ACT to a</w:t>
      </w:r>
      <w:r w:rsidR="00E708A6">
        <w:t xml:space="preserve"> Select Committee on Fuel Pricing</w:t>
      </w:r>
      <w:r w:rsidR="002A529D">
        <w:t>.</w:t>
      </w:r>
      <w:r w:rsidR="00C81DE5">
        <w:t xml:space="preserve"> </w:t>
      </w:r>
      <w:r w:rsidR="00C03B96">
        <w:t>ACTCOSS’</w:t>
      </w:r>
      <w:r w:rsidR="00C81DE5">
        <w:t xml:space="preserve"> submission to the Inquiry into Fuel Pricing noted that</w:t>
      </w:r>
      <w:r w:rsidR="0076736F">
        <w:t xml:space="preserve"> </w:t>
      </w:r>
      <w:r w:rsidR="002275ED">
        <w:t>Canberra fuel prices</w:t>
      </w:r>
      <w:r w:rsidR="00F9706E">
        <w:t xml:space="preserve"> </w:t>
      </w:r>
      <w:r w:rsidR="002275ED">
        <w:t>increased</w:t>
      </w:r>
      <w:r w:rsidR="00014E0D">
        <w:t xml:space="preserve"> at a higher rate than any other Australian capital city</w:t>
      </w:r>
      <w:r w:rsidR="00120ED6">
        <w:t xml:space="preserve"> over the past year</w:t>
      </w:r>
      <w:r w:rsidR="008F0A81">
        <w:t xml:space="preserve"> and decad</w:t>
      </w:r>
      <w:r w:rsidR="00590AE9">
        <w:t>e</w:t>
      </w:r>
      <w:r w:rsidR="00010F6D">
        <w:t xml:space="preserve"> (see Figure 1).</w:t>
      </w:r>
      <w:r w:rsidR="00010F6D">
        <w:rPr>
          <w:rStyle w:val="FootnoteReference"/>
        </w:rPr>
        <w:footnoteReference w:id="14"/>
      </w:r>
      <w:r w:rsidR="00010F6D">
        <w:t xml:space="preserve"> Fuel prices</w:t>
      </w:r>
      <w:r w:rsidR="008F0A81">
        <w:t xml:space="preserve"> </w:t>
      </w:r>
      <w:r w:rsidR="00C07DA4">
        <w:t>increas</w:t>
      </w:r>
      <w:r w:rsidR="00120ED6">
        <w:t xml:space="preserve">ed </w:t>
      </w:r>
      <w:r w:rsidR="002275ED">
        <w:t>by almost 3</w:t>
      </w:r>
      <w:r w:rsidR="00012DF6">
        <w:t xml:space="preserve">0% </w:t>
      </w:r>
      <w:r w:rsidR="008F0A81">
        <w:t>between December 2008 and December 2018</w:t>
      </w:r>
      <w:r w:rsidR="00463F5B">
        <w:t>, but there was significant fluctuation in prices over this period</w:t>
      </w:r>
      <w:r w:rsidR="00D277B0">
        <w:t xml:space="preserve"> </w:t>
      </w:r>
      <w:r w:rsidR="00747120">
        <w:t>(see Figure 2)</w:t>
      </w:r>
      <w:r w:rsidR="00E45D71">
        <w:t xml:space="preserve">. </w:t>
      </w:r>
    </w:p>
    <w:p w14:paraId="3167E4BB" w14:textId="7E1861E8" w:rsidR="00FD614E" w:rsidRDefault="00FD614E" w:rsidP="00075E6A">
      <w:pPr>
        <w:pStyle w:val="BodyText"/>
      </w:pPr>
      <w:r>
        <w:t>The ABS noted that domestic fuel prices dropped by 2.5% nationally between September and December 2018 due to a fall in world oil prices.</w:t>
      </w:r>
      <w:r>
        <w:rPr>
          <w:rStyle w:val="FootnoteReference"/>
        </w:rPr>
        <w:footnoteReference w:id="15"/>
      </w:r>
      <w:r>
        <w:t xml:space="preserve"> Over the same period, fuel prices in the ACT went against the national trend, rising by 2.9%. While it is unclear whether this trend will continue, the data indicates that the cost of fuel has generally tended to be higher in the ACT than in other jurisdictions and that fuel prices are the highest we’ve seen in the past ten years.</w:t>
      </w:r>
    </w:p>
    <w:p w14:paraId="33A3B811" w14:textId="77777777" w:rsidR="0049352D" w:rsidRDefault="0049352D" w:rsidP="0049352D">
      <w:pPr>
        <w:pStyle w:val="BodyText"/>
      </w:pPr>
      <w:r>
        <w:t xml:space="preserve">Relatively high and fluctuating fuel prices hit Canberra’s low-income households hardest. For households in the bottom 40% of the income distribution, fuel costs account for a similar proportion of income (4.0% to 6.1%) as that spent on other essentials such as energy and telecommunications (see Figure 3). Price fluctuations present a budgeting challenge for people living on low incomes who may be on fixed incomes and may not have adequate income and/or savings to cover sudden and substantial price increases. As we have previously noted, </w:t>
      </w:r>
      <w:r>
        <w:lastRenderedPageBreak/>
        <w:t>‘people on Newstart and Youth Allowance would be particularly impacted by future price rises’.</w:t>
      </w:r>
      <w:r>
        <w:rPr>
          <w:rStyle w:val="FootnoteReference"/>
        </w:rPr>
        <w:footnoteReference w:id="16"/>
      </w:r>
    </w:p>
    <w:p w14:paraId="605E1A42" w14:textId="77777777" w:rsidR="00347601" w:rsidRPr="00A83B7E" w:rsidRDefault="00347601" w:rsidP="00A83B7E">
      <w:pPr>
        <w:pStyle w:val="Figuretitle"/>
      </w:pPr>
      <w:r w:rsidRPr="00A83B7E">
        <w:t>Figure 1 Percentage change in CPI for automotive fuel by capital city, past year (Dec 2017-Dec 2018) and decade (Dec 2008-Dec 2018)</w:t>
      </w:r>
    </w:p>
    <w:p w14:paraId="1522476C" w14:textId="77777777" w:rsidR="00347601" w:rsidRDefault="00347601" w:rsidP="00D54B9A">
      <w:pPr>
        <w:pStyle w:val="NoSpacing"/>
      </w:pPr>
      <w:r>
        <w:rPr>
          <w:noProof/>
          <w:lang w:eastAsia="en-AU"/>
        </w:rPr>
        <w:drawing>
          <wp:inline distT="0" distB="0" distL="0" distR="0" wp14:anchorId="1D8CB088" wp14:editId="395D228E">
            <wp:extent cx="4584700" cy="275590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5F1AADDC" w14:textId="77777777" w:rsidR="00347601" w:rsidRDefault="00347601" w:rsidP="00A83B7E">
      <w:pPr>
        <w:pStyle w:val="Source"/>
      </w:pPr>
      <w:r w:rsidRPr="0059001D">
        <w:t xml:space="preserve">Source: G Jericho, ‘Inflation growth remains lower than Reserve Bank wants. How will it act?’, </w:t>
      </w:r>
      <w:r w:rsidRPr="0059001D">
        <w:rPr>
          <w:i/>
        </w:rPr>
        <w:t>The Guardian</w:t>
      </w:r>
      <w:r w:rsidRPr="0059001D">
        <w:t xml:space="preserve">, 31 January 2019, using ABS, </w:t>
      </w:r>
      <w:r w:rsidRPr="00075D4C">
        <w:rPr>
          <w:rStyle w:val="Emphasis"/>
        </w:rPr>
        <w:t>Consumer Price Index, Australia, Dec 2018</w:t>
      </w:r>
      <w:r w:rsidRPr="0059001D">
        <w:t>, cat. no. 6401.0.</w:t>
      </w:r>
    </w:p>
    <w:p w14:paraId="572B0CF6" w14:textId="158A28D2" w:rsidR="00347601" w:rsidRPr="000F38C1" w:rsidRDefault="00347601" w:rsidP="00D02435">
      <w:pPr>
        <w:pStyle w:val="Figuretitle"/>
      </w:pPr>
      <w:r w:rsidRPr="000F38C1">
        <w:t>Figure 2 Changes in CPI for automotive fuel and All Groups CPI, Canberra and Australia, December 2008 to December 2018</w:t>
      </w:r>
    </w:p>
    <w:p w14:paraId="299D2F9B" w14:textId="77777777" w:rsidR="00347601" w:rsidRDefault="00347601" w:rsidP="00D54B9A">
      <w:pPr>
        <w:pStyle w:val="NoSpacing"/>
      </w:pPr>
      <w:r>
        <w:rPr>
          <w:noProof/>
          <w:lang w:eastAsia="en-AU"/>
        </w:rPr>
        <w:drawing>
          <wp:inline distT="0" distB="0" distL="0" distR="0" wp14:anchorId="1920870D" wp14:editId="0FE9C07D">
            <wp:extent cx="4584700" cy="275590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0E3818EA" w14:textId="77777777" w:rsidR="00347601" w:rsidRDefault="00347601" w:rsidP="0049352D">
      <w:pPr>
        <w:pStyle w:val="Source"/>
      </w:pPr>
      <w:bookmarkStart w:id="11" w:name="_Hlk7601132"/>
      <w:r w:rsidRPr="000F38C1">
        <w:t xml:space="preserve">Source: </w:t>
      </w:r>
      <w:r>
        <w:t xml:space="preserve">ACTCOSS analysis derived from </w:t>
      </w:r>
      <w:r w:rsidRPr="000F38C1">
        <w:t xml:space="preserve">ABS, </w:t>
      </w:r>
      <w:r w:rsidRPr="00B30E14">
        <w:rPr>
          <w:i/>
        </w:rPr>
        <w:t>Consumer Price Index, Australia, Dec 2018</w:t>
      </w:r>
      <w:r w:rsidRPr="000F38C1">
        <w:t>, cat. no. 6401.0, ABS, Canberra, January 2019, Table 11, Data 5 &amp; 6.</w:t>
      </w:r>
    </w:p>
    <w:bookmarkEnd w:id="11"/>
    <w:p w14:paraId="3B8388EF" w14:textId="77777777" w:rsidR="0049352D" w:rsidRDefault="0049352D">
      <w:pPr>
        <w:rPr>
          <w:b/>
          <w:sz w:val="20"/>
        </w:rPr>
      </w:pPr>
      <w:r>
        <w:br w:type="page"/>
      </w:r>
    </w:p>
    <w:p w14:paraId="0B12F18C" w14:textId="317A4A5C" w:rsidR="00347601" w:rsidRDefault="00347601" w:rsidP="0049352D">
      <w:pPr>
        <w:pStyle w:val="Figuretitle"/>
      </w:pPr>
      <w:r>
        <w:lastRenderedPageBreak/>
        <w:t>Figure 3 Fuel expenditure as a proportion of weekly disposable household income, by income quintile, Australia, 2015-16</w:t>
      </w:r>
    </w:p>
    <w:p w14:paraId="70C95050" w14:textId="77777777" w:rsidR="00347601" w:rsidRDefault="00347601" w:rsidP="00D54B9A">
      <w:pPr>
        <w:pStyle w:val="NoSpacing"/>
      </w:pPr>
      <w:r>
        <w:rPr>
          <w:noProof/>
          <w:lang w:eastAsia="en-AU"/>
        </w:rPr>
        <w:drawing>
          <wp:inline distT="0" distB="0" distL="0" distR="0" wp14:anchorId="04D072F0" wp14:editId="4BD60CDF">
            <wp:extent cx="4651375" cy="28651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51375" cy="2865120"/>
                    </a:xfrm>
                    <a:prstGeom prst="rect">
                      <a:avLst/>
                    </a:prstGeom>
                    <a:noFill/>
                  </pic:spPr>
                </pic:pic>
              </a:graphicData>
            </a:graphic>
          </wp:inline>
        </w:drawing>
      </w:r>
    </w:p>
    <w:p w14:paraId="74751D9B" w14:textId="761AFFB3" w:rsidR="00347601" w:rsidRDefault="00347601" w:rsidP="00F37994">
      <w:pPr>
        <w:pStyle w:val="Source"/>
      </w:pPr>
      <w:r w:rsidRPr="004A0F71">
        <w:t xml:space="preserve">Source: ACTCOSS analysis derived from </w:t>
      </w:r>
      <w:bookmarkStart w:id="12" w:name="_Hlk7598044"/>
      <w:r w:rsidRPr="004A0F71">
        <w:t xml:space="preserve">ABS, </w:t>
      </w:r>
      <w:r w:rsidRPr="003A261E">
        <w:rPr>
          <w:i/>
        </w:rPr>
        <w:t>Household expenditure survey, Australia, Summary of results, 2015-16</w:t>
      </w:r>
      <w:r w:rsidRPr="004A0F71">
        <w:t xml:space="preserve">, ABS, Canberra, 2017, </w:t>
      </w:r>
      <w:bookmarkEnd w:id="12"/>
      <w:r w:rsidRPr="004A0F71">
        <w:t>Tables 3.2 &amp; 3.3A.</w:t>
      </w:r>
    </w:p>
    <w:p w14:paraId="6CAF9C53" w14:textId="4B1ED3B2" w:rsidR="00410206" w:rsidRDefault="000701DC" w:rsidP="007E6501">
      <w:pPr>
        <w:pStyle w:val="BodyText"/>
      </w:pPr>
      <w:r>
        <w:t xml:space="preserve">Fuel pricing is both a cost of living and a transport issue. </w:t>
      </w:r>
      <w:r w:rsidR="004D2472">
        <w:t xml:space="preserve">ACTCOSS supports the exploration of regulatory and legislative solutions and barriers </w:t>
      </w:r>
      <w:r w:rsidR="009616A7">
        <w:t xml:space="preserve">and the consideration of best practice approaches and initiatives that would have a meaningful impact on </w:t>
      </w:r>
      <w:r w:rsidR="006A4B91">
        <w:t>reducing fuel prices.</w:t>
      </w:r>
      <w:r w:rsidR="00586D01">
        <w:t xml:space="preserve"> </w:t>
      </w:r>
      <w:r w:rsidR="006A4B91">
        <w:t xml:space="preserve">At the same time, we encourage the ACT Government to view fuel pricing as one element to be addressed as part of a comprehensive response to transport disadvantage in the ACT. </w:t>
      </w:r>
      <w:r w:rsidR="00C0120A">
        <w:t>Transport is a social determinant of health</w:t>
      </w:r>
      <w:r w:rsidR="005F0107">
        <w:t xml:space="preserve"> and transport disadvantage can exacerbate </w:t>
      </w:r>
      <w:r w:rsidR="0087031D">
        <w:t>food insecurity and impede access to health services.</w:t>
      </w:r>
      <w:r w:rsidR="00177BA5">
        <w:t xml:space="preserve"> We encourage the ACT Government to </w:t>
      </w:r>
      <w:r w:rsidR="00FC2347">
        <w:t>view the impact of fuel prices within</w:t>
      </w:r>
      <w:r w:rsidR="00A9584C">
        <w:t xml:space="preserve"> the context of addressing transport disadvantage</w:t>
      </w:r>
      <w:r w:rsidR="004B0ECD">
        <w:t xml:space="preserve"> as a social determinant of health in Canberra</w:t>
      </w:r>
      <w:r w:rsidR="00A9584C">
        <w:t>.</w:t>
      </w:r>
      <w:r w:rsidR="0087031D">
        <w:t xml:space="preserve"> </w:t>
      </w:r>
    </w:p>
    <w:p w14:paraId="78AC3691" w14:textId="397BF774" w:rsidR="006E240D" w:rsidRDefault="006E240D" w:rsidP="006E240D">
      <w:pPr>
        <w:pStyle w:val="Heading2"/>
      </w:pPr>
      <w:bookmarkStart w:id="13" w:name="_Toc7787734"/>
      <w:r>
        <w:t>Energy prices</w:t>
      </w:r>
      <w:bookmarkEnd w:id="13"/>
    </w:p>
    <w:p w14:paraId="3F285508" w14:textId="34F3ED16" w:rsidR="00D277B0" w:rsidRDefault="00C0330D" w:rsidP="00D277B0">
      <w:pPr>
        <w:pStyle w:val="BodyText"/>
      </w:pPr>
      <w:r>
        <w:t xml:space="preserve">Energy is another </w:t>
      </w:r>
      <w:r w:rsidR="00A914BE">
        <w:t xml:space="preserve">essential </w:t>
      </w:r>
      <w:r>
        <w:t>household expenditure</w:t>
      </w:r>
      <w:r w:rsidR="00A914BE">
        <w:t xml:space="preserve"> item</w:t>
      </w:r>
      <w:r>
        <w:t xml:space="preserve"> that </w:t>
      </w:r>
      <w:r w:rsidR="0074052F">
        <w:t xml:space="preserve">has </w:t>
      </w:r>
      <w:r w:rsidR="001E4863">
        <w:t>seen</w:t>
      </w:r>
      <w:r w:rsidR="0074052F">
        <w:t xml:space="preserve"> </w:t>
      </w:r>
      <w:r w:rsidR="00A914BE">
        <w:t>significant price increases</w:t>
      </w:r>
      <w:r w:rsidR="006D4747">
        <w:t xml:space="preserve"> over the past year</w:t>
      </w:r>
      <w:r w:rsidR="00430FBC">
        <w:t xml:space="preserve"> and decade</w:t>
      </w:r>
      <w:r w:rsidR="00B32CDE">
        <w:t xml:space="preserve"> </w:t>
      </w:r>
      <w:r w:rsidR="00893A7E">
        <w:t>(see Figure 4)</w:t>
      </w:r>
      <w:r w:rsidR="00B32CDE">
        <w:t>.</w:t>
      </w:r>
      <w:r w:rsidR="00BE28CD">
        <w:t xml:space="preserve"> </w:t>
      </w:r>
      <w:r w:rsidR="008D7D51">
        <w:t xml:space="preserve">Over the past decade </w:t>
      </w:r>
      <w:r w:rsidR="00D30889">
        <w:t>both electricity and gas prices have risen well above the overall CPI in Canberra</w:t>
      </w:r>
      <w:r w:rsidR="00F868F2">
        <w:t xml:space="preserve">. </w:t>
      </w:r>
      <w:r w:rsidR="00FC4363">
        <w:t>The</w:t>
      </w:r>
      <w:r w:rsidR="001D02F7">
        <w:t xml:space="preserve"> higher </w:t>
      </w:r>
      <w:r w:rsidR="00FC4363">
        <w:t>price</w:t>
      </w:r>
      <w:r w:rsidR="001D02F7">
        <w:t xml:space="preserve"> increase for gas</w:t>
      </w:r>
      <w:r w:rsidR="00735B27">
        <w:t xml:space="preserve"> is of particular concern for duel fuel households, </w:t>
      </w:r>
      <w:r w:rsidR="00867828">
        <w:t>‘especially for renters and those on low incomes who can’t replace gas appliances with cheaper solar technology’.</w:t>
      </w:r>
      <w:r w:rsidR="00867828">
        <w:rPr>
          <w:rStyle w:val="FootnoteReference"/>
        </w:rPr>
        <w:footnoteReference w:id="17"/>
      </w:r>
      <w:r w:rsidR="005E246B">
        <w:t xml:space="preserve"> </w:t>
      </w:r>
      <w:r w:rsidR="00FD2210">
        <w:t xml:space="preserve">Energy prices are expected to continue to increase. A </w:t>
      </w:r>
      <w:r w:rsidR="005E246B">
        <w:t>recent determination by the Australian Energy Regulator</w:t>
      </w:r>
      <w:r w:rsidR="00D7761A">
        <w:t xml:space="preserve"> for the ACT’s electricity distribution network operator </w:t>
      </w:r>
      <w:r w:rsidR="000050D5">
        <w:t>estimates that</w:t>
      </w:r>
      <w:r w:rsidR="00FD2210">
        <w:t xml:space="preserve"> the average </w:t>
      </w:r>
      <w:r w:rsidR="000050D5">
        <w:t xml:space="preserve">ACT residential </w:t>
      </w:r>
      <w:r w:rsidR="00FD2210">
        <w:t xml:space="preserve">electricity bill </w:t>
      </w:r>
      <w:r w:rsidR="009371F9">
        <w:t xml:space="preserve">increase by 2.5% by </w:t>
      </w:r>
      <w:r w:rsidR="009371F9">
        <w:lastRenderedPageBreak/>
        <w:t>30 June 2024</w:t>
      </w:r>
      <w:r w:rsidR="00913DA7">
        <w:t xml:space="preserve"> – ‘</w:t>
      </w:r>
      <w:r w:rsidR="00913DA7" w:rsidRPr="00913DA7">
        <w:t>by the end of the 2019-24 regulatory period the average annual electricity bill will be $64 higher for a residential customer</w:t>
      </w:r>
      <w:r w:rsidR="00913DA7">
        <w:t>’.</w:t>
      </w:r>
      <w:r w:rsidR="00913DA7">
        <w:rPr>
          <w:rStyle w:val="FootnoteReference"/>
        </w:rPr>
        <w:footnoteReference w:id="18"/>
      </w:r>
    </w:p>
    <w:p w14:paraId="72BF6205" w14:textId="051D8AAE" w:rsidR="001C5BE7" w:rsidRDefault="007B3219" w:rsidP="006F5285">
      <w:pPr>
        <w:pStyle w:val="Figuretitle"/>
      </w:pPr>
      <w:r>
        <w:t xml:space="preserve">Figure 4 </w:t>
      </w:r>
      <w:r w:rsidR="00EC0108">
        <w:t>Changes in CPI for electricity, gas and All Groups CPI, Canberra</w:t>
      </w:r>
      <w:r w:rsidR="004257EB">
        <w:t>, December 2008 to December 2018</w:t>
      </w:r>
    </w:p>
    <w:p w14:paraId="67C562DD" w14:textId="5BD69A54" w:rsidR="001C5BE7" w:rsidRDefault="007B3219" w:rsidP="00D54B9A">
      <w:pPr>
        <w:pStyle w:val="NoSpacing"/>
      </w:pPr>
      <w:r>
        <w:rPr>
          <w:noProof/>
          <w:lang w:eastAsia="en-AU"/>
        </w:rPr>
        <w:drawing>
          <wp:inline distT="0" distB="0" distL="0" distR="0" wp14:anchorId="2732EB0D" wp14:editId="275AA772">
            <wp:extent cx="4584700" cy="27559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045AB5EC" w14:textId="64477FEA" w:rsidR="004257EB" w:rsidRDefault="004257EB" w:rsidP="006F5285">
      <w:pPr>
        <w:pStyle w:val="Source"/>
      </w:pPr>
      <w:r w:rsidRPr="000F38C1">
        <w:t xml:space="preserve">Source: </w:t>
      </w:r>
      <w:r>
        <w:t xml:space="preserve">ACTCOSS analysis derived from </w:t>
      </w:r>
      <w:r w:rsidRPr="000F38C1">
        <w:t xml:space="preserve">ABS, </w:t>
      </w:r>
      <w:r w:rsidRPr="00B30E14">
        <w:rPr>
          <w:i/>
        </w:rPr>
        <w:t>Consumer Price Index, Australia, Dec 2018</w:t>
      </w:r>
      <w:r w:rsidRPr="000F38C1">
        <w:t>, cat. no. 6401.0, ABS, Canberra, January 2019, Table 11, Data 5.</w:t>
      </w:r>
    </w:p>
    <w:p w14:paraId="26031B43" w14:textId="470F5E7D" w:rsidR="00071348" w:rsidRDefault="00431136" w:rsidP="00071348">
      <w:pPr>
        <w:pStyle w:val="BodyText"/>
      </w:pPr>
      <w:r>
        <w:t xml:space="preserve">As with </w:t>
      </w:r>
      <w:r w:rsidR="00517DE9">
        <w:t>fuel, energy price increases hit low-income households hardest</w:t>
      </w:r>
      <w:r w:rsidR="00AF49D4">
        <w:t xml:space="preserve">. </w:t>
      </w:r>
      <w:r w:rsidR="005D117A">
        <w:t xml:space="preserve">As noted in </w:t>
      </w:r>
      <w:r w:rsidR="0083632B">
        <w:t>a recent analysis of energy stress in Australia</w:t>
      </w:r>
      <w:r w:rsidR="00932E7E">
        <w:t>:</w:t>
      </w:r>
    </w:p>
    <w:p w14:paraId="78AFDD8A" w14:textId="290B10BC" w:rsidR="0083632B" w:rsidRDefault="00873F34" w:rsidP="00E45368">
      <w:pPr>
        <w:pStyle w:val="BlockText"/>
      </w:pPr>
      <w:r>
        <w:t xml:space="preserve">Some groups </w:t>
      </w:r>
      <w:r w:rsidR="009558E9">
        <w:t xml:space="preserve">are paying disproportionately more of their income on energy bills, and this has risen since 2008, contributing to an increase in inequality and poverty… </w:t>
      </w:r>
      <w:r w:rsidR="0083632B">
        <w:t>On average</w:t>
      </w:r>
      <w:r w:rsidR="00371FA8">
        <w:t xml:space="preserve">, low-income households spend 6.4% of their income on energy, while high-income </w:t>
      </w:r>
      <w:r w:rsidR="000676E9">
        <w:t>households [spend] an average of 1.5%</w:t>
      </w:r>
      <w:r w:rsidR="00F11C2B">
        <w:t xml:space="preserve">. </w:t>
      </w:r>
      <w:r w:rsidR="0083632B">
        <w:t xml:space="preserve">This is despite the fact that </w:t>
      </w:r>
      <w:r w:rsidR="00F11C2B">
        <w:t>low-income households appear to use less energy, spending less</w:t>
      </w:r>
      <w:r w:rsidR="007F153A">
        <w:t xml:space="preserve"> </w:t>
      </w:r>
      <w:r w:rsidR="00F11C2B">
        <w:t>in dollar terms per year</w:t>
      </w:r>
      <w:r w:rsidR="00744444">
        <w:t>… One in four [low-income hou</w:t>
      </w:r>
      <w:r w:rsidR="00963D89">
        <w:t>seholds] are now paying over 8.8% of their income on energy (electricity or gas). This is up from 7.6% in 2008</w:t>
      </w:r>
      <w:r w:rsidR="004E43BA">
        <w:t>..</w:t>
      </w:r>
      <w:r w:rsidR="00963D89">
        <w:t>.</w:t>
      </w:r>
      <w:r w:rsidR="004E43BA">
        <w:t xml:space="preserve"> Those households dependent on income support payments such as Newstart and similar allowances are hit hardest by high prices, with one in four of these households spending more than 9.7% </w:t>
      </w:r>
      <w:r w:rsidR="00E45368">
        <w:t>of their incomes on energy.</w:t>
      </w:r>
      <w:r w:rsidR="00E45368">
        <w:rPr>
          <w:rStyle w:val="FootnoteReference"/>
        </w:rPr>
        <w:footnoteReference w:id="19"/>
      </w:r>
    </w:p>
    <w:p w14:paraId="6FC26819" w14:textId="1D52B64C" w:rsidR="00963D89" w:rsidRDefault="00613967" w:rsidP="00071348">
      <w:pPr>
        <w:pStyle w:val="BodyText"/>
      </w:pPr>
      <w:r>
        <w:t xml:space="preserve">Table 2 </w:t>
      </w:r>
      <w:r w:rsidR="006408EC">
        <w:t xml:space="preserve">indicates how increases in energy prices </w:t>
      </w:r>
      <w:r w:rsidR="00641690">
        <w:t xml:space="preserve">impact </w:t>
      </w:r>
      <w:r w:rsidR="00716B38">
        <w:t>disproportionate</w:t>
      </w:r>
      <w:r w:rsidR="00641690">
        <w:t xml:space="preserve">ly on low-income households </w:t>
      </w:r>
      <w:r w:rsidR="00932E7E">
        <w:t>due to</w:t>
      </w:r>
      <w:r w:rsidR="00E12309">
        <w:t xml:space="preserve"> a greater proportion of income and expenditure </w:t>
      </w:r>
      <w:r w:rsidR="00932E7E">
        <w:t>being</w:t>
      </w:r>
      <w:r w:rsidR="00E12309">
        <w:t xml:space="preserve"> </w:t>
      </w:r>
      <w:r w:rsidR="008968AA">
        <w:t>spent on</w:t>
      </w:r>
      <w:r w:rsidR="00E12309">
        <w:t xml:space="preserve"> energy.</w:t>
      </w:r>
      <w:r w:rsidR="00D853FA">
        <w:t xml:space="preserve"> These households are more likely to experience energy stress</w:t>
      </w:r>
      <w:r w:rsidR="00E332FC">
        <w:t xml:space="preserve"> which can </w:t>
      </w:r>
      <w:r w:rsidR="005B1E6C">
        <w:t>result in households ‘going without heating and cooling, meals, and other basic essentials in order to afford their energy bills’.</w:t>
      </w:r>
      <w:r w:rsidR="005B1E6C">
        <w:rPr>
          <w:rStyle w:val="FootnoteReference"/>
        </w:rPr>
        <w:footnoteReference w:id="20"/>
      </w:r>
    </w:p>
    <w:p w14:paraId="2D4E1D74" w14:textId="598A5436" w:rsidR="00574FA8" w:rsidRDefault="006701B1" w:rsidP="00BB7E5C">
      <w:pPr>
        <w:pStyle w:val="Figuretitle"/>
      </w:pPr>
      <w:r>
        <w:lastRenderedPageBreak/>
        <w:t>Table 2 Energy</w:t>
      </w:r>
      <w:r w:rsidR="005C4736">
        <w:t xml:space="preserve"> </w:t>
      </w:r>
      <w:r>
        <w:t>expenditure by</w:t>
      </w:r>
      <w:r w:rsidR="00540760">
        <w:t xml:space="preserve"> equivalised disposable</w:t>
      </w:r>
      <w:r>
        <w:t xml:space="preserve"> income quintile</w:t>
      </w:r>
      <w:r w:rsidR="00540760">
        <w:t>s</w:t>
      </w:r>
    </w:p>
    <w:tbl>
      <w:tblPr>
        <w:tblStyle w:val="TableGrid"/>
        <w:tblW w:w="0" w:type="auto"/>
        <w:tblLook w:val="04A0" w:firstRow="1" w:lastRow="0" w:firstColumn="1" w:lastColumn="0" w:noHBand="0" w:noVBand="1"/>
      </w:tblPr>
      <w:tblGrid>
        <w:gridCol w:w="1621"/>
        <w:gridCol w:w="1378"/>
        <w:gridCol w:w="1385"/>
        <w:gridCol w:w="1354"/>
        <w:gridCol w:w="1371"/>
        <w:gridCol w:w="1385"/>
      </w:tblGrid>
      <w:tr w:rsidR="0081482A" w14:paraId="34FA17CD" w14:textId="77777777" w:rsidTr="00E314FD">
        <w:trPr>
          <w:tblHeader/>
        </w:trPr>
        <w:tc>
          <w:tcPr>
            <w:tcW w:w="1621" w:type="dxa"/>
            <w:tcBorders>
              <w:left w:val="nil"/>
              <w:bottom w:val="single" w:sz="4" w:space="0" w:color="auto"/>
              <w:right w:val="nil"/>
            </w:tcBorders>
          </w:tcPr>
          <w:p w14:paraId="263C34E7" w14:textId="77777777" w:rsidR="0081482A" w:rsidRDefault="0081482A" w:rsidP="00C3214F">
            <w:pPr>
              <w:pStyle w:val="Tableheading"/>
              <w:jc w:val="right"/>
            </w:pPr>
          </w:p>
        </w:tc>
        <w:tc>
          <w:tcPr>
            <w:tcW w:w="1378" w:type="dxa"/>
            <w:tcBorders>
              <w:left w:val="nil"/>
              <w:bottom w:val="single" w:sz="4" w:space="0" w:color="auto"/>
              <w:right w:val="nil"/>
            </w:tcBorders>
          </w:tcPr>
          <w:p w14:paraId="6EC64846" w14:textId="31A4391D" w:rsidR="0081482A" w:rsidRPr="00540760" w:rsidRDefault="0081482A" w:rsidP="00C3214F">
            <w:pPr>
              <w:pStyle w:val="Tableheading"/>
              <w:jc w:val="right"/>
            </w:pPr>
            <w:r w:rsidRPr="00540760">
              <w:t>Lowest</w:t>
            </w:r>
          </w:p>
        </w:tc>
        <w:tc>
          <w:tcPr>
            <w:tcW w:w="1385" w:type="dxa"/>
            <w:tcBorders>
              <w:left w:val="nil"/>
              <w:bottom w:val="single" w:sz="4" w:space="0" w:color="auto"/>
              <w:right w:val="nil"/>
            </w:tcBorders>
          </w:tcPr>
          <w:p w14:paraId="47CF94C6" w14:textId="431B7B1C" w:rsidR="0081482A" w:rsidRPr="00540760" w:rsidRDefault="0081482A" w:rsidP="00C3214F">
            <w:pPr>
              <w:pStyle w:val="Tableheading"/>
              <w:jc w:val="right"/>
            </w:pPr>
            <w:r w:rsidRPr="00540760">
              <w:t>Second</w:t>
            </w:r>
          </w:p>
        </w:tc>
        <w:tc>
          <w:tcPr>
            <w:tcW w:w="1354" w:type="dxa"/>
            <w:tcBorders>
              <w:left w:val="nil"/>
              <w:bottom w:val="single" w:sz="4" w:space="0" w:color="auto"/>
              <w:right w:val="nil"/>
            </w:tcBorders>
          </w:tcPr>
          <w:p w14:paraId="018B46C7" w14:textId="4BD93946" w:rsidR="0081482A" w:rsidRPr="00540760" w:rsidRDefault="0081482A" w:rsidP="00C3214F">
            <w:pPr>
              <w:pStyle w:val="Tableheading"/>
              <w:jc w:val="right"/>
            </w:pPr>
            <w:r w:rsidRPr="00540760">
              <w:t>Third</w:t>
            </w:r>
          </w:p>
        </w:tc>
        <w:tc>
          <w:tcPr>
            <w:tcW w:w="1371" w:type="dxa"/>
            <w:tcBorders>
              <w:left w:val="nil"/>
              <w:bottom w:val="single" w:sz="4" w:space="0" w:color="auto"/>
              <w:right w:val="nil"/>
            </w:tcBorders>
          </w:tcPr>
          <w:p w14:paraId="5726E169" w14:textId="642A651F" w:rsidR="0081482A" w:rsidRPr="00540760" w:rsidRDefault="0081482A" w:rsidP="00C3214F">
            <w:pPr>
              <w:pStyle w:val="Tableheading"/>
              <w:jc w:val="right"/>
            </w:pPr>
            <w:r w:rsidRPr="00540760">
              <w:t>Fourth</w:t>
            </w:r>
          </w:p>
        </w:tc>
        <w:tc>
          <w:tcPr>
            <w:tcW w:w="1385" w:type="dxa"/>
            <w:tcBorders>
              <w:left w:val="nil"/>
              <w:bottom w:val="single" w:sz="4" w:space="0" w:color="auto"/>
              <w:right w:val="nil"/>
            </w:tcBorders>
          </w:tcPr>
          <w:p w14:paraId="09A25DEE" w14:textId="07B45379" w:rsidR="0081482A" w:rsidRPr="00540760" w:rsidRDefault="0081482A" w:rsidP="00C3214F">
            <w:pPr>
              <w:pStyle w:val="Tableheading"/>
              <w:jc w:val="right"/>
            </w:pPr>
            <w:r w:rsidRPr="00540760">
              <w:t>Highest</w:t>
            </w:r>
          </w:p>
        </w:tc>
      </w:tr>
      <w:tr w:rsidR="00AF31FD" w14:paraId="18BBD400" w14:textId="77777777" w:rsidTr="00C3260F">
        <w:tc>
          <w:tcPr>
            <w:tcW w:w="1621" w:type="dxa"/>
            <w:tcBorders>
              <w:left w:val="nil"/>
              <w:bottom w:val="single" w:sz="4" w:space="0" w:color="auto"/>
              <w:right w:val="nil"/>
            </w:tcBorders>
            <w:shd w:val="clear" w:color="auto" w:fill="D9E2F3" w:themeFill="accent1" w:themeFillTint="33"/>
          </w:tcPr>
          <w:p w14:paraId="796FF0FB" w14:textId="2DC46CA4" w:rsidR="00AF31FD" w:rsidRPr="00540760" w:rsidRDefault="00AF31FD" w:rsidP="00C3214F">
            <w:pPr>
              <w:pStyle w:val="Tableheading"/>
            </w:pPr>
            <w:r w:rsidRPr="00540760">
              <w:t xml:space="preserve">Average Weekly Expenditure </w:t>
            </w:r>
            <w:r w:rsidR="00C83AEC">
              <w:t xml:space="preserve">– ACT </w:t>
            </w:r>
            <w:r w:rsidRPr="00540760">
              <w:t>($)</w:t>
            </w:r>
          </w:p>
        </w:tc>
        <w:tc>
          <w:tcPr>
            <w:tcW w:w="1378" w:type="dxa"/>
            <w:tcBorders>
              <w:left w:val="nil"/>
              <w:bottom w:val="single" w:sz="4" w:space="0" w:color="auto"/>
              <w:right w:val="nil"/>
            </w:tcBorders>
            <w:shd w:val="clear" w:color="auto" w:fill="D9E2F3" w:themeFill="accent1" w:themeFillTint="33"/>
          </w:tcPr>
          <w:p w14:paraId="567CC165" w14:textId="1DF6F968" w:rsidR="00AF31FD" w:rsidRPr="00C3214F" w:rsidRDefault="00AF31FD" w:rsidP="00C3214F">
            <w:pPr>
              <w:pStyle w:val="TableBody"/>
              <w:jc w:val="right"/>
            </w:pPr>
            <w:r w:rsidRPr="00C3214F">
              <w:t>42.22</w:t>
            </w:r>
          </w:p>
        </w:tc>
        <w:tc>
          <w:tcPr>
            <w:tcW w:w="1385" w:type="dxa"/>
            <w:tcBorders>
              <w:left w:val="nil"/>
              <w:bottom w:val="single" w:sz="4" w:space="0" w:color="auto"/>
              <w:right w:val="nil"/>
            </w:tcBorders>
            <w:shd w:val="clear" w:color="auto" w:fill="D9E2F3" w:themeFill="accent1" w:themeFillTint="33"/>
          </w:tcPr>
          <w:p w14:paraId="0B143568" w14:textId="26CACDC5" w:rsidR="00AF31FD" w:rsidRPr="00C3214F" w:rsidRDefault="00AF31FD" w:rsidP="00C3214F">
            <w:pPr>
              <w:pStyle w:val="TableBody"/>
              <w:jc w:val="right"/>
            </w:pPr>
            <w:r w:rsidRPr="00C3214F">
              <w:t>51.78</w:t>
            </w:r>
          </w:p>
        </w:tc>
        <w:tc>
          <w:tcPr>
            <w:tcW w:w="1354" w:type="dxa"/>
            <w:tcBorders>
              <w:left w:val="nil"/>
              <w:bottom w:val="single" w:sz="4" w:space="0" w:color="auto"/>
              <w:right w:val="nil"/>
            </w:tcBorders>
            <w:shd w:val="clear" w:color="auto" w:fill="D9E2F3" w:themeFill="accent1" w:themeFillTint="33"/>
          </w:tcPr>
          <w:p w14:paraId="215197F9" w14:textId="4D44C0E1" w:rsidR="00AF31FD" w:rsidRPr="00C3214F" w:rsidRDefault="00AF31FD" w:rsidP="00C3214F">
            <w:pPr>
              <w:pStyle w:val="TableBody"/>
              <w:jc w:val="right"/>
            </w:pPr>
            <w:r w:rsidRPr="00C3214F">
              <w:t>44.37</w:t>
            </w:r>
          </w:p>
        </w:tc>
        <w:tc>
          <w:tcPr>
            <w:tcW w:w="1371" w:type="dxa"/>
            <w:tcBorders>
              <w:left w:val="nil"/>
              <w:bottom w:val="single" w:sz="4" w:space="0" w:color="auto"/>
              <w:right w:val="nil"/>
            </w:tcBorders>
            <w:shd w:val="clear" w:color="auto" w:fill="D9E2F3" w:themeFill="accent1" w:themeFillTint="33"/>
          </w:tcPr>
          <w:p w14:paraId="523FDFFB" w14:textId="61A8480F" w:rsidR="00AF31FD" w:rsidRPr="00C3214F" w:rsidRDefault="00AF31FD" w:rsidP="00C3214F">
            <w:pPr>
              <w:pStyle w:val="TableBody"/>
              <w:jc w:val="right"/>
            </w:pPr>
            <w:r w:rsidRPr="00C3214F">
              <w:t>41.00</w:t>
            </w:r>
          </w:p>
        </w:tc>
        <w:tc>
          <w:tcPr>
            <w:tcW w:w="1385" w:type="dxa"/>
            <w:tcBorders>
              <w:left w:val="nil"/>
              <w:bottom w:val="single" w:sz="4" w:space="0" w:color="auto"/>
              <w:right w:val="nil"/>
            </w:tcBorders>
            <w:shd w:val="clear" w:color="auto" w:fill="D9E2F3" w:themeFill="accent1" w:themeFillTint="33"/>
          </w:tcPr>
          <w:p w14:paraId="778086AF" w14:textId="0FE15CDD" w:rsidR="00AF31FD" w:rsidRPr="00C3214F" w:rsidRDefault="00AF31FD" w:rsidP="00C3214F">
            <w:pPr>
              <w:pStyle w:val="TableBody"/>
              <w:jc w:val="right"/>
            </w:pPr>
            <w:r w:rsidRPr="00C3214F">
              <w:t>56.21</w:t>
            </w:r>
          </w:p>
        </w:tc>
      </w:tr>
      <w:tr w:rsidR="006701B1" w14:paraId="408CB4EC" w14:textId="77777777" w:rsidTr="00E6103B">
        <w:tc>
          <w:tcPr>
            <w:tcW w:w="1621" w:type="dxa"/>
            <w:tcBorders>
              <w:left w:val="nil"/>
              <w:right w:val="nil"/>
            </w:tcBorders>
          </w:tcPr>
          <w:p w14:paraId="78C0B12E" w14:textId="2C7B2C7E" w:rsidR="006701B1" w:rsidRPr="00540760" w:rsidRDefault="006701B1" w:rsidP="00C3214F">
            <w:pPr>
              <w:pStyle w:val="Tableheading"/>
            </w:pPr>
            <w:r w:rsidRPr="00540760">
              <w:t xml:space="preserve">Proportion of Total Goods and Services Expenditure </w:t>
            </w:r>
            <w:r w:rsidR="00C83AEC">
              <w:t xml:space="preserve">– ACT </w:t>
            </w:r>
            <w:r w:rsidRPr="00540760">
              <w:t>(%)</w:t>
            </w:r>
          </w:p>
        </w:tc>
        <w:tc>
          <w:tcPr>
            <w:tcW w:w="1378" w:type="dxa"/>
            <w:tcBorders>
              <w:left w:val="nil"/>
              <w:right w:val="nil"/>
            </w:tcBorders>
          </w:tcPr>
          <w:p w14:paraId="135A1FDC" w14:textId="08921487" w:rsidR="006701B1" w:rsidRPr="00C3214F" w:rsidRDefault="006701B1" w:rsidP="00C3214F">
            <w:pPr>
              <w:pStyle w:val="TableBody"/>
              <w:jc w:val="right"/>
            </w:pPr>
            <w:r w:rsidRPr="00C3214F">
              <w:t>4.0</w:t>
            </w:r>
          </w:p>
        </w:tc>
        <w:tc>
          <w:tcPr>
            <w:tcW w:w="1385" w:type="dxa"/>
            <w:tcBorders>
              <w:left w:val="nil"/>
              <w:right w:val="nil"/>
            </w:tcBorders>
          </w:tcPr>
          <w:p w14:paraId="0384EF00" w14:textId="672A2960" w:rsidR="006701B1" w:rsidRPr="00C3214F" w:rsidRDefault="006701B1" w:rsidP="00C3214F">
            <w:pPr>
              <w:pStyle w:val="TableBody"/>
              <w:jc w:val="right"/>
            </w:pPr>
            <w:r w:rsidRPr="00C3214F">
              <w:t>*4.4</w:t>
            </w:r>
          </w:p>
        </w:tc>
        <w:tc>
          <w:tcPr>
            <w:tcW w:w="1354" w:type="dxa"/>
            <w:tcBorders>
              <w:left w:val="nil"/>
              <w:right w:val="nil"/>
            </w:tcBorders>
          </w:tcPr>
          <w:p w14:paraId="1DD18FB2" w14:textId="578239C4" w:rsidR="006701B1" w:rsidRPr="00C3214F" w:rsidRDefault="006701B1" w:rsidP="00C3214F">
            <w:pPr>
              <w:pStyle w:val="TableBody"/>
              <w:jc w:val="right"/>
            </w:pPr>
            <w:r w:rsidRPr="00C3214F">
              <w:t>3.0</w:t>
            </w:r>
          </w:p>
        </w:tc>
        <w:tc>
          <w:tcPr>
            <w:tcW w:w="1371" w:type="dxa"/>
            <w:tcBorders>
              <w:left w:val="nil"/>
              <w:right w:val="nil"/>
            </w:tcBorders>
          </w:tcPr>
          <w:p w14:paraId="0B825817" w14:textId="39EEF1A4" w:rsidR="006701B1" w:rsidRPr="00C3214F" w:rsidRDefault="006701B1" w:rsidP="00C3214F">
            <w:pPr>
              <w:pStyle w:val="TableBody"/>
              <w:jc w:val="right"/>
            </w:pPr>
            <w:r w:rsidRPr="00C3214F">
              <w:t>2.2</w:t>
            </w:r>
          </w:p>
        </w:tc>
        <w:tc>
          <w:tcPr>
            <w:tcW w:w="1385" w:type="dxa"/>
            <w:tcBorders>
              <w:left w:val="nil"/>
              <w:right w:val="nil"/>
            </w:tcBorders>
          </w:tcPr>
          <w:p w14:paraId="227A1537" w14:textId="1EB8E776" w:rsidR="006701B1" w:rsidRPr="00C3214F" w:rsidRDefault="006701B1" w:rsidP="00C3214F">
            <w:pPr>
              <w:pStyle w:val="TableBody"/>
              <w:jc w:val="right"/>
            </w:pPr>
            <w:r w:rsidRPr="00C3214F">
              <w:t>2.4</w:t>
            </w:r>
          </w:p>
        </w:tc>
      </w:tr>
      <w:tr w:rsidR="00D41DC8" w14:paraId="59723B18" w14:textId="77777777" w:rsidTr="00F174D1">
        <w:tc>
          <w:tcPr>
            <w:tcW w:w="1621" w:type="dxa"/>
            <w:tcBorders>
              <w:left w:val="nil"/>
              <w:right w:val="nil"/>
            </w:tcBorders>
            <w:shd w:val="clear" w:color="auto" w:fill="D9E2F3" w:themeFill="accent1" w:themeFillTint="33"/>
          </w:tcPr>
          <w:p w14:paraId="4F1DECD1" w14:textId="746547F8" w:rsidR="00D41DC8" w:rsidRPr="00540760" w:rsidRDefault="00C120C4" w:rsidP="00C3214F">
            <w:pPr>
              <w:pStyle w:val="Tableheading"/>
            </w:pPr>
            <w:r>
              <w:t>Proportion of income</w:t>
            </w:r>
            <w:r w:rsidR="00C83AEC">
              <w:t xml:space="preserve">- Australia </w:t>
            </w:r>
            <w:r>
              <w:t>(%)</w:t>
            </w:r>
          </w:p>
        </w:tc>
        <w:tc>
          <w:tcPr>
            <w:tcW w:w="1378" w:type="dxa"/>
            <w:tcBorders>
              <w:left w:val="nil"/>
              <w:right w:val="nil"/>
            </w:tcBorders>
            <w:shd w:val="clear" w:color="auto" w:fill="D9E2F3" w:themeFill="accent1" w:themeFillTint="33"/>
          </w:tcPr>
          <w:p w14:paraId="4A12ECDC" w14:textId="2252DA8B" w:rsidR="00D41DC8" w:rsidRPr="00C3214F" w:rsidRDefault="00F174D1" w:rsidP="00C3214F">
            <w:pPr>
              <w:pStyle w:val="TableBody"/>
              <w:jc w:val="right"/>
            </w:pPr>
            <w:r w:rsidRPr="00C3214F">
              <w:t>6.4</w:t>
            </w:r>
          </w:p>
        </w:tc>
        <w:tc>
          <w:tcPr>
            <w:tcW w:w="1385" w:type="dxa"/>
            <w:tcBorders>
              <w:left w:val="nil"/>
              <w:right w:val="nil"/>
            </w:tcBorders>
            <w:shd w:val="clear" w:color="auto" w:fill="D9E2F3" w:themeFill="accent1" w:themeFillTint="33"/>
          </w:tcPr>
          <w:p w14:paraId="53159314" w14:textId="02C47D95" w:rsidR="00D41DC8" w:rsidRPr="00C3214F" w:rsidRDefault="00F174D1" w:rsidP="00C3214F">
            <w:pPr>
              <w:pStyle w:val="TableBody"/>
              <w:jc w:val="right"/>
            </w:pPr>
            <w:r w:rsidRPr="00C3214F">
              <w:t>3.8</w:t>
            </w:r>
          </w:p>
        </w:tc>
        <w:tc>
          <w:tcPr>
            <w:tcW w:w="1354" w:type="dxa"/>
            <w:tcBorders>
              <w:left w:val="nil"/>
              <w:right w:val="nil"/>
            </w:tcBorders>
            <w:shd w:val="clear" w:color="auto" w:fill="D9E2F3" w:themeFill="accent1" w:themeFillTint="33"/>
          </w:tcPr>
          <w:p w14:paraId="7DB85A53" w14:textId="51A37716" w:rsidR="00D41DC8" w:rsidRPr="00C3214F" w:rsidRDefault="00F174D1" w:rsidP="00C3214F">
            <w:pPr>
              <w:pStyle w:val="TableBody"/>
              <w:jc w:val="right"/>
            </w:pPr>
            <w:r w:rsidRPr="00C3214F">
              <w:t>2.8</w:t>
            </w:r>
          </w:p>
        </w:tc>
        <w:tc>
          <w:tcPr>
            <w:tcW w:w="1371" w:type="dxa"/>
            <w:tcBorders>
              <w:left w:val="nil"/>
              <w:right w:val="nil"/>
            </w:tcBorders>
            <w:shd w:val="clear" w:color="auto" w:fill="D9E2F3" w:themeFill="accent1" w:themeFillTint="33"/>
          </w:tcPr>
          <w:p w14:paraId="246E3038" w14:textId="2AC3FACE" w:rsidR="00D41DC8" w:rsidRPr="00C3214F" w:rsidRDefault="00F174D1" w:rsidP="00C3214F">
            <w:pPr>
              <w:pStyle w:val="TableBody"/>
              <w:jc w:val="right"/>
            </w:pPr>
            <w:r w:rsidRPr="00C3214F">
              <w:t>2.3</w:t>
            </w:r>
          </w:p>
        </w:tc>
        <w:tc>
          <w:tcPr>
            <w:tcW w:w="1385" w:type="dxa"/>
            <w:tcBorders>
              <w:left w:val="nil"/>
              <w:right w:val="nil"/>
            </w:tcBorders>
            <w:shd w:val="clear" w:color="auto" w:fill="D9E2F3" w:themeFill="accent1" w:themeFillTint="33"/>
          </w:tcPr>
          <w:p w14:paraId="323C96CE" w14:textId="68CEA0C3" w:rsidR="00D41DC8" w:rsidRPr="00C3214F" w:rsidRDefault="00F174D1" w:rsidP="00C3214F">
            <w:pPr>
              <w:pStyle w:val="TableBody"/>
              <w:jc w:val="right"/>
            </w:pPr>
            <w:r w:rsidRPr="00C3214F">
              <w:t>1.5</w:t>
            </w:r>
          </w:p>
        </w:tc>
      </w:tr>
    </w:tbl>
    <w:p w14:paraId="51409347" w14:textId="452C2C5F" w:rsidR="00574FA8" w:rsidRPr="00C3214F" w:rsidRDefault="00A63951" w:rsidP="00C3214F">
      <w:pPr>
        <w:pStyle w:val="Figurenotes"/>
      </w:pPr>
      <w:r w:rsidRPr="00C3214F">
        <w:t>* estimate has a relative standard error of 25% to 50% and should be used with caution</w:t>
      </w:r>
    </w:p>
    <w:p w14:paraId="4AAF05D6" w14:textId="74CCDFA3" w:rsidR="00A63951" w:rsidRDefault="00A63951" w:rsidP="00BB7E5C">
      <w:pPr>
        <w:pStyle w:val="Source"/>
      </w:pPr>
      <w:r>
        <w:t>Source</w:t>
      </w:r>
      <w:r w:rsidR="00F174D1">
        <w:t>s</w:t>
      </w:r>
      <w:r>
        <w:t xml:space="preserve">: </w:t>
      </w:r>
      <w:r w:rsidRPr="00A63951">
        <w:t>ABS</w:t>
      </w:r>
      <w:r w:rsidRPr="006421CB">
        <w:rPr>
          <w:i/>
        </w:rPr>
        <w:t>, Household expenditure survey, Australia, Summary of results, 2015-16</w:t>
      </w:r>
      <w:r w:rsidRPr="00A63951">
        <w:t>, ABS, Canberra, 2017,</w:t>
      </w:r>
      <w:r w:rsidR="00AC6785">
        <w:t xml:space="preserve"> </w:t>
      </w:r>
      <w:r w:rsidR="00AC6785" w:rsidRPr="00AC6785">
        <w:t xml:space="preserve">Table 21.1  </w:t>
      </w:r>
      <w:r w:rsidR="00AC6785">
        <w:t>Household expenditure</w:t>
      </w:r>
      <w:r w:rsidR="00AC6785" w:rsidRPr="00AC6785">
        <w:t>, Broad expenditure groups, Equivalised disposable household income quintiles, ACT</w:t>
      </w:r>
      <w:r w:rsidR="00C83AEC">
        <w:t xml:space="preserve">; </w:t>
      </w:r>
      <w:r w:rsidR="001712E5">
        <w:t>ACOSS</w:t>
      </w:r>
      <w:r w:rsidR="00B17E63">
        <w:t xml:space="preserve">, Brotherhood of St Laurence &amp; ANU Centre for Social Research and Methods, </w:t>
      </w:r>
      <w:r w:rsidR="0040636B" w:rsidRPr="00571F1D">
        <w:rPr>
          <w:i/>
        </w:rPr>
        <w:t>Energy stressed in Australia</w:t>
      </w:r>
      <w:r w:rsidR="00571F1D">
        <w:t>, ACOSS, Sydney, 2018, p. 4.</w:t>
      </w:r>
    </w:p>
    <w:p w14:paraId="72AC6AA5" w14:textId="69059319" w:rsidR="001C6770" w:rsidRDefault="00F93275" w:rsidP="001C6770">
      <w:pPr>
        <w:pStyle w:val="BodyText"/>
      </w:pPr>
      <w:r>
        <w:t xml:space="preserve">Low-income renters are particularly vulnerable </w:t>
      </w:r>
      <w:r w:rsidR="00E27EE4">
        <w:t>as they ‘have less choice and less control in the reduction of their energy bills</w:t>
      </w:r>
      <w:r w:rsidR="00326D39">
        <w:t xml:space="preserve"> … </w:t>
      </w:r>
      <w:r w:rsidR="003B118A">
        <w:t>[</w:t>
      </w:r>
      <w:r w:rsidR="009356E0">
        <w:t>these households]</w:t>
      </w:r>
      <w:r w:rsidR="003B118A">
        <w:t xml:space="preserve"> face a double whammy of high costs and the inability to introduce</w:t>
      </w:r>
      <w:r w:rsidR="00E055D8">
        <w:t xml:space="preserve"> energy efficiency measures to reduce </w:t>
      </w:r>
      <w:r w:rsidR="007F57BE">
        <w:t>[energy costs]</w:t>
      </w:r>
      <w:r w:rsidR="00E27EE4">
        <w:t>’.</w:t>
      </w:r>
      <w:r w:rsidR="00E27EE4">
        <w:rPr>
          <w:rStyle w:val="FootnoteReference"/>
        </w:rPr>
        <w:footnoteReference w:id="21"/>
      </w:r>
      <w:r w:rsidR="00F853CB">
        <w:t xml:space="preserve"> </w:t>
      </w:r>
      <w:r w:rsidR="00F853CB" w:rsidRPr="00F853CB">
        <w:t xml:space="preserve">The energy efficiency of rental properties can have a significant impact on </w:t>
      </w:r>
      <w:r w:rsidR="00F853CB">
        <w:t>tenants’ cost of living</w:t>
      </w:r>
      <w:r w:rsidR="00F853CB" w:rsidRPr="00F853CB">
        <w:t xml:space="preserve">. Better Renting’s </w:t>
      </w:r>
      <w:r w:rsidR="00AA2D07">
        <w:t xml:space="preserve">recent </w:t>
      </w:r>
      <w:r w:rsidR="00F853CB" w:rsidRPr="00F853CB">
        <w:t>analysis of the energy efficiency of ACT rental properties found that over two in five rental properties in the ACT (43%) with Energy Efficiency Ratings (</w:t>
      </w:r>
      <w:proofErr w:type="spellStart"/>
      <w:r w:rsidR="00F853CB" w:rsidRPr="00F853CB">
        <w:t>EERs</w:t>
      </w:r>
      <w:proofErr w:type="spellEnd"/>
      <w:r w:rsidR="00F853CB" w:rsidRPr="00F853CB">
        <w:t xml:space="preserve">) had an </w:t>
      </w:r>
      <w:proofErr w:type="spellStart"/>
      <w:r w:rsidR="00F853CB" w:rsidRPr="00F853CB">
        <w:t>EER</w:t>
      </w:r>
      <w:proofErr w:type="spellEnd"/>
      <w:r w:rsidR="00F853CB" w:rsidRPr="00F853CB">
        <w:t xml:space="preserve"> of 0, compared with only 4% of properties for sale.</w:t>
      </w:r>
      <w:r w:rsidR="00F853CB">
        <w:rPr>
          <w:rStyle w:val="FootnoteReference"/>
        </w:rPr>
        <w:footnoteReference w:id="22"/>
      </w:r>
      <w:r w:rsidR="00F853CB" w:rsidRPr="00F853CB">
        <w:t xml:space="preserve"> Renters of these</w:t>
      </w:r>
      <w:r w:rsidR="00B11407">
        <w:t xml:space="preserve"> energy inefficient</w:t>
      </w:r>
      <w:r w:rsidR="00F853CB" w:rsidRPr="00F853CB">
        <w:t xml:space="preserve"> properties face higher energy costs – it is estimated that in a property with an </w:t>
      </w:r>
      <w:proofErr w:type="spellStart"/>
      <w:r w:rsidR="00F853CB" w:rsidRPr="00F853CB">
        <w:t>EER</w:t>
      </w:r>
      <w:proofErr w:type="spellEnd"/>
      <w:r w:rsidR="00F853CB" w:rsidRPr="00F853CB">
        <w:t xml:space="preserve"> of 0 it would cost approximately $1,800 a year to achieve the same thermal comfort as an equivalent property with an </w:t>
      </w:r>
      <w:proofErr w:type="spellStart"/>
      <w:r w:rsidR="00F853CB" w:rsidRPr="00F853CB">
        <w:t>EER</w:t>
      </w:r>
      <w:proofErr w:type="spellEnd"/>
      <w:r w:rsidR="00F853CB" w:rsidRPr="00F853CB">
        <w:t xml:space="preserve"> of 2.</w:t>
      </w:r>
      <w:r w:rsidR="00044A8D">
        <w:rPr>
          <w:rStyle w:val="FootnoteReference"/>
        </w:rPr>
        <w:footnoteReference w:id="23"/>
      </w:r>
      <w:r w:rsidR="00F853CB" w:rsidRPr="00F853CB">
        <w:t xml:space="preserve">  </w:t>
      </w:r>
    </w:p>
    <w:p w14:paraId="71E6DAE7" w14:textId="71BD5D59" w:rsidR="00C64312" w:rsidRDefault="003D2B24" w:rsidP="003C5343">
      <w:pPr>
        <w:pStyle w:val="Heading1"/>
      </w:pPr>
      <w:bookmarkStart w:id="14" w:name="_Toc7787735"/>
      <w:r>
        <w:t xml:space="preserve">Tracking changes in the cost of living for low-income households: </w:t>
      </w:r>
      <w:proofErr w:type="spellStart"/>
      <w:r>
        <w:t>SLCI</w:t>
      </w:r>
      <w:bookmarkEnd w:id="14"/>
      <w:proofErr w:type="spellEnd"/>
    </w:p>
    <w:p w14:paraId="54ACDEE5" w14:textId="342C6898" w:rsidR="008A711A" w:rsidRDefault="00FC182E" w:rsidP="008A711A">
      <w:pPr>
        <w:pStyle w:val="BodyText"/>
      </w:pPr>
      <w:r>
        <w:t xml:space="preserve">The </w:t>
      </w:r>
      <w:r w:rsidR="004118DE">
        <w:t>Selected Living Cost Indexe</w:t>
      </w:r>
      <w:r w:rsidR="00C26721">
        <w:t>s</w:t>
      </w:r>
      <w:r w:rsidR="004118DE">
        <w:t xml:space="preserve"> (</w:t>
      </w:r>
      <w:proofErr w:type="spellStart"/>
      <w:r>
        <w:t>SLCI</w:t>
      </w:r>
      <w:proofErr w:type="spellEnd"/>
      <w:r w:rsidR="004118DE">
        <w:t>)</w:t>
      </w:r>
      <w:r>
        <w:t xml:space="preserve"> measure the cost of various baskets of goods which are specific to a number of different household types – including ‘</w:t>
      </w:r>
      <w:r w:rsidR="00E16138">
        <w:t>A</w:t>
      </w:r>
      <w:r>
        <w:t>ge pension</w:t>
      </w:r>
      <w:r w:rsidR="00E16138">
        <w:t>er</w:t>
      </w:r>
      <w:r>
        <w:t>’ and ‘</w:t>
      </w:r>
      <w:r w:rsidR="00E16138">
        <w:t>O</w:t>
      </w:r>
      <w:r>
        <w:t>ther government transfer recipient</w:t>
      </w:r>
      <w:r w:rsidR="00E16138">
        <w:t>s</w:t>
      </w:r>
      <w:r>
        <w:t xml:space="preserve">’ (e.g. Newstart </w:t>
      </w:r>
      <w:r w:rsidR="004118DE">
        <w:t>and</w:t>
      </w:r>
      <w:r>
        <w:t xml:space="preserve"> Youth Allowance recipients), ‘</w:t>
      </w:r>
      <w:r w:rsidR="00E16138">
        <w:t>E</w:t>
      </w:r>
      <w:r>
        <w:t>mployee’, and ‘</w:t>
      </w:r>
      <w:r w:rsidR="00E16138">
        <w:t>S</w:t>
      </w:r>
      <w:r>
        <w:t xml:space="preserve">elf-funded retiree’ households. </w:t>
      </w:r>
      <w:r w:rsidR="008A711A">
        <w:t xml:space="preserve">An examination of </w:t>
      </w:r>
      <w:r w:rsidR="008705CB">
        <w:t xml:space="preserve">changes in the </w:t>
      </w:r>
      <w:proofErr w:type="spellStart"/>
      <w:r w:rsidR="008705CB">
        <w:t>SLCI</w:t>
      </w:r>
      <w:proofErr w:type="spellEnd"/>
      <w:r w:rsidR="008A711A">
        <w:t xml:space="preserve"> is important for determining how well Australia’s income support system is doing in terms of helping people to keep </w:t>
      </w:r>
      <w:r w:rsidR="008A711A">
        <w:lastRenderedPageBreak/>
        <w:t xml:space="preserve">up with rising living costs. </w:t>
      </w:r>
      <w:r w:rsidR="00F03E94">
        <w:t xml:space="preserve">Our </w:t>
      </w:r>
      <w:r w:rsidR="008A711A">
        <w:t xml:space="preserve">analysis focuses on </w:t>
      </w:r>
      <w:r w:rsidR="004155F9">
        <w:t>a</w:t>
      </w:r>
      <w:r w:rsidR="008A711A">
        <w:t xml:space="preserve">ge </w:t>
      </w:r>
      <w:r w:rsidR="004155F9">
        <w:t>p</w:t>
      </w:r>
      <w:r w:rsidR="008A711A">
        <w:t>ension</w:t>
      </w:r>
      <w:r w:rsidR="004155F9">
        <w:t>er</w:t>
      </w:r>
      <w:r w:rsidR="008A711A">
        <w:t xml:space="preserve"> and other government transfer recipient households as these are more likely to represent low</w:t>
      </w:r>
      <w:r w:rsidR="007B17EE">
        <w:t>-</w:t>
      </w:r>
      <w:r w:rsidR="008A711A">
        <w:t>income and disadvantaged households</w:t>
      </w:r>
      <w:r w:rsidR="00F03E94">
        <w:t xml:space="preserve"> in the ACT</w:t>
      </w:r>
      <w:r w:rsidR="008A711A">
        <w:t xml:space="preserve">. </w:t>
      </w:r>
    </w:p>
    <w:p w14:paraId="68131385" w14:textId="7779A12E" w:rsidR="005A7A0B" w:rsidRDefault="00966B00" w:rsidP="008A711A">
      <w:pPr>
        <w:pStyle w:val="BodyText"/>
      </w:pPr>
      <w:r>
        <w:t xml:space="preserve">Each </w:t>
      </w:r>
      <w:r w:rsidR="00F821F4">
        <w:t>Living Cost Index (</w:t>
      </w:r>
      <w:proofErr w:type="spellStart"/>
      <w:r>
        <w:t>LCI</w:t>
      </w:r>
      <w:proofErr w:type="spellEnd"/>
      <w:r w:rsidR="00F821F4">
        <w:t>)</w:t>
      </w:r>
      <w:r>
        <w:t xml:space="preserve"> is measured at the national level</w:t>
      </w:r>
      <w:r w:rsidR="00F821F4">
        <w:t xml:space="preserve"> </w:t>
      </w:r>
      <w:r w:rsidR="00D60B60">
        <w:t>–</w:t>
      </w:r>
      <w:r w:rsidR="00F821F4">
        <w:t xml:space="preserve"> </w:t>
      </w:r>
      <w:r w:rsidR="00D60B60">
        <w:t>unlike the CPI</w:t>
      </w:r>
      <w:r w:rsidR="00322E83">
        <w:t>,</w:t>
      </w:r>
      <w:r w:rsidR="00D60B60">
        <w:t xml:space="preserve"> the</w:t>
      </w:r>
      <w:r w:rsidR="00894912">
        <w:t xml:space="preserve"> </w:t>
      </w:r>
      <w:proofErr w:type="spellStart"/>
      <w:r w:rsidR="00894912">
        <w:t>SLCI</w:t>
      </w:r>
      <w:proofErr w:type="spellEnd"/>
      <w:r w:rsidR="00D60B60">
        <w:t xml:space="preserve"> are not produced for each capital city</w:t>
      </w:r>
      <w:r w:rsidR="005F3A35">
        <w:t xml:space="preserve"> so </w:t>
      </w:r>
      <w:r w:rsidR="00366921">
        <w:t>this analysis</w:t>
      </w:r>
      <w:r w:rsidR="005F3A35">
        <w:t xml:space="preserve"> is not specific to Canberra or the ACT.</w:t>
      </w:r>
      <w:r w:rsidR="00D60B60">
        <w:t xml:space="preserve"> </w:t>
      </w:r>
      <w:r w:rsidR="002A16AD">
        <w:t>In the</w:t>
      </w:r>
      <w:r w:rsidR="005F3A35">
        <w:t xml:space="preserve"> past</w:t>
      </w:r>
      <w:r w:rsidR="002A16AD">
        <w:t xml:space="preserve"> year, the </w:t>
      </w:r>
      <w:proofErr w:type="spellStart"/>
      <w:r w:rsidR="002A16AD">
        <w:t>LCI</w:t>
      </w:r>
      <w:proofErr w:type="spellEnd"/>
      <w:r w:rsidR="002A16AD">
        <w:t xml:space="preserve"> for all </w:t>
      </w:r>
      <w:r w:rsidR="00C635A7">
        <w:t>household types rose at a higher rate than the national CPI</w:t>
      </w:r>
      <w:r w:rsidR="002A4F28">
        <w:t xml:space="preserve"> (see Figure </w:t>
      </w:r>
      <w:r w:rsidR="00602CCD">
        <w:t>5</w:t>
      </w:r>
      <w:r w:rsidR="00353005">
        <w:t xml:space="preserve">). </w:t>
      </w:r>
      <w:r w:rsidR="00257617">
        <w:t>The</w:t>
      </w:r>
      <w:r w:rsidR="0084456E">
        <w:t xml:space="preserve"> </w:t>
      </w:r>
      <w:proofErr w:type="spellStart"/>
      <w:r w:rsidR="0084456E">
        <w:t>LCI</w:t>
      </w:r>
      <w:proofErr w:type="spellEnd"/>
      <w:r w:rsidR="0084456E">
        <w:t xml:space="preserve"> for both age pensioner and other government transfer recipient households increased by 2.1%</w:t>
      </w:r>
      <w:r w:rsidR="00FF27AA">
        <w:t xml:space="preserve"> while the national overall CPI rose by 1.8%.</w:t>
      </w:r>
    </w:p>
    <w:p w14:paraId="4FC91B60" w14:textId="1AF509EB" w:rsidR="009A1CB0" w:rsidRPr="009A1CB0" w:rsidRDefault="009A1CB0" w:rsidP="00107115">
      <w:pPr>
        <w:pStyle w:val="Figuretitle"/>
      </w:pPr>
      <w:r w:rsidRPr="009A1CB0">
        <w:t xml:space="preserve">Figure </w:t>
      </w:r>
      <w:r w:rsidR="00602CCD">
        <w:t>5</w:t>
      </w:r>
      <w:r w:rsidRPr="009A1CB0">
        <w:t xml:space="preserve"> Percentage change in CPI and Selected Living Cost Indexes, Dec 2017 – Dec 2018, Australia</w:t>
      </w:r>
    </w:p>
    <w:p w14:paraId="712C06C4" w14:textId="77777777" w:rsidR="009A1CB0" w:rsidRPr="009A1CB0" w:rsidRDefault="009A1CB0" w:rsidP="00E1045F">
      <w:pPr>
        <w:pStyle w:val="NoSpacing"/>
      </w:pPr>
      <w:r w:rsidRPr="009A1CB0">
        <w:rPr>
          <w:noProof/>
          <w:lang w:eastAsia="en-AU"/>
        </w:rPr>
        <w:drawing>
          <wp:inline distT="0" distB="0" distL="0" distR="0" wp14:anchorId="18718DC7" wp14:editId="5758C0CA">
            <wp:extent cx="4584700" cy="2755900"/>
            <wp:effectExtent l="0" t="0" r="635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410C85B0" w14:textId="5ED8EAAF" w:rsidR="009A1CB0" w:rsidRPr="009A1CB0" w:rsidRDefault="009A1CB0" w:rsidP="00E1045F">
      <w:pPr>
        <w:pStyle w:val="Source"/>
      </w:pPr>
      <w:r w:rsidRPr="009A1CB0">
        <w:t xml:space="preserve">Source: ABS, </w:t>
      </w:r>
      <w:r w:rsidRPr="009A1CB0">
        <w:rPr>
          <w:i/>
        </w:rPr>
        <w:t>Selected Living Cost Indexes, Australia, Dec 2018</w:t>
      </w:r>
      <w:r w:rsidRPr="009A1CB0">
        <w:t>, cat. no. 6467.0, ABS, Canberra, 2019, viewed 12 Feb 2019, &lt;</w:t>
      </w:r>
      <w:hyperlink r:id="rId23" w:history="1">
        <w:r w:rsidRPr="00E1045F">
          <w:rPr>
            <w:rStyle w:val="Hyperlink"/>
          </w:rPr>
          <w:t>http://www.abs.gov.au/AUSSTATS/abs@.nsf/Lookup/6467.0Main+Features1Dec%202018?OpenDocument</w:t>
        </w:r>
      </w:hyperlink>
      <w:r w:rsidRPr="009A1CB0">
        <w:t>&gt;.</w:t>
      </w:r>
    </w:p>
    <w:p w14:paraId="0BCDA9CD" w14:textId="27CBEA6D" w:rsidR="00C64312" w:rsidRDefault="006D0DBE" w:rsidP="00C64312">
      <w:pPr>
        <w:pStyle w:val="BodyText"/>
      </w:pPr>
      <w:r>
        <w:t xml:space="preserve">The single rate of Newstart is less than $40 a day – for Youth Allowance the single rate is just over $32 a day (see Figure </w:t>
      </w:r>
      <w:r w:rsidR="00602CCD">
        <w:t>6</w:t>
      </w:r>
      <w:r>
        <w:t xml:space="preserve">). </w:t>
      </w:r>
      <w:r w:rsidRPr="00066781">
        <w:t>Newstart and other working</w:t>
      </w:r>
      <w:r>
        <w:t>-</w:t>
      </w:r>
      <w:r w:rsidRPr="00066781">
        <w:t>age allowances are not adequate to meet the basic costs of living</w:t>
      </w:r>
      <w:r>
        <w:t>.</w:t>
      </w:r>
      <w:r>
        <w:rPr>
          <w:rStyle w:val="FootnoteReference"/>
        </w:rPr>
        <w:footnoteReference w:id="24"/>
      </w:r>
      <w:r>
        <w:t xml:space="preserve"> </w:t>
      </w:r>
      <w:r w:rsidR="00733FC8">
        <w:t>While there has been much discussion in recent times around the slow growth in wage</w:t>
      </w:r>
      <w:r w:rsidR="00265273">
        <w:t>s</w:t>
      </w:r>
      <w:r w:rsidR="00733FC8">
        <w:t xml:space="preserve"> </w:t>
      </w:r>
      <w:r w:rsidR="00265273">
        <w:t>in Australia</w:t>
      </w:r>
      <w:r w:rsidR="003D7F78">
        <w:t xml:space="preserve">, </w:t>
      </w:r>
      <w:r w:rsidR="0069222F">
        <w:t>Newstart has not increased</w:t>
      </w:r>
      <w:r w:rsidR="00A10A3B">
        <w:t xml:space="preserve"> at all</w:t>
      </w:r>
      <w:r w:rsidR="0069222F">
        <w:t xml:space="preserve"> in </w:t>
      </w:r>
      <w:r w:rsidR="003D7F78">
        <w:t xml:space="preserve">real terms </w:t>
      </w:r>
      <w:r w:rsidR="0069222F">
        <w:t xml:space="preserve">in 25 years (see Figure </w:t>
      </w:r>
      <w:r w:rsidR="00602CCD">
        <w:t>7</w:t>
      </w:r>
      <w:r w:rsidR="0069222F">
        <w:t>)</w:t>
      </w:r>
      <w:r w:rsidR="00671F81">
        <w:t xml:space="preserve">. </w:t>
      </w:r>
      <w:r>
        <w:t>F</w:t>
      </w:r>
      <w:r w:rsidR="000B15A7">
        <w:t>urther analysis</w:t>
      </w:r>
      <w:r w:rsidR="007A4240">
        <w:t xml:space="preserve"> indicates that the</w:t>
      </w:r>
      <w:r w:rsidR="00265273">
        <w:t>se allowances</w:t>
      </w:r>
      <w:r w:rsidR="007A4240">
        <w:t xml:space="preserve"> have </w:t>
      </w:r>
      <w:r w:rsidR="000B15A7">
        <w:t xml:space="preserve">fallen well behind </w:t>
      </w:r>
      <w:r w:rsidR="005729FF">
        <w:t xml:space="preserve">increases in the </w:t>
      </w:r>
      <w:r w:rsidR="000B15A7">
        <w:t>cost of living.</w:t>
      </w:r>
    </w:p>
    <w:p w14:paraId="7A09BFF8" w14:textId="77777777" w:rsidR="00E1045F" w:rsidRDefault="00E1045F">
      <w:pPr>
        <w:rPr>
          <w:b/>
          <w:sz w:val="20"/>
        </w:rPr>
      </w:pPr>
      <w:r>
        <w:br w:type="page"/>
      </w:r>
    </w:p>
    <w:p w14:paraId="175B69B3" w14:textId="42B021B4" w:rsidR="00347601" w:rsidRDefault="00347601" w:rsidP="007236BA">
      <w:pPr>
        <w:pStyle w:val="Figuretitle"/>
      </w:pPr>
      <w:r>
        <w:lastRenderedPageBreak/>
        <w:t xml:space="preserve">Figure </w:t>
      </w:r>
      <w:r w:rsidR="00602CCD">
        <w:t>6</w:t>
      </w:r>
      <w:r>
        <w:t xml:space="preserve"> Change in weekly income by income source, December 2017 to December 2018</w:t>
      </w:r>
    </w:p>
    <w:p w14:paraId="28F2C043" w14:textId="77777777" w:rsidR="00347601" w:rsidRDefault="00347601" w:rsidP="007236BA">
      <w:pPr>
        <w:pStyle w:val="NoSpacing"/>
      </w:pPr>
      <w:r>
        <w:rPr>
          <w:noProof/>
          <w:lang w:eastAsia="en-AU"/>
        </w:rPr>
        <w:drawing>
          <wp:inline distT="0" distB="0" distL="0" distR="0" wp14:anchorId="716B05DF" wp14:editId="31CD254A">
            <wp:extent cx="5352816" cy="3200400"/>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6226" cy="3232333"/>
                    </a:xfrm>
                    <a:prstGeom prst="rect">
                      <a:avLst/>
                    </a:prstGeom>
                    <a:noFill/>
                  </pic:spPr>
                </pic:pic>
              </a:graphicData>
            </a:graphic>
          </wp:inline>
        </w:drawing>
      </w:r>
    </w:p>
    <w:p w14:paraId="03C681B7" w14:textId="77777777" w:rsidR="00347601" w:rsidRDefault="00347601" w:rsidP="007236BA">
      <w:pPr>
        <w:pStyle w:val="Source"/>
      </w:pPr>
      <w:r>
        <w:t xml:space="preserve">Source: Centrelink, </w:t>
      </w:r>
      <w:r w:rsidRPr="00850632">
        <w:rPr>
          <w:rStyle w:val="Emphasis"/>
        </w:rPr>
        <w:t>A guide to Australian Government payments 20 September-31 December 2017</w:t>
      </w:r>
      <w:r>
        <w:t xml:space="preserve">, Centrelink, Canberra, 2017; </w:t>
      </w:r>
      <w:bookmarkStart w:id="15" w:name="_Hlk5970257"/>
      <w:r>
        <w:t xml:space="preserve">Centrelink, </w:t>
      </w:r>
      <w:r w:rsidRPr="00850632">
        <w:rPr>
          <w:rStyle w:val="Emphasis"/>
        </w:rPr>
        <w:t>A guide to Australian Government payments 20 September-31 December 2018</w:t>
      </w:r>
      <w:r>
        <w:t>, Canberra, 2018</w:t>
      </w:r>
      <w:bookmarkEnd w:id="15"/>
      <w:r>
        <w:t xml:space="preserve">; Fair Work Ombudsman, </w:t>
      </w:r>
      <w:r w:rsidRPr="00850632">
        <w:rPr>
          <w:rStyle w:val="Emphasis"/>
        </w:rPr>
        <w:t>Get set for a new minimum wage rate from 1 July</w:t>
      </w:r>
      <w:r>
        <w:t xml:space="preserve">, media release, Fair Work Ombudsman, Melbourne, 16 June 2017; </w:t>
      </w:r>
      <w:r w:rsidRPr="003E4EFD">
        <w:t xml:space="preserve">Fair Work Ombudsman, </w:t>
      </w:r>
      <w:r w:rsidRPr="00850632">
        <w:rPr>
          <w:rStyle w:val="Emphasis"/>
        </w:rPr>
        <w:t>New minimum wage takes effect from Sunday</w:t>
      </w:r>
      <w:r>
        <w:t xml:space="preserve">, media release, Fair Work Ombudsman, Melbourne; ABS, </w:t>
      </w:r>
      <w:r w:rsidRPr="0092706C">
        <w:rPr>
          <w:rStyle w:val="Emphasis"/>
        </w:rPr>
        <w:t>Average weekly earnings, Australia, Nov 2017</w:t>
      </w:r>
      <w:r>
        <w:t xml:space="preserve">, cat. no. 6302.0, ABS, Canberra, Table 12H; ABS, </w:t>
      </w:r>
      <w:r w:rsidRPr="0092706C">
        <w:rPr>
          <w:rStyle w:val="Emphasis"/>
        </w:rPr>
        <w:t>Average weekly earnings, Australia, Nov 2018</w:t>
      </w:r>
      <w:r>
        <w:t>, cat. no. 6303.0, ABS, Canberra, Table 12H.</w:t>
      </w:r>
    </w:p>
    <w:p w14:paraId="0B3972A0" w14:textId="256702B9" w:rsidR="005C6ACD" w:rsidRPr="00151F8E" w:rsidRDefault="005C6ACD" w:rsidP="007236BA">
      <w:pPr>
        <w:pStyle w:val="Figuretitle"/>
      </w:pPr>
      <w:r w:rsidRPr="00151F8E">
        <w:t>Figure</w:t>
      </w:r>
      <w:r>
        <w:t xml:space="preserve"> </w:t>
      </w:r>
      <w:r w:rsidR="00602CCD">
        <w:t>7</w:t>
      </w:r>
      <w:r w:rsidRPr="00151F8E">
        <w:t xml:space="preserve"> Newstart v</w:t>
      </w:r>
      <w:r>
        <w:t>s</w:t>
      </w:r>
      <w:r w:rsidRPr="00151F8E">
        <w:t xml:space="preserve"> pensions and wages ($2018)</w:t>
      </w:r>
    </w:p>
    <w:p w14:paraId="35EF1F65" w14:textId="77777777" w:rsidR="005C6ACD" w:rsidRPr="00151F8E" w:rsidRDefault="005C6ACD" w:rsidP="007236BA">
      <w:pPr>
        <w:pStyle w:val="NoSpacing"/>
      </w:pPr>
      <w:r>
        <w:rPr>
          <w:noProof/>
          <w:lang w:eastAsia="en-AU"/>
        </w:rPr>
        <w:drawing>
          <wp:inline distT="0" distB="0" distL="0" distR="0" wp14:anchorId="1D7BCB6B" wp14:editId="69FACF06">
            <wp:extent cx="5019957" cy="38481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40812" cy="3864087"/>
                    </a:xfrm>
                    <a:prstGeom prst="rect">
                      <a:avLst/>
                    </a:prstGeom>
                    <a:noFill/>
                  </pic:spPr>
                </pic:pic>
              </a:graphicData>
            </a:graphic>
          </wp:inline>
        </w:drawing>
      </w:r>
    </w:p>
    <w:p w14:paraId="068376FF" w14:textId="3194332B" w:rsidR="00347601" w:rsidRDefault="005C6ACD" w:rsidP="007236BA">
      <w:pPr>
        <w:pStyle w:val="Source"/>
      </w:pPr>
      <w:r w:rsidRPr="00151F8E">
        <w:t xml:space="preserve">Source: ACOSS, </w:t>
      </w:r>
      <w:r w:rsidRPr="001C4392">
        <w:rPr>
          <w:i/>
        </w:rPr>
        <w:t>Raise the Rate Briefing Note</w:t>
      </w:r>
      <w:r w:rsidRPr="00151F8E">
        <w:t>, ACOSS, Sydney, 2018</w:t>
      </w:r>
      <w:r>
        <w:t>; G Ogle, email, 7 March 2019</w:t>
      </w:r>
      <w:r w:rsidRPr="00151F8E">
        <w:t>.</w:t>
      </w:r>
    </w:p>
    <w:p w14:paraId="62F9C5D7" w14:textId="6809E381" w:rsidR="00E42294" w:rsidRDefault="00E550D8" w:rsidP="00C64312">
      <w:pPr>
        <w:pStyle w:val="BodyText"/>
      </w:pPr>
      <w:r>
        <w:lastRenderedPageBreak/>
        <w:t xml:space="preserve">Analysis of changes in living costs for households in receipt of government transfer payments such as Newstart and Youth Allowance over the past two decades shows that these payments have </w:t>
      </w:r>
      <w:r w:rsidR="0057023B">
        <w:t>failed to keep up with</w:t>
      </w:r>
      <w:r>
        <w:t xml:space="preserve"> increases in the cost of living – especially over the past 10 years (see Figure </w:t>
      </w:r>
      <w:r w:rsidR="00602CCD">
        <w:t>8</w:t>
      </w:r>
      <w:r>
        <w:t xml:space="preserve">). </w:t>
      </w:r>
      <w:r w:rsidR="007265CD">
        <w:t xml:space="preserve">Over the past year </w:t>
      </w:r>
      <w:r w:rsidR="00B31952">
        <w:t>these payments have</w:t>
      </w:r>
      <w:r w:rsidR="008F18E3">
        <w:t xml:space="preserve"> yet</w:t>
      </w:r>
      <w:r w:rsidR="00B31952">
        <w:t xml:space="preserve"> again failed to keep up with increasing living costs</w:t>
      </w:r>
      <w:r w:rsidR="00B8185D">
        <w:t xml:space="preserve"> (see Figure </w:t>
      </w:r>
      <w:r w:rsidR="00602CCD">
        <w:t>9</w:t>
      </w:r>
      <w:r w:rsidR="00B8185D">
        <w:t xml:space="preserve">). For </w:t>
      </w:r>
      <w:r w:rsidR="00E83783">
        <w:t xml:space="preserve">a single parent of two children </w:t>
      </w:r>
      <w:r w:rsidR="00727930">
        <w:t>receiving</w:t>
      </w:r>
      <w:r w:rsidR="00E83783">
        <w:t xml:space="preserve"> Newstart </w:t>
      </w:r>
      <w:r w:rsidR="00975B04">
        <w:t>plus Family Tax Benefit A and B</w:t>
      </w:r>
      <w:r w:rsidR="00FF4D92">
        <w:t>,</w:t>
      </w:r>
      <w:r w:rsidR="00A7275F">
        <w:t xml:space="preserve"> </w:t>
      </w:r>
      <w:r w:rsidR="008B1CD0">
        <w:t xml:space="preserve">the cost of living increased over the past year by </w:t>
      </w:r>
      <w:r w:rsidR="003A34AC">
        <w:t xml:space="preserve">$11.91 per week while their income only rose by $6.15 </w:t>
      </w:r>
      <w:r w:rsidR="00036957">
        <w:t>leaving them</w:t>
      </w:r>
      <w:r w:rsidR="003A34AC">
        <w:t xml:space="preserve"> $5.76 </w:t>
      </w:r>
      <w:r w:rsidR="00C52064">
        <w:t>worse off per week</w:t>
      </w:r>
      <w:r w:rsidR="003A34AC">
        <w:t xml:space="preserve"> than they were </w:t>
      </w:r>
      <w:r w:rsidR="00C52064">
        <w:t>a year ago.</w:t>
      </w:r>
      <w:r w:rsidR="00FE2428">
        <w:t xml:space="preserve"> </w:t>
      </w:r>
    </w:p>
    <w:p w14:paraId="7AF3AE65" w14:textId="522D389F" w:rsidR="003A261E" w:rsidRPr="00151F8E" w:rsidRDefault="003A261E" w:rsidP="0092706C">
      <w:pPr>
        <w:pStyle w:val="Figuretitle"/>
      </w:pPr>
      <w:r w:rsidRPr="00151F8E">
        <w:t xml:space="preserve">Figure </w:t>
      </w:r>
      <w:r w:rsidR="00162677">
        <w:t>8</w:t>
      </w:r>
      <w:r>
        <w:t xml:space="preserve"> </w:t>
      </w:r>
      <w:r w:rsidRPr="00151F8E">
        <w:t xml:space="preserve">Relative change in living cost for Newstart recipients, </w:t>
      </w:r>
      <w:r>
        <w:t xml:space="preserve">December </w:t>
      </w:r>
      <w:r w:rsidRPr="00151F8E">
        <w:t>1998-</w:t>
      </w:r>
      <w:r>
        <w:t xml:space="preserve">December </w:t>
      </w:r>
      <w:r w:rsidRPr="00151F8E">
        <w:t>2018</w:t>
      </w:r>
    </w:p>
    <w:p w14:paraId="71764F00" w14:textId="77777777" w:rsidR="003A261E" w:rsidRPr="00151F8E" w:rsidRDefault="003A261E" w:rsidP="0092706C">
      <w:pPr>
        <w:pStyle w:val="NoSpacing"/>
      </w:pPr>
      <w:r>
        <w:rPr>
          <w:noProof/>
          <w:lang w:eastAsia="en-AU"/>
        </w:rPr>
        <w:drawing>
          <wp:inline distT="0" distB="0" distL="0" distR="0" wp14:anchorId="3AF0B00E" wp14:editId="3E9ECF12">
            <wp:extent cx="5267325" cy="316623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85738" cy="3177299"/>
                    </a:xfrm>
                    <a:prstGeom prst="rect">
                      <a:avLst/>
                    </a:prstGeom>
                    <a:noFill/>
                  </pic:spPr>
                </pic:pic>
              </a:graphicData>
            </a:graphic>
          </wp:inline>
        </w:drawing>
      </w:r>
    </w:p>
    <w:p w14:paraId="62C1AC02" w14:textId="249D0F3C" w:rsidR="003A261E" w:rsidRDefault="003A261E" w:rsidP="0092706C">
      <w:pPr>
        <w:pStyle w:val="Source"/>
      </w:pPr>
      <w:r w:rsidRPr="00151F8E">
        <w:t xml:space="preserve">Source: ACTCOSS’ own analysis, derived from ABS, </w:t>
      </w:r>
      <w:r w:rsidRPr="00151F8E">
        <w:rPr>
          <w:i/>
        </w:rPr>
        <w:t>Consumer Price Index, Australia, Dec 2018</w:t>
      </w:r>
      <w:r w:rsidRPr="00151F8E">
        <w:t xml:space="preserve">, cat. no. 6401.0, ABS, Canberra, 2019, Table 11, Data 6; and ABS, </w:t>
      </w:r>
      <w:r w:rsidRPr="00151F8E">
        <w:rPr>
          <w:i/>
        </w:rPr>
        <w:t>Selected Living Cost Indexes, Australia, Dec 2018</w:t>
      </w:r>
      <w:r w:rsidRPr="00151F8E">
        <w:t xml:space="preserve">, </w:t>
      </w:r>
      <w:r w:rsidRPr="00320CA3">
        <w:t>cat. no. 6467.0</w:t>
      </w:r>
      <w:r>
        <w:t xml:space="preserve">, </w:t>
      </w:r>
      <w:r w:rsidRPr="00151F8E">
        <w:t>ABS, Canberra, 2019, Table 2, Data 1.</w:t>
      </w:r>
    </w:p>
    <w:p w14:paraId="385E288B" w14:textId="42C7AE0C" w:rsidR="00593B5B" w:rsidRDefault="00593B5B" w:rsidP="00593B5B">
      <w:pPr>
        <w:pStyle w:val="BodyText"/>
      </w:pPr>
      <w:r>
        <w:t>This highlights the inadequacy of indexing Newstart, Youth Allowance and related payments solely to the CPI. Figure 9 indicates that over the past year the Age Pension increased slightly above the rise in cost of living – by $1.56 per week. Age Pension indexation is designed ‘</w:t>
      </w:r>
      <w:r w:rsidRPr="0001191C">
        <w:t>to reflect growth in the Consumer Price Index and the Pensioner and Beneficiary Living Cost Index, whichever is higher. When wages grow more quickly than prices, the pension is increased to the wages benchmark</w:t>
      </w:r>
      <w:r>
        <w:t>’.</w:t>
      </w:r>
      <w:r>
        <w:rPr>
          <w:rStyle w:val="FootnoteReference"/>
        </w:rPr>
        <w:footnoteReference w:id="25"/>
      </w:r>
      <w:r>
        <w:t xml:space="preserve"> A more detailed explanation of how Age Pension rates are adjusted is provided in the Appendix below. Our ACT Cost of Living Reports – from 2015 to 2019 – show that the </w:t>
      </w:r>
      <w:proofErr w:type="spellStart"/>
      <w:r>
        <w:t>LCI</w:t>
      </w:r>
      <w:proofErr w:type="spellEnd"/>
      <w:r>
        <w:t xml:space="preserve"> for other government transfer recipient households has increased above the CPI in four out of the past five years.</w:t>
      </w:r>
    </w:p>
    <w:p w14:paraId="312BD1F2" w14:textId="18A1BAC2" w:rsidR="005C6ACD" w:rsidRDefault="005C6ACD" w:rsidP="0092706C">
      <w:pPr>
        <w:pStyle w:val="Figuretitle"/>
      </w:pPr>
      <w:r>
        <w:lastRenderedPageBreak/>
        <w:t xml:space="preserve">Figure </w:t>
      </w:r>
      <w:r w:rsidR="00162677">
        <w:t>9</w:t>
      </w:r>
      <w:r>
        <w:t xml:space="preserve"> Change in weekly income vs change in cost of living, December 2017 to December 2018</w:t>
      </w:r>
    </w:p>
    <w:p w14:paraId="7921F03A" w14:textId="77777777" w:rsidR="005C6ACD" w:rsidRDefault="005C6ACD" w:rsidP="005C6ACD">
      <w:pPr>
        <w:pStyle w:val="BodyText"/>
      </w:pPr>
      <w:r>
        <w:rPr>
          <w:noProof/>
          <w:lang w:eastAsia="en-AU"/>
        </w:rPr>
        <w:drawing>
          <wp:inline distT="0" distB="0" distL="0" distR="0" wp14:anchorId="61200E1D" wp14:editId="25CA5198">
            <wp:extent cx="5657850" cy="3816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57850" cy="3816350"/>
                    </a:xfrm>
                    <a:prstGeom prst="rect">
                      <a:avLst/>
                    </a:prstGeom>
                    <a:noFill/>
                  </pic:spPr>
                </pic:pic>
              </a:graphicData>
            </a:graphic>
          </wp:inline>
        </w:drawing>
      </w:r>
    </w:p>
    <w:p w14:paraId="2609CD92" w14:textId="77777777" w:rsidR="005C6ACD" w:rsidRPr="00F96349" w:rsidRDefault="005C6ACD" w:rsidP="00593B5B">
      <w:pPr>
        <w:pStyle w:val="Source"/>
        <w:rPr>
          <w:rStyle w:val="FootnoteReference"/>
          <w:sz w:val="18"/>
          <w:vertAlign w:val="baseline"/>
        </w:rPr>
      </w:pPr>
      <w:r w:rsidRPr="00F96349">
        <w:t xml:space="preserve">Source: Centrelink, </w:t>
      </w:r>
      <w:r w:rsidRPr="00593B5B">
        <w:rPr>
          <w:rStyle w:val="Emphasis"/>
        </w:rPr>
        <w:t>A guide to Australian Government payments 20 September-31 December 2017</w:t>
      </w:r>
      <w:r w:rsidRPr="00F96349">
        <w:t xml:space="preserve">, Centrelink, Canberra, 2017; Centrelink, </w:t>
      </w:r>
      <w:r w:rsidRPr="00593B5B">
        <w:rPr>
          <w:rStyle w:val="Emphasis"/>
        </w:rPr>
        <w:t>A guide to Australian Government payments 20 September-31 December 2018</w:t>
      </w:r>
      <w:r w:rsidRPr="00F96349">
        <w:t xml:space="preserve">, Canberra, 2018; Fair Work Ombudsman, </w:t>
      </w:r>
      <w:r w:rsidRPr="00593B5B">
        <w:rPr>
          <w:rStyle w:val="Emphasis"/>
        </w:rPr>
        <w:t>Get set for a new minimum wage rate from 1 July</w:t>
      </w:r>
      <w:r w:rsidRPr="00F96349">
        <w:t xml:space="preserve">, media release, Fair Work Ombudsman, Melbourne, 16 June 2017; Fair Work Ombudsman, </w:t>
      </w:r>
      <w:r w:rsidRPr="00593B5B">
        <w:rPr>
          <w:rStyle w:val="Emphasis"/>
        </w:rPr>
        <w:t>New minimum wage takes effect from Sunday</w:t>
      </w:r>
      <w:r w:rsidRPr="00F96349">
        <w:t>, media release, Fair Work Ombudsman, Melbourne;</w:t>
      </w:r>
      <w:r w:rsidRPr="00F96349">
        <w:rPr>
          <w:rStyle w:val="FootnoteReference"/>
          <w:sz w:val="18"/>
          <w:vertAlign w:val="baseline"/>
        </w:rPr>
        <w:t xml:space="preserve"> ABS, </w:t>
      </w:r>
      <w:r w:rsidRPr="00F96349">
        <w:rPr>
          <w:rStyle w:val="FootnoteReference"/>
          <w:i/>
          <w:sz w:val="18"/>
          <w:vertAlign w:val="baseline"/>
        </w:rPr>
        <w:t>Selected Living Cost Indexes, Australia, Dec 2018</w:t>
      </w:r>
      <w:r w:rsidRPr="00F96349">
        <w:rPr>
          <w:rStyle w:val="FootnoteReference"/>
          <w:sz w:val="18"/>
          <w:vertAlign w:val="baseline"/>
        </w:rPr>
        <w:t xml:space="preserve">, </w:t>
      </w:r>
      <w:r>
        <w:t xml:space="preserve">cat. no. 6467.0, </w:t>
      </w:r>
      <w:r w:rsidRPr="00F96349">
        <w:rPr>
          <w:rStyle w:val="FootnoteReference"/>
          <w:sz w:val="18"/>
          <w:vertAlign w:val="baseline"/>
        </w:rPr>
        <w:t>ABS, Canberra, 2019, Table 2, Data 1.</w:t>
      </w:r>
    </w:p>
    <w:p w14:paraId="3649ADA8" w14:textId="2D910144" w:rsidR="00292E47" w:rsidRDefault="006716BB" w:rsidP="00C64312">
      <w:pPr>
        <w:pStyle w:val="BodyText"/>
      </w:pPr>
      <w:r>
        <w:t xml:space="preserve">This </w:t>
      </w:r>
      <w:r w:rsidR="005130DC">
        <w:t xml:space="preserve">ACT Cost of Living Report – and the series as a whole – </w:t>
      </w:r>
      <w:r w:rsidR="005A3E15">
        <w:t xml:space="preserve">highlights the </w:t>
      </w:r>
      <w:r w:rsidR="00697631">
        <w:t xml:space="preserve">need </w:t>
      </w:r>
      <w:r w:rsidR="005C33C7">
        <w:t xml:space="preserve">for measures that </w:t>
      </w:r>
      <w:r w:rsidR="00697631">
        <w:t xml:space="preserve">address the gap that </w:t>
      </w:r>
      <w:r w:rsidR="005C33C7">
        <w:t xml:space="preserve">has </w:t>
      </w:r>
      <w:r w:rsidR="00697631">
        <w:t xml:space="preserve">grown between these allowances and cost of living </w:t>
      </w:r>
      <w:r w:rsidR="005C33C7">
        <w:t>and</w:t>
      </w:r>
      <w:r w:rsidR="00CD566C">
        <w:t xml:space="preserve"> </w:t>
      </w:r>
      <w:r w:rsidR="000B5D61">
        <w:t>that</w:t>
      </w:r>
      <w:r w:rsidR="00CD566C">
        <w:t xml:space="preserve"> </w:t>
      </w:r>
      <w:r w:rsidR="006E7442">
        <w:t>ensure that</w:t>
      </w:r>
      <w:r w:rsidR="0053637E">
        <w:t xml:space="preserve"> these allowances </w:t>
      </w:r>
      <w:r w:rsidR="00CD566C">
        <w:t xml:space="preserve">continue to </w:t>
      </w:r>
      <w:r w:rsidR="0053637E">
        <w:t xml:space="preserve">keep up with </w:t>
      </w:r>
      <w:r w:rsidR="00005314">
        <w:t>rising living costs</w:t>
      </w:r>
      <w:r w:rsidR="006E7442">
        <w:t xml:space="preserve"> into the future.</w:t>
      </w:r>
      <w:r w:rsidR="00BD7FC0">
        <w:t xml:space="preserve"> Through the</w:t>
      </w:r>
      <w:r w:rsidR="00540853">
        <w:t xml:space="preserve"> ACOSS</w:t>
      </w:r>
      <w:r w:rsidR="00BD7FC0">
        <w:t xml:space="preserve"> </w:t>
      </w:r>
      <w:r w:rsidR="00BD7FC0" w:rsidRPr="004502BA">
        <w:t>Raise the Rate c</w:t>
      </w:r>
      <w:r w:rsidR="00BD7FC0">
        <w:t xml:space="preserve">ampaign, </w:t>
      </w:r>
      <w:r w:rsidR="00FF57C0">
        <w:t xml:space="preserve">ACTCOSS is calling for </w:t>
      </w:r>
      <w:r w:rsidR="00540853">
        <w:t xml:space="preserve">Newstart, Youth Allowance and related payments for single people to be increased by a minimum of $75 per week, and to be indexed to wages. </w:t>
      </w:r>
    </w:p>
    <w:p w14:paraId="17432DD7" w14:textId="73C40B5C" w:rsidR="006F6A7B" w:rsidRDefault="006F6A7B" w:rsidP="009D19FE">
      <w:pPr>
        <w:pStyle w:val="Heading1-Pagebreakbefore"/>
      </w:pPr>
      <w:bookmarkStart w:id="16" w:name="_Toc7787736"/>
      <w:r>
        <w:lastRenderedPageBreak/>
        <w:t>Appendix: Explanatory Notes</w:t>
      </w:r>
      <w:bookmarkEnd w:id="16"/>
    </w:p>
    <w:p w14:paraId="551D6098" w14:textId="393DACF7" w:rsidR="006F6A7B" w:rsidRDefault="0007569A" w:rsidP="006F6A7B">
      <w:pPr>
        <w:pStyle w:val="BodyText"/>
      </w:pPr>
      <w:r>
        <w:t xml:space="preserve">ACTCOSS </w:t>
      </w:r>
      <w:r w:rsidR="00B718C4">
        <w:t xml:space="preserve">uses the cost of living methodology developed by </w:t>
      </w:r>
      <w:proofErr w:type="spellStart"/>
      <w:r w:rsidR="00B718C4">
        <w:t>SACOSS</w:t>
      </w:r>
      <w:proofErr w:type="spellEnd"/>
      <w:r w:rsidR="003B2726">
        <w:t xml:space="preserve"> and the following </w:t>
      </w:r>
      <w:r w:rsidR="007100A6">
        <w:t xml:space="preserve">explanatory notes have been </w:t>
      </w:r>
      <w:r w:rsidR="001C7F0D">
        <w:t>adapted</w:t>
      </w:r>
      <w:r w:rsidR="007100A6">
        <w:t xml:space="preserve"> </w:t>
      </w:r>
      <w:r w:rsidR="009C774F">
        <w:t>from</w:t>
      </w:r>
      <w:r w:rsidR="007100A6">
        <w:t xml:space="preserve"> </w:t>
      </w:r>
      <w:proofErr w:type="spellStart"/>
      <w:r w:rsidR="007100A6">
        <w:t>SACOSS</w:t>
      </w:r>
      <w:proofErr w:type="spellEnd"/>
      <w:r w:rsidR="007100A6">
        <w:t>.</w:t>
      </w:r>
      <w:r w:rsidR="001C7F0D">
        <w:rPr>
          <w:rStyle w:val="FootnoteReference"/>
        </w:rPr>
        <w:footnoteReference w:id="26"/>
      </w:r>
      <w:r w:rsidR="00B718C4">
        <w:t xml:space="preserve"> </w:t>
      </w:r>
    </w:p>
    <w:p w14:paraId="658EE5D8" w14:textId="483BFF38" w:rsidR="006F6A7B" w:rsidRDefault="006F6A7B" w:rsidP="00392F8B">
      <w:pPr>
        <w:pStyle w:val="Heading2"/>
      </w:pPr>
      <w:bookmarkStart w:id="17" w:name="_Toc7787737"/>
      <w:r>
        <w:t>Consumer Price Index and Selected Living Cost Indexes</w:t>
      </w:r>
      <w:bookmarkEnd w:id="17"/>
    </w:p>
    <w:p w14:paraId="40BAD233" w14:textId="27DB1650" w:rsidR="00392F8B" w:rsidRPr="00392F8B" w:rsidRDefault="00EE11B5" w:rsidP="00EE11B5">
      <w:pPr>
        <w:pStyle w:val="BodyText"/>
      </w:pPr>
      <w:r>
        <w:t xml:space="preserve">The ABS Selected Living Cost Indexes uses a different methodology to the CPI in that the CPI is based on acquisition (i.e. the price at the time of acquisition of a product), while the living cost index is based on actual expenditure. This is particularly relevant in relation to housing costs where CPI traces changes in house prices, while the </w:t>
      </w:r>
      <w:proofErr w:type="spellStart"/>
      <w:r>
        <w:t>SLCI</w:t>
      </w:r>
      <w:proofErr w:type="spellEnd"/>
      <w:r>
        <w:t xml:space="preserve"> traces changes in the amount expended each week on housing (e.g. mortgage repayments). Further information is available in the Explanatory Notes to the Selected Living Cost Indexes.</w:t>
      </w:r>
      <w:r w:rsidR="009C774F">
        <w:rPr>
          <w:rStyle w:val="FootnoteReference"/>
        </w:rPr>
        <w:footnoteReference w:id="27"/>
      </w:r>
      <w:r>
        <w:t xml:space="preserve"> In that sense, the Selected Living Cost Indexes are not a simple disaggregation of CPI and the two are not strictly comparable. However, both indexes are used to measure changes in the cost of</w:t>
      </w:r>
      <w:r w:rsidR="00AF301A">
        <w:t xml:space="preserve"> </w:t>
      </w:r>
      <w:r>
        <w:t>living over time (although that is not what CPI was designed for), and given the general usage of</w:t>
      </w:r>
      <w:r w:rsidR="00AF301A">
        <w:t xml:space="preserve"> </w:t>
      </w:r>
      <w:r>
        <w:t>the CPI measure and its</w:t>
      </w:r>
      <w:r w:rsidR="00AF301A">
        <w:t xml:space="preserve"> </w:t>
      </w:r>
      <w:r>
        <w:t>powerful political and economic status, it is useful to compare the two</w:t>
      </w:r>
      <w:r w:rsidR="00AF301A">
        <w:t xml:space="preserve"> </w:t>
      </w:r>
      <w:r>
        <w:t>and</w:t>
      </w:r>
      <w:r w:rsidR="00AF301A">
        <w:t xml:space="preserve"> </w:t>
      </w:r>
      <w:r>
        <w:t>highlight the differences for different household types.</w:t>
      </w:r>
    </w:p>
    <w:p w14:paraId="05DB749F" w14:textId="74CAAC3A" w:rsidR="006F6A7B" w:rsidRDefault="00AB5766" w:rsidP="00392F8B">
      <w:pPr>
        <w:pStyle w:val="Heading2"/>
      </w:pPr>
      <w:bookmarkStart w:id="18" w:name="_Toc7787738"/>
      <w:r>
        <w:t>Limitations of the Selected Living Cost Indexes</w:t>
      </w:r>
      <w:bookmarkEnd w:id="18"/>
    </w:p>
    <w:p w14:paraId="577182BB" w14:textId="0CCECF4E" w:rsidR="00AF301A" w:rsidRDefault="00AF301A" w:rsidP="00AF301A">
      <w:pPr>
        <w:pStyle w:val="BodyText"/>
      </w:pPr>
      <w:r>
        <w:t>The Selected Living Cost Indexes are more nuanced than the generic CPI in that they measure</w:t>
      </w:r>
      <w:r w:rsidR="00F41BCC">
        <w:t xml:space="preserve"> </w:t>
      </w:r>
      <w:r>
        <w:t>changes for different household types, but there are still a</w:t>
      </w:r>
      <w:r w:rsidR="001C7F0D">
        <w:t xml:space="preserve"> </w:t>
      </w:r>
      <w:r>
        <w:t>number of problems with using those</w:t>
      </w:r>
      <w:r w:rsidR="00F41BCC">
        <w:t xml:space="preserve"> </w:t>
      </w:r>
      <w:r>
        <w:t>indexes to show cost of living changes faced by the most vulnerable and disadvantaged</w:t>
      </w:r>
      <w:r w:rsidR="001C7F0D">
        <w:t xml:space="preserve"> in the ACT</w:t>
      </w:r>
      <w:r>
        <w:t>. While it is</w:t>
      </w:r>
      <w:r w:rsidR="00F41BCC">
        <w:t xml:space="preserve"> </w:t>
      </w:r>
      <w:r>
        <w:t>safe to assume that social security recipients are among the most vulnerable</w:t>
      </w:r>
      <w:r w:rsidR="00F41BCC">
        <w:t xml:space="preserve"> </w:t>
      </w:r>
      <w:r>
        <w:t>and disadvantaged, any household-based data for multi-person households</w:t>
      </w:r>
      <w:r w:rsidR="00F41BCC">
        <w:t xml:space="preserve"> </w:t>
      </w:r>
      <w:r>
        <w:t>says nothing about</w:t>
      </w:r>
      <w:r w:rsidR="00F41BCC">
        <w:t xml:space="preserve"> </w:t>
      </w:r>
      <w:r>
        <w:t>distribution of power, money and expenditure within a</w:t>
      </w:r>
      <w:r w:rsidR="00F41BCC">
        <w:t xml:space="preserve"> </w:t>
      </w:r>
      <w:r>
        <w:t>household and may therefore hide</w:t>
      </w:r>
      <w:r w:rsidR="00F41BCC">
        <w:t xml:space="preserve"> </w:t>
      </w:r>
      <w:r>
        <w:t>particular (and often gendered) structures of vulnerability and disadvantage. Further, the living</w:t>
      </w:r>
      <w:r w:rsidR="00F41BCC">
        <w:t xml:space="preserve"> </w:t>
      </w:r>
      <w:r>
        <w:t>cost indexes are not state</w:t>
      </w:r>
      <w:r w:rsidR="00EA4FE2">
        <w:t xml:space="preserve"> </w:t>
      </w:r>
      <w:r w:rsidR="00F41BCC">
        <w:t>b</w:t>
      </w:r>
      <w:r>
        <w:t xml:space="preserve">ased, so particular </w:t>
      </w:r>
      <w:r w:rsidR="00CC4DB7">
        <w:t>ACT</w:t>
      </w:r>
      <w:r>
        <w:t xml:space="preserve"> trends or circumstances may not</w:t>
      </w:r>
      <w:r w:rsidR="00F41BCC">
        <w:t xml:space="preserve"> </w:t>
      </w:r>
      <w:r>
        <w:t>show up.</w:t>
      </w:r>
    </w:p>
    <w:p w14:paraId="77ABF3F9" w14:textId="7D17B758" w:rsidR="00AF301A" w:rsidRDefault="00AF301A" w:rsidP="00AF301A">
      <w:pPr>
        <w:pStyle w:val="BodyText"/>
      </w:pPr>
      <w:r>
        <w:t>At the more technical level, the Selected Living Cost Indexes are for households whose</w:t>
      </w:r>
      <w:r w:rsidR="00F41BCC">
        <w:t xml:space="preserve"> </w:t>
      </w:r>
      <w:r>
        <w:t xml:space="preserve">predominant income is from the described source (e.g. </w:t>
      </w:r>
      <w:r w:rsidR="004C594C">
        <w:t>A</w:t>
      </w:r>
      <w:r>
        <w:t xml:space="preserve">ge </w:t>
      </w:r>
      <w:r w:rsidR="004C594C">
        <w:t>P</w:t>
      </w:r>
      <w:r>
        <w:t>ension or government transfers).</w:t>
      </w:r>
      <w:r w:rsidR="00F41BCC">
        <w:t xml:space="preserve"> </w:t>
      </w:r>
      <w:r>
        <w:t>However, the expenditures that formed the base data and weighting (from the 2015-16 Household</w:t>
      </w:r>
      <w:r w:rsidR="00F41BCC">
        <w:t xml:space="preserve"> </w:t>
      </w:r>
      <w:r>
        <w:t>Expenditure Survey) add up to well over the actual social security payments available (even</w:t>
      </w:r>
      <w:r w:rsidR="00F41BCC">
        <w:t xml:space="preserve"> </w:t>
      </w:r>
      <w:r>
        <w:t>including other</w:t>
      </w:r>
      <w:r w:rsidR="00F41BCC">
        <w:t xml:space="preserve"> </w:t>
      </w:r>
      <w:r>
        <w:t>government payments like rent assistance, utilities allowance and family tax</w:t>
      </w:r>
      <w:r w:rsidR="00F41BCC">
        <w:t xml:space="preserve"> </w:t>
      </w:r>
      <w:r>
        <w:t>benefits). Clearly many households in these categories have other sources of</w:t>
      </w:r>
      <w:r w:rsidR="00F41BCC">
        <w:t xml:space="preserve"> </w:t>
      </w:r>
      <w:r>
        <w:lastRenderedPageBreak/>
        <w:t>income, or more</w:t>
      </w:r>
      <w:r w:rsidR="00F41BCC">
        <w:t xml:space="preserve"> </w:t>
      </w:r>
      <w:r>
        <w:t>than one social security recipient in the same household. Like the CPI, the Living Cost Index figures</w:t>
      </w:r>
      <w:r w:rsidR="00F41BCC">
        <w:t xml:space="preserve"> </w:t>
      </w:r>
      <w:r>
        <w:t>reflect broad averages (even if more</w:t>
      </w:r>
      <w:r w:rsidR="00F41BCC">
        <w:t xml:space="preserve"> </w:t>
      </w:r>
      <w:r>
        <w:t>nuanced), but do not reflect the experience of the poorest in</w:t>
      </w:r>
      <w:r w:rsidR="00F41BCC">
        <w:t xml:space="preserve"> </w:t>
      </w:r>
      <w:r>
        <w:t>those categories.</w:t>
      </w:r>
    </w:p>
    <w:p w14:paraId="6883E2EE" w14:textId="78DD5EBD" w:rsidR="00AF301A" w:rsidRDefault="00AF301A" w:rsidP="00AF301A">
      <w:pPr>
        <w:pStyle w:val="BodyText"/>
      </w:pPr>
      <w:r>
        <w:t xml:space="preserve">Another example of this </w:t>
      </w:r>
      <w:r w:rsidR="00CE74F5">
        <w:t>‘</w:t>
      </w:r>
      <w:r>
        <w:t>averaging problem</w:t>
      </w:r>
      <w:r w:rsidR="00CE74F5">
        <w:t>’</w:t>
      </w:r>
      <w:r>
        <w:t xml:space="preserve"> is that expenditures on some items, like housing, are</w:t>
      </w:r>
      <w:r w:rsidR="00F41BCC">
        <w:t xml:space="preserve"> </w:t>
      </w:r>
      <w:r>
        <w:t>too low to reflect the real expenditures and changes for the most vulnerable in the housing</w:t>
      </w:r>
      <w:r w:rsidR="00F41BCC">
        <w:t xml:space="preserve"> </w:t>
      </w:r>
      <w:r>
        <w:t xml:space="preserve">market – again, because the worst-case scenarios are </w:t>
      </w:r>
      <w:r w:rsidR="00CE74F5">
        <w:t>‘</w:t>
      </w:r>
      <w:r>
        <w:t>averaged out</w:t>
      </w:r>
      <w:r w:rsidR="00CE74F5">
        <w:t>’</w:t>
      </w:r>
      <w:r>
        <w:t xml:space="preserve"> by those in the category</w:t>
      </w:r>
      <w:r w:rsidR="00F41BCC">
        <w:t xml:space="preserve"> </w:t>
      </w:r>
      <w:r>
        <w:t>with other resources. For instance, if one pensioner owned their own home outright they would</w:t>
      </w:r>
      <w:r w:rsidR="00F41BCC">
        <w:t xml:space="preserve"> </w:t>
      </w:r>
      <w:r>
        <w:t>generally be in a better financial position than a pensioner who has to pay market rents – but if</w:t>
      </w:r>
      <w:r w:rsidR="00F41BCC">
        <w:t xml:space="preserve"> </w:t>
      </w:r>
      <w:r>
        <w:t>the market rent were $300 per week, the average expenditure on rent between the two would be</w:t>
      </w:r>
      <w:r w:rsidR="00F41BCC">
        <w:t xml:space="preserve"> </w:t>
      </w:r>
      <w:r>
        <w:t>$150 per week, much less than what the renting pensioner was actually paying.</w:t>
      </w:r>
    </w:p>
    <w:p w14:paraId="0C9728D3" w14:textId="18991F01" w:rsidR="00F41BCC" w:rsidRDefault="00AF301A" w:rsidP="00F41BCC">
      <w:pPr>
        <w:pStyle w:val="BodyText"/>
      </w:pPr>
      <w:r>
        <w:t>The weightings in the Selected Living Cost Indexes are also based on a set point in time (from the</w:t>
      </w:r>
      <w:r w:rsidR="00F41BCC">
        <w:t xml:space="preserve"> </w:t>
      </w:r>
      <w:r>
        <w:t>Household Expenditure Survey), but over time the price of some necessities may increase rapidly,</w:t>
      </w:r>
      <w:r w:rsidR="00F41BCC">
        <w:t xml:space="preserve"> forcing people to change expenditure patterns to cover the increased cost. There is some adjustment of weightings for this, but these can’t be checked without a new survey. Alternatively, or additionally, expenditure patterns may change for a variety of other reasons. However, the weighting in the indexes does not change and so does not track the expenditure substitutions and the impact that has on cost of living and lifestyle.</w:t>
      </w:r>
    </w:p>
    <w:p w14:paraId="19DCE6CE" w14:textId="3586E000" w:rsidR="00F41BCC" w:rsidRDefault="00F41BCC" w:rsidP="00F41BCC">
      <w:pPr>
        <w:pStyle w:val="BodyText"/>
      </w:pPr>
      <w:r>
        <w:t>Finally, the Selected Living Cost Indexes’ household income figures are based on households that are the average size for that household type: 1.51 people for aged pensioners, and 2.46 for other social security recipients.</w:t>
      </w:r>
      <w:r w:rsidR="00CE74F5">
        <w:rPr>
          <w:rStyle w:val="FootnoteReference"/>
        </w:rPr>
        <w:footnoteReference w:id="28"/>
      </w:r>
      <w:r>
        <w:t xml:space="preserve"> This makes comparison with allowances difficult. This </w:t>
      </w:r>
      <w:r w:rsidR="00BB70D1">
        <w:t>report</w:t>
      </w:r>
      <w:r>
        <w:t xml:space="preserve"> focuses on single person households or a single person with two children (to align to the other social security recipient household average of 2.46 persons). However, this is a proxy rather than statistical correlation.</w:t>
      </w:r>
    </w:p>
    <w:p w14:paraId="1E3E16F2" w14:textId="0590F282" w:rsidR="00392F8B" w:rsidRPr="00392F8B" w:rsidRDefault="00F41BCC" w:rsidP="00F41BCC">
      <w:pPr>
        <w:pStyle w:val="BodyText"/>
      </w:pPr>
      <w:r>
        <w:t>It is inevitable that any summary measure will have limitations, and as noted in the main text, the Selected Living Cost Indexes provide a robust statistical base, a long time series, and quarterly tracking of changes in the cost of living which is somewhat sensitive to low income earners.</w:t>
      </w:r>
    </w:p>
    <w:p w14:paraId="2AC94371" w14:textId="4C213905" w:rsidR="00AB5766" w:rsidRDefault="00353AAE" w:rsidP="00392F8B">
      <w:pPr>
        <w:pStyle w:val="Heading2"/>
      </w:pPr>
      <w:bookmarkStart w:id="19" w:name="_Toc7787739"/>
      <w:r>
        <w:t>Income support payment</w:t>
      </w:r>
      <w:r w:rsidR="00AB5766">
        <w:t xml:space="preserve"> calculations </w:t>
      </w:r>
      <w:r>
        <w:t>– December 2017 to December 2018</w:t>
      </w:r>
      <w:bookmarkEnd w:id="19"/>
    </w:p>
    <w:p w14:paraId="319552B4" w14:textId="23F65412" w:rsidR="00353AAE" w:rsidRDefault="0060744C" w:rsidP="0060744C">
      <w:pPr>
        <w:pStyle w:val="BodyText"/>
      </w:pPr>
      <w:r>
        <w:t xml:space="preserve">Even using the base rate of benefits, the calculation of the relevant weekly incomes is difficult because of the complexity of the income support system which means that payment eligibility and rates change depending on the exact circumstances of the household (e.g. age of children, assets). The calculation is also complex because of changes over time in eligibility and available benefits. However, based on an assumption of a single Age Pensioner and a single Newstart recipient with two children (aged 10 and 14) – with neither receiving </w:t>
      </w:r>
      <w:r>
        <w:lastRenderedPageBreak/>
        <w:t xml:space="preserve">Commonwealth Rent Assistance, the basic income supports payments </w:t>
      </w:r>
      <w:r w:rsidR="00537026">
        <w:t>have been calculated</w:t>
      </w:r>
      <w:r>
        <w:t xml:space="preserve"> as follows:</w:t>
      </w:r>
    </w:p>
    <w:p w14:paraId="12BC2403" w14:textId="7D7F7B1B" w:rsidR="005F4DF5" w:rsidRDefault="005F4DF5" w:rsidP="000231F0">
      <w:pPr>
        <w:pStyle w:val="Figuretitle"/>
      </w:pPr>
      <w:r>
        <w:t>Rates at 31 December 2017</w:t>
      </w:r>
    </w:p>
    <w:tbl>
      <w:tblPr>
        <w:tblStyle w:val="TableGrid"/>
        <w:tblW w:w="0" w:type="auto"/>
        <w:tblLayout w:type="fixed"/>
        <w:tblLook w:val="04A0" w:firstRow="1" w:lastRow="0" w:firstColumn="1" w:lastColumn="0" w:noHBand="0" w:noVBand="1"/>
      </w:tblPr>
      <w:tblGrid>
        <w:gridCol w:w="943"/>
        <w:gridCol w:w="944"/>
        <w:gridCol w:w="944"/>
        <w:gridCol w:w="944"/>
        <w:gridCol w:w="943"/>
        <w:gridCol w:w="944"/>
        <w:gridCol w:w="944"/>
        <w:gridCol w:w="944"/>
        <w:gridCol w:w="944"/>
      </w:tblGrid>
      <w:tr w:rsidR="0086296E" w14:paraId="09BB1680" w14:textId="47E94889" w:rsidTr="00966B12">
        <w:trPr>
          <w:tblHeader/>
        </w:trPr>
        <w:tc>
          <w:tcPr>
            <w:tcW w:w="943" w:type="dxa"/>
            <w:tcMar>
              <w:left w:w="113" w:type="dxa"/>
              <w:right w:w="113" w:type="dxa"/>
            </w:tcMar>
          </w:tcPr>
          <w:p w14:paraId="43EA3E81" w14:textId="77777777" w:rsidR="00BF5DCA" w:rsidRPr="00EA04CE" w:rsidRDefault="00BF5DCA" w:rsidP="00C11592">
            <w:pPr>
              <w:pStyle w:val="TableBody"/>
              <w:rPr>
                <w:sz w:val="16"/>
                <w:szCs w:val="16"/>
              </w:rPr>
            </w:pPr>
            <w:bookmarkStart w:id="20" w:name="_Hlk5969855"/>
          </w:p>
        </w:tc>
        <w:tc>
          <w:tcPr>
            <w:tcW w:w="944" w:type="dxa"/>
            <w:tcMar>
              <w:left w:w="113" w:type="dxa"/>
              <w:right w:w="113" w:type="dxa"/>
            </w:tcMar>
          </w:tcPr>
          <w:p w14:paraId="0C6CA3B2" w14:textId="5738AFAA" w:rsidR="00BF5DCA" w:rsidRPr="003F500F" w:rsidRDefault="00BF5DCA" w:rsidP="004E3DED">
            <w:pPr>
              <w:pStyle w:val="TableBody"/>
              <w:jc w:val="center"/>
              <w:rPr>
                <w:sz w:val="16"/>
                <w:szCs w:val="16"/>
              </w:rPr>
            </w:pPr>
            <w:r w:rsidRPr="003F500F">
              <w:rPr>
                <w:sz w:val="16"/>
                <w:szCs w:val="16"/>
              </w:rPr>
              <w:t>Base rate</w:t>
            </w:r>
          </w:p>
        </w:tc>
        <w:tc>
          <w:tcPr>
            <w:tcW w:w="944" w:type="dxa"/>
            <w:tcMar>
              <w:left w:w="113" w:type="dxa"/>
              <w:right w:w="113" w:type="dxa"/>
            </w:tcMar>
          </w:tcPr>
          <w:p w14:paraId="3ED0AC6B" w14:textId="386634F3" w:rsidR="00BF5DCA" w:rsidRPr="003F500F" w:rsidRDefault="00BF5DCA" w:rsidP="004E3DED">
            <w:pPr>
              <w:pStyle w:val="TableBody"/>
              <w:jc w:val="center"/>
              <w:rPr>
                <w:sz w:val="16"/>
                <w:szCs w:val="16"/>
              </w:rPr>
            </w:pPr>
            <w:r w:rsidRPr="003F500F">
              <w:rPr>
                <w:sz w:val="16"/>
                <w:szCs w:val="16"/>
              </w:rPr>
              <w:t>Pension support</w:t>
            </w:r>
          </w:p>
        </w:tc>
        <w:tc>
          <w:tcPr>
            <w:tcW w:w="944" w:type="dxa"/>
            <w:tcMar>
              <w:left w:w="113" w:type="dxa"/>
              <w:right w:w="113" w:type="dxa"/>
            </w:tcMar>
          </w:tcPr>
          <w:p w14:paraId="66736D05" w14:textId="70AEBE00" w:rsidR="00BF5DCA" w:rsidRPr="003F500F" w:rsidRDefault="00BF5DCA" w:rsidP="004E3DED">
            <w:pPr>
              <w:pStyle w:val="TableBody"/>
              <w:jc w:val="center"/>
              <w:rPr>
                <w:sz w:val="16"/>
                <w:szCs w:val="16"/>
              </w:rPr>
            </w:pPr>
            <w:r w:rsidRPr="003F500F">
              <w:rPr>
                <w:sz w:val="16"/>
                <w:szCs w:val="16"/>
              </w:rPr>
              <w:t>Energy supplement</w:t>
            </w:r>
          </w:p>
        </w:tc>
        <w:tc>
          <w:tcPr>
            <w:tcW w:w="943" w:type="dxa"/>
            <w:tcMar>
              <w:left w:w="113" w:type="dxa"/>
              <w:right w:w="113" w:type="dxa"/>
            </w:tcMar>
          </w:tcPr>
          <w:p w14:paraId="752A4516" w14:textId="0DE26759" w:rsidR="00BF5DCA" w:rsidRPr="003F500F" w:rsidRDefault="00BF5DCA" w:rsidP="004E3DED">
            <w:pPr>
              <w:pStyle w:val="TableBody"/>
              <w:jc w:val="center"/>
              <w:rPr>
                <w:sz w:val="16"/>
                <w:szCs w:val="16"/>
              </w:rPr>
            </w:pPr>
            <w:proofErr w:type="spellStart"/>
            <w:r w:rsidRPr="003F500F">
              <w:rPr>
                <w:sz w:val="16"/>
                <w:szCs w:val="16"/>
              </w:rPr>
              <w:t>FTB</w:t>
            </w:r>
            <w:proofErr w:type="spellEnd"/>
            <w:r w:rsidRPr="003F500F">
              <w:rPr>
                <w:sz w:val="16"/>
                <w:szCs w:val="16"/>
              </w:rPr>
              <w:t xml:space="preserve"> A Child u13</w:t>
            </w:r>
          </w:p>
        </w:tc>
        <w:tc>
          <w:tcPr>
            <w:tcW w:w="944" w:type="dxa"/>
            <w:tcMar>
              <w:left w:w="113" w:type="dxa"/>
              <w:right w:w="113" w:type="dxa"/>
            </w:tcMar>
          </w:tcPr>
          <w:p w14:paraId="71A948E3" w14:textId="68EFA73F" w:rsidR="00BF5DCA" w:rsidRPr="003F500F" w:rsidRDefault="00BF5DCA" w:rsidP="004E3DED">
            <w:pPr>
              <w:pStyle w:val="TableBody"/>
              <w:jc w:val="center"/>
              <w:rPr>
                <w:sz w:val="16"/>
                <w:szCs w:val="16"/>
              </w:rPr>
            </w:pPr>
            <w:proofErr w:type="spellStart"/>
            <w:r w:rsidRPr="003F500F">
              <w:rPr>
                <w:sz w:val="16"/>
                <w:szCs w:val="16"/>
              </w:rPr>
              <w:t>FTB</w:t>
            </w:r>
            <w:proofErr w:type="spellEnd"/>
            <w:r w:rsidRPr="003F500F">
              <w:rPr>
                <w:sz w:val="16"/>
                <w:szCs w:val="16"/>
              </w:rPr>
              <w:t xml:space="preserve"> A Child 13-15</w:t>
            </w:r>
          </w:p>
        </w:tc>
        <w:tc>
          <w:tcPr>
            <w:tcW w:w="944" w:type="dxa"/>
            <w:tcMar>
              <w:left w:w="113" w:type="dxa"/>
              <w:right w:w="113" w:type="dxa"/>
            </w:tcMar>
          </w:tcPr>
          <w:p w14:paraId="065E1BE3" w14:textId="77E9A1CD" w:rsidR="00BF5DCA" w:rsidRPr="003F500F" w:rsidRDefault="00BF5DCA" w:rsidP="004E3DED">
            <w:pPr>
              <w:pStyle w:val="TableBody"/>
              <w:jc w:val="center"/>
              <w:rPr>
                <w:sz w:val="16"/>
                <w:szCs w:val="16"/>
              </w:rPr>
            </w:pPr>
            <w:proofErr w:type="spellStart"/>
            <w:r w:rsidRPr="003F500F">
              <w:rPr>
                <w:sz w:val="16"/>
                <w:szCs w:val="16"/>
              </w:rPr>
              <w:t>FTB</w:t>
            </w:r>
            <w:proofErr w:type="spellEnd"/>
            <w:r w:rsidRPr="003F500F">
              <w:rPr>
                <w:sz w:val="16"/>
                <w:szCs w:val="16"/>
              </w:rPr>
              <w:t xml:space="preserve"> B</w:t>
            </w:r>
          </w:p>
        </w:tc>
        <w:tc>
          <w:tcPr>
            <w:tcW w:w="944" w:type="dxa"/>
            <w:tcMar>
              <w:left w:w="113" w:type="dxa"/>
              <w:right w:w="113" w:type="dxa"/>
            </w:tcMar>
          </w:tcPr>
          <w:p w14:paraId="63608AD6" w14:textId="44F3D852" w:rsidR="00BF5DCA" w:rsidRPr="003F500F" w:rsidRDefault="00BF5DCA" w:rsidP="004E3DED">
            <w:pPr>
              <w:pStyle w:val="TableBody"/>
              <w:jc w:val="center"/>
              <w:rPr>
                <w:sz w:val="16"/>
                <w:szCs w:val="16"/>
              </w:rPr>
            </w:pPr>
            <w:r w:rsidRPr="003F500F">
              <w:rPr>
                <w:sz w:val="16"/>
                <w:szCs w:val="16"/>
              </w:rPr>
              <w:t>Pharmaceutical Benefit</w:t>
            </w:r>
          </w:p>
        </w:tc>
        <w:tc>
          <w:tcPr>
            <w:tcW w:w="944" w:type="dxa"/>
            <w:tcMar>
              <w:left w:w="113" w:type="dxa"/>
              <w:right w:w="113" w:type="dxa"/>
            </w:tcMar>
          </w:tcPr>
          <w:p w14:paraId="5B908244" w14:textId="4FC6630E" w:rsidR="00BF5DCA" w:rsidRPr="003F500F" w:rsidRDefault="0086296E" w:rsidP="004E3DED">
            <w:pPr>
              <w:pStyle w:val="TableBody"/>
              <w:jc w:val="center"/>
              <w:rPr>
                <w:sz w:val="16"/>
                <w:szCs w:val="16"/>
              </w:rPr>
            </w:pPr>
            <w:r w:rsidRPr="003F500F">
              <w:rPr>
                <w:sz w:val="16"/>
                <w:szCs w:val="16"/>
              </w:rPr>
              <w:t>Total</w:t>
            </w:r>
          </w:p>
        </w:tc>
      </w:tr>
      <w:tr w:rsidR="0086296E" w14:paraId="1BD77B28" w14:textId="03DF17C8" w:rsidTr="004E3DED">
        <w:tc>
          <w:tcPr>
            <w:tcW w:w="943" w:type="dxa"/>
            <w:tcMar>
              <w:left w:w="113" w:type="dxa"/>
              <w:right w:w="113" w:type="dxa"/>
            </w:tcMar>
          </w:tcPr>
          <w:p w14:paraId="695AEF69" w14:textId="1FE74B79" w:rsidR="00BF5DCA" w:rsidRPr="003F500F" w:rsidRDefault="0063063A" w:rsidP="001E5F85">
            <w:pPr>
              <w:pStyle w:val="TableBody"/>
              <w:rPr>
                <w:sz w:val="16"/>
                <w:szCs w:val="16"/>
              </w:rPr>
            </w:pPr>
            <w:r w:rsidRPr="003F500F">
              <w:rPr>
                <w:sz w:val="16"/>
                <w:szCs w:val="16"/>
              </w:rPr>
              <w:t>Age pension, single</w:t>
            </w:r>
          </w:p>
        </w:tc>
        <w:tc>
          <w:tcPr>
            <w:tcW w:w="944" w:type="dxa"/>
            <w:tcMar>
              <w:left w:w="113" w:type="dxa"/>
              <w:right w:w="113" w:type="dxa"/>
            </w:tcMar>
          </w:tcPr>
          <w:p w14:paraId="609F70D9" w14:textId="217F1422" w:rsidR="00BF5DCA" w:rsidRPr="00EA04CE" w:rsidRDefault="00C11592" w:rsidP="00EA04CE">
            <w:pPr>
              <w:pStyle w:val="TableBody"/>
              <w:jc w:val="right"/>
              <w:rPr>
                <w:sz w:val="16"/>
                <w:szCs w:val="16"/>
              </w:rPr>
            </w:pPr>
            <w:r w:rsidRPr="00EA04CE">
              <w:rPr>
                <w:sz w:val="16"/>
                <w:szCs w:val="16"/>
              </w:rPr>
              <w:t>$407</w:t>
            </w:r>
            <w:r w:rsidR="00EA04CE" w:rsidRPr="00EA04CE">
              <w:rPr>
                <w:sz w:val="16"/>
                <w:szCs w:val="16"/>
              </w:rPr>
              <w:t>.00</w:t>
            </w:r>
          </w:p>
        </w:tc>
        <w:tc>
          <w:tcPr>
            <w:tcW w:w="944" w:type="dxa"/>
            <w:tcMar>
              <w:left w:w="113" w:type="dxa"/>
              <w:right w:w="113" w:type="dxa"/>
            </w:tcMar>
          </w:tcPr>
          <w:p w14:paraId="5FB92FA3" w14:textId="4B91F05E" w:rsidR="00BF5DCA" w:rsidRPr="00EA04CE" w:rsidRDefault="00410B15" w:rsidP="00EA04CE">
            <w:pPr>
              <w:pStyle w:val="TableBody"/>
              <w:jc w:val="right"/>
              <w:rPr>
                <w:sz w:val="16"/>
                <w:szCs w:val="16"/>
              </w:rPr>
            </w:pPr>
            <w:r w:rsidRPr="00EA04CE">
              <w:rPr>
                <w:sz w:val="16"/>
                <w:szCs w:val="16"/>
              </w:rPr>
              <w:t>$33.15</w:t>
            </w:r>
          </w:p>
        </w:tc>
        <w:tc>
          <w:tcPr>
            <w:tcW w:w="944" w:type="dxa"/>
            <w:tcMar>
              <w:left w:w="113" w:type="dxa"/>
              <w:right w:w="113" w:type="dxa"/>
            </w:tcMar>
          </w:tcPr>
          <w:p w14:paraId="5E657540" w14:textId="5A270F1D" w:rsidR="00BF5DCA" w:rsidRPr="00EA04CE" w:rsidRDefault="00410B15" w:rsidP="00EA04CE">
            <w:pPr>
              <w:pStyle w:val="TableBody"/>
              <w:jc w:val="right"/>
              <w:rPr>
                <w:sz w:val="16"/>
                <w:szCs w:val="16"/>
              </w:rPr>
            </w:pPr>
            <w:r w:rsidRPr="00EA04CE">
              <w:rPr>
                <w:sz w:val="16"/>
                <w:szCs w:val="16"/>
              </w:rPr>
              <w:t>$7.05</w:t>
            </w:r>
          </w:p>
        </w:tc>
        <w:tc>
          <w:tcPr>
            <w:tcW w:w="943" w:type="dxa"/>
            <w:tcMar>
              <w:left w:w="113" w:type="dxa"/>
              <w:right w:w="113" w:type="dxa"/>
            </w:tcMar>
          </w:tcPr>
          <w:p w14:paraId="75500DCF" w14:textId="08D2F05F" w:rsidR="00BF5DCA" w:rsidRPr="00EA04CE" w:rsidRDefault="00EA04CE" w:rsidP="00EA04CE">
            <w:pPr>
              <w:pStyle w:val="TableBody"/>
              <w:jc w:val="right"/>
              <w:rPr>
                <w:sz w:val="16"/>
                <w:szCs w:val="16"/>
              </w:rPr>
            </w:pPr>
            <w:r>
              <w:rPr>
                <w:sz w:val="16"/>
                <w:szCs w:val="16"/>
              </w:rPr>
              <w:t>-</w:t>
            </w:r>
          </w:p>
        </w:tc>
        <w:tc>
          <w:tcPr>
            <w:tcW w:w="944" w:type="dxa"/>
            <w:tcMar>
              <w:left w:w="113" w:type="dxa"/>
              <w:right w:w="113" w:type="dxa"/>
            </w:tcMar>
          </w:tcPr>
          <w:p w14:paraId="1B2EBE2E" w14:textId="1F5C2FA6" w:rsidR="00BF5DCA" w:rsidRPr="00EA04CE" w:rsidRDefault="00EA04CE" w:rsidP="00EA04CE">
            <w:pPr>
              <w:pStyle w:val="TableBody"/>
              <w:jc w:val="right"/>
              <w:rPr>
                <w:sz w:val="16"/>
                <w:szCs w:val="16"/>
              </w:rPr>
            </w:pPr>
            <w:r>
              <w:rPr>
                <w:sz w:val="16"/>
                <w:szCs w:val="16"/>
              </w:rPr>
              <w:t>-</w:t>
            </w:r>
          </w:p>
        </w:tc>
        <w:tc>
          <w:tcPr>
            <w:tcW w:w="944" w:type="dxa"/>
            <w:tcMar>
              <w:left w:w="113" w:type="dxa"/>
              <w:right w:w="113" w:type="dxa"/>
            </w:tcMar>
          </w:tcPr>
          <w:p w14:paraId="6B42A77A" w14:textId="2E9CC38E" w:rsidR="00BF5DCA" w:rsidRPr="00EA04CE" w:rsidRDefault="00EA04CE" w:rsidP="00EA04CE">
            <w:pPr>
              <w:pStyle w:val="TableBody"/>
              <w:jc w:val="right"/>
              <w:rPr>
                <w:sz w:val="16"/>
                <w:szCs w:val="16"/>
              </w:rPr>
            </w:pPr>
            <w:r>
              <w:rPr>
                <w:sz w:val="16"/>
                <w:szCs w:val="16"/>
              </w:rPr>
              <w:t>-</w:t>
            </w:r>
          </w:p>
        </w:tc>
        <w:tc>
          <w:tcPr>
            <w:tcW w:w="944" w:type="dxa"/>
            <w:tcMar>
              <w:left w:w="113" w:type="dxa"/>
              <w:right w:w="113" w:type="dxa"/>
            </w:tcMar>
          </w:tcPr>
          <w:p w14:paraId="771FD912" w14:textId="4F06E6AB" w:rsidR="00BF5DCA" w:rsidRPr="00EA04CE" w:rsidRDefault="00EA04CE" w:rsidP="00EA04CE">
            <w:pPr>
              <w:pStyle w:val="TableBody"/>
              <w:jc w:val="right"/>
              <w:rPr>
                <w:sz w:val="16"/>
                <w:szCs w:val="16"/>
              </w:rPr>
            </w:pPr>
            <w:r>
              <w:rPr>
                <w:sz w:val="16"/>
                <w:szCs w:val="16"/>
              </w:rPr>
              <w:t>-</w:t>
            </w:r>
          </w:p>
        </w:tc>
        <w:tc>
          <w:tcPr>
            <w:tcW w:w="944" w:type="dxa"/>
            <w:tcMar>
              <w:left w:w="113" w:type="dxa"/>
              <w:right w:w="113" w:type="dxa"/>
            </w:tcMar>
          </w:tcPr>
          <w:p w14:paraId="209FF90C" w14:textId="241B691A" w:rsidR="00BF5DCA" w:rsidRPr="00EA04CE" w:rsidRDefault="00513D7E" w:rsidP="00EA04CE">
            <w:pPr>
              <w:pStyle w:val="TableBody"/>
              <w:jc w:val="right"/>
              <w:rPr>
                <w:sz w:val="16"/>
                <w:szCs w:val="16"/>
              </w:rPr>
            </w:pPr>
            <w:r w:rsidRPr="00EA04CE">
              <w:rPr>
                <w:sz w:val="16"/>
                <w:szCs w:val="16"/>
              </w:rPr>
              <w:t>$447.2</w:t>
            </w:r>
            <w:r w:rsidR="00032A40" w:rsidRPr="00EA04CE">
              <w:rPr>
                <w:sz w:val="16"/>
                <w:szCs w:val="16"/>
              </w:rPr>
              <w:t>0</w:t>
            </w:r>
          </w:p>
        </w:tc>
      </w:tr>
      <w:tr w:rsidR="0086296E" w14:paraId="7769CF2C" w14:textId="0BDB0926" w:rsidTr="004E3DED">
        <w:tc>
          <w:tcPr>
            <w:tcW w:w="943" w:type="dxa"/>
            <w:tcMar>
              <w:left w:w="113" w:type="dxa"/>
              <w:right w:w="113" w:type="dxa"/>
            </w:tcMar>
          </w:tcPr>
          <w:p w14:paraId="349C6B7F" w14:textId="6D99962F" w:rsidR="00BF5DCA" w:rsidRPr="003F500F" w:rsidRDefault="0063063A" w:rsidP="001E5F85">
            <w:pPr>
              <w:pStyle w:val="TableBody"/>
              <w:rPr>
                <w:sz w:val="16"/>
                <w:szCs w:val="16"/>
              </w:rPr>
            </w:pPr>
            <w:r w:rsidRPr="003F500F">
              <w:rPr>
                <w:sz w:val="16"/>
                <w:szCs w:val="16"/>
              </w:rPr>
              <w:t>Newstart, single, no children</w:t>
            </w:r>
          </w:p>
        </w:tc>
        <w:tc>
          <w:tcPr>
            <w:tcW w:w="944" w:type="dxa"/>
            <w:tcMar>
              <w:left w:w="113" w:type="dxa"/>
              <w:right w:w="113" w:type="dxa"/>
            </w:tcMar>
          </w:tcPr>
          <w:p w14:paraId="6FD4C94A" w14:textId="224AC49D" w:rsidR="00BF5DCA" w:rsidRPr="00EA04CE" w:rsidRDefault="00C851ED" w:rsidP="00EA04CE">
            <w:pPr>
              <w:pStyle w:val="TableBody"/>
              <w:jc w:val="right"/>
              <w:rPr>
                <w:sz w:val="16"/>
                <w:szCs w:val="16"/>
              </w:rPr>
            </w:pPr>
            <w:r w:rsidRPr="00EA04CE">
              <w:rPr>
                <w:sz w:val="16"/>
                <w:szCs w:val="16"/>
              </w:rPr>
              <w:t>$269.40</w:t>
            </w:r>
          </w:p>
        </w:tc>
        <w:tc>
          <w:tcPr>
            <w:tcW w:w="944" w:type="dxa"/>
            <w:tcMar>
              <w:left w:w="113" w:type="dxa"/>
              <w:right w:w="113" w:type="dxa"/>
            </w:tcMar>
          </w:tcPr>
          <w:p w14:paraId="513B1A23" w14:textId="56CBFDEB" w:rsidR="00BF5DCA" w:rsidRPr="00EA04CE" w:rsidRDefault="00EA04CE" w:rsidP="00EA04CE">
            <w:pPr>
              <w:pStyle w:val="TableBody"/>
              <w:jc w:val="right"/>
              <w:rPr>
                <w:sz w:val="16"/>
                <w:szCs w:val="16"/>
              </w:rPr>
            </w:pPr>
            <w:r>
              <w:rPr>
                <w:sz w:val="16"/>
                <w:szCs w:val="16"/>
              </w:rPr>
              <w:t>-</w:t>
            </w:r>
          </w:p>
        </w:tc>
        <w:tc>
          <w:tcPr>
            <w:tcW w:w="944" w:type="dxa"/>
            <w:tcMar>
              <w:left w:w="113" w:type="dxa"/>
              <w:right w:w="113" w:type="dxa"/>
            </w:tcMar>
          </w:tcPr>
          <w:p w14:paraId="63668D19" w14:textId="68068AE7" w:rsidR="00BF5DCA" w:rsidRPr="00EA04CE" w:rsidRDefault="00AD232D" w:rsidP="00EA04CE">
            <w:pPr>
              <w:pStyle w:val="TableBody"/>
              <w:jc w:val="right"/>
              <w:rPr>
                <w:sz w:val="16"/>
                <w:szCs w:val="16"/>
              </w:rPr>
            </w:pPr>
            <w:r w:rsidRPr="00EA04CE">
              <w:rPr>
                <w:sz w:val="16"/>
                <w:szCs w:val="16"/>
              </w:rPr>
              <w:t>$4.40</w:t>
            </w:r>
          </w:p>
        </w:tc>
        <w:tc>
          <w:tcPr>
            <w:tcW w:w="943" w:type="dxa"/>
            <w:tcMar>
              <w:left w:w="113" w:type="dxa"/>
              <w:right w:w="113" w:type="dxa"/>
            </w:tcMar>
          </w:tcPr>
          <w:p w14:paraId="703FF6DC" w14:textId="6AD90B5E" w:rsidR="00BF5DCA" w:rsidRPr="00EA04CE" w:rsidRDefault="00EA04CE" w:rsidP="00EA04CE">
            <w:pPr>
              <w:pStyle w:val="TableBody"/>
              <w:jc w:val="right"/>
              <w:rPr>
                <w:sz w:val="16"/>
                <w:szCs w:val="16"/>
              </w:rPr>
            </w:pPr>
            <w:r>
              <w:rPr>
                <w:sz w:val="16"/>
                <w:szCs w:val="16"/>
              </w:rPr>
              <w:t>-</w:t>
            </w:r>
          </w:p>
        </w:tc>
        <w:tc>
          <w:tcPr>
            <w:tcW w:w="944" w:type="dxa"/>
            <w:tcMar>
              <w:left w:w="113" w:type="dxa"/>
              <w:right w:w="113" w:type="dxa"/>
            </w:tcMar>
          </w:tcPr>
          <w:p w14:paraId="60EE3CA6" w14:textId="2395FDAD" w:rsidR="00BF5DCA" w:rsidRPr="00EA04CE" w:rsidRDefault="00EA04CE" w:rsidP="00EA04CE">
            <w:pPr>
              <w:pStyle w:val="TableBody"/>
              <w:jc w:val="right"/>
              <w:rPr>
                <w:sz w:val="16"/>
                <w:szCs w:val="16"/>
              </w:rPr>
            </w:pPr>
            <w:r>
              <w:rPr>
                <w:sz w:val="16"/>
                <w:szCs w:val="16"/>
              </w:rPr>
              <w:t>-</w:t>
            </w:r>
          </w:p>
        </w:tc>
        <w:tc>
          <w:tcPr>
            <w:tcW w:w="944" w:type="dxa"/>
            <w:tcMar>
              <w:left w:w="113" w:type="dxa"/>
              <w:right w:w="113" w:type="dxa"/>
            </w:tcMar>
          </w:tcPr>
          <w:p w14:paraId="2E998758" w14:textId="4C31984F" w:rsidR="00BF5DCA" w:rsidRPr="00EA04CE" w:rsidRDefault="00EA04CE" w:rsidP="00EA04CE">
            <w:pPr>
              <w:pStyle w:val="TableBody"/>
              <w:jc w:val="right"/>
              <w:rPr>
                <w:sz w:val="16"/>
                <w:szCs w:val="16"/>
              </w:rPr>
            </w:pPr>
            <w:r>
              <w:rPr>
                <w:sz w:val="16"/>
                <w:szCs w:val="16"/>
              </w:rPr>
              <w:t>-</w:t>
            </w:r>
          </w:p>
        </w:tc>
        <w:tc>
          <w:tcPr>
            <w:tcW w:w="944" w:type="dxa"/>
            <w:tcMar>
              <w:left w:w="113" w:type="dxa"/>
              <w:right w:w="113" w:type="dxa"/>
            </w:tcMar>
          </w:tcPr>
          <w:p w14:paraId="52EA090B" w14:textId="25ACECF6" w:rsidR="00BF5DCA" w:rsidRPr="00EA04CE" w:rsidRDefault="00EA04CE" w:rsidP="00EA04CE">
            <w:pPr>
              <w:pStyle w:val="TableBody"/>
              <w:jc w:val="right"/>
              <w:rPr>
                <w:sz w:val="16"/>
                <w:szCs w:val="16"/>
              </w:rPr>
            </w:pPr>
            <w:r>
              <w:rPr>
                <w:sz w:val="16"/>
                <w:szCs w:val="16"/>
              </w:rPr>
              <w:t>-</w:t>
            </w:r>
          </w:p>
        </w:tc>
        <w:tc>
          <w:tcPr>
            <w:tcW w:w="944" w:type="dxa"/>
            <w:tcMar>
              <w:left w:w="113" w:type="dxa"/>
              <w:right w:w="113" w:type="dxa"/>
            </w:tcMar>
          </w:tcPr>
          <w:p w14:paraId="6CFAA615" w14:textId="7A08B6B6" w:rsidR="00BF5DCA" w:rsidRPr="00EA04CE" w:rsidRDefault="000B4912" w:rsidP="00EA04CE">
            <w:pPr>
              <w:pStyle w:val="TableBody"/>
              <w:jc w:val="right"/>
              <w:rPr>
                <w:sz w:val="16"/>
                <w:szCs w:val="16"/>
              </w:rPr>
            </w:pPr>
            <w:r w:rsidRPr="00EA04CE">
              <w:rPr>
                <w:sz w:val="16"/>
                <w:szCs w:val="16"/>
              </w:rPr>
              <w:t>$273.80</w:t>
            </w:r>
          </w:p>
        </w:tc>
      </w:tr>
      <w:tr w:rsidR="0086296E" w14:paraId="59D0BAD9" w14:textId="4CC70364" w:rsidTr="004E3DED">
        <w:tc>
          <w:tcPr>
            <w:tcW w:w="943" w:type="dxa"/>
            <w:tcMar>
              <w:left w:w="113" w:type="dxa"/>
              <w:right w:w="113" w:type="dxa"/>
            </w:tcMar>
          </w:tcPr>
          <w:p w14:paraId="313DC591" w14:textId="50B9EFE0" w:rsidR="00BF5DCA" w:rsidRPr="003F500F" w:rsidRDefault="00826922" w:rsidP="001E5F85">
            <w:pPr>
              <w:pStyle w:val="TableBody"/>
              <w:rPr>
                <w:sz w:val="16"/>
                <w:szCs w:val="16"/>
              </w:rPr>
            </w:pPr>
            <w:r w:rsidRPr="003F500F">
              <w:rPr>
                <w:sz w:val="16"/>
                <w:szCs w:val="16"/>
              </w:rPr>
              <w:t>Newstart, single, 2 children</w:t>
            </w:r>
          </w:p>
        </w:tc>
        <w:tc>
          <w:tcPr>
            <w:tcW w:w="944" w:type="dxa"/>
            <w:tcMar>
              <w:left w:w="113" w:type="dxa"/>
              <w:right w:w="113" w:type="dxa"/>
            </w:tcMar>
          </w:tcPr>
          <w:p w14:paraId="29D12BCF" w14:textId="7B39D5A9" w:rsidR="00BF5DCA" w:rsidRPr="00EA04CE" w:rsidRDefault="00192D92" w:rsidP="00EA04CE">
            <w:pPr>
              <w:pStyle w:val="TableBody"/>
              <w:jc w:val="right"/>
              <w:rPr>
                <w:sz w:val="16"/>
                <w:szCs w:val="16"/>
              </w:rPr>
            </w:pPr>
            <w:r w:rsidRPr="00EA04CE">
              <w:rPr>
                <w:sz w:val="16"/>
                <w:szCs w:val="16"/>
              </w:rPr>
              <w:t>$291.40</w:t>
            </w:r>
          </w:p>
        </w:tc>
        <w:tc>
          <w:tcPr>
            <w:tcW w:w="944" w:type="dxa"/>
            <w:tcMar>
              <w:left w:w="113" w:type="dxa"/>
              <w:right w:w="113" w:type="dxa"/>
            </w:tcMar>
          </w:tcPr>
          <w:p w14:paraId="588A7FC3" w14:textId="760B602C" w:rsidR="00BF5DCA" w:rsidRPr="00EA04CE" w:rsidRDefault="00EA04CE" w:rsidP="00EA04CE">
            <w:pPr>
              <w:pStyle w:val="TableBody"/>
              <w:jc w:val="right"/>
              <w:rPr>
                <w:sz w:val="16"/>
                <w:szCs w:val="16"/>
              </w:rPr>
            </w:pPr>
            <w:r>
              <w:rPr>
                <w:sz w:val="16"/>
                <w:szCs w:val="16"/>
              </w:rPr>
              <w:t>-</w:t>
            </w:r>
          </w:p>
        </w:tc>
        <w:tc>
          <w:tcPr>
            <w:tcW w:w="944" w:type="dxa"/>
            <w:tcMar>
              <w:left w:w="113" w:type="dxa"/>
              <w:right w:w="113" w:type="dxa"/>
            </w:tcMar>
          </w:tcPr>
          <w:p w14:paraId="54543454" w14:textId="5DC957BB" w:rsidR="00BF5DCA" w:rsidRPr="00EA04CE" w:rsidRDefault="004A1F4C" w:rsidP="00EA04CE">
            <w:pPr>
              <w:pStyle w:val="TableBody"/>
              <w:jc w:val="right"/>
              <w:rPr>
                <w:sz w:val="16"/>
                <w:szCs w:val="16"/>
              </w:rPr>
            </w:pPr>
            <w:r w:rsidRPr="00EA04CE">
              <w:rPr>
                <w:sz w:val="16"/>
                <w:szCs w:val="16"/>
              </w:rPr>
              <w:t>$9.72</w:t>
            </w:r>
          </w:p>
        </w:tc>
        <w:tc>
          <w:tcPr>
            <w:tcW w:w="943" w:type="dxa"/>
            <w:tcMar>
              <w:left w:w="113" w:type="dxa"/>
              <w:right w:w="113" w:type="dxa"/>
            </w:tcMar>
          </w:tcPr>
          <w:p w14:paraId="3D686836" w14:textId="16EA04FE" w:rsidR="00BF5DCA" w:rsidRPr="00EA04CE" w:rsidRDefault="00F81B82" w:rsidP="00EA04CE">
            <w:pPr>
              <w:pStyle w:val="TableBody"/>
              <w:jc w:val="right"/>
              <w:rPr>
                <w:sz w:val="16"/>
                <w:szCs w:val="16"/>
              </w:rPr>
            </w:pPr>
            <w:r w:rsidRPr="00EA04CE">
              <w:rPr>
                <w:sz w:val="16"/>
                <w:szCs w:val="16"/>
              </w:rPr>
              <w:t>$91.42</w:t>
            </w:r>
          </w:p>
        </w:tc>
        <w:tc>
          <w:tcPr>
            <w:tcW w:w="944" w:type="dxa"/>
            <w:tcMar>
              <w:left w:w="113" w:type="dxa"/>
              <w:right w:w="113" w:type="dxa"/>
            </w:tcMar>
          </w:tcPr>
          <w:p w14:paraId="6972B675" w14:textId="3456CFF6" w:rsidR="00BF5DCA" w:rsidRPr="00EA04CE" w:rsidRDefault="00247887" w:rsidP="00EA04CE">
            <w:pPr>
              <w:pStyle w:val="TableBody"/>
              <w:jc w:val="right"/>
              <w:rPr>
                <w:sz w:val="16"/>
                <w:szCs w:val="16"/>
              </w:rPr>
            </w:pPr>
            <w:r w:rsidRPr="00EA04CE">
              <w:rPr>
                <w:sz w:val="16"/>
                <w:szCs w:val="16"/>
              </w:rPr>
              <w:t>$118.93</w:t>
            </w:r>
          </w:p>
        </w:tc>
        <w:tc>
          <w:tcPr>
            <w:tcW w:w="944" w:type="dxa"/>
            <w:tcMar>
              <w:left w:w="113" w:type="dxa"/>
              <w:right w:w="113" w:type="dxa"/>
            </w:tcMar>
          </w:tcPr>
          <w:p w14:paraId="70CE9459" w14:textId="31BE5BCC" w:rsidR="00BF5DCA" w:rsidRPr="00EA04CE" w:rsidRDefault="00723F25" w:rsidP="00EA04CE">
            <w:pPr>
              <w:pStyle w:val="TableBody"/>
              <w:jc w:val="right"/>
              <w:rPr>
                <w:sz w:val="16"/>
                <w:szCs w:val="16"/>
              </w:rPr>
            </w:pPr>
            <w:r w:rsidRPr="00EA04CE">
              <w:rPr>
                <w:sz w:val="16"/>
                <w:szCs w:val="16"/>
              </w:rPr>
              <w:t>$54.32</w:t>
            </w:r>
          </w:p>
        </w:tc>
        <w:tc>
          <w:tcPr>
            <w:tcW w:w="944" w:type="dxa"/>
            <w:tcMar>
              <w:left w:w="113" w:type="dxa"/>
              <w:right w:w="113" w:type="dxa"/>
            </w:tcMar>
          </w:tcPr>
          <w:p w14:paraId="401DFF1C" w14:textId="41D54F98" w:rsidR="00BF5DCA" w:rsidRPr="00EA04CE" w:rsidRDefault="00723F25" w:rsidP="00EA04CE">
            <w:pPr>
              <w:pStyle w:val="TableBody"/>
              <w:jc w:val="right"/>
              <w:rPr>
                <w:sz w:val="16"/>
                <w:szCs w:val="16"/>
              </w:rPr>
            </w:pPr>
            <w:r w:rsidRPr="00EA04CE">
              <w:rPr>
                <w:sz w:val="16"/>
                <w:szCs w:val="16"/>
              </w:rPr>
              <w:t>$1.55</w:t>
            </w:r>
          </w:p>
        </w:tc>
        <w:tc>
          <w:tcPr>
            <w:tcW w:w="944" w:type="dxa"/>
            <w:tcMar>
              <w:left w:w="113" w:type="dxa"/>
              <w:right w:w="113" w:type="dxa"/>
            </w:tcMar>
          </w:tcPr>
          <w:p w14:paraId="09DA029A" w14:textId="711DF07E" w:rsidR="00BF5DCA" w:rsidRPr="00EA04CE" w:rsidRDefault="000B4912" w:rsidP="00EA04CE">
            <w:pPr>
              <w:pStyle w:val="TableBody"/>
              <w:jc w:val="right"/>
              <w:rPr>
                <w:sz w:val="16"/>
                <w:szCs w:val="16"/>
              </w:rPr>
            </w:pPr>
            <w:r w:rsidRPr="00EA04CE">
              <w:rPr>
                <w:sz w:val="16"/>
                <w:szCs w:val="16"/>
              </w:rPr>
              <w:t>$567.34</w:t>
            </w:r>
          </w:p>
        </w:tc>
      </w:tr>
      <w:tr w:rsidR="00826922" w14:paraId="5C8F8771" w14:textId="77777777" w:rsidTr="004E3DED">
        <w:tc>
          <w:tcPr>
            <w:tcW w:w="943" w:type="dxa"/>
            <w:tcMar>
              <w:left w:w="113" w:type="dxa"/>
              <w:right w:w="113" w:type="dxa"/>
            </w:tcMar>
          </w:tcPr>
          <w:p w14:paraId="16ACDA4F" w14:textId="72F0967F" w:rsidR="00826922" w:rsidRPr="003F500F" w:rsidRDefault="00826922" w:rsidP="001E5F85">
            <w:pPr>
              <w:pStyle w:val="TableBody"/>
              <w:rPr>
                <w:sz w:val="16"/>
                <w:szCs w:val="16"/>
              </w:rPr>
            </w:pPr>
            <w:r w:rsidRPr="003F500F">
              <w:rPr>
                <w:sz w:val="16"/>
                <w:szCs w:val="16"/>
              </w:rPr>
              <w:t>Youth Allowance, single, no children</w:t>
            </w:r>
          </w:p>
        </w:tc>
        <w:tc>
          <w:tcPr>
            <w:tcW w:w="944" w:type="dxa"/>
            <w:tcMar>
              <w:left w:w="113" w:type="dxa"/>
              <w:right w:w="113" w:type="dxa"/>
            </w:tcMar>
          </w:tcPr>
          <w:p w14:paraId="003FC060" w14:textId="3DD3C27F" w:rsidR="00826922" w:rsidRPr="00EA04CE" w:rsidRDefault="00EA04CE" w:rsidP="00EA04CE">
            <w:pPr>
              <w:pStyle w:val="TableBody"/>
              <w:jc w:val="right"/>
              <w:rPr>
                <w:sz w:val="16"/>
                <w:szCs w:val="16"/>
              </w:rPr>
            </w:pPr>
            <w:r w:rsidRPr="00EA04CE">
              <w:rPr>
                <w:sz w:val="16"/>
                <w:szCs w:val="16"/>
              </w:rPr>
              <w:t>$218.75</w:t>
            </w:r>
          </w:p>
        </w:tc>
        <w:tc>
          <w:tcPr>
            <w:tcW w:w="944" w:type="dxa"/>
            <w:tcMar>
              <w:left w:w="113" w:type="dxa"/>
              <w:right w:w="113" w:type="dxa"/>
            </w:tcMar>
          </w:tcPr>
          <w:p w14:paraId="28C3D4C7" w14:textId="2D756AC7" w:rsidR="00826922" w:rsidRPr="00EA04CE" w:rsidRDefault="00EA04CE" w:rsidP="00EA04CE">
            <w:pPr>
              <w:pStyle w:val="TableBody"/>
              <w:jc w:val="right"/>
              <w:rPr>
                <w:sz w:val="16"/>
                <w:szCs w:val="16"/>
              </w:rPr>
            </w:pPr>
            <w:r>
              <w:rPr>
                <w:sz w:val="16"/>
                <w:szCs w:val="16"/>
              </w:rPr>
              <w:t>-</w:t>
            </w:r>
          </w:p>
        </w:tc>
        <w:tc>
          <w:tcPr>
            <w:tcW w:w="944" w:type="dxa"/>
            <w:tcMar>
              <w:left w:w="113" w:type="dxa"/>
              <w:right w:w="113" w:type="dxa"/>
            </w:tcMar>
          </w:tcPr>
          <w:p w14:paraId="7BC6AF15" w14:textId="7AC44752" w:rsidR="00826922" w:rsidRPr="00EA04CE" w:rsidRDefault="00EA04CE" w:rsidP="00EA04CE">
            <w:pPr>
              <w:pStyle w:val="TableBody"/>
              <w:jc w:val="right"/>
              <w:rPr>
                <w:sz w:val="16"/>
                <w:szCs w:val="16"/>
              </w:rPr>
            </w:pPr>
            <w:r w:rsidRPr="00EA04CE">
              <w:rPr>
                <w:sz w:val="16"/>
                <w:szCs w:val="16"/>
              </w:rPr>
              <w:t>$3.50</w:t>
            </w:r>
          </w:p>
        </w:tc>
        <w:tc>
          <w:tcPr>
            <w:tcW w:w="943" w:type="dxa"/>
            <w:tcMar>
              <w:left w:w="113" w:type="dxa"/>
              <w:right w:w="113" w:type="dxa"/>
            </w:tcMar>
          </w:tcPr>
          <w:p w14:paraId="1037AA39" w14:textId="0C8E1243" w:rsidR="00826922" w:rsidRPr="00EA04CE" w:rsidRDefault="00EA04CE" w:rsidP="00EA04CE">
            <w:pPr>
              <w:pStyle w:val="TableBody"/>
              <w:jc w:val="right"/>
              <w:rPr>
                <w:sz w:val="16"/>
                <w:szCs w:val="16"/>
              </w:rPr>
            </w:pPr>
            <w:r>
              <w:rPr>
                <w:sz w:val="16"/>
                <w:szCs w:val="16"/>
              </w:rPr>
              <w:t>-</w:t>
            </w:r>
          </w:p>
        </w:tc>
        <w:tc>
          <w:tcPr>
            <w:tcW w:w="944" w:type="dxa"/>
            <w:tcMar>
              <w:left w:w="113" w:type="dxa"/>
              <w:right w:w="113" w:type="dxa"/>
            </w:tcMar>
          </w:tcPr>
          <w:p w14:paraId="428A0E45" w14:textId="415F5022" w:rsidR="00826922" w:rsidRPr="00EA04CE" w:rsidRDefault="00EA04CE" w:rsidP="00EA04CE">
            <w:pPr>
              <w:pStyle w:val="TableBody"/>
              <w:jc w:val="right"/>
              <w:rPr>
                <w:sz w:val="16"/>
                <w:szCs w:val="16"/>
              </w:rPr>
            </w:pPr>
            <w:r>
              <w:rPr>
                <w:sz w:val="16"/>
                <w:szCs w:val="16"/>
              </w:rPr>
              <w:t>-</w:t>
            </w:r>
          </w:p>
        </w:tc>
        <w:tc>
          <w:tcPr>
            <w:tcW w:w="944" w:type="dxa"/>
            <w:tcMar>
              <w:left w:w="113" w:type="dxa"/>
              <w:right w:w="113" w:type="dxa"/>
            </w:tcMar>
          </w:tcPr>
          <w:p w14:paraId="4552446F" w14:textId="0092003F" w:rsidR="00826922" w:rsidRPr="00EA04CE" w:rsidRDefault="00EA04CE" w:rsidP="00EA04CE">
            <w:pPr>
              <w:pStyle w:val="TableBody"/>
              <w:jc w:val="right"/>
              <w:rPr>
                <w:sz w:val="16"/>
                <w:szCs w:val="16"/>
              </w:rPr>
            </w:pPr>
            <w:r>
              <w:rPr>
                <w:sz w:val="16"/>
                <w:szCs w:val="16"/>
              </w:rPr>
              <w:t>-</w:t>
            </w:r>
          </w:p>
        </w:tc>
        <w:tc>
          <w:tcPr>
            <w:tcW w:w="944" w:type="dxa"/>
            <w:tcMar>
              <w:left w:w="113" w:type="dxa"/>
              <w:right w:w="113" w:type="dxa"/>
            </w:tcMar>
          </w:tcPr>
          <w:p w14:paraId="0018283A" w14:textId="7C2026D5" w:rsidR="00826922" w:rsidRPr="00EA04CE" w:rsidRDefault="00EA04CE" w:rsidP="00EA04CE">
            <w:pPr>
              <w:pStyle w:val="TableBody"/>
              <w:jc w:val="right"/>
              <w:rPr>
                <w:sz w:val="16"/>
                <w:szCs w:val="16"/>
              </w:rPr>
            </w:pPr>
            <w:r>
              <w:rPr>
                <w:sz w:val="16"/>
                <w:szCs w:val="16"/>
              </w:rPr>
              <w:t>-</w:t>
            </w:r>
          </w:p>
        </w:tc>
        <w:tc>
          <w:tcPr>
            <w:tcW w:w="944" w:type="dxa"/>
            <w:tcMar>
              <w:left w:w="113" w:type="dxa"/>
              <w:right w:w="113" w:type="dxa"/>
            </w:tcMar>
          </w:tcPr>
          <w:p w14:paraId="39CBDAA4" w14:textId="6F642E5A" w:rsidR="00826922" w:rsidRPr="00EA04CE" w:rsidRDefault="00C851ED" w:rsidP="00EA04CE">
            <w:pPr>
              <w:pStyle w:val="TableBody"/>
              <w:jc w:val="right"/>
              <w:rPr>
                <w:sz w:val="16"/>
                <w:szCs w:val="16"/>
              </w:rPr>
            </w:pPr>
            <w:r w:rsidRPr="00EA04CE">
              <w:rPr>
                <w:sz w:val="16"/>
                <w:szCs w:val="16"/>
              </w:rPr>
              <w:t>$222.25</w:t>
            </w:r>
          </w:p>
        </w:tc>
      </w:tr>
    </w:tbl>
    <w:bookmarkEnd w:id="20"/>
    <w:p w14:paraId="53B4991B" w14:textId="6FB5770D" w:rsidR="00680129" w:rsidRDefault="001C78B4" w:rsidP="00D674E1">
      <w:pPr>
        <w:pStyle w:val="Source"/>
      </w:pPr>
      <w:r>
        <w:t>Source: Centrelink</w:t>
      </w:r>
      <w:r w:rsidRPr="00D674E1">
        <w:rPr>
          <w:rStyle w:val="Emphasis"/>
        </w:rPr>
        <w:t>, A guide to Australian Government payments 20 September-31 December 2017</w:t>
      </w:r>
      <w:r>
        <w:t>, Centrelink, Canberra, 2017.</w:t>
      </w:r>
    </w:p>
    <w:p w14:paraId="1DBD5F67" w14:textId="4162A6E8" w:rsidR="005F4DF5" w:rsidRDefault="005F4DF5" w:rsidP="00D674E1">
      <w:pPr>
        <w:pStyle w:val="Figuretitle"/>
      </w:pPr>
      <w:r>
        <w:t xml:space="preserve">Rates at </w:t>
      </w:r>
      <w:r w:rsidR="00DD2E0A">
        <w:t>31 December 2018</w:t>
      </w:r>
    </w:p>
    <w:tbl>
      <w:tblPr>
        <w:tblStyle w:val="TableGrid"/>
        <w:tblW w:w="0" w:type="auto"/>
        <w:tblLayout w:type="fixed"/>
        <w:tblLook w:val="04A0" w:firstRow="1" w:lastRow="0" w:firstColumn="1" w:lastColumn="0" w:noHBand="0" w:noVBand="1"/>
      </w:tblPr>
      <w:tblGrid>
        <w:gridCol w:w="943"/>
        <w:gridCol w:w="944"/>
        <w:gridCol w:w="944"/>
        <w:gridCol w:w="944"/>
        <w:gridCol w:w="943"/>
        <w:gridCol w:w="944"/>
        <w:gridCol w:w="944"/>
        <w:gridCol w:w="944"/>
        <w:gridCol w:w="944"/>
      </w:tblGrid>
      <w:tr w:rsidR="005F4DF5" w14:paraId="14EF1F4A" w14:textId="77777777" w:rsidTr="00966B12">
        <w:trPr>
          <w:tblHeader/>
        </w:trPr>
        <w:tc>
          <w:tcPr>
            <w:tcW w:w="943" w:type="dxa"/>
            <w:tcMar>
              <w:left w:w="113" w:type="dxa"/>
              <w:right w:w="113" w:type="dxa"/>
            </w:tcMar>
          </w:tcPr>
          <w:p w14:paraId="1D392230" w14:textId="77777777" w:rsidR="005F4DF5" w:rsidRPr="00EA04CE" w:rsidRDefault="005F4DF5" w:rsidP="00966B12">
            <w:pPr>
              <w:pStyle w:val="TableBody"/>
              <w:jc w:val="center"/>
              <w:rPr>
                <w:sz w:val="16"/>
                <w:szCs w:val="16"/>
              </w:rPr>
            </w:pPr>
          </w:p>
        </w:tc>
        <w:tc>
          <w:tcPr>
            <w:tcW w:w="944" w:type="dxa"/>
            <w:tcMar>
              <w:left w:w="113" w:type="dxa"/>
              <w:right w:w="113" w:type="dxa"/>
            </w:tcMar>
          </w:tcPr>
          <w:p w14:paraId="33E1552B" w14:textId="77777777" w:rsidR="005F4DF5" w:rsidRPr="003F500F" w:rsidRDefault="005F4DF5" w:rsidP="00966B12">
            <w:pPr>
              <w:pStyle w:val="TableBody"/>
              <w:jc w:val="center"/>
              <w:rPr>
                <w:sz w:val="16"/>
                <w:szCs w:val="16"/>
              </w:rPr>
            </w:pPr>
            <w:r w:rsidRPr="003F500F">
              <w:rPr>
                <w:sz w:val="16"/>
                <w:szCs w:val="16"/>
              </w:rPr>
              <w:t>Base rate</w:t>
            </w:r>
          </w:p>
        </w:tc>
        <w:tc>
          <w:tcPr>
            <w:tcW w:w="944" w:type="dxa"/>
            <w:tcMar>
              <w:left w:w="113" w:type="dxa"/>
              <w:right w:w="113" w:type="dxa"/>
            </w:tcMar>
          </w:tcPr>
          <w:p w14:paraId="668D2245" w14:textId="77777777" w:rsidR="005F4DF5" w:rsidRPr="003F500F" w:rsidRDefault="005F4DF5" w:rsidP="00966B12">
            <w:pPr>
              <w:pStyle w:val="TableBody"/>
              <w:jc w:val="center"/>
              <w:rPr>
                <w:sz w:val="16"/>
                <w:szCs w:val="16"/>
              </w:rPr>
            </w:pPr>
            <w:r w:rsidRPr="003F500F">
              <w:rPr>
                <w:sz w:val="16"/>
                <w:szCs w:val="16"/>
              </w:rPr>
              <w:t>Pension support</w:t>
            </w:r>
          </w:p>
        </w:tc>
        <w:tc>
          <w:tcPr>
            <w:tcW w:w="944" w:type="dxa"/>
            <w:tcMar>
              <w:left w:w="113" w:type="dxa"/>
              <w:right w:w="113" w:type="dxa"/>
            </w:tcMar>
          </w:tcPr>
          <w:p w14:paraId="4F688E20" w14:textId="77777777" w:rsidR="005F4DF5" w:rsidRPr="003F500F" w:rsidRDefault="005F4DF5" w:rsidP="00966B12">
            <w:pPr>
              <w:pStyle w:val="TableBody"/>
              <w:jc w:val="center"/>
              <w:rPr>
                <w:sz w:val="16"/>
                <w:szCs w:val="16"/>
              </w:rPr>
            </w:pPr>
            <w:r w:rsidRPr="003F500F">
              <w:rPr>
                <w:sz w:val="16"/>
                <w:szCs w:val="16"/>
              </w:rPr>
              <w:t>Energy supplement</w:t>
            </w:r>
          </w:p>
        </w:tc>
        <w:tc>
          <w:tcPr>
            <w:tcW w:w="943" w:type="dxa"/>
            <w:tcMar>
              <w:left w:w="113" w:type="dxa"/>
              <w:right w:w="113" w:type="dxa"/>
            </w:tcMar>
          </w:tcPr>
          <w:p w14:paraId="79215264" w14:textId="77777777" w:rsidR="005F4DF5" w:rsidRPr="003F500F" w:rsidRDefault="005F4DF5" w:rsidP="00966B12">
            <w:pPr>
              <w:pStyle w:val="TableBody"/>
              <w:jc w:val="center"/>
              <w:rPr>
                <w:sz w:val="16"/>
                <w:szCs w:val="16"/>
              </w:rPr>
            </w:pPr>
            <w:proofErr w:type="spellStart"/>
            <w:r w:rsidRPr="003F500F">
              <w:rPr>
                <w:sz w:val="16"/>
                <w:szCs w:val="16"/>
              </w:rPr>
              <w:t>FTB</w:t>
            </w:r>
            <w:proofErr w:type="spellEnd"/>
            <w:r w:rsidRPr="003F500F">
              <w:rPr>
                <w:sz w:val="16"/>
                <w:szCs w:val="16"/>
              </w:rPr>
              <w:t xml:space="preserve"> A Child u13</w:t>
            </w:r>
          </w:p>
        </w:tc>
        <w:tc>
          <w:tcPr>
            <w:tcW w:w="944" w:type="dxa"/>
            <w:tcMar>
              <w:left w:w="113" w:type="dxa"/>
              <w:right w:w="113" w:type="dxa"/>
            </w:tcMar>
          </w:tcPr>
          <w:p w14:paraId="0E62AE55" w14:textId="77777777" w:rsidR="005F4DF5" w:rsidRPr="003F500F" w:rsidRDefault="005F4DF5" w:rsidP="00966B12">
            <w:pPr>
              <w:pStyle w:val="TableBody"/>
              <w:jc w:val="center"/>
              <w:rPr>
                <w:sz w:val="16"/>
                <w:szCs w:val="16"/>
              </w:rPr>
            </w:pPr>
            <w:proofErr w:type="spellStart"/>
            <w:r w:rsidRPr="003F500F">
              <w:rPr>
                <w:sz w:val="16"/>
                <w:szCs w:val="16"/>
              </w:rPr>
              <w:t>FTB</w:t>
            </w:r>
            <w:proofErr w:type="spellEnd"/>
            <w:r w:rsidRPr="003F500F">
              <w:rPr>
                <w:sz w:val="16"/>
                <w:szCs w:val="16"/>
              </w:rPr>
              <w:t xml:space="preserve"> A Child 13-15</w:t>
            </w:r>
          </w:p>
        </w:tc>
        <w:tc>
          <w:tcPr>
            <w:tcW w:w="944" w:type="dxa"/>
            <w:tcMar>
              <w:left w:w="113" w:type="dxa"/>
              <w:right w:w="113" w:type="dxa"/>
            </w:tcMar>
          </w:tcPr>
          <w:p w14:paraId="7AC6AAD9" w14:textId="77777777" w:rsidR="005F4DF5" w:rsidRPr="003F500F" w:rsidRDefault="005F4DF5" w:rsidP="00966B12">
            <w:pPr>
              <w:pStyle w:val="TableBody"/>
              <w:jc w:val="center"/>
              <w:rPr>
                <w:sz w:val="16"/>
                <w:szCs w:val="16"/>
              </w:rPr>
            </w:pPr>
            <w:proofErr w:type="spellStart"/>
            <w:r w:rsidRPr="003F500F">
              <w:rPr>
                <w:sz w:val="16"/>
                <w:szCs w:val="16"/>
              </w:rPr>
              <w:t>FTB</w:t>
            </w:r>
            <w:proofErr w:type="spellEnd"/>
            <w:r w:rsidRPr="003F500F">
              <w:rPr>
                <w:sz w:val="16"/>
                <w:szCs w:val="16"/>
              </w:rPr>
              <w:t xml:space="preserve"> B</w:t>
            </w:r>
          </w:p>
        </w:tc>
        <w:tc>
          <w:tcPr>
            <w:tcW w:w="944" w:type="dxa"/>
            <w:tcMar>
              <w:left w:w="113" w:type="dxa"/>
              <w:right w:w="113" w:type="dxa"/>
            </w:tcMar>
          </w:tcPr>
          <w:p w14:paraId="32953AF9" w14:textId="77777777" w:rsidR="005F4DF5" w:rsidRPr="003F500F" w:rsidRDefault="005F4DF5" w:rsidP="00966B12">
            <w:pPr>
              <w:pStyle w:val="TableBody"/>
              <w:jc w:val="center"/>
              <w:rPr>
                <w:sz w:val="16"/>
                <w:szCs w:val="16"/>
              </w:rPr>
            </w:pPr>
            <w:r w:rsidRPr="003F500F">
              <w:rPr>
                <w:sz w:val="16"/>
                <w:szCs w:val="16"/>
              </w:rPr>
              <w:t>Pharmaceutical Benefit</w:t>
            </w:r>
          </w:p>
        </w:tc>
        <w:tc>
          <w:tcPr>
            <w:tcW w:w="944" w:type="dxa"/>
            <w:tcMar>
              <w:left w:w="113" w:type="dxa"/>
              <w:right w:w="113" w:type="dxa"/>
            </w:tcMar>
          </w:tcPr>
          <w:p w14:paraId="22042AEA" w14:textId="77777777" w:rsidR="005F4DF5" w:rsidRPr="003F500F" w:rsidRDefault="005F4DF5" w:rsidP="00966B12">
            <w:pPr>
              <w:pStyle w:val="TableBody"/>
              <w:jc w:val="center"/>
              <w:rPr>
                <w:sz w:val="16"/>
                <w:szCs w:val="16"/>
              </w:rPr>
            </w:pPr>
            <w:r w:rsidRPr="003F500F">
              <w:rPr>
                <w:sz w:val="16"/>
                <w:szCs w:val="16"/>
              </w:rPr>
              <w:t>Total</w:t>
            </w:r>
          </w:p>
        </w:tc>
      </w:tr>
      <w:tr w:rsidR="005F4DF5" w14:paraId="02DE7C79" w14:textId="77777777" w:rsidTr="00D674E1">
        <w:tc>
          <w:tcPr>
            <w:tcW w:w="943" w:type="dxa"/>
            <w:tcMar>
              <w:left w:w="113" w:type="dxa"/>
              <w:right w:w="113" w:type="dxa"/>
            </w:tcMar>
          </w:tcPr>
          <w:p w14:paraId="349009EA" w14:textId="77777777" w:rsidR="005F4DF5" w:rsidRPr="003F500F" w:rsidRDefault="005F4DF5" w:rsidP="00014A98">
            <w:pPr>
              <w:pStyle w:val="TableBody"/>
              <w:rPr>
                <w:sz w:val="16"/>
                <w:szCs w:val="16"/>
              </w:rPr>
            </w:pPr>
            <w:r w:rsidRPr="003F500F">
              <w:rPr>
                <w:sz w:val="16"/>
                <w:szCs w:val="16"/>
              </w:rPr>
              <w:t>Age pension, single</w:t>
            </w:r>
          </w:p>
        </w:tc>
        <w:tc>
          <w:tcPr>
            <w:tcW w:w="944" w:type="dxa"/>
            <w:tcMar>
              <w:left w:w="113" w:type="dxa"/>
              <w:right w:w="113" w:type="dxa"/>
            </w:tcMar>
          </w:tcPr>
          <w:p w14:paraId="14D91A0C" w14:textId="223BCB7A" w:rsidR="005F4DF5" w:rsidRPr="00EA04CE" w:rsidRDefault="005F4DF5" w:rsidP="00014A98">
            <w:pPr>
              <w:pStyle w:val="TableBody"/>
              <w:jc w:val="right"/>
              <w:rPr>
                <w:sz w:val="16"/>
                <w:szCs w:val="16"/>
              </w:rPr>
            </w:pPr>
            <w:r w:rsidRPr="00EA04CE">
              <w:rPr>
                <w:sz w:val="16"/>
                <w:szCs w:val="16"/>
              </w:rPr>
              <w:t>$</w:t>
            </w:r>
            <w:r w:rsidR="005E1F65">
              <w:rPr>
                <w:sz w:val="16"/>
                <w:szCs w:val="16"/>
              </w:rPr>
              <w:t>417.20</w:t>
            </w:r>
          </w:p>
        </w:tc>
        <w:tc>
          <w:tcPr>
            <w:tcW w:w="944" w:type="dxa"/>
            <w:tcMar>
              <w:left w:w="113" w:type="dxa"/>
              <w:right w:w="113" w:type="dxa"/>
            </w:tcMar>
          </w:tcPr>
          <w:p w14:paraId="67C8EF23" w14:textId="289C6340" w:rsidR="005F4DF5" w:rsidRPr="00EA04CE" w:rsidRDefault="005F4DF5" w:rsidP="00014A98">
            <w:pPr>
              <w:pStyle w:val="TableBody"/>
              <w:jc w:val="right"/>
              <w:rPr>
                <w:sz w:val="16"/>
                <w:szCs w:val="16"/>
              </w:rPr>
            </w:pPr>
            <w:r w:rsidRPr="00EA04CE">
              <w:rPr>
                <w:sz w:val="16"/>
                <w:szCs w:val="16"/>
              </w:rPr>
              <w:t>$</w:t>
            </w:r>
            <w:r w:rsidR="00E72758">
              <w:rPr>
                <w:sz w:val="16"/>
                <w:szCs w:val="16"/>
              </w:rPr>
              <w:t>33.90</w:t>
            </w:r>
          </w:p>
        </w:tc>
        <w:tc>
          <w:tcPr>
            <w:tcW w:w="944" w:type="dxa"/>
            <w:tcMar>
              <w:left w:w="113" w:type="dxa"/>
              <w:right w:w="113" w:type="dxa"/>
            </w:tcMar>
          </w:tcPr>
          <w:p w14:paraId="228AF512" w14:textId="77777777" w:rsidR="005F4DF5" w:rsidRPr="00EA04CE" w:rsidRDefault="005F4DF5" w:rsidP="00014A98">
            <w:pPr>
              <w:pStyle w:val="TableBody"/>
              <w:jc w:val="right"/>
              <w:rPr>
                <w:sz w:val="16"/>
                <w:szCs w:val="16"/>
              </w:rPr>
            </w:pPr>
            <w:r w:rsidRPr="00EA04CE">
              <w:rPr>
                <w:sz w:val="16"/>
                <w:szCs w:val="16"/>
              </w:rPr>
              <w:t>$7.05</w:t>
            </w:r>
          </w:p>
        </w:tc>
        <w:tc>
          <w:tcPr>
            <w:tcW w:w="943" w:type="dxa"/>
            <w:tcMar>
              <w:left w:w="113" w:type="dxa"/>
              <w:right w:w="113" w:type="dxa"/>
            </w:tcMar>
          </w:tcPr>
          <w:p w14:paraId="47E887D5" w14:textId="77777777" w:rsidR="005F4DF5" w:rsidRPr="00EA04CE" w:rsidRDefault="005F4DF5" w:rsidP="00014A98">
            <w:pPr>
              <w:pStyle w:val="TableBody"/>
              <w:jc w:val="right"/>
              <w:rPr>
                <w:sz w:val="16"/>
                <w:szCs w:val="16"/>
              </w:rPr>
            </w:pPr>
            <w:r>
              <w:rPr>
                <w:sz w:val="16"/>
                <w:szCs w:val="16"/>
              </w:rPr>
              <w:t>-</w:t>
            </w:r>
          </w:p>
        </w:tc>
        <w:tc>
          <w:tcPr>
            <w:tcW w:w="944" w:type="dxa"/>
            <w:tcMar>
              <w:left w:w="113" w:type="dxa"/>
              <w:right w:w="113" w:type="dxa"/>
            </w:tcMar>
          </w:tcPr>
          <w:p w14:paraId="3EAFDD7B" w14:textId="77777777" w:rsidR="005F4DF5" w:rsidRPr="00EA04CE" w:rsidRDefault="005F4DF5" w:rsidP="00014A98">
            <w:pPr>
              <w:pStyle w:val="TableBody"/>
              <w:jc w:val="right"/>
              <w:rPr>
                <w:sz w:val="16"/>
                <w:szCs w:val="16"/>
              </w:rPr>
            </w:pPr>
            <w:r>
              <w:rPr>
                <w:sz w:val="16"/>
                <w:szCs w:val="16"/>
              </w:rPr>
              <w:t>-</w:t>
            </w:r>
          </w:p>
        </w:tc>
        <w:tc>
          <w:tcPr>
            <w:tcW w:w="944" w:type="dxa"/>
            <w:tcMar>
              <w:left w:w="113" w:type="dxa"/>
              <w:right w:w="113" w:type="dxa"/>
            </w:tcMar>
          </w:tcPr>
          <w:p w14:paraId="7BD08F1F" w14:textId="77777777" w:rsidR="005F4DF5" w:rsidRPr="00EA04CE" w:rsidRDefault="005F4DF5" w:rsidP="00014A98">
            <w:pPr>
              <w:pStyle w:val="TableBody"/>
              <w:jc w:val="right"/>
              <w:rPr>
                <w:sz w:val="16"/>
                <w:szCs w:val="16"/>
              </w:rPr>
            </w:pPr>
            <w:r>
              <w:rPr>
                <w:sz w:val="16"/>
                <w:szCs w:val="16"/>
              </w:rPr>
              <w:t>-</w:t>
            </w:r>
          </w:p>
        </w:tc>
        <w:tc>
          <w:tcPr>
            <w:tcW w:w="944" w:type="dxa"/>
            <w:tcMar>
              <w:left w:w="113" w:type="dxa"/>
              <w:right w:w="113" w:type="dxa"/>
            </w:tcMar>
          </w:tcPr>
          <w:p w14:paraId="0B0F977E" w14:textId="77777777" w:rsidR="005F4DF5" w:rsidRPr="00EA04CE" w:rsidRDefault="005F4DF5" w:rsidP="00014A98">
            <w:pPr>
              <w:pStyle w:val="TableBody"/>
              <w:jc w:val="right"/>
              <w:rPr>
                <w:sz w:val="16"/>
                <w:szCs w:val="16"/>
              </w:rPr>
            </w:pPr>
            <w:r>
              <w:rPr>
                <w:sz w:val="16"/>
                <w:szCs w:val="16"/>
              </w:rPr>
              <w:t>-</w:t>
            </w:r>
          </w:p>
        </w:tc>
        <w:tc>
          <w:tcPr>
            <w:tcW w:w="944" w:type="dxa"/>
            <w:tcMar>
              <w:left w:w="113" w:type="dxa"/>
              <w:right w:w="113" w:type="dxa"/>
            </w:tcMar>
          </w:tcPr>
          <w:p w14:paraId="703380BB" w14:textId="4077CE58" w:rsidR="005F4DF5" w:rsidRPr="00EA04CE" w:rsidRDefault="005F4DF5" w:rsidP="00014A98">
            <w:pPr>
              <w:pStyle w:val="TableBody"/>
              <w:jc w:val="right"/>
              <w:rPr>
                <w:sz w:val="16"/>
                <w:szCs w:val="16"/>
              </w:rPr>
            </w:pPr>
            <w:r w:rsidRPr="00EA04CE">
              <w:rPr>
                <w:sz w:val="16"/>
                <w:szCs w:val="16"/>
              </w:rPr>
              <w:t>$</w:t>
            </w:r>
            <w:r w:rsidR="00573198" w:rsidRPr="00573198">
              <w:rPr>
                <w:sz w:val="16"/>
                <w:szCs w:val="16"/>
              </w:rPr>
              <w:t>458.15</w:t>
            </w:r>
          </w:p>
        </w:tc>
      </w:tr>
      <w:tr w:rsidR="005F4DF5" w14:paraId="77A7A6E4" w14:textId="77777777" w:rsidTr="00D674E1">
        <w:tc>
          <w:tcPr>
            <w:tcW w:w="943" w:type="dxa"/>
            <w:tcMar>
              <w:left w:w="113" w:type="dxa"/>
              <w:right w:w="113" w:type="dxa"/>
            </w:tcMar>
          </w:tcPr>
          <w:p w14:paraId="2C59EF39" w14:textId="77777777" w:rsidR="005F4DF5" w:rsidRPr="003F500F" w:rsidRDefault="005F4DF5" w:rsidP="00014A98">
            <w:pPr>
              <w:pStyle w:val="TableBody"/>
              <w:rPr>
                <w:sz w:val="16"/>
                <w:szCs w:val="16"/>
              </w:rPr>
            </w:pPr>
            <w:r w:rsidRPr="003F500F">
              <w:rPr>
                <w:sz w:val="16"/>
                <w:szCs w:val="16"/>
              </w:rPr>
              <w:t>Newstart, single, no children</w:t>
            </w:r>
          </w:p>
        </w:tc>
        <w:tc>
          <w:tcPr>
            <w:tcW w:w="944" w:type="dxa"/>
            <w:tcMar>
              <w:left w:w="113" w:type="dxa"/>
              <w:right w:w="113" w:type="dxa"/>
            </w:tcMar>
          </w:tcPr>
          <w:p w14:paraId="113B1935" w14:textId="1E897A63" w:rsidR="005F4DF5" w:rsidRPr="00EA04CE" w:rsidRDefault="005F4DF5" w:rsidP="00014A98">
            <w:pPr>
              <w:pStyle w:val="TableBody"/>
              <w:jc w:val="right"/>
              <w:rPr>
                <w:sz w:val="16"/>
                <w:szCs w:val="16"/>
              </w:rPr>
            </w:pPr>
            <w:r w:rsidRPr="00EA04CE">
              <w:rPr>
                <w:sz w:val="16"/>
                <w:szCs w:val="16"/>
              </w:rPr>
              <w:t>$</w:t>
            </w:r>
            <w:r w:rsidR="001E62B3">
              <w:rPr>
                <w:sz w:val="16"/>
                <w:szCs w:val="16"/>
              </w:rPr>
              <w:t>275.10</w:t>
            </w:r>
          </w:p>
        </w:tc>
        <w:tc>
          <w:tcPr>
            <w:tcW w:w="944" w:type="dxa"/>
            <w:tcMar>
              <w:left w:w="113" w:type="dxa"/>
              <w:right w:w="113" w:type="dxa"/>
            </w:tcMar>
          </w:tcPr>
          <w:p w14:paraId="2342B2EA" w14:textId="77777777" w:rsidR="005F4DF5" w:rsidRPr="00EA04CE" w:rsidRDefault="005F4DF5" w:rsidP="00014A98">
            <w:pPr>
              <w:pStyle w:val="TableBody"/>
              <w:jc w:val="right"/>
              <w:rPr>
                <w:sz w:val="16"/>
                <w:szCs w:val="16"/>
              </w:rPr>
            </w:pPr>
            <w:r>
              <w:rPr>
                <w:sz w:val="16"/>
                <w:szCs w:val="16"/>
              </w:rPr>
              <w:t>-</w:t>
            </w:r>
          </w:p>
        </w:tc>
        <w:tc>
          <w:tcPr>
            <w:tcW w:w="944" w:type="dxa"/>
            <w:tcMar>
              <w:left w:w="113" w:type="dxa"/>
              <w:right w:w="113" w:type="dxa"/>
            </w:tcMar>
          </w:tcPr>
          <w:p w14:paraId="50D67860" w14:textId="77777777" w:rsidR="005F4DF5" w:rsidRPr="00EA04CE" w:rsidRDefault="005F4DF5" w:rsidP="00014A98">
            <w:pPr>
              <w:pStyle w:val="TableBody"/>
              <w:jc w:val="right"/>
              <w:rPr>
                <w:sz w:val="16"/>
                <w:szCs w:val="16"/>
              </w:rPr>
            </w:pPr>
            <w:r w:rsidRPr="00EA04CE">
              <w:rPr>
                <w:sz w:val="16"/>
                <w:szCs w:val="16"/>
              </w:rPr>
              <w:t>$4.40</w:t>
            </w:r>
          </w:p>
        </w:tc>
        <w:tc>
          <w:tcPr>
            <w:tcW w:w="943" w:type="dxa"/>
            <w:tcMar>
              <w:left w:w="113" w:type="dxa"/>
              <w:right w:w="113" w:type="dxa"/>
            </w:tcMar>
          </w:tcPr>
          <w:p w14:paraId="4ED4CBA6" w14:textId="77777777" w:rsidR="005F4DF5" w:rsidRPr="00EA04CE" w:rsidRDefault="005F4DF5" w:rsidP="00014A98">
            <w:pPr>
              <w:pStyle w:val="TableBody"/>
              <w:jc w:val="right"/>
              <w:rPr>
                <w:sz w:val="16"/>
                <w:szCs w:val="16"/>
              </w:rPr>
            </w:pPr>
            <w:r>
              <w:rPr>
                <w:sz w:val="16"/>
                <w:szCs w:val="16"/>
              </w:rPr>
              <w:t>-</w:t>
            </w:r>
          </w:p>
        </w:tc>
        <w:tc>
          <w:tcPr>
            <w:tcW w:w="944" w:type="dxa"/>
            <w:tcMar>
              <w:left w:w="113" w:type="dxa"/>
              <w:right w:w="113" w:type="dxa"/>
            </w:tcMar>
          </w:tcPr>
          <w:p w14:paraId="549571CD" w14:textId="77777777" w:rsidR="005F4DF5" w:rsidRPr="00EA04CE" w:rsidRDefault="005F4DF5" w:rsidP="00014A98">
            <w:pPr>
              <w:pStyle w:val="TableBody"/>
              <w:jc w:val="right"/>
              <w:rPr>
                <w:sz w:val="16"/>
                <w:szCs w:val="16"/>
              </w:rPr>
            </w:pPr>
            <w:r>
              <w:rPr>
                <w:sz w:val="16"/>
                <w:szCs w:val="16"/>
              </w:rPr>
              <w:t>-</w:t>
            </w:r>
          </w:p>
        </w:tc>
        <w:tc>
          <w:tcPr>
            <w:tcW w:w="944" w:type="dxa"/>
            <w:tcMar>
              <w:left w:w="113" w:type="dxa"/>
              <w:right w:w="113" w:type="dxa"/>
            </w:tcMar>
          </w:tcPr>
          <w:p w14:paraId="043B9ECB" w14:textId="77777777" w:rsidR="005F4DF5" w:rsidRPr="00EA04CE" w:rsidRDefault="005F4DF5" w:rsidP="00014A98">
            <w:pPr>
              <w:pStyle w:val="TableBody"/>
              <w:jc w:val="right"/>
              <w:rPr>
                <w:sz w:val="16"/>
                <w:szCs w:val="16"/>
              </w:rPr>
            </w:pPr>
            <w:r>
              <w:rPr>
                <w:sz w:val="16"/>
                <w:szCs w:val="16"/>
              </w:rPr>
              <w:t>-</w:t>
            </w:r>
          </w:p>
        </w:tc>
        <w:tc>
          <w:tcPr>
            <w:tcW w:w="944" w:type="dxa"/>
            <w:tcMar>
              <w:left w:w="113" w:type="dxa"/>
              <w:right w:w="113" w:type="dxa"/>
            </w:tcMar>
          </w:tcPr>
          <w:p w14:paraId="7E4772A3" w14:textId="77777777" w:rsidR="005F4DF5" w:rsidRPr="00EA04CE" w:rsidRDefault="005F4DF5" w:rsidP="00014A98">
            <w:pPr>
              <w:pStyle w:val="TableBody"/>
              <w:jc w:val="right"/>
              <w:rPr>
                <w:sz w:val="16"/>
                <w:szCs w:val="16"/>
              </w:rPr>
            </w:pPr>
            <w:r>
              <w:rPr>
                <w:sz w:val="16"/>
                <w:szCs w:val="16"/>
              </w:rPr>
              <w:t>-</w:t>
            </w:r>
          </w:p>
        </w:tc>
        <w:tc>
          <w:tcPr>
            <w:tcW w:w="944" w:type="dxa"/>
            <w:tcMar>
              <w:left w:w="113" w:type="dxa"/>
              <w:right w:w="113" w:type="dxa"/>
            </w:tcMar>
          </w:tcPr>
          <w:p w14:paraId="1605CD74" w14:textId="020BCB03" w:rsidR="005F4DF5" w:rsidRPr="00EA04CE" w:rsidRDefault="005F4DF5" w:rsidP="00014A98">
            <w:pPr>
              <w:pStyle w:val="TableBody"/>
              <w:jc w:val="right"/>
              <w:rPr>
                <w:sz w:val="16"/>
                <w:szCs w:val="16"/>
              </w:rPr>
            </w:pPr>
            <w:r w:rsidRPr="00EA04CE">
              <w:rPr>
                <w:sz w:val="16"/>
                <w:szCs w:val="16"/>
              </w:rPr>
              <w:t>$</w:t>
            </w:r>
            <w:r w:rsidR="00573198" w:rsidRPr="00573198">
              <w:rPr>
                <w:sz w:val="16"/>
                <w:szCs w:val="16"/>
              </w:rPr>
              <w:t>279.50</w:t>
            </w:r>
          </w:p>
        </w:tc>
      </w:tr>
      <w:tr w:rsidR="005F4DF5" w14:paraId="3BF3B985" w14:textId="77777777" w:rsidTr="00D674E1">
        <w:tc>
          <w:tcPr>
            <w:tcW w:w="943" w:type="dxa"/>
            <w:tcMar>
              <w:left w:w="113" w:type="dxa"/>
              <w:right w:w="113" w:type="dxa"/>
            </w:tcMar>
          </w:tcPr>
          <w:p w14:paraId="75BA6B2A" w14:textId="77777777" w:rsidR="005F4DF5" w:rsidRPr="003F500F" w:rsidRDefault="005F4DF5" w:rsidP="00014A98">
            <w:pPr>
              <w:pStyle w:val="TableBody"/>
              <w:rPr>
                <w:sz w:val="16"/>
                <w:szCs w:val="16"/>
              </w:rPr>
            </w:pPr>
            <w:r w:rsidRPr="003F500F">
              <w:rPr>
                <w:sz w:val="16"/>
                <w:szCs w:val="16"/>
              </w:rPr>
              <w:t>Newstart, single, 2 children</w:t>
            </w:r>
          </w:p>
        </w:tc>
        <w:tc>
          <w:tcPr>
            <w:tcW w:w="944" w:type="dxa"/>
            <w:tcMar>
              <w:left w:w="113" w:type="dxa"/>
              <w:right w:w="113" w:type="dxa"/>
            </w:tcMar>
          </w:tcPr>
          <w:p w14:paraId="0BAE31A8" w14:textId="29EE8A07" w:rsidR="005F4DF5" w:rsidRPr="00EA04CE" w:rsidRDefault="005F4DF5" w:rsidP="00014A98">
            <w:pPr>
              <w:pStyle w:val="TableBody"/>
              <w:jc w:val="right"/>
              <w:rPr>
                <w:sz w:val="16"/>
                <w:szCs w:val="16"/>
              </w:rPr>
            </w:pPr>
            <w:r w:rsidRPr="00EA04CE">
              <w:rPr>
                <w:sz w:val="16"/>
                <w:szCs w:val="16"/>
              </w:rPr>
              <w:t>$</w:t>
            </w:r>
            <w:r w:rsidR="001E62B3">
              <w:rPr>
                <w:sz w:val="16"/>
                <w:szCs w:val="16"/>
              </w:rPr>
              <w:t>297.55</w:t>
            </w:r>
          </w:p>
        </w:tc>
        <w:tc>
          <w:tcPr>
            <w:tcW w:w="944" w:type="dxa"/>
            <w:tcMar>
              <w:left w:w="113" w:type="dxa"/>
              <w:right w:w="113" w:type="dxa"/>
            </w:tcMar>
          </w:tcPr>
          <w:p w14:paraId="34B3B633" w14:textId="77777777" w:rsidR="005F4DF5" w:rsidRPr="00EA04CE" w:rsidRDefault="005F4DF5" w:rsidP="00014A98">
            <w:pPr>
              <w:pStyle w:val="TableBody"/>
              <w:jc w:val="right"/>
              <w:rPr>
                <w:sz w:val="16"/>
                <w:szCs w:val="16"/>
              </w:rPr>
            </w:pPr>
            <w:r>
              <w:rPr>
                <w:sz w:val="16"/>
                <w:szCs w:val="16"/>
              </w:rPr>
              <w:t>-</w:t>
            </w:r>
          </w:p>
        </w:tc>
        <w:tc>
          <w:tcPr>
            <w:tcW w:w="944" w:type="dxa"/>
            <w:tcMar>
              <w:left w:w="113" w:type="dxa"/>
              <w:right w:w="113" w:type="dxa"/>
            </w:tcMar>
          </w:tcPr>
          <w:p w14:paraId="6D6196E5" w14:textId="77777777" w:rsidR="005F4DF5" w:rsidRPr="00EA04CE" w:rsidRDefault="005F4DF5" w:rsidP="00014A98">
            <w:pPr>
              <w:pStyle w:val="TableBody"/>
              <w:jc w:val="right"/>
              <w:rPr>
                <w:sz w:val="16"/>
                <w:szCs w:val="16"/>
              </w:rPr>
            </w:pPr>
            <w:r w:rsidRPr="00EA04CE">
              <w:rPr>
                <w:sz w:val="16"/>
                <w:szCs w:val="16"/>
              </w:rPr>
              <w:t>$9.72</w:t>
            </w:r>
          </w:p>
        </w:tc>
        <w:tc>
          <w:tcPr>
            <w:tcW w:w="943" w:type="dxa"/>
            <w:tcMar>
              <w:left w:w="113" w:type="dxa"/>
              <w:right w:w="113" w:type="dxa"/>
            </w:tcMar>
          </w:tcPr>
          <w:p w14:paraId="53E6BD43" w14:textId="77777777" w:rsidR="005F4DF5" w:rsidRPr="00EA04CE" w:rsidRDefault="005F4DF5" w:rsidP="00014A98">
            <w:pPr>
              <w:pStyle w:val="TableBody"/>
              <w:jc w:val="right"/>
              <w:rPr>
                <w:sz w:val="16"/>
                <w:szCs w:val="16"/>
              </w:rPr>
            </w:pPr>
            <w:r w:rsidRPr="00EA04CE">
              <w:rPr>
                <w:sz w:val="16"/>
                <w:szCs w:val="16"/>
              </w:rPr>
              <w:t>$91.42</w:t>
            </w:r>
          </w:p>
        </w:tc>
        <w:tc>
          <w:tcPr>
            <w:tcW w:w="944" w:type="dxa"/>
            <w:tcMar>
              <w:left w:w="113" w:type="dxa"/>
              <w:right w:w="113" w:type="dxa"/>
            </w:tcMar>
          </w:tcPr>
          <w:p w14:paraId="55F786BC" w14:textId="77777777" w:rsidR="005F4DF5" w:rsidRPr="00EA04CE" w:rsidRDefault="005F4DF5" w:rsidP="00014A98">
            <w:pPr>
              <w:pStyle w:val="TableBody"/>
              <w:jc w:val="right"/>
              <w:rPr>
                <w:sz w:val="16"/>
                <w:szCs w:val="16"/>
              </w:rPr>
            </w:pPr>
            <w:r w:rsidRPr="00EA04CE">
              <w:rPr>
                <w:sz w:val="16"/>
                <w:szCs w:val="16"/>
              </w:rPr>
              <w:t>$118.93</w:t>
            </w:r>
          </w:p>
        </w:tc>
        <w:tc>
          <w:tcPr>
            <w:tcW w:w="944" w:type="dxa"/>
            <w:tcMar>
              <w:left w:w="113" w:type="dxa"/>
              <w:right w:w="113" w:type="dxa"/>
            </w:tcMar>
          </w:tcPr>
          <w:p w14:paraId="13F8BA82" w14:textId="77777777" w:rsidR="005F4DF5" w:rsidRPr="00EA04CE" w:rsidRDefault="005F4DF5" w:rsidP="00014A98">
            <w:pPr>
              <w:pStyle w:val="TableBody"/>
              <w:jc w:val="right"/>
              <w:rPr>
                <w:sz w:val="16"/>
                <w:szCs w:val="16"/>
              </w:rPr>
            </w:pPr>
            <w:r w:rsidRPr="00EA04CE">
              <w:rPr>
                <w:sz w:val="16"/>
                <w:szCs w:val="16"/>
              </w:rPr>
              <w:t>$54.32</w:t>
            </w:r>
          </w:p>
        </w:tc>
        <w:tc>
          <w:tcPr>
            <w:tcW w:w="944" w:type="dxa"/>
            <w:tcMar>
              <w:left w:w="113" w:type="dxa"/>
              <w:right w:w="113" w:type="dxa"/>
            </w:tcMar>
          </w:tcPr>
          <w:p w14:paraId="4817C965" w14:textId="77777777" w:rsidR="005F4DF5" w:rsidRPr="00EA04CE" w:rsidRDefault="005F4DF5" w:rsidP="00014A98">
            <w:pPr>
              <w:pStyle w:val="TableBody"/>
              <w:jc w:val="right"/>
              <w:rPr>
                <w:sz w:val="16"/>
                <w:szCs w:val="16"/>
              </w:rPr>
            </w:pPr>
            <w:r w:rsidRPr="00EA04CE">
              <w:rPr>
                <w:sz w:val="16"/>
                <w:szCs w:val="16"/>
              </w:rPr>
              <w:t>$1.55</w:t>
            </w:r>
          </w:p>
        </w:tc>
        <w:tc>
          <w:tcPr>
            <w:tcW w:w="944" w:type="dxa"/>
            <w:tcMar>
              <w:left w:w="113" w:type="dxa"/>
              <w:right w:w="113" w:type="dxa"/>
            </w:tcMar>
          </w:tcPr>
          <w:p w14:paraId="5395FC0F" w14:textId="7A3D751E" w:rsidR="005F4DF5" w:rsidRPr="00EA04CE" w:rsidRDefault="005F4DF5" w:rsidP="00014A98">
            <w:pPr>
              <w:pStyle w:val="TableBody"/>
              <w:jc w:val="right"/>
              <w:rPr>
                <w:sz w:val="16"/>
                <w:szCs w:val="16"/>
              </w:rPr>
            </w:pPr>
            <w:r w:rsidRPr="00EA04CE">
              <w:rPr>
                <w:sz w:val="16"/>
                <w:szCs w:val="16"/>
              </w:rPr>
              <w:t>$</w:t>
            </w:r>
            <w:r w:rsidR="00573198" w:rsidRPr="00573198">
              <w:rPr>
                <w:sz w:val="16"/>
                <w:szCs w:val="16"/>
              </w:rPr>
              <w:t>573.49</w:t>
            </w:r>
          </w:p>
        </w:tc>
      </w:tr>
      <w:tr w:rsidR="005F4DF5" w14:paraId="1B8F33D9" w14:textId="77777777" w:rsidTr="00D674E1">
        <w:tc>
          <w:tcPr>
            <w:tcW w:w="943" w:type="dxa"/>
            <w:tcMar>
              <w:left w:w="113" w:type="dxa"/>
              <w:right w:w="113" w:type="dxa"/>
            </w:tcMar>
          </w:tcPr>
          <w:p w14:paraId="1020F6A4" w14:textId="77777777" w:rsidR="005F4DF5" w:rsidRPr="003F500F" w:rsidRDefault="005F4DF5" w:rsidP="00014A98">
            <w:pPr>
              <w:pStyle w:val="TableBody"/>
              <w:rPr>
                <w:sz w:val="16"/>
                <w:szCs w:val="16"/>
              </w:rPr>
            </w:pPr>
            <w:r w:rsidRPr="003F500F">
              <w:rPr>
                <w:sz w:val="16"/>
                <w:szCs w:val="16"/>
              </w:rPr>
              <w:t>Youth Allowance, single, no children</w:t>
            </w:r>
          </w:p>
        </w:tc>
        <w:tc>
          <w:tcPr>
            <w:tcW w:w="944" w:type="dxa"/>
            <w:tcMar>
              <w:left w:w="113" w:type="dxa"/>
              <w:right w:w="113" w:type="dxa"/>
            </w:tcMar>
          </w:tcPr>
          <w:p w14:paraId="5BA2A474" w14:textId="0D5A4D61" w:rsidR="005F4DF5" w:rsidRPr="00EA04CE" w:rsidRDefault="005F4DF5" w:rsidP="00014A98">
            <w:pPr>
              <w:pStyle w:val="TableBody"/>
              <w:jc w:val="right"/>
              <w:rPr>
                <w:sz w:val="16"/>
                <w:szCs w:val="16"/>
              </w:rPr>
            </w:pPr>
            <w:r w:rsidRPr="00EA04CE">
              <w:rPr>
                <w:sz w:val="16"/>
                <w:szCs w:val="16"/>
              </w:rPr>
              <w:t>$</w:t>
            </w:r>
            <w:r w:rsidR="00BC3C7A">
              <w:rPr>
                <w:sz w:val="16"/>
                <w:szCs w:val="16"/>
              </w:rPr>
              <w:t>222.90</w:t>
            </w:r>
          </w:p>
        </w:tc>
        <w:tc>
          <w:tcPr>
            <w:tcW w:w="944" w:type="dxa"/>
            <w:tcMar>
              <w:left w:w="113" w:type="dxa"/>
              <w:right w:w="113" w:type="dxa"/>
            </w:tcMar>
          </w:tcPr>
          <w:p w14:paraId="098BDCCC" w14:textId="77777777" w:rsidR="005F4DF5" w:rsidRPr="00EA04CE" w:rsidRDefault="005F4DF5" w:rsidP="00014A98">
            <w:pPr>
              <w:pStyle w:val="TableBody"/>
              <w:jc w:val="right"/>
              <w:rPr>
                <w:sz w:val="16"/>
                <w:szCs w:val="16"/>
              </w:rPr>
            </w:pPr>
            <w:r>
              <w:rPr>
                <w:sz w:val="16"/>
                <w:szCs w:val="16"/>
              </w:rPr>
              <w:t>-</w:t>
            </w:r>
          </w:p>
        </w:tc>
        <w:tc>
          <w:tcPr>
            <w:tcW w:w="944" w:type="dxa"/>
            <w:tcMar>
              <w:left w:w="113" w:type="dxa"/>
              <w:right w:w="113" w:type="dxa"/>
            </w:tcMar>
          </w:tcPr>
          <w:p w14:paraId="55A22BBD" w14:textId="77777777" w:rsidR="005F4DF5" w:rsidRPr="00EA04CE" w:rsidRDefault="005F4DF5" w:rsidP="00014A98">
            <w:pPr>
              <w:pStyle w:val="TableBody"/>
              <w:jc w:val="right"/>
              <w:rPr>
                <w:sz w:val="16"/>
                <w:szCs w:val="16"/>
              </w:rPr>
            </w:pPr>
            <w:r w:rsidRPr="00EA04CE">
              <w:rPr>
                <w:sz w:val="16"/>
                <w:szCs w:val="16"/>
              </w:rPr>
              <w:t>$3.50</w:t>
            </w:r>
          </w:p>
        </w:tc>
        <w:tc>
          <w:tcPr>
            <w:tcW w:w="943" w:type="dxa"/>
            <w:tcMar>
              <w:left w:w="113" w:type="dxa"/>
              <w:right w:w="113" w:type="dxa"/>
            </w:tcMar>
          </w:tcPr>
          <w:p w14:paraId="4974E340" w14:textId="77777777" w:rsidR="005F4DF5" w:rsidRPr="00EA04CE" w:rsidRDefault="005F4DF5" w:rsidP="00014A98">
            <w:pPr>
              <w:pStyle w:val="TableBody"/>
              <w:jc w:val="right"/>
              <w:rPr>
                <w:sz w:val="16"/>
                <w:szCs w:val="16"/>
              </w:rPr>
            </w:pPr>
            <w:r>
              <w:rPr>
                <w:sz w:val="16"/>
                <w:szCs w:val="16"/>
              </w:rPr>
              <w:t>-</w:t>
            </w:r>
          </w:p>
        </w:tc>
        <w:tc>
          <w:tcPr>
            <w:tcW w:w="944" w:type="dxa"/>
            <w:tcMar>
              <w:left w:w="113" w:type="dxa"/>
              <w:right w:w="113" w:type="dxa"/>
            </w:tcMar>
          </w:tcPr>
          <w:p w14:paraId="243EF62D" w14:textId="77777777" w:rsidR="005F4DF5" w:rsidRPr="00EA04CE" w:rsidRDefault="005F4DF5" w:rsidP="00014A98">
            <w:pPr>
              <w:pStyle w:val="TableBody"/>
              <w:jc w:val="right"/>
              <w:rPr>
                <w:sz w:val="16"/>
                <w:szCs w:val="16"/>
              </w:rPr>
            </w:pPr>
            <w:r>
              <w:rPr>
                <w:sz w:val="16"/>
                <w:szCs w:val="16"/>
              </w:rPr>
              <w:t>-</w:t>
            </w:r>
          </w:p>
        </w:tc>
        <w:tc>
          <w:tcPr>
            <w:tcW w:w="944" w:type="dxa"/>
            <w:tcMar>
              <w:left w:w="113" w:type="dxa"/>
              <w:right w:w="113" w:type="dxa"/>
            </w:tcMar>
          </w:tcPr>
          <w:p w14:paraId="1E76F3B7" w14:textId="77777777" w:rsidR="005F4DF5" w:rsidRPr="00EA04CE" w:rsidRDefault="005F4DF5" w:rsidP="00014A98">
            <w:pPr>
              <w:pStyle w:val="TableBody"/>
              <w:jc w:val="right"/>
              <w:rPr>
                <w:sz w:val="16"/>
                <w:szCs w:val="16"/>
              </w:rPr>
            </w:pPr>
            <w:r>
              <w:rPr>
                <w:sz w:val="16"/>
                <w:szCs w:val="16"/>
              </w:rPr>
              <w:t>-</w:t>
            </w:r>
          </w:p>
        </w:tc>
        <w:tc>
          <w:tcPr>
            <w:tcW w:w="944" w:type="dxa"/>
            <w:tcMar>
              <w:left w:w="113" w:type="dxa"/>
              <w:right w:w="113" w:type="dxa"/>
            </w:tcMar>
          </w:tcPr>
          <w:p w14:paraId="54708560" w14:textId="77777777" w:rsidR="005F4DF5" w:rsidRPr="00EA04CE" w:rsidRDefault="005F4DF5" w:rsidP="00014A98">
            <w:pPr>
              <w:pStyle w:val="TableBody"/>
              <w:jc w:val="right"/>
              <w:rPr>
                <w:sz w:val="16"/>
                <w:szCs w:val="16"/>
              </w:rPr>
            </w:pPr>
            <w:r>
              <w:rPr>
                <w:sz w:val="16"/>
                <w:szCs w:val="16"/>
              </w:rPr>
              <w:t>-</w:t>
            </w:r>
          </w:p>
        </w:tc>
        <w:tc>
          <w:tcPr>
            <w:tcW w:w="944" w:type="dxa"/>
            <w:tcMar>
              <w:left w:w="113" w:type="dxa"/>
              <w:right w:w="113" w:type="dxa"/>
            </w:tcMar>
          </w:tcPr>
          <w:p w14:paraId="7BB9A22B" w14:textId="3D6EE5D7" w:rsidR="005F4DF5" w:rsidRPr="00EA04CE" w:rsidRDefault="005F4DF5" w:rsidP="00014A98">
            <w:pPr>
              <w:pStyle w:val="TableBody"/>
              <w:jc w:val="right"/>
              <w:rPr>
                <w:sz w:val="16"/>
                <w:szCs w:val="16"/>
              </w:rPr>
            </w:pPr>
            <w:r w:rsidRPr="00EA04CE">
              <w:rPr>
                <w:sz w:val="16"/>
                <w:szCs w:val="16"/>
              </w:rPr>
              <w:t>$</w:t>
            </w:r>
            <w:r w:rsidR="008E7AFE" w:rsidRPr="008E7AFE">
              <w:rPr>
                <w:sz w:val="16"/>
                <w:szCs w:val="16"/>
              </w:rPr>
              <w:t>226.40</w:t>
            </w:r>
          </w:p>
        </w:tc>
      </w:tr>
    </w:tbl>
    <w:p w14:paraId="78EFA0E8" w14:textId="4DDC6681" w:rsidR="00736D20" w:rsidRDefault="001C78B4" w:rsidP="00D674E1">
      <w:pPr>
        <w:pStyle w:val="Source"/>
      </w:pPr>
      <w:r>
        <w:t xml:space="preserve">Source: Centrelink, </w:t>
      </w:r>
      <w:r w:rsidRPr="00D674E1">
        <w:rPr>
          <w:rStyle w:val="Emphasis"/>
        </w:rPr>
        <w:t>A guide to Australian Government payments 20 September-31 December 2018</w:t>
      </w:r>
      <w:r>
        <w:t>, Canberra, 2018.</w:t>
      </w:r>
    </w:p>
    <w:p w14:paraId="4E636B8D" w14:textId="3BF8B0D5" w:rsidR="00736D20" w:rsidRDefault="00736D20" w:rsidP="000559A1">
      <w:pPr>
        <w:pStyle w:val="Heading2"/>
      </w:pPr>
      <w:bookmarkStart w:id="21" w:name="_Toc7787740"/>
      <w:r>
        <w:t>How Pen</w:t>
      </w:r>
      <w:r w:rsidR="000559A1">
        <w:t>sion rates are adjusted</w:t>
      </w:r>
      <w:bookmarkEnd w:id="21"/>
    </w:p>
    <w:p w14:paraId="72E28631" w14:textId="77777777" w:rsidR="006A12BE" w:rsidRDefault="006A12BE" w:rsidP="006A12BE">
      <w:pPr>
        <w:pStyle w:val="BodyText"/>
      </w:pPr>
      <w:r>
        <w:t>The following explanation of pension indexation has been extracted from a guide produced by the Parliamentary Library:</w:t>
      </w:r>
    </w:p>
    <w:p w14:paraId="7742EABA" w14:textId="48043147" w:rsidR="006A12BE" w:rsidRDefault="006A12BE" w:rsidP="00A70870">
      <w:pPr>
        <w:pStyle w:val="BlockText"/>
      </w:pPr>
      <w:r>
        <w:t xml:space="preserve">Currently, pensions (including the Age Pension, Service Pension, Disability Support Pension and Carer Payment) are </w:t>
      </w:r>
      <w:hyperlink r:id="rId28" w:history="1">
        <w:r w:rsidRPr="006F4AD0">
          <w:rPr>
            <w:rStyle w:val="Hyperlink"/>
          </w:rPr>
          <w:t>indexed twice each year</w:t>
        </w:r>
      </w:hyperlink>
      <w:r>
        <w:t xml:space="preserve"> by the </w:t>
      </w:r>
      <w:r>
        <w:lastRenderedPageBreak/>
        <w:t xml:space="preserve">greater of the movement in the </w:t>
      </w:r>
      <w:hyperlink r:id="rId29" w:history="1">
        <w:r w:rsidRPr="00A51AD0">
          <w:rPr>
            <w:rStyle w:val="Hyperlink"/>
          </w:rPr>
          <w:t>Consumer Price Index</w:t>
        </w:r>
      </w:hyperlink>
      <w:r>
        <w:t xml:space="preserve"> (CPI) or the </w:t>
      </w:r>
      <w:hyperlink r:id="rId30" w:history="1">
        <w:r w:rsidRPr="002C71DD">
          <w:rPr>
            <w:rStyle w:val="Hyperlink"/>
          </w:rPr>
          <w:t>Pensioner and Beneficiary Living Cost Index</w:t>
        </w:r>
      </w:hyperlink>
      <w:r>
        <w:t xml:space="preserve"> (</w:t>
      </w:r>
      <w:proofErr w:type="spellStart"/>
      <w:r>
        <w:t>PBLCI</w:t>
      </w:r>
      <w:proofErr w:type="spellEnd"/>
      <w:r>
        <w:t xml:space="preserve">). They are then ‘benchmarked’ against a percentage of </w:t>
      </w:r>
      <w:hyperlink r:id="rId31" w:history="1">
        <w:r w:rsidRPr="00D5534C">
          <w:rPr>
            <w:rStyle w:val="Hyperlink"/>
          </w:rPr>
          <w:t>Male Total Average Weekly Earnings</w:t>
        </w:r>
      </w:hyperlink>
      <w:r>
        <w:t xml:space="preserve"> (</w:t>
      </w:r>
      <w:proofErr w:type="spellStart"/>
      <w:r>
        <w:t>MTAWE</w:t>
      </w:r>
      <w:proofErr w:type="spellEnd"/>
      <w:r>
        <w:t xml:space="preserve">). The combined couple rate is benchmarked to 41.76% of </w:t>
      </w:r>
      <w:proofErr w:type="spellStart"/>
      <w:r>
        <w:t>MTAWE</w:t>
      </w:r>
      <w:proofErr w:type="spellEnd"/>
      <w:r>
        <w:t xml:space="preserve">; the single rate of pension is set at 66.33% of the combined couple rate (which is equal to around 27.7% of </w:t>
      </w:r>
      <w:proofErr w:type="spellStart"/>
      <w:r>
        <w:t>MTAWE</w:t>
      </w:r>
      <w:proofErr w:type="spellEnd"/>
      <w:r>
        <w:t xml:space="preserve">). ‘Benchmarked’ means that after it has been indexed, the combined couple rate is checked to see whether it is equal to or higher than 41.76% of </w:t>
      </w:r>
      <w:proofErr w:type="spellStart"/>
      <w:r>
        <w:t>MTAWE</w:t>
      </w:r>
      <w:proofErr w:type="spellEnd"/>
      <w:r>
        <w:t>. If the rate is lower than this percentage, the rates are increased to the appropriate benchmark level.</w:t>
      </w:r>
    </w:p>
    <w:p w14:paraId="7FCD7A77" w14:textId="512E8379" w:rsidR="00112D70" w:rsidRPr="00CA7855" w:rsidRDefault="006A12BE" w:rsidP="00E314FD">
      <w:pPr>
        <w:pStyle w:val="BlockText"/>
      </w:pPr>
      <w:r>
        <w:t xml:space="preserve">The CPI is a measure of changes in the prices paid by households for a fixed basket of goods and services. Indexing pension rates to CPI maintains the real value of pensions over time. The </w:t>
      </w:r>
      <w:proofErr w:type="spellStart"/>
      <w:r>
        <w:t>PBLCI</w:t>
      </w:r>
      <w:proofErr w:type="spellEnd"/>
      <w:r>
        <w:t xml:space="preserve"> measures the effect of changes in prices of the out-of-pocket living expenses experienced by age pensioner and other households whose main source of income is a government payment. The </w:t>
      </w:r>
      <w:proofErr w:type="spellStart"/>
      <w:r>
        <w:t>PBLCI</w:t>
      </w:r>
      <w:proofErr w:type="spellEnd"/>
      <w:r>
        <w:t xml:space="preserve"> is designed to check whether their disposable incomes have kept pace with price changes. The </w:t>
      </w:r>
      <w:proofErr w:type="spellStart"/>
      <w:r>
        <w:t>MTAWE</w:t>
      </w:r>
      <w:proofErr w:type="spellEnd"/>
      <w:r>
        <w:t xml:space="preserve"> benchmark is not intended to maintain the value of the pension relative to costs; it is seen as ensuring pensioners maintain a certain standard of living, relative to the rest of the population.</w:t>
      </w:r>
      <w:r w:rsidR="00241E58">
        <w:rPr>
          <w:rStyle w:val="FootnoteReference"/>
        </w:rPr>
        <w:footnoteReference w:id="29"/>
      </w:r>
    </w:p>
    <w:sectPr w:rsidR="00112D70" w:rsidRPr="00CA7855" w:rsidSect="002C4E3A">
      <w:headerReference w:type="even" r:id="rId32"/>
      <w:headerReference w:type="default" r:id="rId33"/>
      <w:footerReference w:type="even" r:id="rId34"/>
      <w:footerReference w:type="default" r:id="rId35"/>
      <w:headerReference w:type="first" r:id="rId36"/>
      <w:footerReference w:type="first" r:id="rId37"/>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CEBB4" w14:textId="77777777" w:rsidR="008F7836" w:rsidRDefault="008F7836">
      <w:r>
        <w:separator/>
      </w:r>
    </w:p>
  </w:endnote>
  <w:endnote w:type="continuationSeparator" w:id="0">
    <w:p w14:paraId="6E2D6EA2" w14:textId="77777777" w:rsidR="008F7836" w:rsidRDefault="008F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FAAB9" w14:textId="77777777" w:rsidR="00EA04CE" w:rsidRDefault="00EA04CE"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257F27" w14:textId="77777777" w:rsidR="00EA04CE" w:rsidRDefault="00EA0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985CB" w14:textId="3C5444E2" w:rsidR="00EA04CE" w:rsidRDefault="00EA04CE"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403E">
      <w:rPr>
        <w:rStyle w:val="PageNumber"/>
        <w:noProof/>
      </w:rPr>
      <w:t>4</w:t>
    </w:r>
    <w:r>
      <w:rPr>
        <w:rStyle w:val="PageNumber"/>
      </w:rPr>
      <w:fldChar w:fldCharType="end"/>
    </w:r>
  </w:p>
  <w:p w14:paraId="4C0EA0A0" w14:textId="77777777" w:rsidR="00EA04CE" w:rsidRDefault="00EA04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3C655" w14:textId="77777777" w:rsidR="004C5A2E" w:rsidRDefault="004C5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56659" w14:textId="77777777" w:rsidR="008F7836" w:rsidRDefault="008F7836">
      <w:r>
        <w:separator/>
      </w:r>
    </w:p>
  </w:footnote>
  <w:footnote w:type="continuationSeparator" w:id="0">
    <w:p w14:paraId="3408BD09" w14:textId="77777777" w:rsidR="008F7836" w:rsidRDefault="008F7836">
      <w:r>
        <w:continuationSeparator/>
      </w:r>
    </w:p>
  </w:footnote>
  <w:footnote w:id="1">
    <w:p w14:paraId="31B08ADE" w14:textId="12324888" w:rsidR="00DB594F" w:rsidRPr="00DB594F" w:rsidRDefault="00DB594F">
      <w:pPr>
        <w:pStyle w:val="FootnoteText"/>
        <w:rPr>
          <w:lang w:val="en-US"/>
        </w:rPr>
      </w:pPr>
      <w:r w:rsidRPr="000B7836">
        <w:footnoteRef/>
      </w:r>
      <w:r w:rsidRPr="000B7836">
        <w:t xml:space="preserve"> </w:t>
      </w:r>
      <w:r w:rsidR="000B7836">
        <w:tab/>
      </w:r>
      <w:r>
        <w:rPr>
          <w:lang w:val="en-US"/>
        </w:rPr>
        <w:t xml:space="preserve">ACTCOSS, </w:t>
      </w:r>
      <w:r w:rsidRPr="009F4002">
        <w:rPr>
          <w:i/>
          <w:lang w:val="en-US"/>
        </w:rPr>
        <w:t>ACT Budget Priorities 2019-2020</w:t>
      </w:r>
      <w:r w:rsidR="00131C44" w:rsidRPr="009F4002">
        <w:rPr>
          <w:i/>
          <w:lang w:val="en-US"/>
        </w:rPr>
        <w:t>: Community sector priorities</w:t>
      </w:r>
      <w:r w:rsidR="00131C44">
        <w:rPr>
          <w:lang w:val="en-US"/>
        </w:rPr>
        <w:t>, ACTCOSS, Canberra, 2018, viewed 1 May 2019, &lt;</w:t>
      </w:r>
      <w:hyperlink r:id="rId1" w:history="1">
        <w:r w:rsidR="00EE78B9" w:rsidRPr="008C1F3E">
          <w:rPr>
            <w:rStyle w:val="Hyperlink"/>
            <w:lang w:val="en-US"/>
          </w:rPr>
          <w:t>https://www.actcoss.org.au/budgetsub2019-20</w:t>
        </w:r>
      </w:hyperlink>
      <w:r w:rsidR="009F4002">
        <w:rPr>
          <w:lang w:val="en-US"/>
        </w:rPr>
        <w:t xml:space="preserve">&gt;. </w:t>
      </w:r>
    </w:p>
  </w:footnote>
  <w:footnote w:id="2">
    <w:p w14:paraId="74AC4F7D" w14:textId="4F40DCA0" w:rsidR="009F4002" w:rsidRPr="009F4002" w:rsidRDefault="009F4002">
      <w:pPr>
        <w:pStyle w:val="FootnoteText"/>
        <w:rPr>
          <w:lang w:val="en-US"/>
        </w:rPr>
      </w:pPr>
      <w:r w:rsidRPr="000B7836">
        <w:footnoteRef/>
      </w:r>
      <w:r w:rsidRPr="000B7836">
        <w:t xml:space="preserve"> </w:t>
      </w:r>
      <w:r w:rsidR="000B7836">
        <w:tab/>
      </w:r>
      <w:r>
        <w:rPr>
          <w:lang w:val="en-US"/>
        </w:rPr>
        <w:t xml:space="preserve">ACOSS, </w:t>
      </w:r>
      <w:r w:rsidR="0061065A" w:rsidRPr="007917E0">
        <w:rPr>
          <w:i/>
          <w:lang w:val="en-US"/>
        </w:rPr>
        <w:t>Social security priorities for the 2019 Federal Election</w:t>
      </w:r>
      <w:r w:rsidR="0061065A">
        <w:rPr>
          <w:lang w:val="en-US"/>
        </w:rPr>
        <w:t>, ACOSS, Sydney, 2019, viewed 1 May 2019, &lt;</w:t>
      </w:r>
      <w:hyperlink r:id="rId2" w:history="1">
        <w:r w:rsidR="007917E0" w:rsidRPr="00EE78B9">
          <w:rPr>
            <w:rStyle w:val="Hyperlink"/>
            <w:lang w:val="en-US"/>
          </w:rPr>
          <w:t>https://www.acoss.org.au/social-security-priorities-for-the-2019-federal-election/</w:t>
        </w:r>
      </w:hyperlink>
      <w:r w:rsidR="007917E0">
        <w:rPr>
          <w:lang w:val="en-US"/>
        </w:rPr>
        <w:t xml:space="preserve">&gt;. </w:t>
      </w:r>
    </w:p>
  </w:footnote>
  <w:footnote w:id="3">
    <w:p w14:paraId="79E40C07" w14:textId="3E698F44" w:rsidR="00EA04CE" w:rsidRPr="000971A9" w:rsidRDefault="00EA04CE">
      <w:pPr>
        <w:pStyle w:val="FootnoteText"/>
        <w:rPr>
          <w:lang w:val="en-US"/>
        </w:rPr>
      </w:pPr>
      <w:r w:rsidRPr="00FB634E">
        <w:footnoteRef/>
      </w:r>
      <w:r w:rsidRPr="00FB634E">
        <w:t xml:space="preserve"> </w:t>
      </w:r>
      <w:r w:rsidR="00FB634E">
        <w:tab/>
      </w:r>
      <w:r>
        <w:t xml:space="preserve">R </w:t>
      </w:r>
      <w:r>
        <w:t xml:space="preserve">Tanton, R Miranti &amp; Y Vidyattama, </w:t>
      </w:r>
      <w:r w:rsidRPr="00E77345">
        <w:rPr>
          <w:i/>
        </w:rPr>
        <w:t>Hidden disadvantage in the ACT: report for ACT Anti-Poverty Week</w:t>
      </w:r>
      <w:r>
        <w:t>, NATSEM, University of Canberra, Canberra, October 2017, viewed 1 April 2019</w:t>
      </w:r>
      <w:r w:rsidR="001001C0">
        <w:t>,</w:t>
      </w:r>
      <w:r>
        <w:t xml:space="preserve"> &lt;</w:t>
      </w:r>
      <w:hyperlink r:id="rId3" w:history="1">
        <w:r w:rsidRPr="00D91CFE">
          <w:rPr>
            <w:rStyle w:val="Hyperlink"/>
          </w:rPr>
          <w:t>https://www.actcoss.org.au/publications/advocacy-publications/hidden-disadvantage-act-report-anti-poverty-week-2017</w:t>
        </w:r>
      </w:hyperlink>
      <w:r>
        <w:t>&gt;.</w:t>
      </w:r>
    </w:p>
  </w:footnote>
  <w:footnote w:id="4">
    <w:p w14:paraId="7F4CE782" w14:textId="60C2306E" w:rsidR="000F6628" w:rsidRPr="000F6628" w:rsidRDefault="000F6628">
      <w:pPr>
        <w:pStyle w:val="FootnoteText"/>
      </w:pPr>
      <w:r w:rsidRPr="000F6628">
        <w:footnoteRef/>
      </w:r>
      <w:r w:rsidRPr="000F6628">
        <w:t xml:space="preserve"> </w:t>
      </w:r>
      <w:r>
        <w:tab/>
        <w:t>ibid.</w:t>
      </w:r>
    </w:p>
  </w:footnote>
  <w:footnote w:id="5">
    <w:p w14:paraId="03F968E8" w14:textId="29C26F8B" w:rsidR="00EA04CE" w:rsidRPr="0082655A" w:rsidRDefault="00EA04CE">
      <w:pPr>
        <w:pStyle w:val="FootnoteText"/>
        <w:rPr>
          <w:lang w:val="en-US"/>
        </w:rPr>
      </w:pPr>
      <w:r w:rsidRPr="003216DB">
        <w:footnoteRef/>
      </w:r>
      <w:r w:rsidRPr="003216DB">
        <w:t xml:space="preserve"> </w:t>
      </w:r>
      <w:r w:rsidR="003216DB">
        <w:tab/>
      </w:r>
      <w:r>
        <w:rPr>
          <w:lang w:val="en-US"/>
        </w:rPr>
        <w:t xml:space="preserve">E Davidson, </w:t>
      </w:r>
      <w:r w:rsidRPr="003A17F2">
        <w:rPr>
          <w:i/>
          <w:lang w:val="en-US"/>
        </w:rPr>
        <w:t>Hidden disadvantage among women in the ACT</w:t>
      </w:r>
      <w:r>
        <w:rPr>
          <w:lang w:val="en-US"/>
        </w:rPr>
        <w:t>, Women’s Centre for Health Matters, Canberra, June 2018, viewed 1 April 2019, &lt;</w:t>
      </w:r>
      <w:hyperlink r:id="rId4" w:history="1">
        <w:r w:rsidRPr="003216DB">
          <w:rPr>
            <w:rStyle w:val="Hyperlink"/>
            <w:lang w:val="en-US"/>
          </w:rPr>
          <w:t>http://www.wchm.org.au/wp-content/uploads/2018/06/Hidden-disadvantage-among-women-in-the-ACT-final.pdf</w:t>
        </w:r>
      </w:hyperlink>
      <w:r>
        <w:rPr>
          <w:lang w:val="en-US"/>
        </w:rPr>
        <w:t xml:space="preserve">&gt;; ACTCOSS unpublished analysis of ABS 2016 Census of Population and Housing using </w:t>
      </w:r>
      <w:r>
        <w:rPr>
          <w:lang w:val="en-US"/>
        </w:rPr>
        <w:t>TableBuilder</w:t>
      </w:r>
      <w:r w:rsidR="000309B5">
        <w:rPr>
          <w:lang w:val="en-US"/>
        </w:rPr>
        <w:t>.</w:t>
      </w:r>
    </w:p>
  </w:footnote>
  <w:footnote w:id="6">
    <w:p w14:paraId="584DDC45" w14:textId="3E251885" w:rsidR="00EA04CE" w:rsidRPr="00304764" w:rsidRDefault="00EA04CE">
      <w:pPr>
        <w:pStyle w:val="FootnoteText"/>
        <w:rPr>
          <w:lang w:val="en-US"/>
        </w:rPr>
      </w:pPr>
      <w:r w:rsidRPr="000309B5">
        <w:footnoteRef/>
      </w:r>
      <w:r w:rsidRPr="000309B5">
        <w:t xml:space="preserve"> </w:t>
      </w:r>
      <w:r w:rsidR="000309B5">
        <w:tab/>
      </w:r>
      <w:r>
        <w:rPr>
          <w:lang w:val="en-US"/>
        </w:rPr>
        <w:t xml:space="preserve">P Davidson, P Saunders, B Bradbury &amp; M Wong, </w:t>
      </w:r>
      <w:r w:rsidRPr="00E03A75">
        <w:rPr>
          <w:i/>
          <w:lang w:val="en-US"/>
        </w:rPr>
        <w:t>Poverty in Australia, 2018</w:t>
      </w:r>
      <w:r>
        <w:rPr>
          <w:lang w:val="en-US"/>
        </w:rPr>
        <w:t>, ACOSS/UNSW Poverty and Inequality Partnership Report No. 2, ACOSS, Sydney, 2018, p. 12, viewed 1 April 2019, &lt;</w:t>
      </w:r>
      <w:hyperlink r:id="rId5" w:history="1">
        <w:r w:rsidRPr="000309B5">
          <w:rPr>
            <w:rStyle w:val="Hyperlink"/>
            <w:lang w:val="en-US"/>
          </w:rPr>
          <w:t>https://www.acoss.org.au/wp-content/uploads/2018/10/ACOSS_Poverty-in-Australia-Report_Web-Final.pdf</w:t>
        </w:r>
      </w:hyperlink>
      <w:r>
        <w:rPr>
          <w:lang w:val="en-US"/>
        </w:rPr>
        <w:t>&gt;.</w:t>
      </w:r>
    </w:p>
  </w:footnote>
  <w:footnote w:id="7">
    <w:p w14:paraId="786529C6" w14:textId="302A8866" w:rsidR="00EA04CE" w:rsidRPr="007A1420" w:rsidRDefault="00EA04CE">
      <w:pPr>
        <w:pStyle w:val="FootnoteText"/>
        <w:rPr>
          <w:lang w:val="en-US"/>
        </w:rPr>
      </w:pPr>
      <w:r w:rsidRPr="000309B5">
        <w:footnoteRef/>
      </w:r>
      <w:r w:rsidRPr="000309B5">
        <w:t xml:space="preserve"> </w:t>
      </w:r>
      <w:r w:rsidR="000309B5">
        <w:tab/>
      </w:r>
      <w:r>
        <w:rPr>
          <w:lang w:val="en-US"/>
        </w:rPr>
        <w:t>ibid, p. 65; B Bradbury, email, 16 October 2018.</w:t>
      </w:r>
    </w:p>
  </w:footnote>
  <w:footnote w:id="8">
    <w:p w14:paraId="6F395292" w14:textId="62CD8DF9" w:rsidR="00EA04CE" w:rsidRPr="00237E8F" w:rsidRDefault="00EA04CE">
      <w:pPr>
        <w:pStyle w:val="FootnoteText"/>
        <w:rPr>
          <w:lang w:val="en-US"/>
        </w:rPr>
      </w:pPr>
      <w:r w:rsidRPr="000309B5">
        <w:footnoteRef/>
      </w:r>
      <w:r w:rsidRPr="000309B5">
        <w:t xml:space="preserve"> </w:t>
      </w:r>
      <w:r w:rsidR="000309B5">
        <w:tab/>
      </w:r>
      <w:r>
        <w:rPr>
          <w:lang w:val="en-US"/>
        </w:rPr>
        <w:t xml:space="preserve">ACOSS, </w:t>
      </w:r>
      <w:r w:rsidRPr="006B2BBC">
        <w:rPr>
          <w:i/>
          <w:lang w:val="en-US"/>
        </w:rPr>
        <w:t>Policy priorities for the next Australian government: social security</w:t>
      </w:r>
      <w:r>
        <w:rPr>
          <w:lang w:val="en-US"/>
        </w:rPr>
        <w:t>, ACOSS, Sydney, March 2019, viewed 1 April 2019, &lt;</w:t>
      </w:r>
      <w:hyperlink r:id="rId6" w:history="1">
        <w:r w:rsidR="00E542D6" w:rsidRPr="00E542D6">
          <w:rPr>
            <w:rStyle w:val="Hyperlink"/>
            <w:lang w:val="en-US"/>
          </w:rPr>
          <w:t>https://www.acoss.org.au/wp-content/uploads/2019/03/ACOSS-Pre-election-priorities-social-security.pdf</w:t>
        </w:r>
      </w:hyperlink>
      <w:r>
        <w:rPr>
          <w:lang w:val="en-US"/>
        </w:rPr>
        <w:t>&gt;.</w:t>
      </w:r>
    </w:p>
  </w:footnote>
  <w:footnote w:id="9">
    <w:p w14:paraId="65C9FED8" w14:textId="7FB71F78" w:rsidR="00EA04CE" w:rsidRPr="00B50A56" w:rsidRDefault="00EA04CE">
      <w:pPr>
        <w:pStyle w:val="FootnoteText"/>
        <w:rPr>
          <w:lang w:val="en-US"/>
        </w:rPr>
      </w:pPr>
      <w:r w:rsidRPr="00716957">
        <w:footnoteRef/>
      </w:r>
      <w:r w:rsidRPr="00716957">
        <w:t xml:space="preserve"> </w:t>
      </w:r>
      <w:r w:rsidR="00716957">
        <w:tab/>
      </w:r>
      <w:r>
        <w:rPr>
          <w:lang w:val="en-US"/>
        </w:rPr>
        <w:t xml:space="preserve">Department of Social Services, </w:t>
      </w:r>
      <w:r w:rsidRPr="00B645AF">
        <w:rPr>
          <w:i/>
          <w:lang w:val="en-US"/>
        </w:rPr>
        <w:t>DSS Demographics December 2018</w:t>
      </w:r>
      <w:r>
        <w:rPr>
          <w:lang w:val="en-US"/>
        </w:rPr>
        <w:t>, DSS, Canberra, 2019, viewed 1 April 2019, &lt;</w:t>
      </w:r>
      <w:hyperlink r:id="rId7" w:history="1">
        <w:r w:rsidRPr="00716957">
          <w:rPr>
            <w:rStyle w:val="Hyperlink"/>
            <w:lang w:val="en-US"/>
          </w:rPr>
          <w:t>https://data.gov.au/dataset/ds-dga-cff2ae8a-55e4-47db-a66d-e177fe0ac6a0/details?q=dss</w:t>
        </w:r>
      </w:hyperlink>
      <w:r>
        <w:rPr>
          <w:lang w:val="en-US"/>
        </w:rPr>
        <w:t xml:space="preserve">&gt;. </w:t>
      </w:r>
    </w:p>
  </w:footnote>
  <w:footnote w:id="10">
    <w:p w14:paraId="6ABC0F01" w14:textId="2F3F46BD" w:rsidR="00EA04CE" w:rsidRPr="0038221F" w:rsidRDefault="00EA04CE">
      <w:pPr>
        <w:pStyle w:val="FootnoteText"/>
        <w:rPr>
          <w:lang w:val="en-US"/>
        </w:rPr>
      </w:pPr>
      <w:r w:rsidRPr="00716957">
        <w:footnoteRef/>
      </w:r>
      <w:r w:rsidRPr="00716957">
        <w:t xml:space="preserve"> </w:t>
      </w:r>
      <w:r w:rsidR="00716957">
        <w:tab/>
      </w:r>
      <w:r>
        <w:rPr>
          <w:lang w:val="en-US"/>
        </w:rPr>
        <w:t>ibid.</w:t>
      </w:r>
    </w:p>
  </w:footnote>
  <w:footnote w:id="11">
    <w:p w14:paraId="06E5821D" w14:textId="29899C26" w:rsidR="003C7ECB" w:rsidRPr="003C7ECB" w:rsidRDefault="003C7ECB">
      <w:pPr>
        <w:pStyle w:val="FootnoteText"/>
        <w:rPr>
          <w:lang w:val="en-US"/>
        </w:rPr>
      </w:pPr>
      <w:r w:rsidRPr="00716957">
        <w:footnoteRef/>
      </w:r>
      <w:r w:rsidRPr="00716957">
        <w:t xml:space="preserve"> </w:t>
      </w:r>
      <w:r w:rsidR="00716957">
        <w:tab/>
      </w:r>
      <w:r w:rsidR="0005477D">
        <w:rPr>
          <w:lang w:val="en-US"/>
        </w:rPr>
        <w:t>P Davidson et al., op. cit.</w:t>
      </w:r>
    </w:p>
  </w:footnote>
  <w:footnote w:id="12">
    <w:p w14:paraId="47826433" w14:textId="43BEFCCE" w:rsidR="00EA04CE" w:rsidRPr="00742B8C" w:rsidRDefault="00EA04CE">
      <w:pPr>
        <w:pStyle w:val="FootnoteText"/>
        <w:rPr>
          <w:lang w:val="en-US"/>
        </w:rPr>
      </w:pPr>
      <w:r w:rsidRPr="00A83B7E">
        <w:footnoteRef/>
      </w:r>
      <w:r w:rsidRPr="00A83B7E">
        <w:t xml:space="preserve"> </w:t>
      </w:r>
      <w:r w:rsidR="00A83B7E">
        <w:tab/>
      </w:r>
      <w:r>
        <w:rPr>
          <w:lang w:val="en-US"/>
        </w:rPr>
        <w:t xml:space="preserve">ABS, </w:t>
      </w:r>
      <w:r w:rsidRPr="00EE7922">
        <w:rPr>
          <w:i/>
          <w:lang w:val="en-US"/>
        </w:rPr>
        <w:t>Consumer Price Index, Australia, Dec 2018</w:t>
      </w:r>
      <w:r>
        <w:rPr>
          <w:lang w:val="en-US"/>
        </w:rPr>
        <w:t>, cat. no. 6401.0, ABS, Canberra, 2019.</w:t>
      </w:r>
    </w:p>
  </w:footnote>
  <w:footnote w:id="13">
    <w:p w14:paraId="7BABE718" w14:textId="6B593508" w:rsidR="00EA04CE" w:rsidRPr="00C77C23" w:rsidRDefault="00EA04CE">
      <w:pPr>
        <w:pStyle w:val="FootnoteText"/>
        <w:rPr>
          <w:lang w:val="en-US"/>
        </w:rPr>
      </w:pPr>
      <w:r w:rsidRPr="00A83B7E">
        <w:footnoteRef/>
      </w:r>
      <w:r w:rsidRPr="00A83B7E">
        <w:t xml:space="preserve"> </w:t>
      </w:r>
      <w:r w:rsidR="00A83B7E">
        <w:tab/>
      </w:r>
      <w:r>
        <w:rPr>
          <w:lang w:val="en-US"/>
        </w:rPr>
        <w:t xml:space="preserve">See, for example, ‘Petrol prices an outrage and Canberrans deserve better’, </w:t>
      </w:r>
      <w:r w:rsidRPr="00535ECB">
        <w:rPr>
          <w:i/>
          <w:lang w:val="en-US"/>
        </w:rPr>
        <w:t>The Canberra Times</w:t>
      </w:r>
      <w:r>
        <w:rPr>
          <w:lang w:val="en-US"/>
        </w:rPr>
        <w:t>, 20 January 2019, viewed 10 April 2019, &lt;</w:t>
      </w:r>
      <w:hyperlink r:id="rId8" w:history="1">
        <w:r w:rsidRPr="003C76FB">
          <w:rPr>
            <w:rStyle w:val="Hyperlink"/>
            <w:lang w:val="en-US"/>
          </w:rPr>
          <w:t>https://www.canberratimes.com.au/story/5996600/petrol-prices-an-outrage-and-canberrans-deserve-better/</w:t>
        </w:r>
      </w:hyperlink>
      <w:r>
        <w:rPr>
          <w:lang w:val="en-US"/>
        </w:rPr>
        <w:t>&gt;.</w:t>
      </w:r>
    </w:p>
  </w:footnote>
  <w:footnote w:id="14">
    <w:p w14:paraId="351E0C8D" w14:textId="1B1FCE3E" w:rsidR="00EA04CE" w:rsidRPr="0038344C" w:rsidRDefault="00EA04CE" w:rsidP="00010F6D">
      <w:pPr>
        <w:pStyle w:val="FootnoteText"/>
        <w:rPr>
          <w:lang w:val="en-US"/>
        </w:rPr>
      </w:pPr>
      <w:r w:rsidRPr="00A83B7E">
        <w:footnoteRef/>
      </w:r>
      <w:r w:rsidRPr="00A83B7E">
        <w:t xml:space="preserve"> </w:t>
      </w:r>
      <w:r w:rsidR="00A83B7E">
        <w:tab/>
      </w:r>
      <w:r>
        <w:rPr>
          <w:lang w:val="en-US"/>
        </w:rPr>
        <w:t xml:space="preserve">ACTCOSS, </w:t>
      </w:r>
      <w:r w:rsidRPr="00E465C1">
        <w:rPr>
          <w:i/>
          <w:lang w:val="en-US"/>
        </w:rPr>
        <w:t>Submission: Select Committee on Fuel Pricing Inquiry into Fuel Pricing</w:t>
      </w:r>
      <w:r>
        <w:rPr>
          <w:lang w:val="en-US"/>
        </w:rPr>
        <w:t>, ACTCOSS, Canberra, February 2019, viewed 1 April 2019, &lt;</w:t>
      </w:r>
      <w:hyperlink r:id="rId9" w:history="1">
        <w:r w:rsidRPr="003C76FB">
          <w:rPr>
            <w:rStyle w:val="Hyperlink"/>
            <w:lang w:val="en-US"/>
          </w:rPr>
          <w:t>https://www.actcoss.org.au/publications/advocacy-publications/submission-inquiry-fuel-pricing</w:t>
        </w:r>
      </w:hyperlink>
      <w:r>
        <w:rPr>
          <w:lang w:val="en-US"/>
        </w:rPr>
        <w:t xml:space="preserve">&gt;. </w:t>
      </w:r>
    </w:p>
  </w:footnote>
  <w:footnote w:id="15">
    <w:p w14:paraId="21CD3E15" w14:textId="1E33B866" w:rsidR="00FD614E" w:rsidRPr="00670899" w:rsidRDefault="00FD614E" w:rsidP="00FD614E">
      <w:pPr>
        <w:pStyle w:val="FootnoteText"/>
        <w:rPr>
          <w:lang w:val="en-US"/>
        </w:rPr>
      </w:pPr>
      <w:r w:rsidRPr="003C76FB">
        <w:footnoteRef/>
      </w:r>
      <w:r w:rsidRPr="003C76FB">
        <w:t xml:space="preserve"> </w:t>
      </w:r>
      <w:r w:rsidR="003C76FB">
        <w:tab/>
      </w:r>
      <w:r w:rsidRPr="00670899">
        <w:rPr>
          <w:lang w:val="en-US"/>
        </w:rPr>
        <w:t xml:space="preserve">ABS, </w:t>
      </w:r>
      <w:r w:rsidRPr="00670899">
        <w:rPr>
          <w:i/>
          <w:lang w:val="en-US"/>
        </w:rPr>
        <w:t>Consumer Price Index, Australia, Dec 2018</w:t>
      </w:r>
      <w:r w:rsidRPr="00670899">
        <w:rPr>
          <w:lang w:val="en-US"/>
        </w:rPr>
        <w:t>, cat. no. 6401.0, ABS, Canberra, 2019, viewed 12 Feb 2019, &lt;</w:t>
      </w:r>
      <w:hyperlink r:id="rId10" w:history="1">
        <w:r w:rsidRPr="00D02435">
          <w:rPr>
            <w:rStyle w:val="Hyperlink"/>
            <w:lang w:val="en-US"/>
          </w:rPr>
          <w:t>http://www.abs.gov.au/AUSSTATS/abs@.nsf/DetailsPage/6401.0Dec%202018?OpenDocument</w:t>
        </w:r>
      </w:hyperlink>
      <w:r w:rsidRPr="00670899">
        <w:rPr>
          <w:lang w:val="en-US"/>
        </w:rPr>
        <w:t>&gt;.</w:t>
      </w:r>
    </w:p>
  </w:footnote>
  <w:footnote w:id="16">
    <w:p w14:paraId="2AD928E3" w14:textId="7FAC5496" w:rsidR="0049352D" w:rsidRPr="006320B6" w:rsidRDefault="0049352D" w:rsidP="0049352D">
      <w:pPr>
        <w:pStyle w:val="FootnoteText"/>
        <w:rPr>
          <w:lang w:val="en-US"/>
        </w:rPr>
      </w:pPr>
      <w:r w:rsidRPr="00F37994">
        <w:footnoteRef/>
      </w:r>
      <w:r w:rsidRPr="00F37994">
        <w:t xml:space="preserve"> </w:t>
      </w:r>
      <w:r w:rsidR="00F37994">
        <w:tab/>
      </w:r>
      <w:r w:rsidRPr="00371927">
        <w:rPr>
          <w:lang w:val="en-US"/>
        </w:rPr>
        <w:t xml:space="preserve">ACTCOSS, </w:t>
      </w:r>
      <w:r w:rsidRPr="00371927">
        <w:rPr>
          <w:i/>
          <w:lang w:val="en-US"/>
        </w:rPr>
        <w:t>Full data report: ACT cost of living report: transport</w:t>
      </w:r>
      <w:r w:rsidRPr="00371927">
        <w:rPr>
          <w:lang w:val="en-US"/>
        </w:rPr>
        <w:t>, ACTCOSS, Canberra, April 2016, viewed 6 March 2019, p. 48, &lt;</w:t>
      </w:r>
      <w:hyperlink r:id="rId11" w:history="1">
        <w:r w:rsidRPr="00F37994">
          <w:rPr>
            <w:rStyle w:val="Hyperlink"/>
            <w:lang w:val="en-US"/>
          </w:rPr>
          <w:t>https://www.actcoss.org.au/publications/advocacy-publications/act-cost-living-report-transport-2016</w:t>
        </w:r>
      </w:hyperlink>
      <w:r w:rsidRPr="00371927">
        <w:rPr>
          <w:lang w:val="en-US"/>
        </w:rPr>
        <w:t xml:space="preserve">&gt;.  </w:t>
      </w:r>
    </w:p>
  </w:footnote>
  <w:footnote w:id="17">
    <w:p w14:paraId="3138EDD8" w14:textId="5C3BB448" w:rsidR="00867828" w:rsidRPr="00867828" w:rsidRDefault="00867828">
      <w:pPr>
        <w:pStyle w:val="FootnoteText"/>
        <w:rPr>
          <w:lang w:val="en-US"/>
        </w:rPr>
      </w:pPr>
      <w:r w:rsidRPr="000606C1">
        <w:footnoteRef/>
      </w:r>
      <w:r w:rsidRPr="000606C1">
        <w:t xml:space="preserve"> </w:t>
      </w:r>
      <w:r w:rsidR="000606C1">
        <w:tab/>
      </w:r>
      <w:r w:rsidRPr="000606C1">
        <w:t>SACOSS</w:t>
      </w:r>
      <w:r>
        <w:rPr>
          <w:lang w:val="en-US"/>
        </w:rPr>
        <w:t xml:space="preserve">, </w:t>
      </w:r>
      <w:r w:rsidR="00D16F54" w:rsidRPr="00F01507">
        <w:rPr>
          <w:i/>
          <w:lang w:val="en-US"/>
        </w:rPr>
        <w:t>Cost of Living Update No. 30, March Quarter 2017</w:t>
      </w:r>
      <w:r w:rsidR="00D16F54">
        <w:rPr>
          <w:lang w:val="en-US"/>
        </w:rPr>
        <w:t>, SACOSS, Adelaide, 2017</w:t>
      </w:r>
      <w:r w:rsidR="00F01507">
        <w:rPr>
          <w:lang w:val="en-US"/>
        </w:rPr>
        <w:t>, p. 3, viewed 1 May 2019, &lt;</w:t>
      </w:r>
      <w:hyperlink r:id="rId12" w:history="1">
        <w:r w:rsidR="00332000" w:rsidRPr="000606C1">
          <w:rPr>
            <w:rStyle w:val="Hyperlink"/>
            <w:lang w:val="en-US"/>
          </w:rPr>
          <w:t>https://www.sacoss.org.au/no-30-march-qtr-2017-energy-snapshot</w:t>
        </w:r>
      </w:hyperlink>
      <w:r w:rsidR="00332000">
        <w:rPr>
          <w:lang w:val="en-US"/>
        </w:rPr>
        <w:t xml:space="preserve">&gt;. </w:t>
      </w:r>
    </w:p>
  </w:footnote>
  <w:footnote w:id="18">
    <w:p w14:paraId="785AD5AA" w14:textId="706339D7" w:rsidR="00913DA7" w:rsidRPr="00913DA7" w:rsidRDefault="00913DA7">
      <w:pPr>
        <w:pStyle w:val="FootnoteText"/>
        <w:rPr>
          <w:lang w:val="en-US"/>
        </w:rPr>
      </w:pPr>
      <w:r w:rsidRPr="007119AA">
        <w:footnoteRef/>
      </w:r>
      <w:r w:rsidRPr="007119AA">
        <w:t xml:space="preserve"> </w:t>
      </w:r>
      <w:r w:rsidR="007119AA">
        <w:tab/>
      </w:r>
      <w:r w:rsidR="00FA432E">
        <w:rPr>
          <w:lang w:val="en-US"/>
        </w:rPr>
        <w:t xml:space="preserve">Australian Energy Regulator, </w:t>
      </w:r>
      <w:r w:rsidR="00FA432E" w:rsidRPr="0017779F">
        <w:rPr>
          <w:i/>
          <w:lang w:val="en-US"/>
        </w:rPr>
        <w:t xml:space="preserve">Final decision: </w:t>
      </w:r>
      <w:r w:rsidR="00FA432E" w:rsidRPr="0017779F">
        <w:rPr>
          <w:i/>
          <w:lang w:val="en-US"/>
        </w:rPr>
        <w:t>Evoenergy 2019-2024</w:t>
      </w:r>
      <w:r w:rsidR="00FC327F" w:rsidRPr="0017779F">
        <w:rPr>
          <w:i/>
          <w:lang w:val="en-US"/>
        </w:rPr>
        <w:t xml:space="preserve"> – Fact Sheet</w:t>
      </w:r>
      <w:r w:rsidR="00FC327F">
        <w:rPr>
          <w:lang w:val="en-US"/>
        </w:rPr>
        <w:t xml:space="preserve">, AER, </w:t>
      </w:r>
      <w:r w:rsidR="00C8386B">
        <w:rPr>
          <w:lang w:val="en-US"/>
        </w:rPr>
        <w:t>Melbourne, 2019</w:t>
      </w:r>
      <w:r w:rsidR="0017779F">
        <w:rPr>
          <w:lang w:val="en-US"/>
        </w:rPr>
        <w:t>, viewed 1 May 2019, &lt;</w:t>
      </w:r>
      <w:hyperlink r:id="rId13" w:history="1">
        <w:r w:rsidR="0017779F" w:rsidRPr="007119AA">
          <w:rPr>
            <w:rStyle w:val="Hyperlink"/>
            <w:lang w:val="en-US"/>
          </w:rPr>
          <w:t>https://www.aer.gov.au/networks-pipelines/determinations-access-arrangements/evoenergy-actewagl-determination-2019-24</w:t>
        </w:r>
      </w:hyperlink>
      <w:r w:rsidR="0017779F">
        <w:rPr>
          <w:lang w:val="en-US"/>
        </w:rPr>
        <w:t xml:space="preserve">&gt;. </w:t>
      </w:r>
    </w:p>
  </w:footnote>
  <w:footnote w:id="19">
    <w:p w14:paraId="536CCD6A" w14:textId="7AE4D7EA" w:rsidR="00E45368" w:rsidRPr="00E45368" w:rsidRDefault="00E45368">
      <w:pPr>
        <w:pStyle w:val="FootnoteText"/>
        <w:rPr>
          <w:lang w:val="en-US"/>
        </w:rPr>
      </w:pPr>
      <w:r w:rsidRPr="007119AA">
        <w:footnoteRef/>
      </w:r>
      <w:r w:rsidRPr="007119AA">
        <w:t xml:space="preserve"> </w:t>
      </w:r>
      <w:r w:rsidR="007119AA">
        <w:tab/>
      </w:r>
      <w:r>
        <w:rPr>
          <w:lang w:val="en-US"/>
        </w:rPr>
        <w:t xml:space="preserve">ACOSS, Brotherhood of St Laurence &amp; ANU Centre for Social Research and Methods, </w:t>
      </w:r>
      <w:r w:rsidRPr="00071AAF">
        <w:rPr>
          <w:i/>
          <w:lang w:val="en-US"/>
        </w:rPr>
        <w:t>Energy stressed in Aus</w:t>
      </w:r>
      <w:r w:rsidR="0070477C" w:rsidRPr="00071AAF">
        <w:rPr>
          <w:i/>
          <w:lang w:val="en-US"/>
        </w:rPr>
        <w:t>tralia</w:t>
      </w:r>
      <w:r w:rsidR="0070477C">
        <w:rPr>
          <w:lang w:val="en-US"/>
        </w:rPr>
        <w:t xml:space="preserve">, ACOSS, Sydney, 2018, pp. </w:t>
      </w:r>
      <w:r w:rsidR="000C4542">
        <w:rPr>
          <w:lang w:val="en-US"/>
        </w:rPr>
        <w:t>4-6, viewed 1 May 2019, &lt;</w:t>
      </w:r>
      <w:hyperlink r:id="rId14" w:history="1">
        <w:r w:rsidR="00071AAF" w:rsidRPr="00BB7E5C">
          <w:rPr>
            <w:rStyle w:val="Hyperlink"/>
            <w:lang w:val="en-US"/>
          </w:rPr>
          <w:t>https://www.acoss.org.au/wp-content/uploads/2018/10/Energy-Stressed-in-Australia.pdf</w:t>
        </w:r>
      </w:hyperlink>
      <w:r w:rsidR="00071AAF">
        <w:rPr>
          <w:lang w:val="en-US"/>
        </w:rPr>
        <w:t xml:space="preserve">&gt;. </w:t>
      </w:r>
    </w:p>
  </w:footnote>
  <w:footnote w:id="20">
    <w:p w14:paraId="6AD7D6FD" w14:textId="2576B0C4" w:rsidR="005B1E6C" w:rsidRPr="005B1E6C" w:rsidRDefault="005B1E6C">
      <w:pPr>
        <w:pStyle w:val="FootnoteText"/>
        <w:rPr>
          <w:lang w:val="en-US"/>
        </w:rPr>
      </w:pPr>
      <w:r w:rsidRPr="007119AA">
        <w:footnoteRef/>
      </w:r>
      <w:r>
        <w:t xml:space="preserve"> </w:t>
      </w:r>
      <w:r w:rsidR="007119AA">
        <w:tab/>
      </w:r>
      <w:r>
        <w:rPr>
          <w:lang w:val="en-US"/>
        </w:rPr>
        <w:t xml:space="preserve">ibid, p. 4. </w:t>
      </w:r>
    </w:p>
  </w:footnote>
  <w:footnote w:id="21">
    <w:p w14:paraId="2A2DA306" w14:textId="15E903E5" w:rsidR="00E27EE4" w:rsidRPr="00E27EE4" w:rsidRDefault="00E27EE4">
      <w:pPr>
        <w:pStyle w:val="FootnoteText"/>
        <w:rPr>
          <w:lang w:val="en-US"/>
        </w:rPr>
      </w:pPr>
      <w:r w:rsidRPr="00955083">
        <w:footnoteRef/>
      </w:r>
      <w:r w:rsidRPr="00955083">
        <w:t xml:space="preserve"> </w:t>
      </w:r>
      <w:r w:rsidR="00955083">
        <w:tab/>
      </w:r>
      <w:r>
        <w:rPr>
          <w:lang w:val="en-US"/>
        </w:rPr>
        <w:t>ibid, p. 6.</w:t>
      </w:r>
    </w:p>
  </w:footnote>
  <w:footnote w:id="22">
    <w:p w14:paraId="42FD813F" w14:textId="5F45F74C" w:rsidR="00F853CB" w:rsidRPr="00F853CB" w:rsidRDefault="00F853CB">
      <w:pPr>
        <w:pStyle w:val="FootnoteText"/>
        <w:rPr>
          <w:lang w:val="en-US"/>
        </w:rPr>
      </w:pPr>
      <w:r w:rsidRPr="00955083">
        <w:footnoteRef/>
      </w:r>
      <w:r w:rsidRPr="00955083">
        <w:t xml:space="preserve"> </w:t>
      </w:r>
      <w:r w:rsidR="00955083">
        <w:tab/>
      </w:r>
      <w:r w:rsidR="0078745F" w:rsidRPr="0078745F">
        <w:t xml:space="preserve">Better Renting, </w:t>
      </w:r>
      <w:r w:rsidR="0078745F" w:rsidRPr="0078745F">
        <w:rPr>
          <w:i/>
        </w:rPr>
        <w:t>The energy efficiency of rental properties in the ACT</w:t>
      </w:r>
      <w:r w:rsidR="0078745F" w:rsidRPr="0078745F">
        <w:t xml:space="preserve">, Better Renting, Canberra, 2018, viewed </w:t>
      </w:r>
      <w:r w:rsidR="0078745F">
        <w:t>1 May 2018</w:t>
      </w:r>
      <w:r w:rsidR="0078745F" w:rsidRPr="0078745F">
        <w:t>, &lt;</w:t>
      </w:r>
      <w:hyperlink r:id="rId15" w:history="1">
        <w:r w:rsidR="0078745F" w:rsidRPr="00955083">
          <w:rPr>
            <w:rStyle w:val="Hyperlink"/>
          </w:rPr>
          <w:t>https://d3n8a8pro7vhmx.cloudfront.net/betterrenting/pages/42/attachments/original/1523488292/The_energy_efficiency_of_rental_properties_in_the_ACT.pdf?1523488292</w:t>
        </w:r>
      </w:hyperlink>
      <w:r w:rsidR="0078745F" w:rsidRPr="0078745F">
        <w:t>&gt;.</w:t>
      </w:r>
    </w:p>
  </w:footnote>
  <w:footnote w:id="23">
    <w:p w14:paraId="37335A49" w14:textId="3B0EA3A1" w:rsidR="00044A8D" w:rsidRPr="00044A8D" w:rsidRDefault="00044A8D">
      <w:pPr>
        <w:pStyle w:val="FootnoteText"/>
        <w:rPr>
          <w:lang w:val="en-US"/>
        </w:rPr>
      </w:pPr>
      <w:r w:rsidRPr="00955083">
        <w:footnoteRef/>
      </w:r>
      <w:r w:rsidRPr="00955083">
        <w:t xml:space="preserve"> </w:t>
      </w:r>
      <w:r w:rsidR="00955083">
        <w:tab/>
      </w:r>
      <w:r>
        <w:t>i</w:t>
      </w:r>
      <w:r>
        <w:rPr>
          <w:lang w:val="en-US"/>
        </w:rPr>
        <w:t>bid.</w:t>
      </w:r>
    </w:p>
  </w:footnote>
  <w:footnote w:id="24">
    <w:p w14:paraId="54E7372F" w14:textId="41C04D0E" w:rsidR="00EA04CE" w:rsidRPr="003152D1" w:rsidRDefault="00EA04CE" w:rsidP="006D0DBE">
      <w:pPr>
        <w:pStyle w:val="FootnoteText"/>
        <w:rPr>
          <w:lang w:val="en-US"/>
        </w:rPr>
      </w:pPr>
      <w:r w:rsidRPr="00D54B9A">
        <w:footnoteRef/>
      </w:r>
      <w:r w:rsidRPr="00D54B9A">
        <w:t xml:space="preserve"> </w:t>
      </w:r>
      <w:r w:rsidR="00D54B9A">
        <w:tab/>
      </w:r>
      <w:r>
        <w:rPr>
          <w:lang w:val="en-US"/>
        </w:rPr>
        <w:t xml:space="preserve">P Saunders &amp; M Bedford, </w:t>
      </w:r>
      <w:r w:rsidRPr="003973B3">
        <w:rPr>
          <w:i/>
          <w:lang w:val="en-US"/>
        </w:rPr>
        <w:t>New minimum income for healthy living budget standards for low-paid and unemployed Australians</w:t>
      </w:r>
      <w:r>
        <w:rPr>
          <w:lang w:val="en-US"/>
        </w:rPr>
        <w:t xml:space="preserve">, </w:t>
      </w:r>
      <w:r>
        <w:rPr>
          <w:lang w:val="en-US"/>
        </w:rPr>
        <w:t>SPRC Report 11/17, Social Policy Research Centre, UNSW Sydney, Sydney, 2017, viewed 10 April 2019, &lt;</w:t>
      </w:r>
      <w:hyperlink r:id="rId16" w:history="1">
        <w:r w:rsidRPr="00C354B0">
          <w:rPr>
            <w:rStyle w:val="Hyperlink"/>
            <w:lang w:val="en-US"/>
          </w:rPr>
          <w:t>https://www.sprc.unsw.edu.au/research/projects/a-new-healthy-living-minimum-income-standard-for-low-paid-and-unemployed-australians/</w:t>
        </w:r>
      </w:hyperlink>
      <w:r>
        <w:rPr>
          <w:lang w:val="en-US"/>
        </w:rPr>
        <w:t xml:space="preserve">&gt;. </w:t>
      </w:r>
    </w:p>
  </w:footnote>
  <w:footnote w:id="25">
    <w:p w14:paraId="146E499B" w14:textId="2E8FE870" w:rsidR="00593B5B" w:rsidRPr="00642E02" w:rsidRDefault="00593B5B" w:rsidP="00593B5B">
      <w:pPr>
        <w:pStyle w:val="FootnoteText"/>
        <w:rPr>
          <w:lang w:val="en-US"/>
        </w:rPr>
      </w:pPr>
      <w:r w:rsidRPr="00593B5B">
        <w:footnoteRef/>
      </w:r>
      <w:r w:rsidRPr="00593B5B">
        <w:t xml:space="preserve"> </w:t>
      </w:r>
      <w:r>
        <w:tab/>
      </w:r>
      <w:r>
        <w:rPr>
          <w:lang w:val="en-US"/>
        </w:rPr>
        <w:t xml:space="preserve">Department of Social Services, </w:t>
      </w:r>
      <w:r w:rsidRPr="00431C09">
        <w:rPr>
          <w:i/>
          <w:lang w:val="en-US"/>
        </w:rPr>
        <w:t>Pension Rates</w:t>
      </w:r>
      <w:r>
        <w:rPr>
          <w:lang w:val="en-US"/>
        </w:rPr>
        <w:t>, Department of Social Services, Canberra, 2019, viewed 12 April 2019, &lt;</w:t>
      </w:r>
      <w:hyperlink r:id="rId17" w:history="1">
        <w:r w:rsidRPr="00593B5B">
          <w:rPr>
            <w:rStyle w:val="Hyperlink"/>
            <w:lang w:val="en-US"/>
          </w:rPr>
          <w:t>https://www.dss.gov.au/our-responsibilities/seniors/benefits-payments/pension-rates</w:t>
        </w:r>
      </w:hyperlink>
      <w:r>
        <w:rPr>
          <w:lang w:val="en-US"/>
        </w:rPr>
        <w:t xml:space="preserve">&gt;. </w:t>
      </w:r>
    </w:p>
  </w:footnote>
  <w:footnote w:id="26">
    <w:p w14:paraId="0E214232" w14:textId="2D992C15" w:rsidR="00EA04CE" w:rsidRPr="001C7F0D" w:rsidRDefault="00EA04CE">
      <w:pPr>
        <w:pStyle w:val="FootnoteText"/>
        <w:rPr>
          <w:lang w:val="en-US"/>
        </w:rPr>
      </w:pPr>
      <w:r w:rsidRPr="004C594C">
        <w:footnoteRef/>
      </w:r>
      <w:r w:rsidRPr="004C594C">
        <w:t xml:space="preserve"> </w:t>
      </w:r>
      <w:r w:rsidR="004C594C">
        <w:tab/>
      </w:r>
      <w:r>
        <w:rPr>
          <w:lang w:val="en-US"/>
        </w:rPr>
        <w:t xml:space="preserve">SACOSS, </w:t>
      </w:r>
      <w:r w:rsidRPr="00CC4DB7">
        <w:rPr>
          <w:i/>
          <w:lang w:val="en-US"/>
        </w:rPr>
        <w:t>SACOSS Cost of Living Update No. 37, December Qtr 2018</w:t>
      </w:r>
      <w:r>
        <w:rPr>
          <w:lang w:val="en-US"/>
        </w:rPr>
        <w:t>, SACOSS, Adelaide, 2019, viewed 12 April 2019, &lt;</w:t>
      </w:r>
      <w:hyperlink r:id="rId18" w:history="1">
        <w:r w:rsidR="00871686" w:rsidRPr="008C1F3E">
          <w:rPr>
            <w:rStyle w:val="Hyperlink"/>
            <w:lang w:val="en-US"/>
          </w:rPr>
          <w:t>https://www.sacoss.org.au/sites/default/files/public/documents/Reports/Cost%20of%20Living%20Reports/190130%20Cost%20of%20Living%20Update37.pdf</w:t>
        </w:r>
      </w:hyperlink>
      <w:r>
        <w:rPr>
          <w:lang w:val="en-US"/>
        </w:rPr>
        <w:t xml:space="preserve">&gt;.  </w:t>
      </w:r>
    </w:p>
  </w:footnote>
  <w:footnote w:id="27">
    <w:p w14:paraId="61C3DC29" w14:textId="432AFEE4" w:rsidR="00EA04CE" w:rsidRPr="00623297" w:rsidRDefault="00EA04CE" w:rsidP="00623297">
      <w:pPr>
        <w:pStyle w:val="FootnoteText"/>
      </w:pPr>
      <w:r w:rsidRPr="00623297">
        <w:footnoteRef/>
      </w:r>
      <w:r w:rsidRPr="00623297">
        <w:t xml:space="preserve"> </w:t>
      </w:r>
      <w:r w:rsidR="00623297">
        <w:tab/>
      </w:r>
      <w:r w:rsidRPr="00623297">
        <w:t>ABS</w:t>
      </w:r>
      <w:r>
        <w:t xml:space="preserve">, </w:t>
      </w:r>
      <w:r w:rsidRPr="00DA786B">
        <w:rPr>
          <w:i/>
        </w:rPr>
        <w:t>Selected Living Cost Indexes, Australia, December 2018: Explanatory Notes</w:t>
      </w:r>
      <w:r>
        <w:t>, Australian</w:t>
      </w:r>
      <w:r w:rsidR="00623297">
        <w:t xml:space="preserve"> </w:t>
      </w:r>
      <w:r>
        <w:t>Bureau of Statistics, Canberra, 2019, viewed 12 April 2019, &lt;</w:t>
      </w:r>
      <w:hyperlink r:id="rId19" w:history="1">
        <w:r w:rsidRPr="00623297">
          <w:rPr>
            <w:rStyle w:val="Hyperlink"/>
          </w:rPr>
          <w:t>https://www.abs.gov.au/AUSSTATS/abs@.nsf/Lookup/6467.0Explanatory%20Notes1Dec%202018?OpenDocument</w:t>
        </w:r>
      </w:hyperlink>
      <w:r>
        <w:t xml:space="preserve">&gt;. </w:t>
      </w:r>
    </w:p>
  </w:footnote>
  <w:footnote w:id="28">
    <w:p w14:paraId="123280CB" w14:textId="683CEA9B" w:rsidR="00EA04CE" w:rsidRPr="00CE74F5" w:rsidRDefault="00EA04CE">
      <w:pPr>
        <w:pStyle w:val="FootnoteText"/>
        <w:rPr>
          <w:lang w:val="en-US"/>
        </w:rPr>
      </w:pPr>
      <w:r w:rsidRPr="00871686">
        <w:footnoteRef/>
      </w:r>
      <w:r>
        <w:t xml:space="preserve"> </w:t>
      </w:r>
      <w:r w:rsidR="00871686">
        <w:tab/>
      </w:r>
      <w:r>
        <w:rPr>
          <w:lang w:val="en-US"/>
        </w:rPr>
        <w:t>ibid.</w:t>
      </w:r>
    </w:p>
  </w:footnote>
  <w:footnote w:id="29">
    <w:p w14:paraId="32B5AF78" w14:textId="51EA7377" w:rsidR="00EA04CE" w:rsidRPr="00241E58" w:rsidRDefault="00EA04CE">
      <w:pPr>
        <w:pStyle w:val="FootnoteText"/>
        <w:rPr>
          <w:lang w:val="en-US"/>
        </w:rPr>
      </w:pPr>
      <w:r w:rsidRPr="00D674E1">
        <w:footnoteRef/>
      </w:r>
      <w:r w:rsidRPr="00D674E1">
        <w:t xml:space="preserve"> </w:t>
      </w:r>
      <w:r w:rsidR="00D674E1">
        <w:tab/>
      </w:r>
      <w:r w:rsidRPr="00241E58">
        <w:t xml:space="preserve">M </w:t>
      </w:r>
      <w:r w:rsidRPr="00241E58">
        <w:t xml:space="preserve">Klapdor, </w:t>
      </w:r>
      <w:r w:rsidRPr="00241E58">
        <w:rPr>
          <w:i/>
        </w:rPr>
        <w:t>Pension indexation: a brief history</w:t>
      </w:r>
      <w:r w:rsidRPr="00241E58">
        <w:t>, Flag</w:t>
      </w:r>
      <w:r w:rsidR="00C01D34">
        <w:t>P</w:t>
      </w:r>
      <w:r w:rsidRPr="00241E58">
        <w:t xml:space="preserve">ost blog, Parliamentary Library, Canberra, posted 16 April 2014, </w:t>
      </w:r>
      <w:r>
        <w:t xml:space="preserve">viewed </w:t>
      </w:r>
      <w:r w:rsidRPr="00241E58">
        <w:t>13 April 2018, &lt;</w:t>
      </w:r>
      <w:hyperlink r:id="rId20" w:history="1">
        <w:r w:rsidRPr="00D674E1">
          <w:rPr>
            <w:rStyle w:val="Hyperlink"/>
          </w:rPr>
          <w:t>https://www.aph.gov.au/About_Parliament/Parliamentary_Departments/Parliamentary_Library/FlagPost/2014/April/Pension-indexation</w:t>
        </w:r>
      </w:hyperlink>
      <w:r w:rsidRPr="00241E58">
        <w:t>&gt;. NOTE: Allowance payments, such as Newstart and Youth Allowance are indexed to the CPI only, and are adjusted 6 monthly - every March and September.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81065" w14:textId="77777777" w:rsidR="004C5A2E" w:rsidRDefault="004C5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2CB66" w14:textId="2B129DF4" w:rsidR="004C5A2E" w:rsidRDefault="004C5A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7DDFF" w14:textId="77777777" w:rsidR="004C5A2E" w:rsidRDefault="004C5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1DDAB86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3"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7"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372D7579"/>
    <w:multiLevelType w:val="hybridMultilevel"/>
    <w:tmpl w:val="D304D8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0"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50016BB2"/>
    <w:multiLevelType w:val="hybridMultilevel"/>
    <w:tmpl w:val="CC9AECB8"/>
    <w:lvl w:ilvl="0" w:tplc="0C090003">
      <w:start w:val="1"/>
      <w:numFmt w:val="bullet"/>
      <w:lvlText w:val="o"/>
      <w:lvlJc w:val="left"/>
      <w:pPr>
        <w:ind w:left="1494" w:hanging="360"/>
      </w:pPr>
      <w:rPr>
        <w:rFonts w:ascii="Courier New" w:hAnsi="Courier New" w:cs="Courier New"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3"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4"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7"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8"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6FB410F"/>
    <w:multiLevelType w:val="hybridMultilevel"/>
    <w:tmpl w:val="5224B5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23"/>
  </w:num>
  <w:num w:numId="4">
    <w:abstractNumId w:val="20"/>
  </w:num>
  <w:num w:numId="5">
    <w:abstractNumId w:val="19"/>
  </w:num>
  <w:num w:numId="6">
    <w:abstractNumId w:val="21"/>
  </w:num>
  <w:num w:numId="7">
    <w:abstractNumId w:val="12"/>
  </w:num>
  <w:num w:numId="8">
    <w:abstractNumId w:val="26"/>
  </w:num>
  <w:num w:numId="9">
    <w:abstractNumId w:val="9"/>
  </w:num>
  <w:num w:numId="10">
    <w:abstractNumId w:val="25"/>
  </w:num>
  <w:num w:numId="11">
    <w:abstractNumId w:val="11"/>
  </w:num>
  <w:num w:numId="12">
    <w:abstractNumId w:val="6"/>
  </w:num>
  <w:num w:numId="13">
    <w:abstractNumId w:val="24"/>
  </w:num>
  <w:num w:numId="14">
    <w:abstractNumId w:val="13"/>
  </w:num>
  <w:num w:numId="15">
    <w:abstractNumId w:val="14"/>
  </w:num>
  <w:num w:numId="16">
    <w:abstractNumId w:val="7"/>
  </w:num>
  <w:num w:numId="17">
    <w:abstractNumId w:val="17"/>
  </w:num>
  <w:num w:numId="18">
    <w:abstractNumId w:val="4"/>
  </w:num>
  <w:num w:numId="19">
    <w:abstractNumId w:val="2"/>
  </w:num>
  <w:num w:numId="20">
    <w:abstractNumId w:val="1"/>
  </w:num>
  <w:num w:numId="21">
    <w:abstractNumId w:val="3"/>
  </w:num>
  <w:num w:numId="22">
    <w:abstractNumId w:val="0"/>
  </w:num>
  <w:num w:numId="23">
    <w:abstractNumId w:val="16"/>
  </w:num>
  <w:num w:numId="24">
    <w:abstractNumId w:val="28"/>
  </w:num>
  <w:num w:numId="25">
    <w:abstractNumId w:val="27"/>
  </w:num>
  <w:num w:numId="26">
    <w:abstractNumId w:val="15"/>
  </w:num>
  <w:num w:numId="27">
    <w:abstractNumId w:val="18"/>
  </w:num>
  <w:num w:numId="28">
    <w:abstractNumId w:val="29"/>
  </w:num>
  <w:num w:numId="29">
    <w:abstractNumId w:val="2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DA8"/>
    <w:rsid w:val="0000015B"/>
    <w:rsid w:val="00000585"/>
    <w:rsid w:val="000008A7"/>
    <w:rsid w:val="000010BC"/>
    <w:rsid w:val="00001157"/>
    <w:rsid w:val="0000160C"/>
    <w:rsid w:val="00001CC1"/>
    <w:rsid w:val="00002544"/>
    <w:rsid w:val="0000255E"/>
    <w:rsid w:val="000027A8"/>
    <w:rsid w:val="00002C41"/>
    <w:rsid w:val="00002DD3"/>
    <w:rsid w:val="000040BA"/>
    <w:rsid w:val="00004697"/>
    <w:rsid w:val="00004C9A"/>
    <w:rsid w:val="000050D5"/>
    <w:rsid w:val="0000517C"/>
    <w:rsid w:val="00005314"/>
    <w:rsid w:val="0000588C"/>
    <w:rsid w:val="00005A28"/>
    <w:rsid w:val="00005A94"/>
    <w:rsid w:val="00005AF7"/>
    <w:rsid w:val="00005B30"/>
    <w:rsid w:val="00005FF4"/>
    <w:rsid w:val="000069DF"/>
    <w:rsid w:val="00006B64"/>
    <w:rsid w:val="00007467"/>
    <w:rsid w:val="00007554"/>
    <w:rsid w:val="00007AF0"/>
    <w:rsid w:val="00010593"/>
    <w:rsid w:val="00010F14"/>
    <w:rsid w:val="00010F6D"/>
    <w:rsid w:val="000116AF"/>
    <w:rsid w:val="00011872"/>
    <w:rsid w:val="0001191C"/>
    <w:rsid w:val="00011B78"/>
    <w:rsid w:val="000120D3"/>
    <w:rsid w:val="00012365"/>
    <w:rsid w:val="00012633"/>
    <w:rsid w:val="00012D83"/>
    <w:rsid w:val="00012DF6"/>
    <w:rsid w:val="00012E73"/>
    <w:rsid w:val="000132C9"/>
    <w:rsid w:val="00013ED8"/>
    <w:rsid w:val="00014172"/>
    <w:rsid w:val="00014206"/>
    <w:rsid w:val="00014249"/>
    <w:rsid w:val="000143A5"/>
    <w:rsid w:val="00014A41"/>
    <w:rsid w:val="00014B3B"/>
    <w:rsid w:val="00014E0D"/>
    <w:rsid w:val="0001514A"/>
    <w:rsid w:val="000152FD"/>
    <w:rsid w:val="00015DD3"/>
    <w:rsid w:val="00015F7A"/>
    <w:rsid w:val="000162D8"/>
    <w:rsid w:val="000164F8"/>
    <w:rsid w:val="000166C8"/>
    <w:rsid w:val="000167AD"/>
    <w:rsid w:val="00016946"/>
    <w:rsid w:val="00017087"/>
    <w:rsid w:val="00017887"/>
    <w:rsid w:val="000215B8"/>
    <w:rsid w:val="00021975"/>
    <w:rsid w:val="00022381"/>
    <w:rsid w:val="0002251B"/>
    <w:rsid w:val="00022CA9"/>
    <w:rsid w:val="000231F0"/>
    <w:rsid w:val="000233EA"/>
    <w:rsid w:val="000238CB"/>
    <w:rsid w:val="000239A2"/>
    <w:rsid w:val="00023C3F"/>
    <w:rsid w:val="0002453D"/>
    <w:rsid w:val="000246AF"/>
    <w:rsid w:val="000247E6"/>
    <w:rsid w:val="00024A48"/>
    <w:rsid w:val="00024C71"/>
    <w:rsid w:val="00024D1F"/>
    <w:rsid w:val="00024DDE"/>
    <w:rsid w:val="000252FB"/>
    <w:rsid w:val="000253A9"/>
    <w:rsid w:val="00025A2F"/>
    <w:rsid w:val="00025F23"/>
    <w:rsid w:val="00026497"/>
    <w:rsid w:val="00026723"/>
    <w:rsid w:val="00026A30"/>
    <w:rsid w:val="0002726C"/>
    <w:rsid w:val="0002768E"/>
    <w:rsid w:val="00030229"/>
    <w:rsid w:val="000302A3"/>
    <w:rsid w:val="0003057E"/>
    <w:rsid w:val="000306FB"/>
    <w:rsid w:val="00030863"/>
    <w:rsid w:val="000309B5"/>
    <w:rsid w:val="00030AAE"/>
    <w:rsid w:val="00031113"/>
    <w:rsid w:val="00031E30"/>
    <w:rsid w:val="00031E69"/>
    <w:rsid w:val="00031F38"/>
    <w:rsid w:val="00031FE2"/>
    <w:rsid w:val="000320C0"/>
    <w:rsid w:val="000321B4"/>
    <w:rsid w:val="000325B2"/>
    <w:rsid w:val="00032A40"/>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957"/>
    <w:rsid w:val="00036EFE"/>
    <w:rsid w:val="000372C0"/>
    <w:rsid w:val="00037427"/>
    <w:rsid w:val="00037BE6"/>
    <w:rsid w:val="00040A4C"/>
    <w:rsid w:val="00040CFB"/>
    <w:rsid w:val="00040DD7"/>
    <w:rsid w:val="00040F25"/>
    <w:rsid w:val="000418AF"/>
    <w:rsid w:val="00041995"/>
    <w:rsid w:val="00041BF1"/>
    <w:rsid w:val="00041F28"/>
    <w:rsid w:val="00042382"/>
    <w:rsid w:val="00042E96"/>
    <w:rsid w:val="00043919"/>
    <w:rsid w:val="00043CF4"/>
    <w:rsid w:val="00043D22"/>
    <w:rsid w:val="00043F97"/>
    <w:rsid w:val="00044716"/>
    <w:rsid w:val="000447F4"/>
    <w:rsid w:val="00044A07"/>
    <w:rsid w:val="00044A8D"/>
    <w:rsid w:val="00044D90"/>
    <w:rsid w:val="0004507D"/>
    <w:rsid w:val="000454CC"/>
    <w:rsid w:val="0004629C"/>
    <w:rsid w:val="00046C0E"/>
    <w:rsid w:val="00046F42"/>
    <w:rsid w:val="000471FF"/>
    <w:rsid w:val="000479AB"/>
    <w:rsid w:val="00047B01"/>
    <w:rsid w:val="000503BF"/>
    <w:rsid w:val="00050620"/>
    <w:rsid w:val="000506CD"/>
    <w:rsid w:val="00050C3C"/>
    <w:rsid w:val="00050D10"/>
    <w:rsid w:val="00050E6A"/>
    <w:rsid w:val="0005220F"/>
    <w:rsid w:val="00053BED"/>
    <w:rsid w:val="00054130"/>
    <w:rsid w:val="00054338"/>
    <w:rsid w:val="000546C5"/>
    <w:rsid w:val="0005477D"/>
    <w:rsid w:val="00054AD4"/>
    <w:rsid w:val="000550EC"/>
    <w:rsid w:val="0005513A"/>
    <w:rsid w:val="000553B2"/>
    <w:rsid w:val="000558A7"/>
    <w:rsid w:val="000559A1"/>
    <w:rsid w:val="00055A5F"/>
    <w:rsid w:val="00055D5E"/>
    <w:rsid w:val="00056271"/>
    <w:rsid w:val="0005637E"/>
    <w:rsid w:val="0005647A"/>
    <w:rsid w:val="00056819"/>
    <w:rsid w:val="00056969"/>
    <w:rsid w:val="000574A2"/>
    <w:rsid w:val="000576F3"/>
    <w:rsid w:val="00057763"/>
    <w:rsid w:val="00057BF2"/>
    <w:rsid w:val="000606C1"/>
    <w:rsid w:val="00060934"/>
    <w:rsid w:val="00060E6E"/>
    <w:rsid w:val="00060F36"/>
    <w:rsid w:val="00060F8B"/>
    <w:rsid w:val="00060FF2"/>
    <w:rsid w:val="0006183F"/>
    <w:rsid w:val="00061BD0"/>
    <w:rsid w:val="00061DBB"/>
    <w:rsid w:val="00061F5A"/>
    <w:rsid w:val="000622B1"/>
    <w:rsid w:val="000623F2"/>
    <w:rsid w:val="00063064"/>
    <w:rsid w:val="000631D9"/>
    <w:rsid w:val="0006342A"/>
    <w:rsid w:val="0006399D"/>
    <w:rsid w:val="00063DF4"/>
    <w:rsid w:val="00063EE6"/>
    <w:rsid w:val="0006459D"/>
    <w:rsid w:val="000646B1"/>
    <w:rsid w:val="00064908"/>
    <w:rsid w:val="000649D6"/>
    <w:rsid w:val="0006512C"/>
    <w:rsid w:val="0006560E"/>
    <w:rsid w:val="000659DC"/>
    <w:rsid w:val="00065AF2"/>
    <w:rsid w:val="00066781"/>
    <w:rsid w:val="00066893"/>
    <w:rsid w:val="00066F37"/>
    <w:rsid w:val="00067018"/>
    <w:rsid w:val="00067248"/>
    <w:rsid w:val="00067529"/>
    <w:rsid w:val="000676E9"/>
    <w:rsid w:val="000677B2"/>
    <w:rsid w:val="00067900"/>
    <w:rsid w:val="00067A96"/>
    <w:rsid w:val="00070148"/>
    <w:rsid w:val="000701DC"/>
    <w:rsid w:val="0007044D"/>
    <w:rsid w:val="00070586"/>
    <w:rsid w:val="0007074A"/>
    <w:rsid w:val="00071348"/>
    <w:rsid w:val="000717FA"/>
    <w:rsid w:val="00071AAF"/>
    <w:rsid w:val="00071BF7"/>
    <w:rsid w:val="00072957"/>
    <w:rsid w:val="00072C5F"/>
    <w:rsid w:val="0007344A"/>
    <w:rsid w:val="00073589"/>
    <w:rsid w:val="00073953"/>
    <w:rsid w:val="000739EE"/>
    <w:rsid w:val="00073A77"/>
    <w:rsid w:val="00073E5F"/>
    <w:rsid w:val="00073F40"/>
    <w:rsid w:val="00073F60"/>
    <w:rsid w:val="0007435C"/>
    <w:rsid w:val="0007474E"/>
    <w:rsid w:val="0007534D"/>
    <w:rsid w:val="00075471"/>
    <w:rsid w:val="000755E9"/>
    <w:rsid w:val="0007569A"/>
    <w:rsid w:val="000756B7"/>
    <w:rsid w:val="00075D4C"/>
    <w:rsid w:val="00075E6A"/>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7E"/>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C2F"/>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9DA"/>
    <w:rsid w:val="00095E56"/>
    <w:rsid w:val="00096103"/>
    <w:rsid w:val="0009615B"/>
    <w:rsid w:val="0009660D"/>
    <w:rsid w:val="00096802"/>
    <w:rsid w:val="00096939"/>
    <w:rsid w:val="00096D8F"/>
    <w:rsid w:val="000971A9"/>
    <w:rsid w:val="00097786"/>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85F"/>
    <w:rsid w:val="000A58ED"/>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1CA"/>
    <w:rsid w:val="000B1357"/>
    <w:rsid w:val="000B15A7"/>
    <w:rsid w:val="000B16EF"/>
    <w:rsid w:val="000B1876"/>
    <w:rsid w:val="000B2114"/>
    <w:rsid w:val="000B2A20"/>
    <w:rsid w:val="000B2AF8"/>
    <w:rsid w:val="000B35E3"/>
    <w:rsid w:val="000B4051"/>
    <w:rsid w:val="000B4468"/>
    <w:rsid w:val="000B4566"/>
    <w:rsid w:val="000B4866"/>
    <w:rsid w:val="000B4912"/>
    <w:rsid w:val="000B4A23"/>
    <w:rsid w:val="000B4C25"/>
    <w:rsid w:val="000B54FC"/>
    <w:rsid w:val="000B58B6"/>
    <w:rsid w:val="000B5C55"/>
    <w:rsid w:val="000B5CDA"/>
    <w:rsid w:val="000B5D61"/>
    <w:rsid w:val="000B69F9"/>
    <w:rsid w:val="000B6F08"/>
    <w:rsid w:val="000B705F"/>
    <w:rsid w:val="000B7836"/>
    <w:rsid w:val="000B7BA2"/>
    <w:rsid w:val="000C03B8"/>
    <w:rsid w:val="000C06D1"/>
    <w:rsid w:val="000C0C16"/>
    <w:rsid w:val="000C1329"/>
    <w:rsid w:val="000C1B6B"/>
    <w:rsid w:val="000C22A7"/>
    <w:rsid w:val="000C363D"/>
    <w:rsid w:val="000C37C8"/>
    <w:rsid w:val="000C4542"/>
    <w:rsid w:val="000C51C4"/>
    <w:rsid w:val="000C52BB"/>
    <w:rsid w:val="000C5437"/>
    <w:rsid w:val="000C57A3"/>
    <w:rsid w:val="000C5BD7"/>
    <w:rsid w:val="000C5D11"/>
    <w:rsid w:val="000C60EE"/>
    <w:rsid w:val="000C6177"/>
    <w:rsid w:val="000C662B"/>
    <w:rsid w:val="000C7B0F"/>
    <w:rsid w:val="000C7C48"/>
    <w:rsid w:val="000D0B03"/>
    <w:rsid w:val="000D0ECA"/>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283"/>
    <w:rsid w:val="000E4AAD"/>
    <w:rsid w:val="000E4F34"/>
    <w:rsid w:val="000E52E9"/>
    <w:rsid w:val="000E5AC7"/>
    <w:rsid w:val="000E5F84"/>
    <w:rsid w:val="000E610D"/>
    <w:rsid w:val="000E6774"/>
    <w:rsid w:val="000E78F7"/>
    <w:rsid w:val="000F098E"/>
    <w:rsid w:val="000F0AA6"/>
    <w:rsid w:val="000F14F7"/>
    <w:rsid w:val="000F1A19"/>
    <w:rsid w:val="000F1CDC"/>
    <w:rsid w:val="000F262E"/>
    <w:rsid w:val="000F27FF"/>
    <w:rsid w:val="000F38C1"/>
    <w:rsid w:val="000F39F4"/>
    <w:rsid w:val="000F4692"/>
    <w:rsid w:val="000F4848"/>
    <w:rsid w:val="000F4F71"/>
    <w:rsid w:val="000F5085"/>
    <w:rsid w:val="000F56AC"/>
    <w:rsid w:val="000F5B27"/>
    <w:rsid w:val="000F5FAA"/>
    <w:rsid w:val="000F5FDF"/>
    <w:rsid w:val="000F6628"/>
    <w:rsid w:val="000F66EF"/>
    <w:rsid w:val="000F6BDC"/>
    <w:rsid w:val="000F6DC9"/>
    <w:rsid w:val="000F71B8"/>
    <w:rsid w:val="000F73C5"/>
    <w:rsid w:val="001001C0"/>
    <w:rsid w:val="00100255"/>
    <w:rsid w:val="00100B87"/>
    <w:rsid w:val="00100C37"/>
    <w:rsid w:val="00100C86"/>
    <w:rsid w:val="00101373"/>
    <w:rsid w:val="00101589"/>
    <w:rsid w:val="001017B4"/>
    <w:rsid w:val="00101978"/>
    <w:rsid w:val="001027CF"/>
    <w:rsid w:val="00102A07"/>
    <w:rsid w:val="00102D95"/>
    <w:rsid w:val="00102D9C"/>
    <w:rsid w:val="00103BE9"/>
    <w:rsid w:val="00103FC7"/>
    <w:rsid w:val="001040E9"/>
    <w:rsid w:val="001040EC"/>
    <w:rsid w:val="00104C21"/>
    <w:rsid w:val="00104FBE"/>
    <w:rsid w:val="001052A2"/>
    <w:rsid w:val="001052B0"/>
    <w:rsid w:val="001056BD"/>
    <w:rsid w:val="001057F5"/>
    <w:rsid w:val="0010628C"/>
    <w:rsid w:val="00106F30"/>
    <w:rsid w:val="00107115"/>
    <w:rsid w:val="00107469"/>
    <w:rsid w:val="00107A8C"/>
    <w:rsid w:val="00111019"/>
    <w:rsid w:val="001112E3"/>
    <w:rsid w:val="0011178F"/>
    <w:rsid w:val="00111BDE"/>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5C65"/>
    <w:rsid w:val="00116097"/>
    <w:rsid w:val="0011629A"/>
    <w:rsid w:val="0011641A"/>
    <w:rsid w:val="00116590"/>
    <w:rsid w:val="00116AB3"/>
    <w:rsid w:val="00116D55"/>
    <w:rsid w:val="00116F58"/>
    <w:rsid w:val="00116F5D"/>
    <w:rsid w:val="00117290"/>
    <w:rsid w:val="00117A6A"/>
    <w:rsid w:val="00117F25"/>
    <w:rsid w:val="0012043B"/>
    <w:rsid w:val="001204E3"/>
    <w:rsid w:val="001205A1"/>
    <w:rsid w:val="001205A4"/>
    <w:rsid w:val="00120DE1"/>
    <w:rsid w:val="00120ED6"/>
    <w:rsid w:val="001213A3"/>
    <w:rsid w:val="0012177B"/>
    <w:rsid w:val="00121AE3"/>
    <w:rsid w:val="00121D44"/>
    <w:rsid w:val="00122740"/>
    <w:rsid w:val="00122DF0"/>
    <w:rsid w:val="001232C5"/>
    <w:rsid w:val="00123B15"/>
    <w:rsid w:val="001244FA"/>
    <w:rsid w:val="0012505F"/>
    <w:rsid w:val="001250CD"/>
    <w:rsid w:val="001254E9"/>
    <w:rsid w:val="001255D6"/>
    <w:rsid w:val="00125B27"/>
    <w:rsid w:val="00125B92"/>
    <w:rsid w:val="00125C11"/>
    <w:rsid w:val="00126713"/>
    <w:rsid w:val="00126D22"/>
    <w:rsid w:val="001270EE"/>
    <w:rsid w:val="0012720B"/>
    <w:rsid w:val="0012762E"/>
    <w:rsid w:val="00127B24"/>
    <w:rsid w:val="001303D4"/>
    <w:rsid w:val="00130751"/>
    <w:rsid w:val="00131322"/>
    <w:rsid w:val="00131965"/>
    <w:rsid w:val="00131AFB"/>
    <w:rsid w:val="00131C44"/>
    <w:rsid w:val="00131D3F"/>
    <w:rsid w:val="00131D95"/>
    <w:rsid w:val="001320F0"/>
    <w:rsid w:val="00132190"/>
    <w:rsid w:val="00132552"/>
    <w:rsid w:val="00132F5E"/>
    <w:rsid w:val="0013344D"/>
    <w:rsid w:val="00133C57"/>
    <w:rsid w:val="00133CA2"/>
    <w:rsid w:val="001347CA"/>
    <w:rsid w:val="00134B44"/>
    <w:rsid w:val="00134D46"/>
    <w:rsid w:val="00135A61"/>
    <w:rsid w:val="00135E66"/>
    <w:rsid w:val="001362F2"/>
    <w:rsid w:val="0013698C"/>
    <w:rsid w:val="001377DE"/>
    <w:rsid w:val="0013785B"/>
    <w:rsid w:val="00137AF8"/>
    <w:rsid w:val="001405FD"/>
    <w:rsid w:val="00140648"/>
    <w:rsid w:val="001406ED"/>
    <w:rsid w:val="00140A42"/>
    <w:rsid w:val="00140A6B"/>
    <w:rsid w:val="00140DEA"/>
    <w:rsid w:val="00141410"/>
    <w:rsid w:val="0014153A"/>
    <w:rsid w:val="0014161E"/>
    <w:rsid w:val="001416D3"/>
    <w:rsid w:val="00141D5E"/>
    <w:rsid w:val="001428F3"/>
    <w:rsid w:val="00142B78"/>
    <w:rsid w:val="00143411"/>
    <w:rsid w:val="001434FA"/>
    <w:rsid w:val="001442B1"/>
    <w:rsid w:val="0014478A"/>
    <w:rsid w:val="0014484F"/>
    <w:rsid w:val="00144931"/>
    <w:rsid w:val="0014496B"/>
    <w:rsid w:val="00144FA2"/>
    <w:rsid w:val="00145108"/>
    <w:rsid w:val="001452BE"/>
    <w:rsid w:val="0014538A"/>
    <w:rsid w:val="001454B7"/>
    <w:rsid w:val="00145717"/>
    <w:rsid w:val="00145E2B"/>
    <w:rsid w:val="00146E81"/>
    <w:rsid w:val="001473CD"/>
    <w:rsid w:val="00147756"/>
    <w:rsid w:val="00147AB7"/>
    <w:rsid w:val="0015006B"/>
    <w:rsid w:val="001503A1"/>
    <w:rsid w:val="00150904"/>
    <w:rsid w:val="001517BD"/>
    <w:rsid w:val="00151BC0"/>
    <w:rsid w:val="00151BFA"/>
    <w:rsid w:val="00151F8E"/>
    <w:rsid w:val="00152293"/>
    <w:rsid w:val="001523F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0AD9"/>
    <w:rsid w:val="001610FE"/>
    <w:rsid w:val="0016115D"/>
    <w:rsid w:val="0016197C"/>
    <w:rsid w:val="00161ABA"/>
    <w:rsid w:val="00161F07"/>
    <w:rsid w:val="0016245C"/>
    <w:rsid w:val="00162677"/>
    <w:rsid w:val="00162CEB"/>
    <w:rsid w:val="0016318D"/>
    <w:rsid w:val="00163482"/>
    <w:rsid w:val="0016363B"/>
    <w:rsid w:val="00164895"/>
    <w:rsid w:val="001648A4"/>
    <w:rsid w:val="00165605"/>
    <w:rsid w:val="00165792"/>
    <w:rsid w:val="001659AB"/>
    <w:rsid w:val="00165ABE"/>
    <w:rsid w:val="00165F8F"/>
    <w:rsid w:val="0016628A"/>
    <w:rsid w:val="0016694F"/>
    <w:rsid w:val="00166D83"/>
    <w:rsid w:val="00167200"/>
    <w:rsid w:val="001704BE"/>
    <w:rsid w:val="00170817"/>
    <w:rsid w:val="00170CE5"/>
    <w:rsid w:val="001712E5"/>
    <w:rsid w:val="00171562"/>
    <w:rsid w:val="00171A8D"/>
    <w:rsid w:val="00172183"/>
    <w:rsid w:val="001728CB"/>
    <w:rsid w:val="00172970"/>
    <w:rsid w:val="001734E5"/>
    <w:rsid w:val="00173CE1"/>
    <w:rsid w:val="00174751"/>
    <w:rsid w:val="001747DD"/>
    <w:rsid w:val="001751C7"/>
    <w:rsid w:val="001761B3"/>
    <w:rsid w:val="00176376"/>
    <w:rsid w:val="00176412"/>
    <w:rsid w:val="00176562"/>
    <w:rsid w:val="001774D8"/>
    <w:rsid w:val="00177588"/>
    <w:rsid w:val="0017779F"/>
    <w:rsid w:val="001779C5"/>
    <w:rsid w:val="00177BA5"/>
    <w:rsid w:val="00177FC3"/>
    <w:rsid w:val="001800E6"/>
    <w:rsid w:val="001800FA"/>
    <w:rsid w:val="0018073E"/>
    <w:rsid w:val="00180A90"/>
    <w:rsid w:val="00180B69"/>
    <w:rsid w:val="00181C54"/>
    <w:rsid w:val="001822D7"/>
    <w:rsid w:val="0018260E"/>
    <w:rsid w:val="00182F1F"/>
    <w:rsid w:val="00182FE7"/>
    <w:rsid w:val="00183229"/>
    <w:rsid w:val="00183456"/>
    <w:rsid w:val="00183779"/>
    <w:rsid w:val="00183F6B"/>
    <w:rsid w:val="001845B2"/>
    <w:rsid w:val="00185011"/>
    <w:rsid w:val="001852B7"/>
    <w:rsid w:val="00185509"/>
    <w:rsid w:val="00185661"/>
    <w:rsid w:val="0018574B"/>
    <w:rsid w:val="00186CFD"/>
    <w:rsid w:val="001870E5"/>
    <w:rsid w:val="0018739F"/>
    <w:rsid w:val="001875F8"/>
    <w:rsid w:val="00187A6C"/>
    <w:rsid w:val="00187CBC"/>
    <w:rsid w:val="0019036A"/>
    <w:rsid w:val="00190D7B"/>
    <w:rsid w:val="0019104D"/>
    <w:rsid w:val="001918FF"/>
    <w:rsid w:val="00191DCE"/>
    <w:rsid w:val="00192451"/>
    <w:rsid w:val="0019257F"/>
    <w:rsid w:val="00192C79"/>
    <w:rsid w:val="00192D92"/>
    <w:rsid w:val="001932B5"/>
    <w:rsid w:val="00193B91"/>
    <w:rsid w:val="00193ED3"/>
    <w:rsid w:val="00194214"/>
    <w:rsid w:val="001949F5"/>
    <w:rsid w:val="00194AD4"/>
    <w:rsid w:val="00194B72"/>
    <w:rsid w:val="00194C6D"/>
    <w:rsid w:val="00194DDD"/>
    <w:rsid w:val="00195619"/>
    <w:rsid w:val="00195B32"/>
    <w:rsid w:val="00195E3B"/>
    <w:rsid w:val="00195E7B"/>
    <w:rsid w:val="00196718"/>
    <w:rsid w:val="00196D40"/>
    <w:rsid w:val="00196F97"/>
    <w:rsid w:val="00197372"/>
    <w:rsid w:val="00197582"/>
    <w:rsid w:val="001A0305"/>
    <w:rsid w:val="001A0F23"/>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1A"/>
    <w:rsid w:val="001A3C8C"/>
    <w:rsid w:val="001A40F4"/>
    <w:rsid w:val="001A4EF6"/>
    <w:rsid w:val="001A52A3"/>
    <w:rsid w:val="001A68BD"/>
    <w:rsid w:val="001A6928"/>
    <w:rsid w:val="001A6C17"/>
    <w:rsid w:val="001A7D8C"/>
    <w:rsid w:val="001A7E66"/>
    <w:rsid w:val="001B05E9"/>
    <w:rsid w:val="001B06B0"/>
    <w:rsid w:val="001B07B5"/>
    <w:rsid w:val="001B111D"/>
    <w:rsid w:val="001B162F"/>
    <w:rsid w:val="001B1863"/>
    <w:rsid w:val="001B1A7A"/>
    <w:rsid w:val="001B1EE2"/>
    <w:rsid w:val="001B2112"/>
    <w:rsid w:val="001B211B"/>
    <w:rsid w:val="001B2807"/>
    <w:rsid w:val="001B28B6"/>
    <w:rsid w:val="001B29BA"/>
    <w:rsid w:val="001B2F70"/>
    <w:rsid w:val="001B2FCD"/>
    <w:rsid w:val="001B3401"/>
    <w:rsid w:val="001B3723"/>
    <w:rsid w:val="001B3BDD"/>
    <w:rsid w:val="001B3D3F"/>
    <w:rsid w:val="001B3DA9"/>
    <w:rsid w:val="001B41D1"/>
    <w:rsid w:val="001B4594"/>
    <w:rsid w:val="001B4A5C"/>
    <w:rsid w:val="001B5035"/>
    <w:rsid w:val="001B5137"/>
    <w:rsid w:val="001B5490"/>
    <w:rsid w:val="001B55E6"/>
    <w:rsid w:val="001B707A"/>
    <w:rsid w:val="001B74C0"/>
    <w:rsid w:val="001B76ED"/>
    <w:rsid w:val="001B7AC6"/>
    <w:rsid w:val="001C017E"/>
    <w:rsid w:val="001C01A5"/>
    <w:rsid w:val="001C061C"/>
    <w:rsid w:val="001C0DCF"/>
    <w:rsid w:val="001C167D"/>
    <w:rsid w:val="001C177B"/>
    <w:rsid w:val="001C1A79"/>
    <w:rsid w:val="001C1DFC"/>
    <w:rsid w:val="001C1F1A"/>
    <w:rsid w:val="001C20F6"/>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392"/>
    <w:rsid w:val="001C441B"/>
    <w:rsid w:val="001C4727"/>
    <w:rsid w:val="001C499F"/>
    <w:rsid w:val="001C4D0A"/>
    <w:rsid w:val="001C50CA"/>
    <w:rsid w:val="001C50FC"/>
    <w:rsid w:val="001C5278"/>
    <w:rsid w:val="001C549D"/>
    <w:rsid w:val="001C54B3"/>
    <w:rsid w:val="001C562C"/>
    <w:rsid w:val="001C5BE7"/>
    <w:rsid w:val="001C6770"/>
    <w:rsid w:val="001C677A"/>
    <w:rsid w:val="001C69F0"/>
    <w:rsid w:val="001C6AAB"/>
    <w:rsid w:val="001C6AF4"/>
    <w:rsid w:val="001C75E9"/>
    <w:rsid w:val="001C78B4"/>
    <w:rsid w:val="001C7C79"/>
    <w:rsid w:val="001C7CBE"/>
    <w:rsid w:val="001C7D84"/>
    <w:rsid w:val="001C7F0D"/>
    <w:rsid w:val="001D01D4"/>
    <w:rsid w:val="001D02F7"/>
    <w:rsid w:val="001D08F7"/>
    <w:rsid w:val="001D0975"/>
    <w:rsid w:val="001D0ADC"/>
    <w:rsid w:val="001D0FDD"/>
    <w:rsid w:val="001D17FD"/>
    <w:rsid w:val="001D1843"/>
    <w:rsid w:val="001D1E2C"/>
    <w:rsid w:val="001D2019"/>
    <w:rsid w:val="001D2123"/>
    <w:rsid w:val="001D31C1"/>
    <w:rsid w:val="001D35F6"/>
    <w:rsid w:val="001D3902"/>
    <w:rsid w:val="001D3EEA"/>
    <w:rsid w:val="001D4272"/>
    <w:rsid w:val="001D4505"/>
    <w:rsid w:val="001D4708"/>
    <w:rsid w:val="001D50B3"/>
    <w:rsid w:val="001D5287"/>
    <w:rsid w:val="001D52A0"/>
    <w:rsid w:val="001D5767"/>
    <w:rsid w:val="001D5CCF"/>
    <w:rsid w:val="001D6D28"/>
    <w:rsid w:val="001D6EEF"/>
    <w:rsid w:val="001E05EA"/>
    <w:rsid w:val="001E1035"/>
    <w:rsid w:val="001E1990"/>
    <w:rsid w:val="001E1A2C"/>
    <w:rsid w:val="001E1F60"/>
    <w:rsid w:val="001E20E6"/>
    <w:rsid w:val="001E2886"/>
    <w:rsid w:val="001E4636"/>
    <w:rsid w:val="001E468C"/>
    <w:rsid w:val="001E4863"/>
    <w:rsid w:val="001E4979"/>
    <w:rsid w:val="001E49B5"/>
    <w:rsid w:val="001E4A2B"/>
    <w:rsid w:val="001E4B25"/>
    <w:rsid w:val="001E4D38"/>
    <w:rsid w:val="001E5335"/>
    <w:rsid w:val="001E553F"/>
    <w:rsid w:val="001E5641"/>
    <w:rsid w:val="001E5F85"/>
    <w:rsid w:val="001E623A"/>
    <w:rsid w:val="001E6272"/>
    <w:rsid w:val="001E62B3"/>
    <w:rsid w:val="001E6369"/>
    <w:rsid w:val="001E63AC"/>
    <w:rsid w:val="001E7515"/>
    <w:rsid w:val="001E7934"/>
    <w:rsid w:val="001E7E3C"/>
    <w:rsid w:val="001F0355"/>
    <w:rsid w:val="001F0485"/>
    <w:rsid w:val="001F0CD7"/>
    <w:rsid w:val="001F0CE3"/>
    <w:rsid w:val="001F0DBC"/>
    <w:rsid w:val="001F1049"/>
    <w:rsid w:val="001F1192"/>
    <w:rsid w:val="001F11B5"/>
    <w:rsid w:val="001F15DF"/>
    <w:rsid w:val="001F16F2"/>
    <w:rsid w:val="001F1A50"/>
    <w:rsid w:val="001F1F59"/>
    <w:rsid w:val="001F2C64"/>
    <w:rsid w:val="001F2CDD"/>
    <w:rsid w:val="001F374E"/>
    <w:rsid w:val="001F3948"/>
    <w:rsid w:val="001F3F33"/>
    <w:rsid w:val="001F463F"/>
    <w:rsid w:val="001F495E"/>
    <w:rsid w:val="001F49A7"/>
    <w:rsid w:val="001F4AA3"/>
    <w:rsid w:val="001F4E75"/>
    <w:rsid w:val="001F4EDD"/>
    <w:rsid w:val="001F5229"/>
    <w:rsid w:val="001F55B9"/>
    <w:rsid w:val="001F5781"/>
    <w:rsid w:val="001F5B8D"/>
    <w:rsid w:val="001F5E3C"/>
    <w:rsid w:val="001F688C"/>
    <w:rsid w:val="001F6B00"/>
    <w:rsid w:val="001F6B7E"/>
    <w:rsid w:val="001F6BC4"/>
    <w:rsid w:val="001F70A2"/>
    <w:rsid w:val="001F71B1"/>
    <w:rsid w:val="001F7329"/>
    <w:rsid w:val="001F74B3"/>
    <w:rsid w:val="001F765C"/>
    <w:rsid w:val="001F799C"/>
    <w:rsid w:val="001F7B0D"/>
    <w:rsid w:val="001F7FF3"/>
    <w:rsid w:val="00200315"/>
    <w:rsid w:val="0020038B"/>
    <w:rsid w:val="0020072D"/>
    <w:rsid w:val="0020082D"/>
    <w:rsid w:val="00200D28"/>
    <w:rsid w:val="00201216"/>
    <w:rsid w:val="002013C2"/>
    <w:rsid w:val="0020160B"/>
    <w:rsid w:val="00201783"/>
    <w:rsid w:val="00201D57"/>
    <w:rsid w:val="00202337"/>
    <w:rsid w:val="002025D2"/>
    <w:rsid w:val="002025DA"/>
    <w:rsid w:val="00203060"/>
    <w:rsid w:val="0020314B"/>
    <w:rsid w:val="002035EC"/>
    <w:rsid w:val="002037E3"/>
    <w:rsid w:val="00203A60"/>
    <w:rsid w:val="00203D00"/>
    <w:rsid w:val="00204192"/>
    <w:rsid w:val="002048EC"/>
    <w:rsid w:val="00205671"/>
    <w:rsid w:val="00206000"/>
    <w:rsid w:val="00206353"/>
    <w:rsid w:val="0020643D"/>
    <w:rsid w:val="00206802"/>
    <w:rsid w:val="00206878"/>
    <w:rsid w:val="00206882"/>
    <w:rsid w:val="00207E9C"/>
    <w:rsid w:val="00210128"/>
    <w:rsid w:val="002107DC"/>
    <w:rsid w:val="00210BB4"/>
    <w:rsid w:val="00211195"/>
    <w:rsid w:val="00211866"/>
    <w:rsid w:val="0021190B"/>
    <w:rsid w:val="00211BFA"/>
    <w:rsid w:val="00211E14"/>
    <w:rsid w:val="0021218B"/>
    <w:rsid w:val="00212593"/>
    <w:rsid w:val="0021378D"/>
    <w:rsid w:val="00213D6A"/>
    <w:rsid w:val="00213EE7"/>
    <w:rsid w:val="00214B9A"/>
    <w:rsid w:val="00214ED9"/>
    <w:rsid w:val="00215534"/>
    <w:rsid w:val="002156C9"/>
    <w:rsid w:val="00215AE8"/>
    <w:rsid w:val="002165F6"/>
    <w:rsid w:val="00216B1A"/>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5ED"/>
    <w:rsid w:val="00227630"/>
    <w:rsid w:val="00231640"/>
    <w:rsid w:val="00231AF3"/>
    <w:rsid w:val="00231BCE"/>
    <w:rsid w:val="0023267C"/>
    <w:rsid w:val="002329E2"/>
    <w:rsid w:val="00232AE3"/>
    <w:rsid w:val="00232B10"/>
    <w:rsid w:val="00232FF4"/>
    <w:rsid w:val="002330E4"/>
    <w:rsid w:val="0023333C"/>
    <w:rsid w:val="00233783"/>
    <w:rsid w:val="0023406A"/>
    <w:rsid w:val="002340FA"/>
    <w:rsid w:val="0023457A"/>
    <w:rsid w:val="00234A2A"/>
    <w:rsid w:val="00234A85"/>
    <w:rsid w:val="00234C94"/>
    <w:rsid w:val="0023500A"/>
    <w:rsid w:val="002356DB"/>
    <w:rsid w:val="002359E8"/>
    <w:rsid w:val="00235AAD"/>
    <w:rsid w:val="00235F09"/>
    <w:rsid w:val="00235FD5"/>
    <w:rsid w:val="0023637E"/>
    <w:rsid w:val="002366F5"/>
    <w:rsid w:val="00236863"/>
    <w:rsid w:val="00236FE7"/>
    <w:rsid w:val="00237044"/>
    <w:rsid w:val="00237C8A"/>
    <w:rsid w:val="00237CB5"/>
    <w:rsid w:val="00237E8F"/>
    <w:rsid w:val="002405E7"/>
    <w:rsid w:val="00240658"/>
    <w:rsid w:val="0024066C"/>
    <w:rsid w:val="00240BF3"/>
    <w:rsid w:val="00240EA7"/>
    <w:rsid w:val="00241283"/>
    <w:rsid w:val="002413BF"/>
    <w:rsid w:val="002416E6"/>
    <w:rsid w:val="00241CE1"/>
    <w:rsid w:val="00241D76"/>
    <w:rsid w:val="00241E58"/>
    <w:rsid w:val="002427A4"/>
    <w:rsid w:val="00242F1F"/>
    <w:rsid w:val="002431A5"/>
    <w:rsid w:val="0024387E"/>
    <w:rsid w:val="0024420E"/>
    <w:rsid w:val="00245019"/>
    <w:rsid w:val="0024509D"/>
    <w:rsid w:val="00245118"/>
    <w:rsid w:val="00245475"/>
    <w:rsid w:val="0024554E"/>
    <w:rsid w:val="00245A7F"/>
    <w:rsid w:val="00245ADA"/>
    <w:rsid w:val="0024684D"/>
    <w:rsid w:val="00246869"/>
    <w:rsid w:val="00246C9A"/>
    <w:rsid w:val="00247887"/>
    <w:rsid w:val="002478AE"/>
    <w:rsid w:val="002478E4"/>
    <w:rsid w:val="002479B4"/>
    <w:rsid w:val="00250702"/>
    <w:rsid w:val="002507B5"/>
    <w:rsid w:val="00250F34"/>
    <w:rsid w:val="0025148C"/>
    <w:rsid w:val="002517D4"/>
    <w:rsid w:val="002527E2"/>
    <w:rsid w:val="002528E6"/>
    <w:rsid w:val="00252ABF"/>
    <w:rsid w:val="00252AE6"/>
    <w:rsid w:val="0025353F"/>
    <w:rsid w:val="0025367C"/>
    <w:rsid w:val="0025393B"/>
    <w:rsid w:val="002539DE"/>
    <w:rsid w:val="00253EF6"/>
    <w:rsid w:val="002544EA"/>
    <w:rsid w:val="00254592"/>
    <w:rsid w:val="00255650"/>
    <w:rsid w:val="00255695"/>
    <w:rsid w:val="002557AA"/>
    <w:rsid w:val="00255977"/>
    <w:rsid w:val="00255AD3"/>
    <w:rsid w:val="00255C8A"/>
    <w:rsid w:val="0025663C"/>
    <w:rsid w:val="00257376"/>
    <w:rsid w:val="00257617"/>
    <w:rsid w:val="00257752"/>
    <w:rsid w:val="002578C4"/>
    <w:rsid w:val="00257BA2"/>
    <w:rsid w:val="00260322"/>
    <w:rsid w:val="00261092"/>
    <w:rsid w:val="00261161"/>
    <w:rsid w:val="00261B5A"/>
    <w:rsid w:val="00261CB9"/>
    <w:rsid w:val="0026237A"/>
    <w:rsid w:val="002623A2"/>
    <w:rsid w:val="002623AF"/>
    <w:rsid w:val="00262896"/>
    <w:rsid w:val="002629FD"/>
    <w:rsid w:val="00262C33"/>
    <w:rsid w:val="00262D87"/>
    <w:rsid w:val="00263252"/>
    <w:rsid w:val="002634A7"/>
    <w:rsid w:val="00263929"/>
    <w:rsid w:val="0026396B"/>
    <w:rsid w:val="00263A0C"/>
    <w:rsid w:val="0026498C"/>
    <w:rsid w:val="00264A36"/>
    <w:rsid w:val="002651E6"/>
    <w:rsid w:val="00265273"/>
    <w:rsid w:val="002660F6"/>
    <w:rsid w:val="002669F0"/>
    <w:rsid w:val="00266CE7"/>
    <w:rsid w:val="002670F7"/>
    <w:rsid w:val="002670F9"/>
    <w:rsid w:val="00267612"/>
    <w:rsid w:val="002678F8"/>
    <w:rsid w:val="00270AFC"/>
    <w:rsid w:val="00270DFE"/>
    <w:rsid w:val="002714EE"/>
    <w:rsid w:val="002715E4"/>
    <w:rsid w:val="00271AE4"/>
    <w:rsid w:val="00271BDE"/>
    <w:rsid w:val="00271C59"/>
    <w:rsid w:val="002723FE"/>
    <w:rsid w:val="0027242A"/>
    <w:rsid w:val="002726DA"/>
    <w:rsid w:val="00272D0D"/>
    <w:rsid w:val="00272E49"/>
    <w:rsid w:val="0027301B"/>
    <w:rsid w:val="002740E2"/>
    <w:rsid w:val="00274836"/>
    <w:rsid w:val="00274B0D"/>
    <w:rsid w:val="00274BA8"/>
    <w:rsid w:val="00274FE0"/>
    <w:rsid w:val="00275E45"/>
    <w:rsid w:val="002769F1"/>
    <w:rsid w:val="00276C2C"/>
    <w:rsid w:val="00276C4D"/>
    <w:rsid w:val="00277039"/>
    <w:rsid w:val="002773D4"/>
    <w:rsid w:val="00277936"/>
    <w:rsid w:val="0027793C"/>
    <w:rsid w:val="002806A9"/>
    <w:rsid w:val="0028131B"/>
    <w:rsid w:val="00281791"/>
    <w:rsid w:val="00281EA2"/>
    <w:rsid w:val="00281F49"/>
    <w:rsid w:val="00282041"/>
    <w:rsid w:val="0028217D"/>
    <w:rsid w:val="00282838"/>
    <w:rsid w:val="00282854"/>
    <w:rsid w:val="00282A20"/>
    <w:rsid w:val="0028317F"/>
    <w:rsid w:val="00283514"/>
    <w:rsid w:val="002839B5"/>
    <w:rsid w:val="00283AF1"/>
    <w:rsid w:val="00283D06"/>
    <w:rsid w:val="00283DB4"/>
    <w:rsid w:val="00283E74"/>
    <w:rsid w:val="00285514"/>
    <w:rsid w:val="002859DA"/>
    <w:rsid w:val="00286057"/>
    <w:rsid w:val="00286203"/>
    <w:rsid w:val="00286288"/>
    <w:rsid w:val="002868A7"/>
    <w:rsid w:val="00286AC2"/>
    <w:rsid w:val="00287082"/>
    <w:rsid w:val="002876A8"/>
    <w:rsid w:val="00287EE3"/>
    <w:rsid w:val="002900F3"/>
    <w:rsid w:val="00290414"/>
    <w:rsid w:val="00290564"/>
    <w:rsid w:val="00290911"/>
    <w:rsid w:val="002909C2"/>
    <w:rsid w:val="00290D0B"/>
    <w:rsid w:val="00291CEE"/>
    <w:rsid w:val="00291E9B"/>
    <w:rsid w:val="0029219A"/>
    <w:rsid w:val="00292E47"/>
    <w:rsid w:val="00292FD6"/>
    <w:rsid w:val="002933B3"/>
    <w:rsid w:val="00294D3D"/>
    <w:rsid w:val="00294DD4"/>
    <w:rsid w:val="00295384"/>
    <w:rsid w:val="0029564D"/>
    <w:rsid w:val="00295F5E"/>
    <w:rsid w:val="00295F60"/>
    <w:rsid w:val="00295F71"/>
    <w:rsid w:val="0029615B"/>
    <w:rsid w:val="00296F85"/>
    <w:rsid w:val="002973AB"/>
    <w:rsid w:val="002977B2"/>
    <w:rsid w:val="0029781B"/>
    <w:rsid w:val="00297F31"/>
    <w:rsid w:val="002A045E"/>
    <w:rsid w:val="002A0F34"/>
    <w:rsid w:val="002A16AD"/>
    <w:rsid w:val="002A17D5"/>
    <w:rsid w:val="002A1B1B"/>
    <w:rsid w:val="002A202F"/>
    <w:rsid w:val="002A2339"/>
    <w:rsid w:val="002A2535"/>
    <w:rsid w:val="002A277B"/>
    <w:rsid w:val="002A2F3E"/>
    <w:rsid w:val="002A2FA7"/>
    <w:rsid w:val="002A3342"/>
    <w:rsid w:val="002A3803"/>
    <w:rsid w:val="002A384A"/>
    <w:rsid w:val="002A400F"/>
    <w:rsid w:val="002A41B8"/>
    <w:rsid w:val="002A4333"/>
    <w:rsid w:val="002A43BB"/>
    <w:rsid w:val="002A4618"/>
    <w:rsid w:val="002A4F28"/>
    <w:rsid w:val="002A503D"/>
    <w:rsid w:val="002A50C4"/>
    <w:rsid w:val="002A529D"/>
    <w:rsid w:val="002A52C4"/>
    <w:rsid w:val="002A5554"/>
    <w:rsid w:val="002A6076"/>
    <w:rsid w:val="002A66E2"/>
    <w:rsid w:val="002A74CB"/>
    <w:rsid w:val="002A7776"/>
    <w:rsid w:val="002B0A88"/>
    <w:rsid w:val="002B0B42"/>
    <w:rsid w:val="002B0C9D"/>
    <w:rsid w:val="002B176B"/>
    <w:rsid w:val="002B184E"/>
    <w:rsid w:val="002B1EC9"/>
    <w:rsid w:val="002B2464"/>
    <w:rsid w:val="002B258B"/>
    <w:rsid w:val="002B27AB"/>
    <w:rsid w:val="002B2BF7"/>
    <w:rsid w:val="002B2C02"/>
    <w:rsid w:val="002B2ED0"/>
    <w:rsid w:val="002B3829"/>
    <w:rsid w:val="002B3DBF"/>
    <w:rsid w:val="002B40E6"/>
    <w:rsid w:val="002B4102"/>
    <w:rsid w:val="002B411A"/>
    <w:rsid w:val="002B43BC"/>
    <w:rsid w:val="002B490E"/>
    <w:rsid w:val="002B4A8C"/>
    <w:rsid w:val="002B5E59"/>
    <w:rsid w:val="002B5F9F"/>
    <w:rsid w:val="002B607A"/>
    <w:rsid w:val="002B615C"/>
    <w:rsid w:val="002B61B8"/>
    <w:rsid w:val="002B642E"/>
    <w:rsid w:val="002B715D"/>
    <w:rsid w:val="002C0CC8"/>
    <w:rsid w:val="002C11C4"/>
    <w:rsid w:val="002C16DF"/>
    <w:rsid w:val="002C1933"/>
    <w:rsid w:val="002C2BFC"/>
    <w:rsid w:val="002C34EA"/>
    <w:rsid w:val="002C41F2"/>
    <w:rsid w:val="002C46D4"/>
    <w:rsid w:val="002C4B58"/>
    <w:rsid w:val="002C4E3A"/>
    <w:rsid w:val="002C4E96"/>
    <w:rsid w:val="002C5561"/>
    <w:rsid w:val="002C59C5"/>
    <w:rsid w:val="002C6425"/>
    <w:rsid w:val="002C6DB1"/>
    <w:rsid w:val="002C71DD"/>
    <w:rsid w:val="002C72EF"/>
    <w:rsid w:val="002C750C"/>
    <w:rsid w:val="002C7811"/>
    <w:rsid w:val="002C7F58"/>
    <w:rsid w:val="002D00FA"/>
    <w:rsid w:val="002D02C0"/>
    <w:rsid w:val="002D0595"/>
    <w:rsid w:val="002D078E"/>
    <w:rsid w:val="002D0B60"/>
    <w:rsid w:val="002D0B65"/>
    <w:rsid w:val="002D0E8C"/>
    <w:rsid w:val="002D10BF"/>
    <w:rsid w:val="002D1338"/>
    <w:rsid w:val="002D2363"/>
    <w:rsid w:val="002D3697"/>
    <w:rsid w:val="002D387F"/>
    <w:rsid w:val="002D3ACE"/>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BD6"/>
    <w:rsid w:val="002E2751"/>
    <w:rsid w:val="002E2779"/>
    <w:rsid w:val="002E27A1"/>
    <w:rsid w:val="002E38EA"/>
    <w:rsid w:val="002E3997"/>
    <w:rsid w:val="002E3B2B"/>
    <w:rsid w:val="002E3CC9"/>
    <w:rsid w:val="002E3D95"/>
    <w:rsid w:val="002E3EC9"/>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D40"/>
    <w:rsid w:val="002F3E06"/>
    <w:rsid w:val="002F3FB6"/>
    <w:rsid w:val="002F4325"/>
    <w:rsid w:val="002F471E"/>
    <w:rsid w:val="002F4765"/>
    <w:rsid w:val="002F4ECA"/>
    <w:rsid w:val="002F4FBF"/>
    <w:rsid w:val="002F516E"/>
    <w:rsid w:val="002F5B91"/>
    <w:rsid w:val="002F5E04"/>
    <w:rsid w:val="002F63AC"/>
    <w:rsid w:val="002F67D0"/>
    <w:rsid w:val="002F6B95"/>
    <w:rsid w:val="002F6E85"/>
    <w:rsid w:val="002F76AC"/>
    <w:rsid w:val="002F7947"/>
    <w:rsid w:val="00300045"/>
    <w:rsid w:val="003006E1"/>
    <w:rsid w:val="00300F23"/>
    <w:rsid w:val="00301102"/>
    <w:rsid w:val="00301763"/>
    <w:rsid w:val="003018E4"/>
    <w:rsid w:val="003019F2"/>
    <w:rsid w:val="00301B48"/>
    <w:rsid w:val="00301C6C"/>
    <w:rsid w:val="00301E3C"/>
    <w:rsid w:val="0030200C"/>
    <w:rsid w:val="00302190"/>
    <w:rsid w:val="003021CB"/>
    <w:rsid w:val="003028F5"/>
    <w:rsid w:val="0030297F"/>
    <w:rsid w:val="00302BC3"/>
    <w:rsid w:val="00302E5C"/>
    <w:rsid w:val="003030B0"/>
    <w:rsid w:val="00303551"/>
    <w:rsid w:val="0030378F"/>
    <w:rsid w:val="003037A8"/>
    <w:rsid w:val="003040F2"/>
    <w:rsid w:val="00304321"/>
    <w:rsid w:val="00304544"/>
    <w:rsid w:val="00304764"/>
    <w:rsid w:val="00304930"/>
    <w:rsid w:val="00304B34"/>
    <w:rsid w:val="00304DED"/>
    <w:rsid w:val="00304F01"/>
    <w:rsid w:val="00304F75"/>
    <w:rsid w:val="00305418"/>
    <w:rsid w:val="0030586D"/>
    <w:rsid w:val="00305DD5"/>
    <w:rsid w:val="00306577"/>
    <w:rsid w:val="003067DC"/>
    <w:rsid w:val="00306809"/>
    <w:rsid w:val="003069D8"/>
    <w:rsid w:val="00306DF3"/>
    <w:rsid w:val="00310543"/>
    <w:rsid w:val="003107A9"/>
    <w:rsid w:val="0031175C"/>
    <w:rsid w:val="00311D17"/>
    <w:rsid w:val="00312051"/>
    <w:rsid w:val="0031221C"/>
    <w:rsid w:val="003122AA"/>
    <w:rsid w:val="00312D6B"/>
    <w:rsid w:val="00312DD3"/>
    <w:rsid w:val="00312FD5"/>
    <w:rsid w:val="00313593"/>
    <w:rsid w:val="003139E1"/>
    <w:rsid w:val="003151CA"/>
    <w:rsid w:val="003151D0"/>
    <w:rsid w:val="003152D1"/>
    <w:rsid w:val="0031549A"/>
    <w:rsid w:val="00315C2C"/>
    <w:rsid w:val="0031600C"/>
    <w:rsid w:val="0031605A"/>
    <w:rsid w:val="003161D0"/>
    <w:rsid w:val="0031629A"/>
    <w:rsid w:val="0031676C"/>
    <w:rsid w:val="00316B24"/>
    <w:rsid w:val="0031737A"/>
    <w:rsid w:val="00320722"/>
    <w:rsid w:val="00320C74"/>
    <w:rsid w:val="00320CA3"/>
    <w:rsid w:val="00321264"/>
    <w:rsid w:val="003212E7"/>
    <w:rsid w:val="003214B7"/>
    <w:rsid w:val="003215F3"/>
    <w:rsid w:val="003216DB"/>
    <w:rsid w:val="00321F49"/>
    <w:rsid w:val="00322058"/>
    <w:rsid w:val="00322350"/>
    <w:rsid w:val="00322ACA"/>
    <w:rsid w:val="00322E6D"/>
    <w:rsid w:val="00322E83"/>
    <w:rsid w:val="00322F70"/>
    <w:rsid w:val="003236E0"/>
    <w:rsid w:val="003236F2"/>
    <w:rsid w:val="0032393B"/>
    <w:rsid w:val="00324264"/>
    <w:rsid w:val="00324516"/>
    <w:rsid w:val="00324AA9"/>
    <w:rsid w:val="00324B57"/>
    <w:rsid w:val="00324BBE"/>
    <w:rsid w:val="00324C46"/>
    <w:rsid w:val="00325C26"/>
    <w:rsid w:val="00326D39"/>
    <w:rsid w:val="00326FCE"/>
    <w:rsid w:val="003271A7"/>
    <w:rsid w:val="00327244"/>
    <w:rsid w:val="00327A3B"/>
    <w:rsid w:val="00327A96"/>
    <w:rsid w:val="00327C3F"/>
    <w:rsid w:val="00330021"/>
    <w:rsid w:val="00330232"/>
    <w:rsid w:val="00330266"/>
    <w:rsid w:val="00330300"/>
    <w:rsid w:val="003308F2"/>
    <w:rsid w:val="00330F22"/>
    <w:rsid w:val="00332000"/>
    <w:rsid w:val="00332647"/>
    <w:rsid w:val="0033271E"/>
    <w:rsid w:val="0033277D"/>
    <w:rsid w:val="00332781"/>
    <w:rsid w:val="00332BBB"/>
    <w:rsid w:val="00333131"/>
    <w:rsid w:val="00333145"/>
    <w:rsid w:val="0033392C"/>
    <w:rsid w:val="003343B8"/>
    <w:rsid w:val="00334558"/>
    <w:rsid w:val="003348F4"/>
    <w:rsid w:val="003353E7"/>
    <w:rsid w:val="003355C3"/>
    <w:rsid w:val="00335DBA"/>
    <w:rsid w:val="00335E48"/>
    <w:rsid w:val="00336038"/>
    <w:rsid w:val="00336934"/>
    <w:rsid w:val="00336974"/>
    <w:rsid w:val="00336AFC"/>
    <w:rsid w:val="003402F1"/>
    <w:rsid w:val="003402FF"/>
    <w:rsid w:val="003403D0"/>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6190"/>
    <w:rsid w:val="003461A1"/>
    <w:rsid w:val="003468B6"/>
    <w:rsid w:val="00347105"/>
    <w:rsid w:val="00347401"/>
    <w:rsid w:val="00347601"/>
    <w:rsid w:val="00347BBC"/>
    <w:rsid w:val="00347BE5"/>
    <w:rsid w:val="00347F01"/>
    <w:rsid w:val="0035051B"/>
    <w:rsid w:val="0035067B"/>
    <w:rsid w:val="00350EF6"/>
    <w:rsid w:val="00350F59"/>
    <w:rsid w:val="00351307"/>
    <w:rsid w:val="00351698"/>
    <w:rsid w:val="003519F2"/>
    <w:rsid w:val="00352287"/>
    <w:rsid w:val="00352393"/>
    <w:rsid w:val="00352539"/>
    <w:rsid w:val="00352900"/>
    <w:rsid w:val="00352994"/>
    <w:rsid w:val="00353005"/>
    <w:rsid w:val="00353455"/>
    <w:rsid w:val="003537B8"/>
    <w:rsid w:val="00353906"/>
    <w:rsid w:val="00353AAE"/>
    <w:rsid w:val="0035476E"/>
    <w:rsid w:val="0035497B"/>
    <w:rsid w:val="00354B4F"/>
    <w:rsid w:val="00354F32"/>
    <w:rsid w:val="00355582"/>
    <w:rsid w:val="0035565A"/>
    <w:rsid w:val="00355727"/>
    <w:rsid w:val="00355F21"/>
    <w:rsid w:val="00355FA3"/>
    <w:rsid w:val="003563E1"/>
    <w:rsid w:val="003577AB"/>
    <w:rsid w:val="0035782E"/>
    <w:rsid w:val="00357880"/>
    <w:rsid w:val="00357D2F"/>
    <w:rsid w:val="00357D9B"/>
    <w:rsid w:val="00360728"/>
    <w:rsid w:val="00360A0C"/>
    <w:rsid w:val="0036104C"/>
    <w:rsid w:val="003617F5"/>
    <w:rsid w:val="00361BAB"/>
    <w:rsid w:val="003628F9"/>
    <w:rsid w:val="00362C97"/>
    <w:rsid w:val="00363F8E"/>
    <w:rsid w:val="00364470"/>
    <w:rsid w:val="003644E3"/>
    <w:rsid w:val="00364548"/>
    <w:rsid w:val="003648DB"/>
    <w:rsid w:val="003649C7"/>
    <w:rsid w:val="00365899"/>
    <w:rsid w:val="00365BB7"/>
    <w:rsid w:val="00365D44"/>
    <w:rsid w:val="00366020"/>
    <w:rsid w:val="00366217"/>
    <w:rsid w:val="00366618"/>
    <w:rsid w:val="00366921"/>
    <w:rsid w:val="00366A49"/>
    <w:rsid w:val="003678ED"/>
    <w:rsid w:val="00367C4F"/>
    <w:rsid w:val="00367CBE"/>
    <w:rsid w:val="003709B0"/>
    <w:rsid w:val="00370B5E"/>
    <w:rsid w:val="00370C93"/>
    <w:rsid w:val="00370EA0"/>
    <w:rsid w:val="00371448"/>
    <w:rsid w:val="0037158D"/>
    <w:rsid w:val="003715B6"/>
    <w:rsid w:val="00371927"/>
    <w:rsid w:val="00371931"/>
    <w:rsid w:val="00371C35"/>
    <w:rsid w:val="00371D9F"/>
    <w:rsid w:val="00371EAC"/>
    <w:rsid w:val="00371FA8"/>
    <w:rsid w:val="00372F8A"/>
    <w:rsid w:val="00373754"/>
    <w:rsid w:val="0037387B"/>
    <w:rsid w:val="003738C5"/>
    <w:rsid w:val="00374349"/>
    <w:rsid w:val="00374A72"/>
    <w:rsid w:val="00374BC0"/>
    <w:rsid w:val="003763BA"/>
    <w:rsid w:val="0037678B"/>
    <w:rsid w:val="00376C3B"/>
    <w:rsid w:val="00376DF5"/>
    <w:rsid w:val="00376E2D"/>
    <w:rsid w:val="00377552"/>
    <w:rsid w:val="00377AEA"/>
    <w:rsid w:val="003809CA"/>
    <w:rsid w:val="00380D94"/>
    <w:rsid w:val="003812E6"/>
    <w:rsid w:val="00381763"/>
    <w:rsid w:val="00381EDF"/>
    <w:rsid w:val="00381F19"/>
    <w:rsid w:val="0038221F"/>
    <w:rsid w:val="00382568"/>
    <w:rsid w:val="00383228"/>
    <w:rsid w:val="0038323C"/>
    <w:rsid w:val="0038344C"/>
    <w:rsid w:val="00383981"/>
    <w:rsid w:val="003839DF"/>
    <w:rsid w:val="003846CE"/>
    <w:rsid w:val="003847F1"/>
    <w:rsid w:val="00385819"/>
    <w:rsid w:val="003859D4"/>
    <w:rsid w:val="003862BF"/>
    <w:rsid w:val="00386482"/>
    <w:rsid w:val="00386BA9"/>
    <w:rsid w:val="00387462"/>
    <w:rsid w:val="00387698"/>
    <w:rsid w:val="0038793B"/>
    <w:rsid w:val="00387AEF"/>
    <w:rsid w:val="00387B48"/>
    <w:rsid w:val="00387E8D"/>
    <w:rsid w:val="003905A8"/>
    <w:rsid w:val="0039072A"/>
    <w:rsid w:val="003908AA"/>
    <w:rsid w:val="00391629"/>
    <w:rsid w:val="00391A05"/>
    <w:rsid w:val="003925D4"/>
    <w:rsid w:val="00392A50"/>
    <w:rsid w:val="00392D39"/>
    <w:rsid w:val="00392EDF"/>
    <w:rsid w:val="00392F8B"/>
    <w:rsid w:val="003930F2"/>
    <w:rsid w:val="00393213"/>
    <w:rsid w:val="0039368C"/>
    <w:rsid w:val="003938A9"/>
    <w:rsid w:val="00393A4C"/>
    <w:rsid w:val="00393A60"/>
    <w:rsid w:val="00394089"/>
    <w:rsid w:val="003943DF"/>
    <w:rsid w:val="003946DE"/>
    <w:rsid w:val="003947AF"/>
    <w:rsid w:val="003947CF"/>
    <w:rsid w:val="00394858"/>
    <w:rsid w:val="00394B21"/>
    <w:rsid w:val="00395364"/>
    <w:rsid w:val="003959AB"/>
    <w:rsid w:val="0039703B"/>
    <w:rsid w:val="00397175"/>
    <w:rsid w:val="00397234"/>
    <w:rsid w:val="003973B3"/>
    <w:rsid w:val="0039753B"/>
    <w:rsid w:val="003976CA"/>
    <w:rsid w:val="0039775F"/>
    <w:rsid w:val="00397974"/>
    <w:rsid w:val="003A0150"/>
    <w:rsid w:val="003A0B98"/>
    <w:rsid w:val="003A1130"/>
    <w:rsid w:val="003A1600"/>
    <w:rsid w:val="003A17A7"/>
    <w:rsid w:val="003A17F2"/>
    <w:rsid w:val="003A17F4"/>
    <w:rsid w:val="003A23EC"/>
    <w:rsid w:val="003A25C2"/>
    <w:rsid w:val="003A261E"/>
    <w:rsid w:val="003A26CC"/>
    <w:rsid w:val="003A2A3E"/>
    <w:rsid w:val="003A2BF3"/>
    <w:rsid w:val="003A34AC"/>
    <w:rsid w:val="003A34C5"/>
    <w:rsid w:val="003A3897"/>
    <w:rsid w:val="003A3985"/>
    <w:rsid w:val="003A3E0E"/>
    <w:rsid w:val="003A3F59"/>
    <w:rsid w:val="003A436A"/>
    <w:rsid w:val="003A504A"/>
    <w:rsid w:val="003A521B"/>
    <w:rsid w:val="003A528A"/>
    <w:rsid w:val="003A53B0"/>
    <w:rsid w:val="003A5998"/>
    <w:rsid w:val="003A62B0"/>
    <w:rsid w:val="003A6566"/>
    <w:rsid w:val="003A7014"/>
    <w:rsid w:val="003A79AA"/>
    <w:rsid w:val="003B0651"/>
    <w:rsid w:val="003B0BD0"/>
    <w:rsid w:val="003B0C6A"/>
    <w:rsid w:val="003B0EC3"/>
    <w:rsid w:val="003B118A"/>
    <w:rsid w:val="003B12E6"/>
    <w:rsid w:val="003B1BDE"/>
    <w:rsid w:val="003B1DA8"/>
    <w:rsid w:val="003B1DEF"/>
    <w:rsid w:val="003B1E25"/>
    <w:rsid w:val="003B1F0B"/>
    <w:rsid w:val="003B21D1"/>
    <w:rsid w:val="003B251C"/>
    <w:rsid w:val="003B265D"/>
    <w:rsid w:val="003B2726"/>
    <w:rsid w:val="003B2BB4"/>
    <w:rsid w:val="003B2EF6"/>
    <w:rsid w:val="003B34D9"/>
    <w:rsid w:val="003B3622"/>
    <w:rsid w:val="003B3992"/>
    <w:rsid w:val="003B405A"/>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B7E5C"/>
    <w:rsid w:val="003C14D2"/>
    <w:rsid w:val="003C1793"/>
    <w:rsid w:val="003C2013"/>
    <w:rsid w:val="003C2158"/>
    <w:rsid w:val="003C26DE"/>
    <w:rsid w:val="003C27CE"/>
    <w:rsid w:val="003C296F"/>
    <w:rsid w:val="003C2EF0"/>
    <w:rsid w:val="003C3155"/>
    <w:rsid w:val="003C3468"/>
    <w:rsid w:val="003C35D1"/>
    <w:rsid w:val="003C375F"/>
    <w:rsid w:val="003C3C21"/>
    <w:rsid w:val="003C3C83"/>
    <w:rsid w:val="003C3E24"/>
    <w:rsid w:val="003C427E"/>
    <w:rsid w:val="003C48A7"/>
    <w:rsid w:val="003C5343"/>
    <w:rsid w:val="003C57C5"/>
    <w:rsid w:val="003C5AFB"/>
    <w:rsid w:val="003C6231"/>
    <w:rsid w:val="003C67E9"/>
    <w:rsid w:val="003C6FCD"/>
    <w:rsid w:val="003C76FB"/>
    <w:rsid w:val="003C79DA"/>
    <w:rsid w:val="003C7ECB"/>
    <w:rsid w:val="003D0071"/>
    <w:rsid w:val="003D0130"/>
    <w:rsid w:val="003D0558"/>
    <w:rsid w:val="003D0921"/>
    <w:rsid w:val="003D0DDB"/>
    <w:rsid w:val="003D158F"/>
    <w:rsid w:val="003D1B7F"/>
    <w:rsid w:val="003D1E1A"/>
    <w:rsid w:val="003D1E76"/>
    <w:rsid w:val="003D1EF8"/>
    <w:rsid w:val="003D200E"/>
    <w:rsid w:val="003D21FE"/>
    <w:rsid w:val="003D228A"/>
    <w:rsid w:val="003D2B24"/>
    <w:rsid w:val="003D304D"/>
    <w:rsid w:val="003D320D"/>
    <w:rsid w:val="003D3636"/>
    <w:rsid w:val="003D3638"/>
    <w:rsid w:val="003D3772"/>
    <w:rsid w:val="003D5E16"/>
    <w:rsid w:val="003D62C3"/>
    <w:rsid w:val="003D6C69"/>
    <w:rsid w:val="003D6F08"/>
    <w:rsid w:val="003D7038"/>
    <w:rsid w:val="003D75D4"/>
    <w:rsid w:val="003D7AFC"/>
    <w:rsid w:val="003D7DFA"/>
    <w:rsid w:val="003D7F78"/>
    <w:rsid w:val="003E0953"/>
    <w:rsid w:val="003E095C"/>
    <w:rsid w:val="003E0A7A"/>
    <w:rsid w:val="003E173D"/>
    <w:rsid w:val="003E178C"/>
    <w:rsid w:val="003E1EE7"/>
    <w:rsid w:val="003E1F57"/>
    <w:rsid w:val="003E2694"/>
    <w:rsid w:val="003E288C"/>
    <w:rsid w:val="003E31AB"/>
    <w:rsid w:val="003E3926"/>
    <w:rsid w:val="003E4091"/>
    <w:rsid w:val="003E438A"/>
    <w:rsid w:val="003E47A9"/>
    <w:rsid w:val="003E4BE5"/>
    <w:rsid w:val="003E4EFD"/>
    <w:rsid w:val="003E50EC"/>
    <w:rsid w:val="003E58AF"/>
    <w:rsid w:val="003E595A"/>
    <w:rsid w:val="003E5E45"/>
    <w:rsid w:val="003E618E"/>
    <w:rsid w:val="003E62AF"/>
    <w:rsid w:val="003E6337"/>
    <w:rsid w:val="003E6820"/>
    <w:rsid w:val="003E6B01"/>
    <w:rsid w:val="003E6EF5"/>
    <w:rsid w:val="003E7332"/>
    <w:rsid w:val="003E7A86"/>
    <w:rsid w:val="003F12D4"/>
    <w:rsid w:val="003F1990"/>
    <w:rsid w:val="003F2D20"/>
    <w:rsid w:val="003F301A"/>
    <w:rsid w:val="003F32F7"/>
    <w:rsid w:val="003F3564"/>
    <w:rsid w:val="003F393B"/>
    <w:rsid w:val="003F3AC3"/>
    <w:rsid w:val="003F3B2E"/>
    <w:rsid w:val="003F489E"/>
    <w:rsid w:val="003F4B3E"/>
    <w:rsid w:val="003F4CB4"/>
    <w:rsid w:val="003F4DBF"/>
    <w:rsid w:val="003F4E0F"/>
    <w:rsid w:val="003F500F"/>
    <w:rsid w:val="003F5F43"/>
    <w:rsid w:val="003F6031"/>
    <w:rsid w:val="003F6410"/>
    <w:rsid w:val="003F657F"/>
    <w:rsid w:val="003F6C45"/>
    <w:rsid w:val="003F6DE4"/>
    <w:rsid w:val="0040019B"/>
    <w:rsid w:val="00400377"/>
    <w:rsid w:val="00400491"/>
    <w:rsid w:val="004007BB"/>
    <w:rsid w:val="00400CFD"/>
    <w:rsid w:val="00400F72"/>
    <w:rsid w:val="004013BC"/>
    <w:rsid w:val="00402612"/>
    <w:rsid w:val="00402B62"/>
    <w:rsid w:val="00402D20"/>
    <w:rsid w:val="0040311E"/>
    <w:rsid w:val="00403A44"/>
    <w:rsid w:val="00403B06"/>
    <w:rsid w:val="00403B58"/>
    <w:rsid w:val="00404BBB"/>
    <w:rsid w:val="00405862"/>
    <w:rsid w:val="00405982"/>
    <w:rsid w:val="00405DE5"/>
    <w:rsid w:val="00405F16"/>
    <w:rsid w:val="004061CE"/>
    <w:rsid w:val="0040636B"/>
    <w:rsid w:val="00406872"/>
    <w:rsid w:val="004072EF"/>
    <w:rsid w:val="004075DA"/>
    <w:rsid w:val="004077E3"/>
    <w:rsid w:val="0040781C"/>
    <w:rsid w:val="0040792B"/>
    <w:rsid w:val="00407D9B"/>
    <w:rsid w:val="00407DF6"/>
    <w:rsid w:val="00410206"/>
    <w:rsid w:val="00410671"/>
    <w:rsid w:val="00410B15"/>
    <w:rsid w:val="00410B8E"/>
    <w:rsid w:val="004118DE"/>
    <w:rsid w:val="00411A8C"/>
    <w:rsid w:val="00411E86"/>
    <w:rsid w:val="00411EBD"/>
    <w:rsid w:val="00412522"/>
    <w:rsid w:val="004125A1"/>
    <w:rsid w:val="00412A9B"/>
    <w:rsid w:val="00413062"/>
    <w:rsid w:val="0041312C"/>
    <w:rsid w:val="0041338A"/>
    <w:rsid w:val="0041338B"/>
    <w:rsid w:val="00413A3A"/>
    <w:rsid w:val="0041464D"/>
    <w:rsid w:val="00414C53"/>
    <w:rsid w:val="00415279"/>
    <w:rsid w:val="0041530D"/>
    <w:rsid w:val="004154CD"/>
    <w:rsid w:val="004155F9"/>
    <w:rsid w:val="00415E4B"/>
    <w:rsid w:val="00416059"/>
    <w:rsid w:val="004164A1"/>
    <w:rsid w:val="00420DBD"/>
    <w:rsid w:val="0042109C"/>
    <w:rsid w:val="00421119"/>
    <w:rsid w:val="0042120F"/>
    <w:rsid w:val="004219A0"/>
    <w:rsid w:val="00421AE6"/>
    <w:rsid w:val="00422678"/>
    <w:rsid w:val="00422782"/>
    <w:rsid w:val="00422942"/>
    <w:rsid w:val="00422B55"/>
    <w:rsid w:val="004230BD"/>
    <w:rsid w:val="0042393D"/>
    <w:rsid w:val="00423C00"/>
    <w:rsid w:val="0042409B"/>
    <w:rsid w:val="00424440"/>
    <w:rsid w:val="00424EE1"/>
    <w:rsid w:val="00424F77"/>
    <w:rsid w:val="004257EB"/>
    <w:rsid w:val="00425AE2"/>
    <w:rsid w:val="004260BB"/>
    <w:rsid w:val="004268CB"/>
    <w:rsid w:val="004269BA"/>
    <w:rsid w:val="004274EE"/>
    <w:rsid w:val="0042787A"/>
    <w:rsid w:val="00427C27"/>
    <w:rsid w:val="00427CCC"/>
    <w:rsid w:val="004300CB"/>
    <w:rsid w:val="00430453"/>
    <w:rsid w:val="00430BCC"/>
    <w:rsid w:val="00430FBC"/>
    <w:rsid w:val="00431136"/>
    <w:rsid w:val="00431502"/>
    <w:rsid w:val="00431C09"/>
    <w:rsid w:val="0043295B"/>
    <w:rsid w:val="0043367B"/>
    <w:rsid w:val="004336E9"/>
    <w:rsid w:val="00433735"/>
    <w:rsid w:val="004337A3"/>
    <w:rsid w:val="00433981"/>
    <w:rsid w:val="00433AAE"/>
    <w:rsid w:val="00434C95"/>
    <w:rsid w:val="0043510A"/>
    <w:rsid w:val="0043628A"/>
    <w:rsid w:val="0043646E"/>
    <w:rsid w:val="004370CA"/>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3E22"/>
    <w:rsid w:val="00444056"/>
    <w:rsid w:val="004440B5"/>
    <w:rsid w:val="00444C2D"/>
    <w:rsid w:val="00444F5C"/>
    <w:rsid w:val="0044610F"/>
    <w:rsid w:val="004462CE"/>
    <w:rsid w:val="00446316"/>
    <w:rsid w:val="00446757"/>
    <w:rsid w:val="00446833"/>
    <w:rsid w:val="004502BA"/>
    <w:rsid w:val="00450CA7"/>
    <w:rsid w:val="00450E29"/>
    <w:rsid w:val="00451082"/>
    <w:rsid w:val="00451640"/>
    <w:rsid w:val="00451C48"/>
    <w:rsid w:val="0045351A"/>
    <w:rsid w:val="004537B4"/>
    <w:rsid w:val="004539A1"/>
    <w:rsid w:val="004544BC"/>
    <w:rsid w:val="004546C3"/>
    <w:rsid w:val="00454A40"/>
    <w:rsid w:val="0045504D"/>
    <w:rsid w:val="004551D5"/>
    <w:rsid w:val="004564BE"/>
    <w:rsid w:val="00456D24"/>
    <w:rsid w:val="0045729F"/>
    <w:rsid w:val="004573F7"/>
    <w:rsid w:val="004574E2"/>
    <w:rsid w:val="00457A36"/>
    <w:rsid w:val="00457A81"/>
    <w:rsid w:val="00457AAB"/>
    <w:rsid w:val="004601B2"/>
    <w:rsid w:val="0046032F"/>
    <w:rsid w:val="00460519"/>
    <w:rsid w:val="0046065B"/>
    <w:rsid w:val="0046092C"/>
    <w:rsid w:val="00460FD9"/>
    <w:rsid w:val="004610EC"/>
    <w:rsid w:val="00461268"/>
    <w:rsid w:val="00461327"/>
    <w:rsid w:val="004614CA"/>
    <w:rsid w:val="00461C83"/>
    <w:rsid w:val="004621F8"/>
    <w:rsid w:val="004622A5"/>
    <w:rsid w:val="00462646"/>
    <w:rsid w:val="004626EB"/>
    <w:rsid w:val="00462C08"/>
    <w:rsid w:val="00462C40"/>
    <w:rsid w:val="00463B76"/>
    <w:rsid w:val="00463ECF"/>
    <w:rsid w:val="00463F5B"/>
    <w:rsid w:val="004640A5"/>
    <w:rsid w:val="0046428D"/>
    <w:rsid w:val="0046450E"/>
    <w:rsid w:val="00464A19"/>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7E6"/>
    <w:rsid w:val="00473A5B"/>
    <w:rsid w:val="004741C3"/>
    <w:rsid w:val="00474B7A"/>
    <w:rsid w:val="00475940"/>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3F70"/>
    <w:rsid w:val="00484659"/>
    <w:rsid w:val="0048474B"/>
    <w:rsid w:val="004847D9"/>
    <w:rsid w:val="00484F1C"/>
    <w:rsid w:val="004853FA"/>
    <w:rsid w:val="00485A2F"/>
    <w:rsid w:val="00485A68"/>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2D"/>
    <w:rsid w:val="004935F7"/>
    <w:rsid w:val="00493D53"/>
    <w:rsid w:val="0049400B"/>
    <w:rsid w:val="00494365"/>
    <w:rsid w:val="00494B73"/>
    <w:rsid w:val="00494CE9"/>
    <w:rsid w:val="00495005"/>
    <w:rsid w:val="00496102"/>
    <w:rsid w:val="00496428"/>
    <w:rsid w:val="004969C7"/>
    <w:rsid w:val="00496D13"/>
    <w:rsid w:val="00497CE6"/>
    <w:rsid w:val="00497F1E"/>
    <w:rsid w:val="004A0F71"/>
    <w:rsid w:val="004A1197"/>
    <w:rsid w:val="004A1855"/>
    <w:rsid w:val="004A1A16"/>
    <w:rsid w:val="004A1F4C"/>
    <w:rsid w:val="004A2197"/>
    <w:rsid w:val="004A2804"/>
    <w:rsid w:val="004A29B2"/>
    <w:rsid w:val="004A29B3"/>
    <w:rsid w:val="004A2C73"/>
    <w:rsid w:val="004A2F68"/>
    <w:rsid w:val="004A3297"/>
    <w:rsid w:val="004A36C6"/>
    <w:rsid w:val="004A3D9E"/>
    <w:rsid w:val="004A4C2D"/>
    <w:rsid w:val="004A4E31"/>
    <w:rsid w:val="004A5E2D"/>
    <w:rsid w:val="004A5E42"/>
    <w:rsid w:val="004A628A"/>
    <w:rsid w:val="004A6976"/>
    <w:rsid w:val="004A73A7"/>
    <w:rsid w:val="004B0151"/>
    <w:rsid w:val="004B056E"/>
    <w:rsid w:val="004B0B81"/>
    <w:rsid w:val="004B0ECD"/>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479"/>
    <w:rsid w:val="004B6510"/>
    <w:rsid w:val="004B6A79"/>
    <w:rsid w:val="004B6D08"/>
    <w:rsid w:val="004B6DD2"/>
    <w:rsid w:val="004B7126"/>
    <w:rsid w:val="004B76A9"/>
    <w:rsid w:val="004B7EC3"/>
    <w:rsid w:val="004C01BF"/>
    <w:rsid w:val="004C0317"/>
    <w:rsid w:val="004C06EF"/>
    <w:rsid w:val="004C0E18"/>
    <w:rsid w:val="004C14C0"/>
    <w:rsid w:val="004C1D53"/>
    <w:rsid w:val="004C20B8"/>
    <w:rsid w:val="004C27AF"/>
    <w:rsid w:val="004C2935"/>
    <w:rsid w:val="004C2B94"/>
    <w:rsid w:val="004C311D"/>
    <w:rsid w:val="004C33E8"/>
    <w:rsid w:val="004C3E56"/>
    <w:rsid w:val="004C42B9"/>
    <w:rsid w:val="004C46C5"/>
    <w:rsid w:val="004C4911"/>
    <w:rsid w:val="004C4B9F"/>
    <w:rsid w:val="004C588A"/>
    <w:rsid w:val="004C594C"/>
    <w:rsid w:val="004C5A2E"/>
    <w:rsid w:val="004C5DEB"/>
    <w:rsid w:val="004C64AB"/>
    <w:rsid w:val="004C64F9"/>
    <w:rsid w:val="004C660B"/>
    <w:rsid w:val="004C6666"/>
    <w:rsid w:val="004C70BD"/>
    <w:rsid w:val="004C73EB"/>
    <w:rsid w:val="004C7A14"/>
    <w:rsid w:val="004C7B9E"/>
    <w:rsid w:val="004C7E97"/>
    <w:rsid w:val="004D0675"/>
    <w:rsid w:val="004D0BB3"/>
    <w:rsid w:val="004D0CE2"/>
    <w:rsid w:val="004D0DA2"/>
    <w:rsid w:val="004D1330"/>
    <w:rsid w:val="004D1B0D"/>
    <w:rsid w:val="004D2472"/>
    <w:rsid w:val="004D29F0"/>
    <w:rsid w:val="004D2A84"/>
    <w:rsid w:val="004D32F6"/>
    <w:rsid w:val="004D33E4"/>
    <w:rsid w:val="004D3F44"/>
    <w:rsid w:val="004D3FC2"/>
    <w:rsid w:val="004D456C"/>
    <w:rsid w:val="004D485F"/>
    <w:rsid w:val="004D4FC2"/>
    <w:rsid w:val="004D55D2"/>
    <w:rsid w:val="004D5640"/>
    <w:rsid w:val="004D59A0"/>
    <w:rsid w:val="004D6C99"/>
    <w:rsid w:val="004D734E"/>
    <w:rsid w:val="004D741D"/>
    <w:rsid w:val="004D783B"/>
    <w:rsid w:val="004D7ADA"/>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3DED"/>
    <w:rsid w:val="004E43BA"/>
    <w:rsid w:val="004E4659"/>
    <w:rsid w:val="004E4B03"/>
    <w:rsid w:val="004E4E17"/>
    <w:rsid w:val="004E51A3"/>
    <w:rsid w:val="004E52D8"/>
    <w:rsid w:val="004E5872"/>
    <w:rsid w:val="004E5D63"/>
    <w:rsid w:val="004E6617"/>
    <w:rsid w:val="004E6812"/>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015"/>
    <w:rsid w:val="004F62FD"/>
    <w:rsid w:val="004F6332"/>
    <w:rsid w:val="004F67A2"/>
    <w:rsid w:val="004F68B0"/>
    <w:rsid w:val="004F7BDE"/>
    <w:rsid w:val="0050034B"/>
    <w:rsid w:val="00502B41"/>
    <w:rsid w:val="00503191"/>
    <w:rsid w:val="0050326D"/>
    <w:rsid w:val="005035DD"/>
    <w:rsid w:val="00503E32"/>
    <w:rsid w:val="005047CB"/>
    <w:rsid w:val="005047F1"/>
    <w:rsid w:val="00504B40"/>
    <w:rsid w:val="00505225"/>
    <w:rsid w:val="00505893"/>
    <w:rsid w:val="005058DE"/>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8AC"/>
    <w:rsid w:val="00510AAD"/>
    <w:rsid w:val="0051130C"/>
    <w:rsid w:val="00511429"/>
    <w:rsid w:val="005118F2"/>
    <w:rsid w:val="00512111"/>
    <w:rsid w:val="005124E1"/>
    <w:rsid w:val="005129C7"/>
    <w:rsid w:val="005130DC"/>
    <w:rsid w:val="005132AC"/>
    <w:rsid w:val="005132CC"/>
    <w:rsid w:val="005139AB"/>
    <w:rsid w:val="005139B9"/>
    <w:rsid w:val="00513D7E"/>
    <w:rsid w:val="005143FD"/>
    <w:rsid w:val="00514F81"/>
    <w:rsid w:val="00515684"/>
    <w:rsid w:val="0051582F"/>
    <w:rsid w:val="00515CFA"/>
    <w:rsid w:val="0051655C"/>
    <w:rsid w:val="005166BA"/>
    <w:rsid w:val="00516D97"/>
    <w:rsid w:val="0051707C"/>
    <w:rsid w:val="00517731"/>
    <w:rsid w:val="00517788"/>
    <w:rsid w:val="005179F5"/>
    <w:rsid w:val="00517AFB"/>
    <w:rsid w:val="00517DE9"/>
    <w:rsid w:val="005207FB"/>
    <w:rsid w:val="00521139"/>
    <w:rsid w:val="00521725"/>
    <w:rsid w:val="0052175E"/>
    <w:rsid w:val="00522AD0"/>
    <w:rsid w:val="00522B23"/>
    <w:rsid w:val="00522BFC"/>
    <w:rsid w:val="00522CA9"/>
    <w:rsid w:val="00522E09"/>
    <w:rsid w:val="00522E66"/>
    <w:rsid w:val="00522EFA"/>
    <w:rsid w:val="005233E4"/>
    <w:rsid w:val="00523E8E"/>
    <w:rsid w:val="00524908"/>
    <w:rsid w:val="00524C72"/>
    <w:rsid w:val="00525088"/>
    <w:rsid w:val="005250E1"/>
    <w:rsid w:val="005258A2"/>
    <w:rsid w:val="00525972"/>
    <w:rsid w:val="00525D2D"/>
    <w:rsid w:val="00526022"/>
    <w:rsid w:val="00526991"/>
    <w:rsid w:val="00526FBE"/>
    <w:rsid w:val="00527322"/>
    <w:rsid w:val="00527605"/>
    <w:rsid w:val="00527DD2"/>
    <w:rsid w:val="005304A4"/>
    <w:rsid w:val="00530B7B"/>
    <w:rsid w:val="00530C74"/>
    <w:rsid w:val="0053128D"/>
    <w:rsid w:val="005313FE"/>
    <w:rsid w:val="00531429"/>
    <w:rsid w:val="00531532"/>
    <w:rsid w:val="0053157E"/>
    <w:rsid w:val="00531671"/>
    <w:rsid w:val="005317AD"/>
    <w:rsid w:val="00531D3A"/>
    <w:rsid w:val="00531E7F"/>
    <w:rsid w:val="005320F9"/>
    <w:rsid w:val="0053263B"/>
    <w:rsid w:val="0053263D"/>
    <w:rsid w:val="00532BA0"/>
    <w:rsid w:val="00532BAE"/>
    <w:rsid w:val="00532E1B"/>
    <w:rsid w:val="00533102"/>
    <w:rsid w:val="005337F3"/>
    <w:rsid w:val="00534056"/>
    <w:rsid w:val="0053447F"/>
    <w:rsid w:val="00534C4A"/>
    <w:rsid w:val="00535625"/>
    <w:rsid w:val="00535754"/>
    <w:rsid w:val="00535D54"/>
    <w:rsid w:val="00535ECB"/>
    <w:rsid w:val="00535F5D"/>
    <w:rsid w:val="0053637E"/>
    <w:rsid w:val="00536582"/>
    <w:rsid w:val="005365A8"/>
    <w:rsid w:val="00536855"/>
    <w:rsid w:val="00536A50"/>
    <w:rsid w:val="00536D53"/>
    <w:rsid w:val="00536EB7"/>
    <w:rsid w:val="00537026"/>
    <w:rsid w:val="005370DC"/>
    <w:rsid w:val="005376E4"/>
    <w:rsid w:val="00537CE9"/>
    <w:rsid w:val="0054035C"/>
    <w:rsid w:val="00540720"/>
    <w:rsid w:val="00540760"/>
    <w:rsid w:val="00540853"/>
    <w:rsid w:val="0054094E"/>
    <w:rsid w:val="00540AD1"/>
    <w:rsid w:val="00540B9C"/>
    <w:rsid w:val="005426C3"/>
    <w:rsid w:val="00542C0F"/>
    <w:rsid w:val="00542D06"/>
    <w:rsid w:val="00542E4E"/>
    <w:rsid w:val="00543A31"/>
    <w:rsid w:val="00543AE9"/>
    <w:rsid w:val="00543E2F"/>
    <w:rsid w:val="005442DF"/>
    <w:rsid w:val="0054461A"/>
    <w:rsid w:val="00544747"/>
    <w:rsid w:val="00545029"/>
    <w:rsid w:val="00545620"/>
    <w:rsid w:val="00545AD8"/>
    <w:rsid w:val="00545C6A"/>
    <w:rsid w:val="00545D8E"/>
    <w:rsid w:val="0054612E"/>
    <w:rsid w:val="00546465"/>
    <w:rsid w:val="005465EF"/>
    <w:rsid w:val="00546855"/>
    <w:rsid w:val="005469E6"/>
    <w:rsid w:val="00546E3A"/>
    <w:rsid w:val="005474B0"/>
    <w:rsid w:val="005478D2"/>
    <w:rsid w:val="00547A54"/>
    <w:rsid w:val="00547F6E"/>
    <w:rsid w:val="005504C1"/>
    <w:rsid w:val="005506A3"/>
    <w:rsid w:val="005508AA"/>
    <w:rsid w:val="005509AE"/>
    <w:rsid w:val="00550C30"/>
    <w:rsid w:val="005514F0"/>
    <w:rsid w:val="00551575"/>
    <w:rsid w:val="005517F0"/>
    <w:rsid w:val="00551A99"/>
    <w:rsid w:val="00551D50"/>
    <w:rsid w:val="00551F88"/>
    <w:rsid w:val="005525C4"/>
    <w:rsid w:val="00552759"/>
    <w:rsid w:val="0055280A"/>
    <w:rsid w:val="005528CE"/>
    <w:rsid w:val="00552915"/>
    <w:rsid w:val="0055299B"/>
    <w:rsid w:val="0055321E"/>
    <w:rsid w:val="0055359D"/>
    <w:rsid w:val="005536C2"/>
    <w:rsid w:val="00553C0D"/>
    <w:rsid w:val="00553E04"/>
    <w:rsid w:val="00554195"/>
    <w:rsid w:val="00554326"/>
    <w:rsid w:val="00554BEF"/>
    <w:rsid w:val="00555085"/>
    <w:rsid w:val="00555428"/>
    <w:rsid w:val="005554E9"/>
    <w:rsid w:val="00555857"/>
    <w:rsid w:val="0055654B"/>
    <w:rsid w:val="005566D6"/>
    <w:rsid w:val="00556839"/>
    <w:rsid w:val="00556ECF"/>
    <w:rsid w:val="005572EF"/>
    <w:rsid w:val="0055771E"/>
    <w:rsid w:val="00557F04"/>
    <w:rsid w:val="00560004"/>
    <w:rsid w:val="0056015D"/>
    <w:rsid w:val="00560DE1"/>
    <w:rsid w:val="00560EB2"/>
    <w:rsid w:val="00561A9B"/>
    <w:rsid w:val="00562138"/>
    <w:rsid w:val="005622AF"/>
    <w:rsid w:val="00562571"/>
    <w:rsid w:val="00562BF6"/>
    <w:rsid w:val="00562E87"/>
    <w:rsid w:val="00562F6F"/>
    <w:rsid w:val="005630AA"/>
    <w:rsid w:val="005638C1"/>
    <w:rsid w:val="00563A1C"/>
    <w:rsid w:val="005648FF"/>
    <w:rsid w:val="005651F6"/>
    <w:rsid w:val="0056540C"/>
    <w:rsid w:val="00566A41"/>
    <w:rsid w:val="00566DB5"/>
    <w:rsid w:val="0056720E"/>
    <w:rsid w:val="00567BA4"/>
    <w:rsid w:val="00567ED0"/>
    <w:rsid w:val="00567F82"/>
    <w:rsid w:val="005701D9"/>
    <w:rsid w:val="0057023B"/>
    <w:rsid w:val="00570538"/>
    <w:rsid w:val="00570A2C"/>
    <w:rsid w:val="00570AD7"/>
    <w:rsid w:val="00571012"/>
    <w:rsid w:val="00571319"/>
    <w:rsid w:val="005719E7"/>
    <w:rsid w:val="00571AC6"/>
    <w:rsid w:val="00571F1D"/>
    <w:rsid w:val="0057206E"/>
    <w:rsid w:val="005729FF"/>
    <w:rsid w:val="00572B7E"/>
    <w:rsid w:val="00572BFE"/>
    <w:rsid w:val="00572D65"/>
    <w:rsid w:val="00573198"/>
    <w:rsid w:val="005734F0"/>
    <w:rsid w:val="0057369A"/>
    <w:rsid w:val="00573985"/>
    <w:rsid w:val="00573D75"/>
    <w:rsid w:val="00573E5C"/>
    <w:rsid w:val="00574050"/>
    <w:rsid w:val="0057449D"/>
    <w:rsid w:val="005749A3"/>
    <w:rsid w:val="00574FA8"/>
    <w:rsid w:val="00575514"/>
    <w:rsid w:val="005755AD"/>
    <w:rsid w:val="00575D8C"/>
    <w:rsid w:val="00576318"/>
    <w:rsid w:val="005765A5"/>
    <w:rsid w:val="00576830"/>
    <w:rsid w:val="00576D91"/>
    <w:rsid w:val="00577101"/>
    <w:rsid w:val="00577123"/>
    <w:rsid w:val="00577189"/>
    <w:rsid w:val="0057761F"/>
    <w:rsid w:val="005778F3"/>
    <w:rsid w:val="005779E6"/>
    <w:rsid w:val="00577C5B"/>
    <w:rsid w:val="00580635"/>
    <w:rsid w:val="005808E8"/>
    <w:rsid w:val="00581542"/>
    <w:rsid w:val="00581671"/>
    <w:rsid w:val="00581A98"/>
    <w:rsid w:val="0058288A"/>
    <w:rsid w:val="00582D17"/>
    <w:rsid w:val="00582F6E"/>
    <w:rsid w:val="005833C2"/>
    <w:rsid w:val="00583B0A"/>
    <w:rsid w:val="00584C8B"/>
    <w:rsid w:val="005859A4"/>
    <w:rsid w:val="00585A18"/>
    <w:rsid w:val="00585D00"/>
    <w:rsid w:val="00586039"/>
    <w:rsid w:val="005864F5"/>
    <w:rsid w:val="00586D01"/>
    <w:rsid w:val="00586E5E"/>
    <w:rsid w:val="0058714C"/>
    <w:rsid w:val="005876FA"/>
    <w:rsid w:val="00587860"/>
    <w:rsid w:val="00587EA3"/>
    <w:rsid w:val="0059001D"/>
    <w:rsid w:val="00590AE9"/>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3B5B"/>
    <w:rsid w:val="005942A7"/>
    <w:rsid w:val="00594A5A"/>
    <w:rsid w:val="00594B39"/>
    <w:rsid w:val="00594D16"/>
    <w:rsid w:val="00595057"/>
    <w:rsid w:val="005952EA"/>
    <w:rsid w:val="00595513"/>
    <w:rsid w:val="00595852"/>
    <w:rsid w:val="00595A38"/>
    <w:rsid w:val="00595C4B"/>
    <w:rsid w:val="00595D50"/>
    <w:rsid w:val="00595F6D"/>
    <w:rsid w:val="00595FDA"/>
    <w:rsid w:val="00596235"/>
    <w:rsid w:val="005964B7"/>
    <w:rsid w:val="00596E7A"/>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3E15"/>
    <w:rsid w:val="005A44C3"/>
    <w:rsid w:val="005A5211"/>
    <w:rsid w:val="005A5555"/>
    <w:rsid w:val="005A6096"/>
    <w:rsid w:val="005A6AC5"/>
    <w:rsid w:val="005A6C10"/>
    <w:rsid w:val="005A6F15"/>
    <w:rsid w:val="005A737B"/>
    <w:rsid w:val="005A74ED"/>
    <w:rsid w:val="005A7A0B"/>
    <w:rsid w:val="005A7C48"/>
    <w:rsid w:val="005B01AF"/>
    <w:rsid w:val="005B0296"/>
    <w:rsid w:val="005B0E69"/>
    <w:rsid w:val="005B12CD"/>
    <w:rsid w:val="005B1750"/>
    <w:rsid w:val="005B1A92"/>
    <w:rsid w:val="005B1B30"/>
    <w:rsid w:val="005B1E6C"/>
    <w:rsid w:val="005B2805"/>
    <w:rsid w:val="005B2859"/>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5F6E"/>
    <w:rsid w:val="005B5FB7"/>
    <w:rsid w:val="005B682C"/>
    <w:rsid w:val="005B6A11"/>
    <w:rsid w:val="005B6C22"/>
    <w:rsid w:val="005B7163"/>
    <w:rsid w:val="005B7306"/>
    <w:rsid w:val="005B7602"/>
    <w:rsid w:val="005B79E9"/>
    <w:rsid w:val="005B7DDB"/>
    <w:rsid w:val="005B7F53"/>
    <w:rsid w:val="005C00DE"/>
    <w:rsid w:val="005C0CF3"/>
    <w:rsid w:val="005C10B1"/>
    <w:rsid w:val="005C12E2"/>
    <w:rsid w:val="005C147E"/>
    <w:rsid w:val="005C1810"/>
    <w:rsid w:val="005C1C3F"/>
    <w:rsid w:val="005C1E9F"/>
    <w:rsid w:val="005C23A4"/>
    <w:rsid w:val="005C2C71"/>
    <w:rsid w:val="005C2DB6"/>
    <w:rsid w:val="005C2F2F"/>
    <w:rsid w:val="005C2F40"/>
    <w:rsid w:val="005C33C7"/>
    <w:rsid w:val="005C33FE"/>
    <w:rsid w:val="005C3AD0"/>
    <w:rsid w:val="005C3D13"/>
    <w:rsid w:val="005C3DE2"/>
    <w:rsid w:val="005C4736"/>
    <w:rsid w:val="005C477A"/>
    <w:rsid w:val="005C47DE"/>
    <w:rsid w:val="005C48F5"/>
    <w:rsid w:val="005C4933"/>
    <w:rsid w:val="005C4B8B"/>
    <w:rsid w:val="005C4DE5"/>
    <w:rsid w:val="005C50A5"/>
    <w:rsid w:val="005C50A6"/>
    <w:rsid w:val="005C50FE"/>
    <w:rsid w:val="005C52AC"/>
    <w:rsid w:val="005C532D"/>
    <w:rsid w:val="005C548B"/>
    <w:rsid w:val="005C612E"/>
    <w:rsid w:val="005C6ACD"/>
    <w:rsid w:val="005C7131"/>
    <w:rsid w:val="005C7726"/>
    <w:rsid w:val="005C7DE8"/>
    <w:rsid w:val="005C7E2F"/>
    <w:rsid w:val="005D00E9"/>
    <w:rsid w:val="005D0275"/>
    <w:rsid w:val="005D0D2D"/>
    <w:rsid w:val="005D0FA7"/>
    <w:rsid w:val="005D117A"/>
    <w:rsid w:val="005D117B"/>
    <w:rsid w:val="005D1596"/>
    <w:rsid w:val="005D1782"/>
    <w:rsid w:val="005D17B9"/>
    <w:rsid w:val="005D1E03"/>
    <w:rsid w:val="005D20D0"/>
    <w:rsid w:val="005D237E"/>
    <w:rsid w:val="005D27C0"/>
    <w:rsid w:val="005D2BE4"/>
    <w:rsid w:val="005D306F"/>
    <w:rsid w:val="005D3632"/>
    <w:rsid w:val="005D3801"/>
    <w:rsid w:val="005D3984"/>
    <w:rsid w:val="005D502C"/>
    <w:rsid w:val="005D5636"/>
    <w:rsid w:val="005D5BB7"/>
    <w:rsid w:val="005D5CC3"/>
    <w:rsid w:val="005D5D49"/>
    <w:rsid w:val="005D6019"/>
    <w:rsid w:val="005D6F67"/>
    <w:rsid w:val="005D6FE9"/>
    <w:rsid w:val="005D7896"/>
    <w:rsid w:val="005D7902"/>
    <w:rsid w:val="005E06BD"/>
    <w:rsid w:val="005E0CCE"/>
    <w:rsid w:val="005E0D7D"/>
    <w:rsid w:val="005E1841"/>
    <w:rsid w:val="005E1F65"/>
    <w:rsid w:val="005E1FF7"/>
    <w:rsid w:val="005E246B"/>
    <w:rsid w:val="005E2653"/>
    <w:rsid w:val="005E2A08"/>
    <w:rsid w:val="005E2F1A"/>
    <w:rsid w:val="005E304B"/>
    <w:rsid w:val="005E34B0"/>
    <w:rsid w:val="005E35FB"/>
    <w:rsid w:val="005E365E"/>
    <w:rsid w:val="005E3909"/>
    <w:rsid w:val="005E3F14"/>
    <w:rsid w:val="005E42E3"/>
    <w:rsid w:val="005E449E"/>
    <w:rsid w:val="005E4528"/>
    <w:rsid w:val="005E49E4"/>
    <w:rsid w:val="005E4B45"/>
    <w:rsid w:val="005E4E72"/>
    <w:rsid w:val="005E5538"/>
    <w:rsid w:val="005E702D"/>
    <w:rsid w:val="005E70A5"/>
    <w:rsid w:val="005E7B4E"/>
    <w:rsid w:val="005F00DE"/>
    <w:rsid w:val="005F0107"/>
    <w:rsid w:val="005F066A"/>
    <w:rsid w:val="005F06B0"/>
    <w:rsid w:val="005F07D3"/>
    <w:rsid w:val="005F2236"/>
    <w:rsid w:val="005F24E0"/>
    <w:rsid w:val="005F2671"/>
    <w:rsid w:val="005F29C5"/>
    <w:rsid w:val="005F2A4E"/>
    <w:rsid w:val="005F2E76"/>
    <w:rsid w:val="005F3220"/>
    <w:rsid w:val="005F3443"/>
    <w:rsid w:val="005F3A35"/>
    <w:rsid w:val="005F45AF"/>
    <w:rsid w:val="005F4C69"/>
    <w:rsid w:val="005F4D40"/>
    <w:rsid w:val="005F4DF5"/>
    <w:rsid w:val="005F4F3C"/>
    <w:rsid w:val="005F504C"/>
    <w:rsid w:val="005F51D3"/>
    <w:rsid w:val="005F5398"/>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2CCD"/>
    <w:rsid w:val="00603AA1"/>
    <w:rsid w:val="00603E9C"/>
    <w:rsid w:val="00603F4E"/>
    <w:rsid w:val="00603FFC"/>
    <w:rsid w:val="006040A7"/>
    <w:rsid w:val="00604687"/>
    <w:rsid w:val="0060484A"/>
    <w:rsid w:val="00605A01"/>
    <w:rsid w:val="00605D04"/>
    <w:rsid w:val="00606C10"/>
    <w:rsid w:val="0060744C"/>
    <w:rsid w:val="0060745B"/>
    <w:rsid w:val="00607593"/>
    <w:rsid w:val="00607F8F"/>
    <w:rsid w:val="0061012C"/>
    <w:rsid w:val="0061065A"/>
    <w:rsid w:val="00610C46"/>
    <w:rsid w:val="00610F08"/>
    <w:rsid w:val="006115A3"/>
    <w:rsid w:val="00611729"/>
    <w:rsid w:val="00611AD5"/>
    <w:rsid w:val="00611B39"/>
    <w:rsid w:val="00612C40"/>
    <w:rsid w:val="00612FBE"/>
    <w:rsid w:val="00613967"/>
    <w:rsid w:val="006139D4"/>
    <w:rsid w:val="00614446"/>
    <w:rsid w:val="00614D59"/>
    <w:rsid w:val="00614FE8"/>
    <w:rsid w:val="0061580D"/>
    <w:rsid w:val="00615A74"/>
    <w:rsid w:val="00615EFD"/>
    <w:rsid w:val="00616D1F"/>
    <w:rsid w:val="00616D71"/>
    <w:rsid w:val="00617041"/>
    <w:rsid w:val="00617644"/>
    <w:rsid w:val="00617769"/>
    <w:rsid w:val="006177A2"/>
    <w:rsid w:val="00617F0C"/>
    <w:rsid w:val="0062026C"/>
    <w:rsid w:val="006202C4"/>
    <w:rsid w:val="00620364"/>
    <w:rsid w:val="0062059D"/>
    <w:rsid w:val="00620994"/>
    <w:rsid w:val="00622604"/>
    <w:rsid w:val="006227DD"/>
    <w:rsid w:val="00622F82"/>
    <w:rsid w:val="00623297"/>
    <w:rsid w:val="0062336D"/>
    <w:rsid w:val="00623A83"/>
    <w:rsid w:val="00623DA3"/>
    <w:rsid w:val="00623F4C"/>
    <w:rsid w:val="006245DC"/>
    <w:rsid w:val="0062536F"/>
    <w:rsid w:val="00625492"/>
    <w:rsid w:val="00625A21"/>
    <w:rsid w:val="0062605B"/>
    <w:rsid w:val="0062623D"/>
    <w:rsid w:val="00626355"/>
    <w:rsid w:val="006270C7"/>
    <w:rsid w:val="006275F5"/>
    <w:rsid w:val="0062793F"/>
    <w:rsid w:val="006279E3"/>
    <w:rsid w:val="00630012"/>
    <w:rsid w:val="0063063A"/>
    <w:rsid w:val="006306F2"/>
    <w:rsid w:val="00630F45"/>
    <w:rsid w:val="0063109E"/>
    <w:rsid w:val="006320B6"/>
    <w:rsid w:val="0063286A"/>
    <w:rsid w:val="00632E65"/>
    <w:rsid w:val="00632EFF"/>
    <w:rsid w:val="006330CE"/>
    <w:rsid w:val="0063331F"/>
    <w:rsid w:val="006338CA"/>
    <w:rsid w:val="006342FF"/>
    <w:rsid w:val="006344E8"/>
    <w:rsid w:val="0063456E"/>
    <w:rsid w:val="006348E3"/>
    <w:rsid w:val="00634D3E"/>
    <w:rsid w:val="00634E51"/>
    <w:rsid w:val="0063539D"/>
    <w:rsid w:val="006356FC"/>
    <w:rsid w:val="006368BF"/>
    <w:rsid w:val="00636AAA"/>
    <w:rsid w:val="00636B6B"/>
    <w:rsid w:val="00636CB0"/>
    <w:rsid w:val="00637090"/>
    <w:rsid w:val="00637310"/>
    <w:rsid w:val="00637572"/>
    <w:rsid w:val="0063766D"/>
    <w:rsid w:val="00637673"/>
    <w:rsid w:val="00637DDD"/>
    <w:rsid w:val="00637F03"/>
    <w:rsid w:val="006408E8"/>
    <w:rsid w:val="006408EC"/>
    <w:rsid w:val="006409BD"/>
    <w:rsid w:val="00640FF1"/>
    <w:rsid w:val="00641156"/>
    <w:rsid w:val="00641690"/>
    <w:rsid w:val="00641B60"/>
    <w:rsid w:val="006421CB"/>
    <w:rsid w:val="0064266E"/>
    <w:rsid w:val="006428AB"/>
    <w:rsid w:val="00642E02"/>
    <w:rsid w:val="00643008"/>
    <w:rsid w:val="00643341"/>
    <w:rsid w:val="00643809"/>
    <w:rsid w:val="00643C58"/>
    <w:rsid w:val="00644558"/>
    <w:rsid w:val="00644768"/>
    <w:rsid w:val="00644847"/>
    <w:rsid w:val="00644868"/>
    <w:rsid w:val="00644C7E"/>
    <w:rsid w:val="006454A0"/>
    <w:rsid w:val="006461AC"/>
    <w:rsid w:val="006462B7"/>
    <w:rsid w:val="00646435"/>
    <w:rsid w:val="00646966"/>
    <w:rsid w:val="00646B49"/>
    <w:rsid w:val="00646D24"/>
    <w:rsid w:val="006470CB"/>
    <w:rsid w:val="00647756"/>
    <w:rsid w:val="00647CA5"/>
    <w:rsid w:val="00650286"/>
    <w:rsid w:val="006507D6"/>
    <w:rsid w:val="0065103A"/>
    <w:rsid w:val="006511F1"/>
    <w:rsid w:val="00651487"/>
    <w:rsid w:val="0065282D"/>
    <w:rsid w:val="00652C4A"/>
    <w:rsid w:val="00652E8D"/>
    <w:rsid w:val="0065351C"/>
    <w:rsid w:val="006535BE"/>
    <w:rsid w:val="00653B18"/>
    <w:rsid w:val="00653B20"/>
    <w:rsid w:val="00654944"/>
    <w:rsid w:val="00654964"/>
    <w:rsid w:val="0065506E"/>
    <w:rsid w:val="00655168"/>
    <w:rsid w:val="006552D8"/>
    <w:rsid w:val="0065572F"/>
    <w:rsid w:val="00655928"/>
    <w:rsid w:val="00655B60"/>
    <w:rsid w:val="00657055"/>
    <w:rsid w:val="006572E7"/>
    <w:rsid w:val="00657663"/>
    <w:rsid w:val="00657B4E"/>
    <w:rsid w:val="00660901"/>
    <w:rsid w:val="0066143C"/>
    <w:rsid w:val="00661900"/>
    <w:rsid w:val="0066191E"/>
    <w:rsid w:val="00661AAF"/>
    <w:rsid w:val="00661CA1"/>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1B1"/>
    <w:rsid w:val="00670205"/>
    <w:rsid w:val="0067040A"/>
    <w:rsid w:val="00670795"/>
    <w:rsid w:val="00670899"/>
    <w:rsid w:val="00670C5A"/>
    <w:rsid w:val="00670F1F"/>
    <w:rsid w:val="00671170"/>
    <w:rsid w:val="006716BB"/>
    <w:rsid w:val="00671869"/>
    <w:rsid w:val="006719CE"/>
    <w:rsid w:val="00671A1F"/>
    <w:rsid w:val="00671D24"/>
    <w:rsid w:val="00671F81"/>
    <w:rsid w:val="00672293"/>
    <w:rsid w:val="00672346"/>
    <w:rsid w:val="00672368"/>
    <w:rsid w:val="00673D54"/>
    <w:rsid w:val="00673EB3"/>
    <w:rsid w:val="006743A3"/>
    <w:rsid w:val="00674BED"/>
    <w:rsid w:val="00675105"/>
    <w:rsid w:val="0067525D"/>
    <w:rsid w:val="00675C04"/>
    <w:rsid w:val="00675C6E"/>
    <w:rsid w:val="006766BA"/>
    <w:rsid w:val="00676AE5"/>
    <w:rsid w:val="00676EDF"/>
    <w:rsid w:val="00677A25"/>
    <w:rsid w:val="00677B69"/>
    <w:rsid w:val="00677BA6"/>
    <w:rsid w:val="00677E60"/>
    <w:rsid w:val="0068001E"/>
    <w:rsid w:val="00680129"/>
    <w:rsid w:val="006806FF"/>
    <w:rsid w:val="006807BE"/>
    <w:rsid w:val="00680DBD"/>
    <w:rsid w:val="006810AB"/>
    <w:rsid w:val="00681807"/>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4A4"/>
    <w:rsid w:val="00686C68"/>
    <w:rsid w:val="00686EAA"/>
    <w:rsid w:val="006870A3"/>
    <w:rsid w:val="006875BD"/>
    <w:rsid w:val="00687852"/>
    <w:rsid w:val="00687962"/>
    <w:rsid w:val="00687CD8"/>
    <w:rsid w:val="00690440"/>
    <w:rsid w:val="00690489"/>
    <w:rsid w:val="00690508"/>
    <w:rsid w:val="0069088E"/>
    <w:rsid w:val="00690D0F"/>
    <w:rsid w:val="00690F90"/>
    <w:rsid w:val="006913A1"/>
    <w:rsid w:val="00691402"/>
    <w:rsid w:val="00691B7F"/>
    <w:rsid w:val="00691FEB"/>
    <w:rsid w:val="0069222F"/>
    <w:rsid w:val="00692849"/>
    <w:rsid w:val="00692A51"/>
    <w:rsid w:val="00692DC8"/>
    <w:rsid w:val="006933F8"/>
    <w:rsid w:val="006934DC"/>
    <w:rsid w:val="006936A6"/>
    <w:rsid w:val="0069418D"/>
    <w:rsid w:val="00694492"/>
    <w:rsid w:val="00694EF4"/>
    <w:rsid w:val="006950D2"/>
    <w:rsid w:val="006958A4"/>
    <w:rsid w:val="00695920"/>
    <w:rsid w:val="006959FD"/>
    <w:rsid w:val="00695CE2"/>
    <w:rsid w:val="00696000"/>
    <w:rsid w:val="006967C8"/>
    <w:rsid w:val="006968D1"/>
    <w:rsid w:val="006970A0"/>
    <w:rsid w:val="00697628"/>
    <w:rsid w:val="00697631"/>
    <w:rsid w:val="00697CB2"/>
    <w:rsid w:val="006A0020"/>
    <w:rsid w:val="006A0727"/>
    <w:rsid w:val="006A093E"/>
    <w:rsid w:val="006A0D25"/>
    <w:rsid w:val="006A0D68"/>
    <w:rsid w:val="006A0EDA"/>
    <w:rsid w:val="006A12BE"/>
    <w:rsid w:val="006A1C3F"/>
    <w:rsid w:val="006A2469"/>
    <w:rsid w:val="006A24A0"/>
    <w:rsid w:val="006A2751"/>
    <w:rsid w:val="006A2827"/>
    <w:rsid w:val="006A2C2E"/>
    <w:rsid w:val="006A32CD"/>
    <w:rsid w:val="006A33AA"/>
    <w:rsid w:val="006A40E4"/>
    <w:rsid w:val="006A4531"/>
    <w:rsid w:val="006A4B91"/>
    <w:rsid w:val="006A4D4D"/>
    <w:rsid w:val="006A4F9C"/>
    <w:rsid w:val="006A5806"/>
    <w:rsid w:val="006A67BD"/>
    <w:rsid w:val="006A6EC7"/>
    <w:rsid w:val="006A6FE5"/>
    <w:rsid w:val="006A74BD"/>
    <w:rsid w:val="006A7588"/>
    <w:rsid w:val="006B0991"/>
    <w:rsid w:val="006B0EFA"/>
    <w:rsid w:val="006B0F0D"/>
    <w:rsid w:val="006B1587"/>
    <w:rsid w:val="006B1CEB"/>
    <w:rsid w:val="006B1D20"/>
    <w:rsid w:val="006B2AB8"/>
    <w:rsid w:val="006B2AC2"/>
    <w:rsid w:val="006B2BBC"/>
    <w:rsid w:val="006B2C89"/>
    <w:rsid w:val="006B2D23"/>
    <w:rsid w:val="006B2E2F"/>
    <w:rsid w:val="006B2E70"/>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3D24"/>
    <w:rsid w:val="006C4249"/>
    <w:rsid w:val="006C4592"/>
    <w:rsid w:val="006C45D8"/>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D0CDD"/>
    <w:rsid w:val="006D0DBE"/>
    <w:rsid w:val="006D10F4"/>
    <w:rsid w:val="006D1DB6"/>
    <w:rsid w:val="006D1E75"/>
    <w:rsid w:val="006D1EA6"/>
    <w:rsid w:val="006D2177"/>
    <w:rsid w:val="006D24D8"/>
    <w:rsid w:val="006D310C"/>
    <w:rsid w:val="006D315F"/>
    <w:rsid w:val="006D33EB"/>
    <w:rsid w:val="006D349E"/>
    <w:rsid w:val="006D3A28"/>
    <w:rsid w:val="006D466B"/>
    <w:rsid w:val="006D4747"/>
    <w:rsid w:val="006D5083"/>
    <w:rsid w:val="006D5700"/>
    <w:rsid w:val="006D58A0"/>
    <w:rsid w:val="006D5D14"/>
    <w:rsid w:val="006D6742"/>
    <w:rsid w:val="006D6A56"/>
    <w:rsid w:val="006D6E79"/>
    <w:rsid w:val="006D702C"/>
    <w:rsid w:val="006D7526"/>
    <w:rsid w:val="006D7575"/>
    <w:rsid w:val="006D7C2A"/>
    <w:rsid w:val="006E04CA"/>
    <w:rsid w:val="006E0884"/>
    <w:rsid w:val="006E0F37"/>
    <w:rsid w:val="006E1825"/>
    <w:rsid w:val="006E2349"/>
    <w:rsid w:val="006E240D"/>
    <w:rsid w:val="006E24CE"/>
    <w:rsid w:val="006E2A1C"/>
    <w:rsid w:val="006E3531"/>
    <w:rsid w:val="006E3A95"/>
    <w:rsid w:val="006E3CF2"/>
    <w:rsid w:val="006E3D94"/>
    <w:rsid w:val="006E4094"/>
    <w:rsid w:val="006E47D5"/>
    <w:rsid w:val="006E4FAE"/>
    <w:rsid w:val="006E519B"/>
    <w:rsid w:val="006E577F"/>
    <w:rsid w:val="006E59C4"/>
    <w:rsid w:val="006E5A7C"/>
    <w:rsid w:val="006E701D"/>
    <w:rsid w:val="006E7442"/>
    <w:rsid w:val="006E75EF"/>
    <w:rsid w:val="006E77C4"/>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DA3"/>
    <w:rsid w:val="006F3E14"/>
    <w:rsid w:val="006F4AD0"/>
    <w:rsid w:val="006F4D0A"/>
    <w:rsid w:val="006F4D0D"/>
    <w:rsid w:val="006F4E11"/>
    <w:rsid w:val="006F5285"/>
    <w:rsid w:val="006F5443"/>
    <w:rsid w:val="006F55BD"/>
    <w:rsid w:val="006F5926"/>
    <w:rsid w:val="006F5DF7"/>
    <w:rsid w:val="006F61C3"/>
    <w:rsid w:val="006F6489"/>
    <w:rsid w:val="006F690B"/>
    <w:rsid w:val="006F6A7B"/>
    <w:rsid w:val="006F6C23"/>
    <w:rsid w:val="006F6E81"/>
    <w:rsid w:val="006F7845"/>
    <w:rsid w:val="006F7B86"/>
    <w:rsid w:val="006F7BC7"/>
    <w:rsid w:val="006F7F84"/>
    <w:rsid w:val="007001D5"/>
    <w:rsid w:val="00700C49"/>
    <w:rsid w:val="00700F19"/>
    <w:rsid w:val="007013C3"/>
    <w:rsid w:val="00701473"/>
    <w:rsid w:val="00701783"/>
    <w:rsid w:val="00701DD2"/>
    <w:rsid w:val="0070284D"/>
    <w:rsid w:val="00702938"/>
    <w:rsid w:val="00703089"/>
    <w:rsid w:val="007035F3"/>
    <w:rsid w:val="00703974"/>
    <w:rsid w:val="00703B06"/>
    <w:rsid w:val="00703E35"/>
    <w:rsid w:val="0070477C"/>
    <w:rsid w:val="007048B5"/>
    <w:rsid w:val="00704C54"/>
    <w:rsid w:val="00704DBE"/>
    <w:rsid w:val="0070512A"/>
    <w:rsid w:val="007054B3"/>
    <w:rsid w:val="00705B4B"/>
    <w:rsid w:val="007062AF"/>
    <w:rsid w:val="00706C8F"/>
    <w:rsid w:val="00706EE5"/>
    <w:rsid w:val="007070B2"/>
    <w:rsid w:val="00707781"/>
    <w:rsid w:val="007077C5"/>
    <w:rsid w:val="00707CC2"/>
    <w:rsid w:val="00707F84"/>
    <w:rsid w:val="007100A6"/>
    <w:rsid w:val="00710C17"/>
    <w:rsid w:val="00710E3E"/>
    <w:rsid w:val="007111B0"/>
    <w:rsid w:val="0071177A"/>
    <w:rsid w:val="00711883"/>
    <w:rsid w:val="007119AA"/>
    <w:rsid w:val="00711B92"/>
    <w:rsid w:val="00711F91"/>
    <w:rsid w:val="00712381"/>
    <w:rsid w:val="00712967"/>
    <w:rsid w:val="00712EA0"/>
    <w:rsid w:val="007132D3"/>
    <w:rsid w:val="00713346"/>
    <w:rsid w:val="00713523"/>
    <w:rsid w:val="0071415C"/>
    <w:rsid w:val="00714686"/>
    <w:rsid w:val="007146CE"/>
    <w:rsid w:val="0071471F"/>
    <w:rsid w:val="00714865"/>
    <w:rsid w:val="00714E19"/>
    <w:rsid w:val="00715050"/>
    <w:rsid w:val="007155CF"/>
    <w:rsid w:val="00715A31"/>
    <w:rsid w:val="00715C40"/>
    <w:rsid w:val="00715D51"/>
    <w:rsid w:val="0071615B"/>
    <w:rsid w:val="00716957"/>
    <w:rsid w:val="00716B38"/>
    <w:rsid w:val="00716D70"/>
    <w:rsid w:val="00717113"/>
    <w:rsid w:val="007175B0"/>
    <w:rsid w:val="00717AC9"/>
    <w:rsid w:val="00717B73"/>
    <w:rsid w:val="0072053A"/>
    <w:rsid w:val="0072084C"/>
    <w:rsid w:val="00720B94"/>
    <w:rsid w:val="00720F26"/>
    <w:rsid w:val="00720F95"/>
    <w:rsid w:val="007211DA"/>
    <w:rsid w:val="007211E8"/>
    <w:rsid w:val="00721ACE"/>
    <w:rsid w:val="00721DE8"/>
    <w:rsid w:val="007223C2"/>
    <w:rsid w:val="0072272C"/>
    <w:rsid w:val="00722998"/>
    <w:rsid w:val="007236BA"/>
    <w:rsid w:val="007239E0"/>
    <w:rsid w:val="00723F25"/>
    <w:rsid w:val="0072423E"/>
    <w:rsid w:val="0072479C"/>
    <w:rsid w:val="00724FA7"/>
    <w:rsid w:val="0072513C"/>
    <w:rsid w:val="007254C6"/>
    <w:rsid w:val="00725783"/>
    <w:rsid w:val="00725E2E"/>
    <w:rsid w:val="007262F0"/>
    <w:rsid w:val="0072645E"/>
    <w:rsid w:val="007265CD"/>
    <w:rsid w:val="007266A0"/>
    <w:rsid w:val="007269B3"/>
    <w:rsid w:val="007277F8"/>
    <w:rsid w:val="00727930"/>
    <w:rsid w:val="00727ECC"/>
    <w:rsid w:val="00727FD8"/>
    <w:rsid w:val="0073003E"/>
    <w:rsid w:val="00730601"/>
    <w:rsid w:val="00730D41"/>
    <w:rsid w:val="00731E6C"/>
    <w:rsid w:val="00732072"/>
    <w:rsid w:val="00732181"/>
    <w:rsid w:val="007323A6"/>
    <w:rsid w:val="00732A07"/>
    <w:rsid w:val="00733106"/>
    <w:rsid w:val="007337EA"/>
    <w:rsid w:val="007337F9"/>
    <w:rsid w:val="00733D16"/>
    <w:rsid w:val="00733D34"/>
    <w:rsid w:val="00733DBB"/>
    <w:rsid w:val="00733FC8"/>
    <w:rsid w:val="00734073"/>
    <w:rsid w:val="007340FF"/>
    <w:rsid w:val="00734361"/>
    <w:rsid w:val="00734388"/>
    <w:rsid w:val="007345F4"/>
    <w:rsid w:val="00735B27"/>
    <w:rsid w:val="00735FFF"/>
    <w:rsid w:val="007362E3"/>
    <w:rsid w:val="007365D6"/>
    <w:rsid w:val="00736CDF"/>
    <w:rsid w:val="00736D20"/>
    <w:rsid w:val="00736EDD"/>
    <w:rsid w:val="007372C2"/>
    <w:rsid w:val="00737689"/>
    <w:rsid w:val="00737B55"/>
    <w:rsid w:val="0074001E"/>
    <w:rsid w:val="007400ED"/>
    <w:rsid w:val="0074052F"/>
    <w:rsid w:val="00740CE6"/>
    <w:rsid w:val="0074112C"/>
    <w:rsid w:val="00741208"/>
    <w:rsid w:val="00741866"/>
    <w:rsid w:val="00741D26"/>
    <w:rsid w:val="00741D40"/>
    <w:rsid w:val="0074208D"/>
    <w:rsid w:val="00742895"/>
    <w:rsid w:val="00742B8C"/>
    <w:rsid w:val="007435F0"/>
    <w:rsid w:val="00743E96"/>
    <w:rsid w:val="00744029"/>
    <w:rsid w:val="007440DF"/>
    <w:rsid w:val="00744329"/>
    <w:rsid w:val="007443B4"/>
    <w:rsid w:val="00744444"/>
    <w:rsid w:val="00744ACD"/>
    <w:rsid w:val="00744CBB"/>
    <w:rsid w:val="00744F72"/>
    <w:rsid w:val="007458DC"/>
    <w:rsid w:val="00745A27"/>
    <w:rsid w:val="0074650A"/>
    <w:rsid w:val="00746785"/>
    <w:rsid w:val="00746958"/>
    <w:rsid w:val="00747120"/>
    <w:rsid w:val="00747417"/>
    <w:rsid w:val="0074748F"/>
    <w:rsid w:val="007476C8"/>
    <w:rsid w:val="00747A66"/>
    <w:rsid w:val="00747CD7"/>
    <w:rsid w:val="00750154"/>
    <w:rsid w:val="007507DD"/>
    <w:rsid w:val="00750FE0"/>
    <w:rsid w:val="007514C0"/>
    <w:rsid w:val="00751868"/>
    <w:rsid w:val="00751B16"/>
    <w:rsid w:val="0075278F"/>
    <w:rsid w:val="00753890"/>
    <w:rsid w:val="00753A8E"/>
    <w:rsid w:val="00753B90"/>
    <w:rsid w:val="0075403E"/>
    <w:rsid w:val="00754142"/>
    <w:rsid w:val="00754335"/>
    <w:rsid w:val="00754671"/>
    <w:rsid w:val="0075484F"/>
    <w:rsid w:val="00754B27"/>
    <w:rsid w:val="00755C38"/>
    <w:rsid w:val="00755DE8"/>
    <w:rsid w:val="0075606C"/>
    <w:rsid w:val="007566BB"/>
    <w:rsid w:val="0075674F"/>
    <w:rsid w:val="00756E09"/>
    <w:rsid w:val="00756E93"/>
    <w:rsid w:val="00756F1C"/>
    <w:rsid w:val="00757A80"/>
    <w:rsid w:val="007604BC"/>
    <w:rsid w:val="00760895"/>
    <w:rsid w:val="00760AFB"/>
    <w:rsid w:val="00760EE2"/>
    <w:rsid w:val="00761A45"/>
    <w:rsid w:val="00762335"/>
    <w:rsid w:val="0076283A"/>
    <w:rsid w:val="00762CCA"/>
    <w:rsid w:val="00762E8E"/>
    <w:rsid w:val="00763B3D"/>
    <w:rsid w:val="00763BFD"/>
    <w:rsid w:val="00763DF7"/>
    <w:rsid w:val="007646D7"/>
    <w:rsid w:val="00764A66"/>
    <w:rsid w:val="00765092"/>
    <w:rsid w:val="00765238"/>
    <w:rsid w:val="00765D40"/>
    <w:rsid w:val="007667C7"/>
    <w:rsid w:val="007668B4"/>
    <w:rsid w:val="00766BA7"/>
    <w:rsid w:val="00766CCF"/>
    <w:rsid w:val="00766F41"/>
    <w:rsid w:val="007671EE"/>
    <w:rsid w:val="0076736F"/>
    <w:rsid w:val="007677DA"/>
    <w:rsid w:val="007677E2"/>
    <w:rsid w:val="00770486"/>
    <w:rsid w:val="0077106A"/>
    <w:rsid w:val="00771699"/>
    <w:rsid w:val="00772161"/>
    <w:rsid w:val="007723C9"/>
    <w:rsid w:val="007724E6"/>
    <w:rsid w:val="0077286D"/>
    <w:rsid w:val="007730E5"/>
    <w:rsid w:val="007736D7"/>
    <w:rsid w:val="00774281"/>
    <w:rsid w:val="007743B0"/>
    <w:rsid w:val="007755F8"/>
    <w:rsid w:val="00775C01"/>
    <w:rsid w:val="007762F6"/>
    <w:rsid w:val="00776737"/>
    <w:rsid w:val="00776BAC"/>
    <w:rsid w:val="00776BE8"/>
    <w:rsid w:val="0077705E"/>
    <w:rsid w:val="00780760"/>
    <w:rsid w:val="00780A48"/>
    <w:rsid w:val="00781112"/>
    <w:rsid w:val="00781277"/>
    <w:rsid w:val="00781DC1"/>
    <w:rsid w:val="00781F4B"/>
    <w:rsid w:val="007823A8"/>
    <w:rsid w:val="00782818"/>
    <w:rsid w:val="007829C5"/>
    <w:rsid w:val="00783EFD"/>
    <w:rsid w:val="00784625"/>
    <w:rsid w:val="00784774"/>
    <w:rsid w:val="0078492A"/>
    <w:rsid w:val="007851A4"/>
    <w:rsid w:val="00785732"/>
    <w:rsid w:val="0078595D"/>
    <w:rsid w:val="00785B6E"/>
    <w:rsid w:val="00785B71"/>
    <w:rsid w:val="00785CAE"/>
    <w:rsid w:val="00785E62"/>
    <w:rsid w:val="00785FF5"/>
    <w:rsid w:val="00786012"/>
    <w:rsid w:val="00786095"/>
    <w:rsid w:val="007861B8"/>
    <w:rsid w:val="00786C53"/>
    <w:rsid w:val="00786C90"/>
    <w:rsid w:val="007873A4"/>
    <w:rsid w:val="007873DF"/>
    <w:rsid w:val="0078745F"/>
    <w:rsid w:val="00787772"/>
    <w:rsid w:val="00787C53"/>
    <w:rsid w:val="00787FC0"/>
    <w:rsid w:val="0079037D"/>
    <w:rsid w:val="0079043D"/>
    <w:rsid w:val="00790719"/>
    <w:rsid w:val="0079153B"/>
    <w:rsid w:val="007917E0"/>
    <w:rsid w:val="00791AA4"/>
    <w:rsid w:val="00792108"/>
    <w:rsid w:val="00792176"/>
    <w:rsid w:val="00792625"/>
    <w:rsid w:val="00792959"/>
    <w:rsid w:val="00792DFE"/>
    <w:rsid w:val="0079312B"/>
    <w:rsid w:val="00793831"/>
    <w:rsid w:val="00793AD2"/>
    <w:rsid w:val="00793B73"/>
    <w:rsid w:val="00793D5B"/>
    <w:rsid w:val="007943BF"/>
    <w:rsid w:val="007944CC"/>
    <w:rsid w:val="00795136"/>
    <w:rsid w:val="00795838"/>
    <w:rsid w:val="007959ED"/>
    <w:rsid w:val="007969AA"/>
    <w:rsid w:val="00796F27"/>
    <w:rsid w:val="00797054"/>
    <w:rsid w:val="00797169"/>
    <w:rsid w:val="00797380"/>
    <w:rsid w:val="0079764A"/>
    <w:rsid w:val="0079791B"/>
    <w:rsid w:val="00797BC9"/>
    <w:rsid w:val="00797C1E"/>
    <w:rsid w:val="007A093C"/>
    <w:rsid w:val="007A0E6C"/>
    <w:rsid w:val="007A0EA2"/>
    <w:rsid w:val="007A115F"/>
    <w:rsid w:val="007A1371"/>
    <w:rsid w:val="007A1420"/>
    <w:rsid w:val="007A21AD"/>
    <w:rsid w:val="007A2247"/>
    <w:rsid w:val="007A23C9"/>
    <w:rsid w:val="007A2479"/>
    <w:rsid w:val="007A2551"/>
    <w:rsid w:val="007A3F9E"/>
    <w:rsid w:val="007A4240"/>
    <w:rsid w:val="007A4A59"/>
    <w:rsid w:val="007A4BE7"/>
    <w:rsid w:val="007A4C7D"/>
    <w:rsid w:val="007A53F3"/>
    <w:rsid w:val="007A6318"/>
    <w:rsid w:val="007A6989"/>
    <w:rsid w:val="007A73D1"/>
    <w:rsid w:val="007A75F8"/>
    <w:rsid w:val="007B027E"/>
    <w:rsid w:val="007B02F5"/>
    <w:rsid w:val="007B06A6"/>
    <w:rsid w:val="007B0A90"/>
    <w:rsid w:val="007B106B"/>
    <w:rsid w:val="007B1133"/>
    <w:rsid w:val="007B1493"/>
    <w:rsid w:val="007B17EE"/>
    <w:rsid w:val="007B1F0B"/>
    <w:rsid w:val="007B25B4"/>
    <w:rsid w:val="007B2C6A"/>
    <w:rsid w:val="007B317A"/>
    <w:rsid w:val="007B3219"/>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02C"/>
    <w:rsid w:val="007B7543"/>
    <w:rsid w:val="007B75AE"/>
    <w:rsid w:val="007B79E2"/>
    <w:rsid w:val="007C0B63"/>
    <w:rsid w:val="007C10AD"/>
    <w:rsid w:val="007C11F7"/>
    <w:rsid w:val="007C1C54"/>
    <w:rsid w:val="007C1E7F"/>
    <w:rsid w:val="007C2290"/>
    <w:rsid w:val="007C2447"/>
    <w:rsid w:val="007C2A95"/>
    <w:rsid w:val="007C2D2F"/>
    <w:rsid w:val="007C2F1E"/>
    <w:rsid w:val="007C33DD"/>
    <w:rsid w:val="007C340C"/>
    <w:rsid w:val="007C5A00"/>
    <w:rsid w:val="007C5E18"/>
    <w:rsid w:val="007C6241"/>
    <w:rsid w:val="007C68BD"/>
    <w:rsid w:val="007C6983"/>
    <w:rsid w:val="007C6B95"/>
    <w:rsid w:val="007C6C85"/>
    <w:rsid w:val="007C76B6"/>
    <w:rsid w:val="007C76EB"/>
    <w:rsid w:val="007C7733"/>
    <w:rsid w:val="007D0307"/>
    <w:rsid w:val="007D035D"/>
    <w:rsid w:val="007D0900"/>
    <w:rsid w:val="007D0C05"/>
    <w:rsid w:val="007D0F06"/>
    <w:rsid w:val="007D219A"/>
    <w:rsid w:val="007D229C"/>
    <w:rsid w:val="007D2591"/>
    <w:rsid w:val="007D274F"/>
    <w:rsid w:val="007D27B0"/>
    <w:rsid w:val="007D3010"/>
    <w:rsid w:val="007D3188"/>
    <w:rsid w:val="007D33A3"/>
    <w:rsid w:val="007D34D9"/>
    <w:rsid w:val="007D373B"/>
    <w:rsid w:val="007D380F"/>
    <w:rsid w:val="007D3A2C"/>
    <w:rsid w:val="007D3D83"/>
    <w:rsid w:val="007D3FEF"/>
    <w:rsid w:val="007D40DE"/>
    <w:rsid w:val="007D4691"/>
    <w:rsid w:val="007D4CCD"/>
    <w:rsid w:val="007D4F53"/>
    <w:rsid w:val="007D501F"/>
    <w:rsid w:val="007D5762"/>
    <w:rsid w:val="007E02E8"/>
    <w:rsid w:val="007E0618"/>
    <w:rsid w:val="007E0689"/>
    <w:rsid w:val="007E0B99"/>
    <w:rsid w:val="007E0BF8"/>
    <w:rsid w:val="007E12E8"/>
    <w:rsid w:val="007E1650"/>
    <w:rsid w:val="007E1B64"/>
    <w:rsid w:val="007E1BBB"/>
    <w:rsid w:val="007E262C"/>
    <w:rsid w:val="007E265A"/>
    <w:rsid w:val="007E31B6"/>
    <w:rsid w:val="007E353D"/>
    <w:rsid w:val="007E4679"/>
    <w:rsid w:val="007E486A"/>
    <w:rsid w:val="007E4F58"/>
    <w:rsid w:val="007E5101"/>
    <w:rsid w:val="007E62B1"/>
    <w:rsid w:val="007E62ED"/>
    <w:rsid w:val="007E6501"/>
    <w:rsid w:val="007E680E"/>
    <w:rsid w:val="007E6CF7"/>
    <w:rsid w:val="007E71CE"/>
    <w:rsid w:val="007E7993"/>
    <w:rsid w:val="007E7B44"/>
    <w:rsid w:val="007E7C66"/>
    <w:rsid w:val="007E7F21"/>
    <w:rsid w:val="007F0096"/>
    <w:rsid w:val="007F04DD"/>
    <w:rsid w:val="007F06B8"/>
    <w:rsid w:val="007F0B73"/>
    <w:rsid w:val="007F0CDB"/>
    <w:rsid w:val="007F1074"/>
    <w:rsid w:val="007F13D0"/>
    <w:rsid w:val="007F14A5"/>
    <w:rsid w:val="007F153A"/>
    <w:rsid w:val="007F1553"/>
    <w:rsid w:val="007F1B5B"/>
    <w:rsid w:val="007F2141"/>
    <w:rsid w:val="007F2984"/>
    <w:rsid w:val="007F2A49"/>
    <w:rsid w:val="007F2B1C"/>
    <w:rsid w:val="007F2EB1"/>
    <w:rsid w:val="007F2FBE"/>
    <w:rsid w:val="007F3851"/>
    <w:rsid w:val="007F3ACD"/>
    <w:rsid w:val="007F45C5"/>
    <w:rsid w:val="007F57BE"/>
    <w:rsid w:val="007F5E02"/>
    <w:rsid w:val="007F62AE"/>
    <w:rsid w:val="007F6922"/>
    <w:rsid w:val="007F7091"/>
    <w:rsid w:val="007F70D5"/>
    <w:rsid w:val="007F70FA"/>
    <w:rsid w:val="007F71C9"/>
    <w:rsid w:val="007F7634"/>
    <w:rsid w:val="007F7CAC"/>
    <w:rsid w:val="007F7E8D"/>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2F21"/>
    <w:rsid w:val="008032D7"/>
    <w:rsid w:val="00803961"/>
    <w:rsid w:val="00803C9F"/>
    <w:rsid w:val="00803CD8"/>
    <w:rsid w:val="00804333"/>
    <w:rsid w:val="00804343"/>
    <w:rsid w:val="008047E8"/>
    <w:rsid w:val="0080513B"/>
    <w:rsid w:val="0080586A"/>
    <w:rsid w:val="008063C2"/>
    <w:rsid w:val="008067C1"/>
    <w:rsid w:val="00806860"/>
    <w:rsid w:val="00806C7B"/>
    <w:rsid w:val="008073F2"/>
    <w:rsid w:val="00807627"/>
    <w:rsid w:val="00807E9E"/>
    <w:rsid w:val="008103D4"/>
    <w:rsid w:val="008104FB"/>
    <w:rsid w:val="00810C07"/>
    <w:rsid w:val="008110D4"/>
    <w:rsid w:val="00811217"/>
    <w:rsid w:val="0081167C"/>
    <w:rsid w:val="00811CCA"/>
    <w:rsid w:val="008122B2"/>
    <w:rsid w:val="008129B2"/>
    <w:rsid w:val="00812D9C"/>
    <w:rsid w:val="00813264"/>
    <w:rsid w:val="00813A2C"/>
    <w:rsid w:val="0081431D"/>
    <w:rsid w:val="008143B4"/>
    <w:rsid w:val="0081459C"/>
    <w:rsid w:val="0081477D"/>
    <w:rsid w:val="0081482A"/>
    <w:rsid w:val="0081500C"/>
    <w:rsid w:val="008154AA"/>
    <w:rsid w:val="008157FD"/>
    <w:rsid w:val="00816192"/>
    <w:rsid w:val="0081667A"/>
    <w:rsid w:val="008166C7"/>
    <w:rsid w:val="008167B7"/>
    <w:rsid w:val="0081683D"/>
    <w:rsid w:val="00816C3B"/>
    <w:rsid w:val="00817744"/>
    <w:rsid w:val="0081795D"/>
    <w:rsid w:val="00820524"/>
    <w:rsid w:val="00820D7A"/>
    <w:rsid w:val="00820E2F"/>
    <w:rsid w:val="00820F7E"/>
    <w:rsid w:val="0082177C"/>
    <w:rsid w:val="008218A2"/>
    <w:rsid w:val="0082194B"/>
    <w:rsid w:val="0082195A"/>
    <w:rsid w:val="008226B0"/>
    <w:rsid w:val="00822A82"/>
    <w:rsid w:val="00822B3B"/>
    <w:rsid w:val="00822FB3"/>
    <w:rsid w:val="0082315F"/>
    <w:rsid w:val="00823568"/>
    <w:rsid w:val="0082397E"/>
    <w:rsid w:val="00824DD9"/>
    <w:rsid w:val="00825292"/>
    <w:rsid w:val="00825432"/>
    <w:rsid w:val="0082547D"/>
    <w:rsid w:val="00825AC1"/>
    <w:rsid w:val="00825C2B"/>
    <w:rsid w:val="00825F2B"/>
    <w:rsid w:val="00826174"/>
    <w:rsid w:val="0082654E"/>
    <w:rsid w:val="0082655A"/>
    <w:rsid w:val="008268F0"/>
    <w:rsid w:val="00826922"/>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A47"/>
    <w:rsid w:val="00834AF0"/>
    <w:rsid w:val="00834EC7"/>
    <w:rsid w:val="00835022"/>
    <w:rsid w:val="00835BBB"/>
    <w:rsid w:val="00836167"/>
    <w:rsid w:val="00836301"/>
    <w:rsid w:val="0083632B"/>
    <w:rsid w:val="008375FB"/>
    <w:rsid w:val="00837BB4"/>
    <w:rsid w:val="00837C40"/>
    <w:rsid w:val="00841451"/>
    <w:rsid w:val="0084147A"/>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56E"/>
    <w:rsid w:val="00844B6B"/>
    <w:rsid w:val="00844DBD"/>
    <w:rsid w:val="00844F03"/>
    <w:rsid w:val="0084533F"/>
    <w:rsid w:val="00845794"/>
    <w:rsid w:val="008457EB"/>
    <w:rsid w:val="00845FEE"/>
    <w:rsid w:val="0084675D"/>
    <w:rsid w:val="00846BDC"/>
    <w:rsid w:val="00846CC2"/>
    <w:rsid w:val="008471EB"/>
    <w:rsid w:val="00847A08"/>
    <w:rsid w:val="00847A9E"/>
    <w:rsid w:val="00847B55"/>
    <w:rsid w:val="00847F70"/>
    <w:rsid w:val="008504AA"/>
    <w:rsid w:val="00850632"/>
    <w:rsid w:val="0085066F"/>
    <w:rsid w:val="008508B5"/>
    <w:rsid w:val="00850F57"/>
    <w:rsid w:val="00850FF6"/>
    <w:rsid w:val="008510A5"/>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1B2"/>
    <w:rsid w:val="008568CC"/>
    <w:rsid w:val="008568D3"/>
    <w:rsid w:val="00856D09"/>
    <w:rsid w:val="00856D33"/>
    <w:rsid w:val="00857845"/>
    <w:rsid w:val="00860016"/>
    <w:rsid w:val="008603DF"/>
    <w:rsid w:val="008606B3"/>
    <w:rsid w:val="00860756"/>
    <w:rsid w:val="00860B82"/>
    <w:rsid w:val="00860D96"/>
    <w:rsid w:val="00860F24"/>
    <w:rsid w:val="00860FD6"/>
    <w:rsid w:val="0086138E"/>
    <w:rsid w:val="00861A61"/>
    <w:rsid w:val="00861D77"/>
    <w:rsid w:val="00862223"/>
    <w:rsid w:val="0086247F"/>
    <w:rsid w:val="008624A3"/>
    <w:rsid w:val="008628AF"/>
    <w:rsid w:val="0086296E"/>
    <w:rsid w:val="008629C6"/>
    <w:rsid w:val="00862BDD"/>
    <w:rsid w:val="00862E5D"/>
    <w:rsid w:val="008640BD"/>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7EF"/>
    <w:rsid w:val="00867828"/>
    <w:rsid w:val="00867CEB"/>
    <w:rsid w:val="00867FFA"/>
    <w:rsid w:val="00870218"/>
    <w:rsid w:val="0087031D"/>
    <w:rsid w:val="008705CB"/>
    <w:rsid w:val="00870687"/>
    <w:rsid w:val="0087087C"/>
    <w:rsid w:val="0087098D"/>
    <w:rsid w:val="00870CAA"/>
    <w:rsid w:val="00870CED"/>
    <w:rsid w:val="00871686"/>
    <w:rsid w:val="008720DA"/>
    <w:rsid w:val="00872234"/>
    <w:rsid w:val="00872C36"/>
    <w:rsid w:val="00872D64"/>
    <w:rsid w:val="00872F2D"/>
    <w:rsid w:val="00873431"/>
    <w:rsid w:val="0087350B"/>
    <w:rsid w:val="00873E0E"/>
    <w:rsid w:val="00873F34"/>
    <w:rsid w:val="008746D0"/>
    <w:rsid w:val="00874A48"/>
    <w:rsid w:val="008753FF"/>
    <w:rsid w:val="008755D6"/>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E7D"/>
    <w:rsid w:val="00882328"/>
    <w:rsid w:val="0088248D"/>
    <w:rsid w:val="00882B64"/>
    <w:rsid w:val="00882EA0"/>
    <w:rsid w:val="00882F95"/>
    <w:rsid w:val="008838D6"/>
    <w:rsid w:val="0088405E"/>
    <w:rsid w:val="00884D3F"/>
    <w:rsid w:val="00885E97"/>
    <w:rsid w:val="00885F5D"/>
    <w:rsid w:val="008861E2"/>
    <w:rsid w:val="00886399"/>
    <w:rsid w:val="00886888"/>
    <w:rsid w:val="00886E83"/>
    <w:rsid w:val="00886F42"/>
    <w:rsid w:val="0089040F"/>
    <w:rsid w:val="008906E8"/>
    <w:rsid w:val="00890702"/>
    <w:rsid w:val="00890AEE"/>
    <w:rsid w:val="00890C5C"/>
    <w:rsid w:val="00890D5E"/>
    <w:rsid w:val="00891061"/>
    <w:rsid w:val="0089115A"/>
    <w:rsid w:val="008912D5"/>
    <w:rsid w:val="008913BB"/>
    <w:rsid w:val="008917F7"/>
    <w:rsid w:val="008917FC"/>
    <w:rsid w:val="00891D37"/>
    <w:rsid w:val="00892FA1"/>
    <w:rsid w:val="00892FF0"/>
    <w:rsid w:val="00893511"/>
    <w:rsid w:val="00893806"/>
    <w:rsid w:val="00893A7E"/>
    <w:rsid w:val="00893AD1"/>
    <w:rsid w:val="00893D4A"/>
    <w:rsid w:val="008946A3"/>
    <w:rsid w:val="0089489B"/>
    <w:rsid w:val="00894912"/>
    <w:rsid w:val="00894EEC"/>
    <w:rsid w:val="00894FAF"/>
    <w:rsid w:val="00895362"/>
    <w:rsid w:val="0089597A"/>
    <w:rsid w:val="008959C9"/>
    <w:rsid w:val="00895B8B"/>
    <w:rsid w:val="00895CEA"/>
    <w:rsid w:val="00896123"/>
    <w:rsid w:val="00896729"/>
    <w:rsid w:val="008968AA"/>
    <w:rsid w:val="00896F33"/>
    <w:rsid w:val="00897228"/>
    <w:rsid w:val="0089758A"/>
    <w:rsid w:val="00897A24"/>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644"/>
    <w:rsid w:val="008A4A7D"/>
    <w:rsid w:val="008A4CDA"/>
    <w:rsid w:val="008A58B9"/>
    <w:rsid w:val="008A59AD"/>
    <w:rsid w:val="008A5F92"/>
    <w:rsid w:val="008A6033"/>
    <w:rsid w:val="008A6675"/>
    <w:rsid w:val="008A6CB4"/>
    <w:rsid w:val="008A6D74"/>
    <w:rsid w:val="008A711A"/>
    <w:rsid w:val="008A7BCE"/>
    <w:rsid w:val="008B0293"/>
    <w:rsid w:val="008B085F"/>
    <w:rsid w:val="008B0B45"/>
    <w:rsid w:val="008B116B"/>
    <w:rsid w:val="008B13EA"/>
    <w:rsid w:val="008B1403"/>
    <w:rsid w:val="008B14E4"/>
    <w:rsid w:val="008B1597"/>
    <w:rsid w:val="008B1881"/>
    <w:rsid w:val="008B1CD0"/>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062B"/>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69A"/>
    <w:rsid w:val="008C6C1C"/>
    <w:rsid w:val="008C6DEF"/>
    <w:rsid w:val="008C7124"/>
    <w:rsid w:val="008C727B"/>
    <w:rsid w:val="008C75CD"/>
    <w:rsid w:val="008C77E4"/>
    <w:rsid w:val="008C7CB3"/>
    <w:rsid w:val="008D0084"/>
    <w:rsid w:val="008D04E5"/>
    <w:rsid w:val="008D05B4"/>
    <w:rsid w:val="008D0796"/>
    <w:rsid w:val="008D0B64"/>
    <w:rsid w:val="008D1281"/>
    <w:rsid w:val="008D223D"/>
    <w:rsid w:val="008D2358"/>
    <w:rsid w:val="008D244A"/>
    <w:rsid w:val="008D27A4"/>
    <w:rsid w:val="008D29BD"/>
    <w:rsid w:val="008D314E"/>
    <w:rsid w:val="008D34C4"/>
    <w:rsid w:val="008D3966"/>
    <w:rsid w:val="008D3B07"/>
    <w:rsid w:val="008D45A6"/>
    <w:rsid w:val="008D4DB0"/>
    <w:rsid w:val="008D4F05"/>
    <w:rsid w:val="008D4F10"/>
    <w:rsid w:val="008D501E"/>
    <w:rsid w:val="008D5832"/>
    <w:rsid w:val="008D58AA"/>
    <w:rsid w:val="008D6061"/>
    <w:rsid w:val="008D6442"/>
    <w:rsid w:val="008D6E22"/>
    <w:rsid w:val="008D6F74"/>
    <w:rsid w:val="008D705B"/>
    <w:rsid w:val="008D74EC"/>
    <w:rsid w:val="008D7C27"/>
    <w:rsid w:val="008D7D51"/>
    <w:rsid w:val="008D7FCB"/>
    <w:rsid w:val="008E01F4"/>
    <w:rsid w:val="008E0615"/>
    <w:rsid w:val="008E0694"/>
    <w:rsid w:val="008E0AD8"/>
    <w:rsid w:val="008E0D17"/>
    <w:rsid w:val="008E0E0B"/>
    <w:rsid w:val="008E1E55"/>
    <w:rsid w:val="008E20E0"/>
    <w:rsid w:val="008E2685"/>
    <w:rsid w:val="008E2868"/>
    <w:rsid w:val="008E34AA"/>
    <w:rsid w:val="008E388C"/>
    <w:rsid w:val="008E38D9"/>
    <w:rsid w:val="008E3AB4"/>
    <w:rsid w:val="008E4DE1"/>
    <w:rsid w:val="008E4E70"/>
    <w:rsid w:val="008E5163"/>
    <w:rsid w:val="008E51F2"/>
    <w:rsid w:val="008E54C1"/>
    <w:rsid w:val="008E565F"/>
    <w:rsid w:val="008E5F89"/>
    <w:rsid w:val="008E622D"/>
    <w:rsid w:val="008E6306"/>
    <w:rsid w:val="008E63E1"/>
    <w:rsid w:val="008E64A5"/>
    <w:rsid w:val="008E64CC"/>
    <w:rsid w:val="008E6513"/>
    <w:rsid w:val="008E69C3"/>
    <w:rsid w:val="008E7AFE"/>
    <w:rsid w:val="008E7B45"/>
    <w:rsid w:val="008F0938"/>
    <w:rsid w:val="008F0A81"/>
    <w:rsid w:val="008F1320"/>
    <w:rsid w:val="008F14A5"/>
    <w:rsid w:val="008F18E3"/>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8F7836"/>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AD1"/>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DA7"/>
    <w:rsid w:val="00913E3C"/>
    <w:rsid w:val="00914013"/>
    <w:rsid w:val="009149A3"/>
    <w:rsid w:val="00915698"/>
    <w:rsid w:val="00915B11"/>
    <w:rsid w:val="00916372"/>
    <w:rsid w:val="0091687A"/>
    <w:rsid w:val="0091729A"/>
    <w:rsid w:val="009177E1"/>
    <w:rsid w:val="00917826"/>
    <w:rsid w:val="00917913"/>
    <w:rsid w:val="00917A26"/>
    <w:rsid w:val="00917A7D"/>
    <w:rsid w:val="00917C4A"/>
    <w:rsid w:val="00917E93"/>
    <w:rsid w:val="00920477"/>
    <w:rsid w:val="0092053F"/>
    <w:rsid w:val="00920DC2"/>
    <w:rsid w:val="00920F06"/>
    <w:rsid w:val="0092112C"/>
    <w:rsid w:val="00922136"/>
    <w:rsid w:val="0092248E"/>
    <w:rsid w:val="00922B2C"/>
    <w:rsid w:val="00922BB0"/>
    <w:rsid w:val="00922C38"/>
    <w:rsid w:val="00922E91"/>
    <w:rsid w:val="00923891"/>
    <w:rsid w:val="00923BCC"/>
    <w:rsid w:val="0092412C"/>
    <w:rsid w:val="009249F9"/>
    <w:rsid w:val="00924CF7"/>
    <w:rsid w:val="00924E41"/>
    <w:rsid w:val="009250FD"/>
    <w:rsid w:val="0092547A"/>
    <w:rsid w:val="00925B14"/>
    <w:rsid w:val="00925F78"/>
    <w:rsid w:val="00926518"/>
    <w:rsid w:val="00926820"/>
    <w:rsid w:val="00926A54"/>
    <w:rsid w:val="00926C5F"/>
    <w:rsid w:val="00926F44"/>
    <w:rsid w:val="0092706C"/>
    <w:rsid w:val="009275EC"/>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7E"/>
    <w:rsid w:val="00932EB2"/>
    <w:rsid w:val="0093355E"/>
    <w:rsid w:val="00933CB4"/>
    <w:rsid w:val="00934462"/>
    <w:rsid w:val="009347B0"/>
    <w:rsid w:val="00934860"/>
    <w:rsid w:val="00934ADF"/>
    <w:rsid w:val="00934B10"/>
    <w:rsid w:val="00934C36"/>
    <w:rsid w:val="00935218"/>
    <w:rsid w:val="009354E8"/>
    <w:rsid w:val="009356E0"/>
    <w:rsid w:val="00935FCD"/>
    <w:rsid w:val="0093638E"/>
    <w:rsid w:val="0093664F"/>
    <w:rsid w:val="00936A66"/>
    <w:rsid w:val="00936ECE"/>
    <w:rsid w:val="009371F9"/>
    <w:rsid w:val="0093729E"/>
    <w:rsid w:val="009376B2"/>
    <w:rsid w:val="009376FC"/>
    <w:rsid w:val="00937880"/>
    <w:rsid w:val="00937A6F"/>
    <w:rsid w:val="00937BEB"/>
    <w:rsid w:val="00937C5B"/>
    <w:rsid w:val="00937E2C"/>
    <w:rsid w:val="00940111"/>
    <w:rsid w:val="00940AAA"/>
    <w:rsid w:val="00940C01"/>
    <w:rsid w:val="00940CD5"/>
    <w:rsid w:val="0094114A"/>
    <w:rsid w:val="00941B66"/>
    <w:rsid w:val="00942392"/>
    <w:rsid w:val="00942524"/>
    <w:rsid w:val="00942AA6"/>
    <w:rsid w:val="0094304F"/>
    <w:rsid w:val="00943466"/>
    <w:rsid w:val="009438B1"/>
    <w:rsid w:val="00943C77"/>
    <w:rsid w:val="00943E1D"/>
    <w:rsid w:val="00943FA3"/>
    <w:rsid w:val="0094400A"/>
    <w:rsid w:val="00944465"/>
    <w:rsid w:val="00944479"/>
    <w:rsid w:val="009447C3"/>
    <w:rsid w:val="00945059"/>
    <w:rsid w:val="009450E8"/>
    <w:rsid w:val="0094606D"/>
    <w:rsid w:val="0094611E"/>
    <w:rsid w:val="00946D7C"/>
    <w:rsid w:val="00947B8C"/>
    <w:rsid w:val="009501AE"/>
    <w:rsid w:val="009501BB"/>
    <w:rsid w:val="009505BA"/>
    <w:rsid w:val="0095074E"/>
    <w:rsid w:val="009509E1"/>
    <w:rsid w:val="00950A9F"/>
    <w:rsid w:val="009511A1"/>
    <w:rsid w:val="00951353"/>
    <w:rsid w:val="009513DC"/>
    <w:rsid w:val="00951A04"/>
    <w:rsid w:val="00951B81"/>
    <w:rsid w:val="00951C06"/>
    <w:rsid w:val="00951EA3"/>
    <w:rsid w:val="009522F6"/>
    <w:rsid w:val="00953040"/>
    <w:rsid w:val="00953864"/>
    <w:rsid w:val="00953BF0"/>
    <w:rsid w:val="00953C54"/>
    <w:rsid w:val="00953E2B"/>
    <w:rsid w:val="0095418E"/>
    <w:rsid w:val="009543E8"/>
    <w:rsid w:val="00955083"/>
    <w:rsid w:val="0095519B"/>
    <w:rsid w:val="009558E9"/>
    <w:rsid w:val="00955B2B"/>
    <w:rsid w:val="009561C0"/>
    <w:rsid w:val="009569E7"/>
    <w:rsid w:val="00956E0A"/>
    <w:rsid w:val="00957317"/>
    <w:rsid w:val="009576AF"/>
    <w:rsid w:val="009578A6"/>
    <w:rsid w:val="00957C7F"/>
    <w:rsid w:val="00957CC9"/>
    <w:rsid w:val="00957D83"/>
    <w:rsid w:val="009602CB"/>
    <w:rsid w:val="00960BAD"/>
    <w:rsid w:val="00960E07"/>
    <w:rsid w:val="009611B8"/>
    <w:rsid w:val="009616A7"/>
    <w:rsid w:val="00961D8A"/>
    <w:rsid w:val="00961E9B"/>
    <w:rsid w:val="00961FF6"/>
    <w:rsid w:val="0096285D"/>
    <w:rsid w:val="0096289D"/>
    <w:rsid w:val="00962CDC"/>
    <w:rsid w:val="00962F09"/>
    <w:rsid w:val="009633CD"/>
    <w:rsid w:val="00963D89"/>
    <w:rsid w:val="0096409E"/>
    <w:rsid w:val="00964169"/>
    <w:rsid w:val="00964188"/>
    <w:rsid w:val="00965353"/>
    <w:rsid w:val="00965DF4"/>
    <w:rsid w:val="00965E5E"/>
    <w:rsid w:val="00965F52"/>
    <w:rsid w:val="00966337"/>
    <w:rsid w:val="009663BF"/>
    <w:rsid w:val="0096653F"/>
    <w:rsid w:val="00966B00"/>
    <w:rsid w:val="00966B12"/>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755"/>
    <w:rsid w:val="00973CCC"/>
    <w:rsid w:val="00973ED1"/>
    <w:rsid w:val="0097402A"/>
    <w:rsid w:val="009741BE"/>
    <w:rsid w:val="0097519E"/>
    <w:rsid w:val="00975215"/>
    <w:rsid w:val="00975374"/>
    <w:rsid w:val="009753DD"/>
    <w:rsid w:val="0097592D"/>
    <w:rsid w:val="00975933"/>
    <w:rsid w:val="00975B04"/>
    <w:rsid w:val="00975BD3"/>
    <w:rsid w:val="00975EAB"/>
    <w:rsid w:val="00975F21"/>
    <w:rsid w:val="0097617E"/>
    <w:rsid w:val="0097652C"/>
    <w:rsid w:val="00976B65"/>
    <w:rsid w:val="0097757E"/>
    <w:rsid w:val="00977614"/>
    <w:rsid w:val="009777C4"/>
    <w:rsid w:val="00977B2C"/>
    <w:rsid w:val="0098004F"/>
    <w:rsid w:val="00980307"/>
    <w:rsid w:val="009808BD"/>
    <w:rsid w:val="00981325"/>
    <w:rsid w:val="00981748"/>
    <w:rsid w:val="009819D2"/>
    <w:rsid w:val="00981AE9"/>
    <w:rsid w:val="00981E4C"/>
    <w:rsid w:val="0098216F"/>
    <w:rsid w:val="009821D3"/>
    <w:rsid w:val="00982331"/>
    <w:rsid w:val="00982C36"/>
    <w:rsid w:val="00983824"/>
    <w:rsid w:val="00983EA9"/>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21C"/>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1ED8"/>
    <w:rsid w:val="00992489"/>
    <w:rsid w:val="00992575"/>
    <w:rsid w:val="00992E2E"/>
    <w:rsid w:val="00993002"/>
    <w:rsid w:val="00993A62"/>
    <w:rsid w:val="00993C94"/>
    <w:rsid w:val="0099440A"/>
    <w:rsid w:val="00994719"/>
    <w:rsid w:val="00995BEB"/>
    <w:rsid w:val="00995C86"/>
    <w:rsid w:val="00995C92"/>
    <w:rsid w:val="009965C3"/>
    <w:rsid w:val="00996C82"/>
    <w:rsid w:val="00997646"/>
    <w:rsid w:val="00997728"/>
    <w:rsid w:val="00997922"/>
    <w:rsid w:val="00997CE6"/>
    <w:rsid w:val="00997CFA"/>
    <w:rsid w:val="009A01C8"/>
    <w:rsid w:val="009A0771"/>
    <w:rsid w:val="009A0AB5"/>
    <w:rsid w:val="009A0C5C"/>
    <w:rsid w:val="009A0E6F"/>
    <w:rsid w:val="009A148B"/>
    <w:rsid w:val="009A1A97"/>
    <w:rsid w:val="009A1CB0"/>
    <w:rsid w:val="009A1F50"/>
    <w:rsid w:val="009A22E4"/>
    <w:rsid w:val="009A2662"/>
    <w:rsid w:val="009A2922"/>
    <w:rsid w:val="009A2A5C"/>
    <w:rsid w:val="009A3056"/>
    <w:rsid w:val="009A3985"/>
    <w:rsid w:val="009A3DC3"/>
    <w:rsid w:val="009A4AB7"/>
    <w:rsid w:val="009A5AE8"/>
    <w:rsid w:val="009A5B44"/>
    <w:rsid w:val="009A5C09"/>
    <w:rsid w:val="009A5C2F"/>
    <w:rsid w:val="009A606F"/>
    <w:rsid w:val="009A6B1B"/>
    <w:rsid w:val="009A6FAF"/>
    <w:rsid w:val="009A76C5"/>
    <w:rsid w:val="009A7D54"/>
    <w:rsid w:val="009A7E16"/>
    <w:rsid w:val="009B00CD"/>
    <w:rsid w:val="009B11AC"/>
    <w:rsid w:val="009B147B"/>
    <w:rsid w:val="009B18C3"/>
    <w:rsid w:val="009B191A"/>
    <w:rsid w:val="009B2D01"/>
    <w:rsid w:val="009B38EC"/>
    <w:rsid w:val="009B3DD5"/>
    <w:rsid w:val="009B42E8"/>
    <w:rsid w:val="009B4401"/>
    <w:rsid w:val="009B44A8"/>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157"/>
    <w:rsid w:val="009C774F"/>
    <w:rsid w:val="009C7C11"/>
    <w:rsid w:val="009C7CB6"/>
    <w:rsid w:val="009C7F51"/>
    <w:rsid w:val="009D0666"/>
    <w:rsid w:val="009D0774"/>
    <w:rsid w:val="009D1896"/>
    <w:rsid w:val="009D19FE"/>
    <w:rsid w:val="009D1AB0"/>
    <w:rsid w:val="009D1CD7"/>
    <w:rsid w:val="009D23F4"/>
    <w:rsid w:val="009D2820"/>
    <w:rsid w:val="009D2862"/>
    <w:rsid w:val="009D2BE0"/>
    <w:rsid w:val="009D3401"/>
    <w:rsid w:val="009D41F4"/>
    <w:rsid w:val="009D423C"/>
    <w:rsid w:val="009D42EB"/>
    <w:rsid w:val="009D444A"/>
    <w:rsid w:val="009D484B"/>
    <w:rsid w:val="009D4C13"/>
    <w:rsid w:val="009D51DC"/>
    <w:rsid w:val="009D534F"/>
    <w:rsid w:val="009D57E5"/>
    <w:rsid w:val="009D5FFA"/>
    <w:rsid w:val="009D6CBC"/>
    <w:rsid w:val="009D7178"/>
    <w:rsid w:val="009D7411"/>
    <w:rsid w:val="009D7469"/>
    <w:rsid w:val="009D7489"/>
    <w:rsid w:val="009D77CF"/>
    <w:rsid w:val="009E0506"/>
    <w:rsid w:val="009E12D3"/>
    <w:rsid w:val="009E2A7B"/>
    <w:rsid w:val="009E309C"/>
    <w:rsid w:val="009E36AA"/>
    <w:rsid w:val="009E38C0"/>
    <w:rsid w:val="009E4115"/>
    <w:rsid w:val="009E449B"/>
    <w:rsid w:val="009E44BA"/>
    <w:rsid w:val="009E47BE"/>
    <w:rsid w:val="009E4F1B"/>
    <w:rsid w:val="009E510E"/>
    <w:rsid w:val="009E5AB7"/>
    <w:rsid w:val="009E6485"/>
    <w:rsid w:val="009E747F"/>
    <w:rsid w:val="009E74A3"/>
    <w:rsid w:val="009E7620"/>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02"/>
    <w:rsid w:val="009F40CE"/>
    <w:rsid w:val="009F5379"/>
    <w:rsid w:val="009F5F47"/>
    <w:rsid w:val="009F6377"/>
    <w:rsid w:val="009F6D30"/>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2F1F"/>
    <w:rsid w:val="00A043A8"/>
    <w:rsid w:val="00A04607"/>
    <w:rsid w:val="00A04691"/>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0A3B"/>
    <w:rsid w:val="00A11BB9"/>
    <w:rsid w:val="00A11D37"/>
    <w:rsid w:val="00A124C8"/>
    <w:rsid w:val="00A12920"/>
    <w:rsid w:val="00A12A6A"/>
    <w:rsid w:val="00A134CC"/>
    <w:rsid w:val="00A136CF"/>
    <w:rsid w:val="00A13B86"/>
    <w:rsid w:val="00A1449B"/>
    <w:rsid w:val="00A14F81"/>
    <w:rsid w:val="00A156B6"/>
    <w:rsid w:val="00A15A12"/>
    <w:rsid w:val="00A16059"/>
    <w:rsid w:val="00A163B6"/>
    <w:rsid w:val="00A16B49"/>
    <w:rsid w:val="00A174BB"/>
    <w:rsid w:val="00A175C0"/>
    <w:rsid w:val="00A17DE4"/>
    <w:rsid w:val="00A20056"/>
    <w:rsid w:val="00A204A1"/>
    <w:rsid w:val="00A2053E"/>
    <w:rsid w:val="00A205D3"/>
    <w:rsid w:val="00A20A16"/>
    <w:rsid w:val="00A214D3"/>
    <w:rsid w:val="00A21606"/>
    <w:rsid w:val="00A21819"/>
    <w:rsid w:val="00A21B7A"/>
    <w:rsid w:val="00A22686"/>
    <w:rsid w:val="00A22C0F"/>
    <w:rsid w:val="00A23691"/>
    <w:rsid w:val="00A23C59"/>
    <w:rsid w:val="00A23CB6"/>
    <w:rsid w:val="00A24418"/>
    <w:rsid w:val="00A246ED"/>
    <w:rsid w:val="00A24766"/>
    <w:rsid w:val="00A24ABC"/>
    <w:rsid w:val="00A24E04"/>
    <w:rsid w:val="00A25713"/>
    <w:rsid w:val="00A25825"/>
    <w:rsid w:val="00A259A7"/>
    <w:rsid w:val="00A25ACD"/>
    <w:rsid w:val="00A25BAF"/>
    <w:rsid w:val="00A25D85"/>
    <w:rsid w:val="00A266A6"/>
    <w:rsid w:val="00A26CDB"/>
    <w:rsid w:val="00A26FED"/>
    <w:rsid w:val="00A2779D"/>
    <w:rsid w:val="00A27B6D"/>
    <w:rsid w:val="00A309BD"/>
    <w:rsid w:val="00A30A4B"/>
    <w:rsid w:val="00A30A67"/>
    <w:rsid w:val="00A30D0F"/>
    <w:rsid w:val="00A30D59"/>
    <w:rsid w:val="00A310E7"/>
    <w:rsid w:val="00A3110A"/>
    <w:rsid w:val="00A311F9"/>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4DD"/>
    <w:rsid w:val="00A40523"/>
    <w:rsid w:val="00A4054C"/>
    <w:rsid w:val="00A40569"/>
    <w:rsid w:val="00A40857"/>
    <w:rsid w:val="00A40B5F"/>
    <w:rsid w:val="00A4171C"/>
    <w:rsid w:val="00A41904"/>
    <w:rsid w:val="00A41A67"/>
    <w:rsid w:val="00A41B8C"/>
    <w:rsid w:val="00A41E41"/>
    <w:rsid w:val="00A422E8"/>
    <w:rsid w:val="00A42328"/>
    <w:rsid w:val="00A42361"/>
    <w:rsid w:val="00A4396D"/>
    <w:rsid w:val="00A4434C"/>
    <w:rsid w:val="00A4454B"/>
    <w:rsid w:val="00A44AC1"/>
    <w:rsid w:val="00A44FA8"/>
    <w:rsid w:val="00A457DD"/>
    <w:rsid w:val="00A45BEF"/>
    <w:rsid w:val="00A46350"/>
    <w:rsid w:val="00A46577"/>
    <w:rsid w:val="00A46629"/>
    <w:rsid w:val="00A46B49"/>
    <w:rsid w:val="00A4713D"/>
    <w:rsid w:val="00A473F2"/>
    <w:rsid w:val="00A47415"/>
    <w:rsid w:val="00A479D7"/>
    <w:rsid w:val="00A47B9B"/>
    <w:rsid w:val="00A505A9"/>
    <w:rsid w:val="00A50895"/>
    <w:rsid w:val="00A50EF7"/>
    <w:rsid w:val="00A51219"/>
    <w:rsid w:val="00A51AD0"/>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3"/>
    <w:rsid w:val="00A56B9F"/>
    <w:rsid w:val="00A570BD"/>
    <w:rsid w:val="00A575AE"/>
    <w:rsid w:val="00A57676"/>
    <w:rsid w:val="00A57677"/>
    <w:rsid w:val="00A57702"/>
    <w:rsid w:val="00A57D4E"/>
    <w:rsid w:val="00A57F34"/>
    <w:rsid w:val="00A603C5"/>
    <w:rsid w:val="00A60442"/>
    <w:rsid w:val="00A60F6F"/>
    <w:rsid w:val="00A60F78"/>
    <w:rsid w:val="00A615DA"/>
    <w:rsid w:val="00A61D71"/>
    <w:rsid w:val="00A62036"/>
    <w:rsid w:val="00A62A21"/>
    <w:rsid w:val="00A62FA1"/>
    <w:rsid w:val="00A62FB4"/>
    <w:rsid w:val="00A63372"/>
    <w:rsid w:val="00A63685"/>
    <w:rsid w:val="00A6391F"/>
    <w:rsid w:val="00A63951"/>
    <w:rsid w:val="00A63AD5"/>
    <w:rsid w:val="00A64028"/>
    <w:rsid w:val="00A64CC8"/>
    <w:rsid w:val="00A65045"/>
    <w:rsid w:val="00A65274"/>
    <w:rsid w:val="00A654BD"/>
    <w:rsid w:val="00A65CE8"/>
    <w:rsid w:val="00A66068"/>
    <w:rsid w:val="00A6663E"/>
    <w:rsid w:val="00A66D33"/>
    <w:rsid w:val="00A66E1A"/>
    <w:rsid w:val="00A66EEA"/>
    <w:rsid w:val="00A672A0"/>
    <w:rsid w:val="00A701D8"/>
    <w:rsid w:val="00A702DD"/>
    <w:rsid w:val="00A7053C"/>
    <w:rsid w:val="00A70870"/>
    <w:rsid w:val="00A71829"/>
    <w:rsid w:val="00A71F28"/>
    <w:rsid w:val="00A721AC"/>
    <w:rsid w:val="00A7275F"/>
    <w:rsid w:val="00A72A31"/>
    <w:rsid w:val="00A72E60"/>
    <w:rsid w:val="00A72E7F"/>
    <w:rsid w:val="00A7350B"/>
    <w:rsid w:val="00A73704"/>
    <w:rsid w:val="00A73A0E"/>
    <w:rsid w:val="00A73E04"/>
    <w:rsid w:val="00A73E82"/>
    <w:rsid w:val="00A7431A"/>
    <w:rsid w:val="00A74467"/>
    <w:rsid w:val="00A7489D"/>
    <w:rsid w:val="00A74E08"/>
    <w:rsid w:val="00A74F3B"/>
    <w:rsid w:val="00A75020"/>
    <w:rsid w:val="00A7654B"/>
    <w:rsid w:val="00A76960"/>
    <w:rsid w:val="00A77953"/>
    <w:rsid w:val="00A804BB"/>
    <w:rsid w:val="00A807CC"/>
    <w:rsid w:val="00A80EE5"/>
    <w:rsid w:val="00A81459"/>
    <w:rsid w:val="00A81CE8"/>
    <w:rsid w:val="00A81FC6"/>
    <w:rsid w:val="00A82DEE"/>
    <w:rsid w:val="00A831B0"/>
    <w:rsid w:val="00A83233"/>
    <w:rsid w:val="00A838D7"/>
    <w:rsid w:val="00A83A12"/>
    <w:rsid w:val="00A83AB7"/>
    <w:rsid w:val="00A83B7E"/>
    <w:rsid w:val="00A84943"/>
    <w:rsid w:val="00A84BDD"/>
    <w:rsid w:val="00A84F3F"/>
    <w:rsid w:val="00A850BE"/>
    <w:rsid w:val="00A85209"/>
    <w:rsid w:val="00A863F5"/>
    <w:rsid w:val="00A86CBB"/>
    <w:rsid w:val="00A8700E"/>
    <w:rsid w:val="00A8786A"/>
    <w:rsid w:val="00A87886"/>
    <w:rsid w:val="00A87CA3"/>
    <w:rsid w:val="00A87ECB"/>
    <w:rsid w:val="00A9022D"/>
    <w:rsid w:val="00A902DF"/>
    <w:rsid w:val="00A90499"/>
    <w:rsid w:val="00A9051D"/>
    <w:rsid w:val="00A90BF7"/>
    <w:rsid w:val="00A90F3A"/>
    <w:rsid w:val="00A9146A"/>
    <w:rsid w:val="00A914BE"/>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98E"/>
    <w:rsid w:val="00A94A5B"/>
    <w:rsid w:val="00A94D7F"/>
    <w:rsid w:val="00A94EA6"/>
    <w:rsid w:val="00A95832"/>
    <w:rsid w:val="00A9584C"/>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D07"/>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2DA8"/>
    <w:rsid w:val="00AB30AB"/>
    <w:rsid w:val="00AB3B09"/>
    <w:rsid w:val="00AB3B58"/>
    <w:rsid w:val="00AB3C14"/>
    <w:rsid w:val="00AB3F7E"/>
    <w:rsid w:val="00AB487F"/>
    <w:rsid w:val="00AB49E3"/>
    <w:rsid w:val="00AB4AC0"/>
    <w:rsid w:val="00AB4B31"/>
    <w:rsid w:val="00AB4B90"/>
    <w:rsid w:val="00AB5766"/>
    <w:rsid w:val="00AB5B17"/>
    <w:rsid w:val="00AB5B73"/>
    <w:rsid w:val="00AB5C2F"/>
    <w:rsid w:val="00AB6141"/>
    <w:rsid w:val="00AB61F3"/>
    <w:rsid w:val="00AB6A73"/>
    <w:rsid w:val="00AB6AB5"/>
    <w:rsid w:val="00AB7860"/>
    <w:rsid w:val="00AB796F"/>
    <w:rsid w:val="00AB79D2"/>
    <w:rsid w:val="00AB7FF5"/>
    <w:rsid w:val="00AC0708"/>
    <w:rsid w:val="00AC1596"/>
    <w:rsid w:val="00AC1A41"/>
    <w:rsid w:val="00AC1EAB"/>
    <w:rsid w:val="00AC1FF7"/>
    <w:rsid w:val="00AC256D"/>
    <w:rsid w:val="00AC2992"/>
    <w:rsid w:val="00AC2B3E"/>
    <w:rsid w:val="00AC2CC0"/>
    <w:rsid w:val="00AC35BC"/>
    <w:rsid w:val="00AC3C76"/>
    <w:rsid w:val="00AC484A"/>
    <w:rsid w:val="00AC49C1"/>
    <w:rsid w:val="00AC4C87"/>
    <w:rsid w:val="00AC51AC"/>
    <w:rsid w:val="00AC5246"/>
    <w:rsid w:val="00AC5298"/>
    <w:rsid w:val="00AC5A9E"/>
    <w:rsid w:val="00AC60D4"/>
    <w:rsid w:val="00AC61CB"/>
    <w:rsid w:val="00AC620A"/>
    <w:rsid w:val="00AC6785"/>
    <w:rsid w:val="00AC76D1"/>
    <w:rsid w:val="00AC7ABF"/>
    <w:rsid w:val="00AD03F0"/>
    <w:rsid w:val="00AD0D35"/>
    <w:rsid w:val="00AD1986"/>
    <w:rsid w:val="00AD1E31"/>
    <w:rsid w:val="00AD1EA4"/>
    <w:rsid w:val="00AD20A6"/>
    <w:rsid w:val="00AD232D"/>
    <w:rsid w:val="00AD2B5B"/>
    <w:rsid w:val="00AD2D8E"/>
    <w:rsid w:val="00AD2E0E"/>
    <w:rsid w:val="00AD34F0"/>
    <w:rsid w:val="00AD36B4"/>
    <w:rsid w:val="00AD3DC4"/>
    <w:rsid w:val="00AD4025"/>
    <w:rsid w:val="00AD4216"/>
    <w:rsid w:val="00AD4D50"/>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2E0F"/>
    <w:rsid w:val="00AE3A79"/>
    <w:rsid w:val="00AE3DA6"/>
    <w:rsid w:val="00AE3DE3"/>
    <w:rsid w:val="00AE3FCC"/>
    <w:rsid w:val="00AE4115"/>
    <w:rsid w:val="00AE411A"/>
    <w:rsid w:val="00AE41F5"/>
    <w:rsid w:val="00AE4564"/>
    <w:rsid w:val="00AE4A57"/>
    <w:rsid w:val="00AE4A86"/>
    <w:rsid w:val="00AE4CB0"/>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AC5"/>
    <w:rsid w:val="00AF301A"/>
    <w:rsid w:val="00AF31FD"/>
    <w:rsid w:val="00AF3238"/>
    <w:rsid w:val="00AF393D"/>
    <w:rsid w:val="00AF3A38"/>
    <w:rsid w:val="00AF3AE1"/>
    <w:rsid w:val="00AF4021"/>
    <w:rsid w:val="00AF4033"/>
    <w:rsid w:val="00AF469C"/>
    <w:rsid w:val="00AF49D4"/>
    <w:rsid w:val="00AF4AC9"/>
    <w:rsid w:val="00AF4C00"/>
    <w:rsid w:val="00AF4F29"/>
    <w:rsid w:val="00AF5625"/>
    <w:rsid w:val="00AF5D5B"/>
    <w:rsid w:val="00AF5DFE"/>
    <w:rsid w:val="00AF6046"/>
    <w:rsid w:val="00AF630E"/>
    <w:rsid w:val="00AF6612"/>
    <w:rsid w:val="00AF6701"/>
    <w:rsid w:val="00AF6783"/>
    <w:rsid w:val="00AF7483"/>
    <w:rsid w:val="00B002D0"/>
    <w:rsid w:val="00B007C3"/>
    <w:rsid w:val="00B00C28"/>
    <w:rsid w:val="00B01253"/>
    <w:rsid w:val="00B014FF"/>
    <w:rsid w:val="00B015AC"/>
    <w:rsid w:val="00B01BF4"/>
    <w:rsid w:val="00B01D33"/>
    <w:rsid w:val="00B0219F"/>
    <w:rsid w:val="00B02446"/>
    <w:rsid w:val="00B02B58"/>
    <w:rsid w:val="00B02F69"/>
    <w:rsid w:val="00B03A44"/>
    <w:rsid w:val="00B041EC"/>
    <w:rsid w:val="00B042A5"/>
    <w:rsid w:val="00B04384"/>
    <w:rsid w:val="00B051C4"/>
    <w:rsid w:val="00B05705"/>
    <w:rsid w:val="00B058C0"/>
    <w:rsid w:val="00B05A81"/>
    <w:rsid w:val="00B06E43"/>
    <w:rsid w:val="00B078E8"/>
    <w:rsid w:val="00B07C69"/>
    <w:rsid w:val="00B07D99"/>
    <w:rsid w:val="00B106A4"/>
    <w:rsid w:val="00B10F5A"/>
    <w:rsid w:val="00B11175"/>
    <w:rsid w:val="00B11177"/>
    <w:rsid w:val="00B11407"/>
    <w:rsid w:val="00B1140B"/>
    <w:rsid w:val="00B11AB1"/>
    <w:rsid w:val="00B11B64"/>
    <w:rsid w:val="00B11BF8"/>
    <w:rsid w:val="00B11C3F"/>
    <w:rsid w:val="00B11C97"/>
    <w:rsid w:val="00B11E93"/>
    <w:rsid w:val="00B11FA5"/>
    <w:rsid w:val="00B124BF"/>
    <w:rsid w:val="00B13318"/>
    <w:rsid w:val="00B13393"/>
    <w:rsid w:val="00B133ED"/>
    <w:rsid w:val="00B13469"/>
    <w:rsid w:val="00B13A39"/>
    <w:rsid w:val="00B13AED"/>
    <w:rsid w:val="00B13F83"/>
    <w:rsid w:val="00B143D6"/>
    <w:rsid w:val="00B14B56"/>
    <w:rsid w:val="00B14C39"/>
    <w:rsid w:val="00B1524D"/>
    <w:rsid w:val="00B1589A"/>
    <w:rsid w:val="00B15956"/>
    <w:rsid w:val="00B15E83"/>
    <w:rsid w:val="00B162FD"/>
    <w:rsid w:val="00B165E2"/>
    <w:rsid w:val="00B16800"/>
    <w:rsid w:val="00B16CB0"/>
    <w:rsid w:val="00B16EB5"/>
    <w:rsid w:val="00B17148"/>
    <w:rsid w:val="00B17BE5"/>
    <w:rsid w:val="00B17E63"/>
    <w:rsid w:val="00B20C31"/>
    <w:rsid w:val="00B20D50"/>
    <w:rsid w:val="00B2129C"/>
    <w:rsid w:val="00B218E5"/>
    <w:rsid w:val="00B21AA4"/>
    <w:rsid w:val="00B21E36"/>
    <w:rsid w:val="00B227F3"/>
    <w:rsid w:val="00B2295A"/>
    <w:rsid w:val="00B22D5A"/>
    <w:rsid w:val="00B22E40"/>
    <w:rsid w:val="00B22FB0"/>
    <w:rsid w:val="00B23156"/>
    <w:rsid w:val="00B2316F"/>
    <w:rsid w:val="00B2342B"/>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0E14"/>
    <w:rsid w:val="00B31621"/>
    <w:rsid w:val="00B316A1"/>
    <w:rsid w:val="00B3176F"/>
    <w:rsid w:val="00B31805"/>
    <w:rsid w:val="00B31952"/>
    <w:rsid w:val="00B31A62"/>
    <w:rsid w:val="00B31B87"/>
    <w:rsid w:val="00B31F11"/>
    <w:rsid w:val="00B321FA"/>
    <w:rsid w:val="00B32CDE"/>
    <w:rsid w:val="00B33B04"/>
    <w:rsid w:val="00B33B7C"/>
    <w:rsid w:val="00B33C07"/>
    <w:rsid w:val="00B33E4D"/>
    <w:rsid w:val="00B33EF1"/>
    <w:rsid w:val="00B34020"/>
    <w:rsid w:val="00B340CF"/>
    <w:rsid w:val="00B345EA"/>
    <w:rsid w:val="00B34702"/>
    <w:rsid w:val="00B347D6"/>
    <w:rsid w:val="00B34939"/>
    <w:rsid w:val="00B35A65"/>
    <w:rsid w:val="00B35BAE"/>
    <w:rsid w:val="00B35C24"/>
    <w:rsid w:val="00B36122"/>
    <w:rsid w:val="00B36358"/>
    <w:rsid w:val="00B36686"/>
    <w:rsid w:val="00B367B2"/>
    <w:rsid w:val="00B368CF"/>
    <w:rsid w:val="00B36FC8"/>
    <w:rsid w:val="00B3739F"/>
    <w:rsid w:val="00B373BF"/>
    <w:rsid w:val="00B37494"/>
    <w:rsid w:val="00B37539"/>
    <w:rsid w:val="00B37DCD"/>
    <w:rsid w:val="00B37E31"/>
    <w:rsid w:val="00B37EA7"/>
    <w:rsid w:val="00B40302"/>
    <w:rsid w:val="00B40307"/>
    <w:rsid w:val="00B4065E"/>
    <w:rsid w:val="00B40981"/>
    <w:rsid w:val="00B409C7"/>
    <w:rsid w:val="00B40B40"/>
    <w:rsid w:val="00B414C2"/>
    <w:rsid w:val="00B4174D"/>
    <w:rsid w:val="00B41A43"/>
    <w:rsid w:val="00B42C96"/>
    <w:rsid w:val="00B42D76"/>
    <w:rsid w:val="00B431EB"/>
    <w:rsid w:val="00B432C9"/>
    <w:rsid w:val="00B433DD"/>
    <w:rsid w:val="00B437D9"/>
    <w:rsid w:val="00B43AF3"/>
    <w:rsid w:val="00B43BDF"/>
    <w:rsid w:val="00B44C63"/>
    <w:rsid w:val="00B4516C"/>
    <w:rsid w:val="00B45A3C"/>
    <w:rsid w:val="00B4601E"/>
    <w:rsid w:val="00B4685C"/>
    <w:rsid w:val="00B46B56"/>
    <w:rsid w:val="00B46BBD"/>
    <w:rsid w:val="00B471F9"/>
    <w:rsid w:val="00B476E0"/>
    <w:rsid w:val="00B50992"/>
    <w:rsid w:val="00B50A56"/>
    <w:rsid w:val="00B50DD7"/>
    <w:rsid w:val="00B51142"/>
    <w:rsid w:val="00B5115D"/>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4C28"/>
    <w:rsid w:val="00B55050"/>
    <w:rsid w:val="00B557AA"/>
    <w:rsid w:val="00B5649B"/>
    <w:rsid w:val="00B567D0"/>
    <w:rsid w:val="00B56B58"/>
    <w:rsid w:val="00B56BC3"/>
    <w:rsid w:val="00B56E2C"/>
    <w:rsid w:val="00B56EEF"/>
    <w:rsid w:val="00B571BD"/>
    <w:rsid w:val="00B572E8"/>
    <w:rsid w:val="00B575EA"/>
    <w:rsid w:val="00B577FC"/>
    <w:rsid w:val="00B57EDB"/>
    <w:rsid w:val="00B60770"/>
    <w:rsid w:val="00B614D7"/>
    <w:rsid w:val="00B61C8B"/>
    <w:rsid w:val="00B61E59"/>
    <w:rsid w:val="00B623BE"/>
    <w:rsid w:val="00B6285F"/>
    <w:rsid w:val="00B628F3"/>
    <w:rsid w:val="00B62D9C"/>
    <w:rsid w:val="00B63E81"/>
    <w:rsid w:val="00B6414F"/>
    <w:rsid w:val="00B643AD"/>
    <w:rsid w:val="00B643E6"/>
    <w:rsid w:val="00B6443F"/>
    <w:rsid w:val="00B645AF"/>
    <w:rsid w:val="00B6469C"/>
    <w:rsid w:val="00B6486C"/>
    <w:rsid w:val="00B648B7"/>
    <w:rsid w:val="00B65324"/>
    <w:rsid w:val="00B6575A"/>
    <w:rsid w:val="00B65C17"/>
    <w:rsid w:val="00B65CF8"/>
    <w:rsid w:val="00B65FC5"/>
    <w:rsid w:val="00B66202"/>
    <w:rsid w:val="00B663C8"/>
    <w:rsid w:val="00B66F90"/>
    <w:rsid w:val="00B6736F"/>
    <w:rsid w:val="00B6737E"/>
    <w:rsid w:val="00B674D9"/>
    <w:rsid w:val="00B67963"/>
    <w:rsid w:val="00B67E6E"/>
    <w:rsid w:val="00B7189C"/>
    <w:rsid w:val="00B718C4"/>
    <w:rsid w:val="00B7196C"/>
    <w:rsid w:val="00B71BBB"/>
    <w:rsid w:val="00B72033"/>
    <w:rsid w:val="00B722F8"/>
    <w:rsid w:val="00B724DA"/>
    <w:rsid w:val="00B72CAD"/>
    <w:rsid w:val="00B72DF7"/>
    <w:rsid w:val="00B731E0"/>
    <w:rsid w:val="00B73838"/>
    <w:rsid w:val="00B73A44"/>
    <w:rsid w:val="00B74789"/>
    <w:rsid w:val="00B747A7"/>
    <w:rsid w:val="00B747F4"/>
    <w:rsid w:val="00B74D1A"/>
    <w:rsid w:val="00B756E7"/>
    <w:rsid w:val="00B75C96"/>
    <w:rsid w:val="00B76640"/>
    <w:rsid w:val="00B76ACD"/>
    <w:rsid w:val="00B771F3"/>
    <w:rsid w:val="00B772A1"/>
    <w:rsid w:val="00B7767F"/>
    <w:rsid w:val="00B7797F"/>
    <w:rsid w:val="00B77B72"/>
    <w:rsid w:val="00B80760"/>
    <w:rsid w:val="00B80B3C"/>
    <w:rsid w:val="00B80BB7"/>
    <w:rsid w:val="00B80D75"/>
    <w:rsid w:val="00B80E8D"/>
    <w:rsid w:val="00B80ECE"/>
    <w:rsid w:val="00B80F06"/>
    <w:rsid w:val="00B8118D"/>
    <w:rsid w:val="00B816FC"/>
    <w:rsid w:val="00B8185D"/>
    <w:rsid w:val="00B82071"/>
    <w:rsid w:val="00B83400"/>
    <w:rsid w:val="00B84A18"/>
    <w:rsid w:val="00B85977"/>
    <w:rsid w:val="00B85EC8"/>
    <w:rsid w:val="00B86DFA"/>
    <w:rsid w:val="00B87267"/>
    <w:rsid w:val="00B873E4"/>
    <w:rsid w:val="00B87DD0"/>
    <w:rsid w:val="00B91324"/>
    <w:rsid w:val="00B913CD"/>
    <w:rsid w:val="00B91957"/>
    <w:rsid w:val="00B91BD8"/>
    <w:rsid w:val="00B91BF3"/>
    <w:rsid w:val="00B91F11"/>
    <w:rsid w:val="00B92236"/>
    <w:rsid w:val="00B92996"/>
    <w:rsid w:val="00B930E3"/>
    <w:rsid w:val="00B934F0"/>
    <w:rsid w:val="00B936B3"/>
    <w:rsid w:val="00B9396E"/>
    <w:rsid w:val="00B93C51"/>
    <w:rsid w:val="00B93D5A"/>
    <w:rsid w:val="00B93E3E"/>
    <w:rsid w:val="00B93F53"/>
    <w:rsid w:val="00B9492D"/>
    <w:rsid w:val="00B951CA"/>
    <w:rsid w:val="00B962D7"/>
    <w:rsid w:val="00B96C6A"/>
    <w:rsid w:val="00B96DFC"/>
    <w:rsid w:val="00B9738E"/>
    <w:rsid w:val="00B97C4A"/>
    <w:rsid w:val="00BA01EC"/>
    <w:rsid w:val="00BA0DE8"/>
    <w:rsid w:val="00BA120F"/>
    <w:rsid w:val="00BA13CA"/>
    <w:rsid w:val="00BA173D"/>
    <w:rsid w:val="00BA1D60"/>
    <w:rsid w:val="00BA1F09"/>
    <w:rsid w:val="00BA22B8"/>
    <w:rsid w:val="00BA2650"/>
    <w:rsid w:val="00BA26D3"/>
    <w:rsid w:val="00BA287F"/>
    <w:rsid w:val="00BA2975"/>
    <w:rsid w:val="00BA2F53"/>
    <w:rsid w:val="00BA4390"/>
    <w:rsid w:val="00BA4619"/>
    <w:rsid w:val="00BA483D"/>
    <w:rsid w:val="00BA486D"/>
    <w:rsid w:val="00BA5763"/>
    <w:rsid w:val="00BA5B17"/>
    <w:rsid w:val="00BA5DD9"/>
    <w:rsid w:val="00BA6C87"/>
    <w:rsid w:val="00BA710A"/>
    <w:rsid w:val="00BA7538"/>
    <w:rsid w:val="00BA7556"/>
    <w:rsid w:val="00BA766E"/>
    <w:rsid w:val="00BA7817"/>
    <w:rsid w:val="00BA7CBE"/>
    <w:rsid w:val="00BA7EEB"/>
    <w:rsid w:val="00BA7F8F"/>
    <w:rsid w:val="00BB05CA"/>
    <w:rsid w:val="00BB0798"/>
    <w:rsid w:val="00BB0930"/>
    <w:rsid w:val="00BB0D72"/>
    <w:rsid w:val="00BB10E1"/>
    <w:rsid w:val="00BB1349"/>
    <w:rsid w:val="00BB135B"/>
    <w:rsid w:val="00BB140D"/>
    <w:rsid w:val="00BB1425"/>
    <w:rsid w:val="00BB1675"/>
    <w:rsid w:val="00BB181A"/>
    <w:rsid w:val="00BB2208"/>
    <w:rsid w:val="00BB2EE5"/>
    <w:rsid w:val="00BB2F5D"/>
    <w:rsid w:val="00BB3173"/>
    <w:rsid w:val="00BB31E0"/>
    <w:rsid w:val="00BB3CDA"/>
    <w:rsid w:val="00BB510A"/>
    <w:rsid w:val="00BB5243"/>
    <w:rsid w:val="00BB5D24"/>
    <w:rsid w:val="00BB6424"/>
    <w:rsid w:val="00BB64B7"/>
    <w:rsid w:val="00BB65D9"/>
    <w:rsid w:val="00BB665C"/>
    <w:rsid w:val="00BB6D92"/>
    <w:rsid w:val="00BB6ED6"/>
    <w:rsid w:val="00BB70B9"/>
    <w:rsid w:val="00BB70D1"/>
    <w:rsid w:val="00BB7D87"/>
    <w:rsid w:val="00BB7E5C"/>
    <w:rsid w:val="00BC06B9"/>
    <w:rsid w:val="00BC0AD0"/>
    <w:rsid w:val="00BC0C6D"/>
    <w:rsid w:val="00BC0E35"/>
    <w:rsid w:val="00BC1BB0"/>
    <w:rsid w:val="00BC2409"/>
    <w:rsid w:val="00BC24C9"/>
    <w:rsid w:val="00BC2DD5"/>
    <w:rsid w:val="00BC380B"/>
    <w:rsid w:val="00BC39F4"/>
    <w:rsid w:val="00BC3C7A"/>
    <w:rsid w:val="00BC3D45"/>
    <w:rsid w:val="00BC3D99"/>
    <w:rsid w:val="00BC3E66"/>
    <w:rsid w:val="00BC3E92"/>
    <w:rsid w:val="00BC4021"/>
    <w:rsid w:val="00BC4066"/>
    <w:rsid w:val="00BC450E"/>
    <w:rsid w:val="00BC4D85"/>
    <w:rsid w:val="00BC4F47"/>
    <w:rsid w:val="00BC531B"/>
    <w:rsid w:val="00BC548B"/>
    <w:rsid w:val="00BC604C"/>
    <w:rsid w:val="00BC6C96"/>
    <w:rsid w:val="00BC71C9"/>
    <w:rsid w:val="00BC7A4E"/>
    <w:rsid w:val="00BC7C04"/>
    <w:rsid w:val="00BD0769"/>
    <w:rsid w:val="00BD0887"/>
    <w:rsid w:val="00BD0AB1"/>
    <w:rsid w:val="00BD10EC"/>
    <w:rsid w:val="00BD18FC"/>
    <w:rsid w:val="00BD214B"/>
    <w:rsid w:val="00BD21AB"/>
    <w:rsid w:val="00BD295B"/>
    <w:rsid w:val="00BD378A"/>
    <w:rsid w:val="00BD43D6"/>
    <w:rsid w:val="00BD4538"/>
    <w:rsid w:val="00BD4965"/>
    <w:rsid w:val="00BD4B75"/>
    <w:rsid w:val="00BD5521"/>
    <w:rsid w:val="00BD5A84"/>
    <w:rsid w:val="00BD68FF"/>
    <w:rsid w:val="00BD7056"/>
    <w:rsid w:val="00BD71D7"/>
    <w:rsid w:val="00BD7214"/>
    <w:rsid w:val="00BD73EC"/>
    <w:rsid w:val="00BD7B25"/>
    <w:rsid w:val="00BD7DCB"/>
    <w:rsid w:val="00BD7FC0"/>
    <w:rsid w:val="00BE0354"/>
    <w:rsid w:val="00BE052B"/>
    <w:rsid w:val="00BE0A0D"/>
    <w:rsid w:val="00BE112F"/>
    <w:rsid w:val="00BE186B"/>
    <w:rsid w:val="00BE1890"/>
    <w:rsid w:val="00BE18DF"/>
    <w:rsid w:val="00BE1AD8"/>
    <w:rsid w:val="00BE1AFA"/>
    <w:rsid w:val="00BE21A2"/>
    <w:rsid w:val="00BE27ED"/>
    <w:rsid w:val="00BE28CD"/>
    <w:rsid w:val="00BE2DEA"/>
    <w:rsid w:val="00BE2F1B"/>
    <w:rsid w:val="00BE37DD"/>
    <w:rsid w:val="00BE3FDB"/>
    <w:rsid w:val="00BE47E1"/>
    <w:rsid w:val="00BE4FAB"/>
    <w:rsid w:val="00BE55B0"/>
    <w:rsid w:val="00BE5604"/>
    <w:rsid w:val="00BE5633"/>
    <w:rsid w:val="00BE65CE"/>
    <w:rsid w:val="00BE690B"/>
    <w:rsid w:val="00BE7226"/>
    <w:rsid w:val="00BE739E"/>
    <w:rsid w:val="00BE743B"/>
    <w:rsid w:val="00BE76E4"/>
    <w:rsid w:val="00BE7C27"/>
    <w:rsid w:val="00BE7D09"/>
    <w:rsid w:val="00BE7D4F"/>
    <w:rsid w:val="00BF0E47"/>
    <w:rsid w:val="00BF146E"/>
    <w:rsid w:val="00BF1962"/>
    <w:rsid w:val="00BF1B58"/>
    <w:rsid w:val="00BF2143"/>
    <w:rsid w:val="00BF2496"/>
    <w:rsid w:val="00BF3311"/>
    <w:rsid w:val="00BF3739"/>
    <w:rsid w:val="00BF42AF"/>
    <w:rsid w:val="00BF44B0"/>
    <w:rsid w:val="00BF45A5"/>
    <w:rsid w:val="00BF4C02"/>
    <w:rsid w:val="00BF4DDC"/>
    <w:rsid w:val="00BF4ED6"/>
    <w:rsid w:val="00BF4F01"/>
    <w:rsid w:val="00BF527A"/>
    <w:rsid w:val="00BF5578"/>
    <w:rsid w:val="00BF568A"/>
    <w:rsid w:val="00BF5B5A"/>
    <w:rsid w:val="00BF5DCA"/>
    <w:rsid w:val="00BF61D7"/>
    <w:rsid w:val="00BF6988"/>
    <w:rsid w:val="00BF6A3C"/>
    <w:rsid w:val="00BF6FCD"/>
    <w:rsid w:val="00BF70BC"/>
    <w:rsid w:val="00BF7587"/>
    <w:rsid w:val="00BF7800"/>
    <w:rsid w:val="00BF78AE"/>
    <w:rsid w:val="00BF7D15"/>
    <w:rsid w:val="00C00002"/>
    <w:rsid w:val="00C002CE"/>
    <w:rsid w:val="00C0049C"/>
    <w:rsid w:val="00C0090F"/>
    <w:rsid w:val="00C00972"/>
    <w:rsid w:val="00C00CC1"/>
    <w:rsid w:val="00C0120A"/>
    <w:rsid w:val="00C01D34"/>
    <w:rsid w:val="00C01DFC"/>
    <w:rsid w:val="00C01F56"/>
    <w:rsid w:val="00C023E3"/>
    <w:rsid w:val="00C02ADC"/>
    <w:rsid w:val="00C02DC9"/>
    <w:rsid w:val="00C02EA8"/>
    <w:rsid w:val="00C02F48"/>
    <w:rsid w:val="00C02FBA"/>
    <w:rsid w:val="00C0330D"/>
    <w:rsid w:val="00C034FA"/>
    <w:rsid w:val="00C03877"/>
    <w:rsid w:val="00C038A1"/>
    <w:rsid w:val="00C03A74"/>
    <w:rsid w:val="00C03B25"/>
    <w:rsid w:val="00C03B96"/>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A4"/>
    <w:rsid w:val="00C07DF9"/>
    <w:rsid w:val="00C103CB"/>
    <w:rsid w:val="00C10621"/>
    <w:rsid w:val="00C1091A"/>
    <w:rsid w:val="00C10C3D"/>
    <w:rsid w:val="00C11047"/>
    <w:rsid w:val="00C11592"/>
    <w:rsid w:val="00C11815"/>
    <w:rsid w:val="00C11A34"/>
    <w:rsid w:val="00C11C45"/>
    <w:rsid w:val="00C11E94"/>
    <w:rsid w:val="00C11F12"/>
    <w:rsid w:val="00C120C4"/>
    <w:rsid w:val="00C1213F"/>
    <w:rsid w:val="00C125EC"/>
    <w:rsid w:val="00C12872"/>
    <w:rsid w:val="00C12951"/>
    <w:rsid w:val="00C136CE"/>
    <w:rsid w:val="00C136F1"/>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50D"/>
    <w:rsid w:val="00C22916"/>
    <w:rsid w:val="00C22DA9"/>
    <w:rsid w:val="00C236C0"/>
    <w:rsid w:val="00C23822"/>
    <w:rsid w:val="00C23D34"/>
    <w:rsid w:val="00C23D3B"/>
    <w:rsid w:val="00C23E0D"/>
    <w:rsid w:val="00C24B00"/>
    <w:rsid w:val="00C24CD0"/>
    <w:rsid w:val="00C252B6"/>
    <w:rsid w:val="00C2538E"/>
    <w:rsid w:val="00C2552C"/>
    <w:rsid w:val="00C2555B"/>
    <w:rsid w:val="00C256E6"/>
    <w:rsid w:val="00C25852"/>
    <w:rsid w:val="00C25FE7"/>
    <w:rsid w:val="00C26721"/>
    <w:rsid w:val="00C2681F"/>
    <w:rsid w:val="00C2687C"/>
    <w:rsid w:val="00C2695A"/>
    <w:rsid w:val="00C269CE"/>
    <w:rsid w:val="00C26CFB"/>
    <w:rsid w:val="00C26FBD"/>
    <w:rsid w:val="00C2736D"/>
    <w:rsid w:val="00C27772"/>
    <w:rsid w:val="00C277BD"/>
    <w:rsid w:val="00C2785B"/>
    <w:rsid w:val="00C30745"/>
    <w:rsid w:val="00C30E76"/>
    <w:rsid w:val="00C30FA6"/>
    <w:rsid w:val="00C315F7"/>
    <w:rsid w:val="00C31987"/>
    <w:rsid w:val="00C31FC0"/>
    <w:rsid w:val="00C3214F"/>
    <w:rsid w:val="00C32220"/>
    <w:rsid w:val="00C3260F"/>
    <w:rsid w:val="00C328A1"/>
    <w:rsid w:val="00C32A65"/>
    <w:rsid w:val="00C32E05"/>
    <w:rsid w:val="00C33159"/>
    <w:rsid w:val="00C3317C"/>
    <w:rsid w:val="00C33512"/>
    <w:rsid w:val="00C33F05"/>
    <w:rsid w:val="00C34489"/>
    <w:rsid w:val="00C350D7"/>
    <w:rsid w:val="00C354B0"/>
    <w:rsid w:val="00C35C92"/>
    <w:rsid w:val="00C35D3F"/>
    <w:rsid w:val="00C35D8F"/>
    <w:rsid w:val="00C35E79"/>
    <w:rsid w:val="00C35EDE"/>
    <w:rsid w:val="00C36845"/>
    <w:rsid w:val="00C36CD2"/>
    <w:rsid w:val="00C371C4"/>
    <w:rsid w:val="00C374E8"/>
    <w:rsid w:val="00C37691"/>
    <w:rsid w:val="00C37768"/>
    <w:rsid w:val="00C37777"/>
    <w:rsid w:val="00C37CE8"/>
    <w:rsid w:val="00C400F1"/>
    <w:rsid w:val="00C403BB"/>
    <w:rsid w:val="00C4057B"/>
    <w:rsid w:val="00C408F3"/>
    <w:rsid w:val="00C40C18"/>
    <w:rsid w:val="00C40C23"/>
    <w:rsid w:val="00C40C30"/>
    <w:rsid w:val="00C42669"/>
    <w:rsid w:val="00C426F8"/>
    <w:rsid w:val="00C4286C"/>
    <w:rsid w:val="00C429D9"/>
    <w:rsid w:val="00C42D69"/>
    <w:rsid w:val="00C4304F"/>
    <w:rsid w:val="00C4375F"/>
    <w:rsid w:val="00C438E5"/>
    <w:rsid w:val="00C43969"/>
    <w:rsid w:val="00C439A8"/>
    <w:rsid w:val="00C43FA6"/>
    <w:rsid w:val="00C443B7"/>
    <w:rsid w:val="00C44C83"/>
    <w:rsid w:val="00C44D8F"/>
    <w:rsid w:val="00C44EB8"/>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064"/>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899"/>
    <w:rsid w:val="00C60BD4"/>
    <w:rsid w:val="00C60D9B"/>
    <w:rsid w:val="00C61014"/>
    <w:rsid w:val="00C6111C"/>
    <w:rsid w:val="00C613BC"/>
    <w:rsid w:val="00C6170C"/>
    <w:rsid w:val="00C6179B"/>
    <w:rsid w:val="00C61B25"/>
    <w:rsid w:val="00C61E66"/>
    <w:rsid w:val="00C61E71"/>
    <w:rsid w:val="00C62269"/>
    <w:rsid w:val="00C624F7"/>
    <w:rsid w:val="00C62909"/>
    <w:rsid w:val="00C6296C"/>
    <w:rsid w:val="00C62BE4"/>
    <w:rsid w:val="00C6338D"/>
    <w:rsid w:val="00C635A7"/>
    <w:rsid w:val="00C635BB"/>
    <w:rsid w:val="00C6368F"/>
    <w:rsid w:val="00C63882"/>
    <w:rsid w:val="00C6431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376"/>
    <w:rsid w:val="00C71C6B"/>
    <w:rsid w:val="00C72801"/>
    <w:rsid w:val="00C72D44"/>
    <w:rsid w:val="00C72DA4"/>
    <w:rsid w:val="00C730F9"/>
    <w:rsid w:val="00C732E5"/>
    <w:rsid w:val="00C73809"/>
    <w:rsid w:val="00C738ED"/>
    <w:rsid w:val="00C73DA6"/>
    <w:rsid w:val="00C74302"/>
    <w:rsid w:val="00C744D8"/>
    <w:rsid w:val="00C74761"/>
    <w:rsid w:val="00C74781"/>
    <w:rsid w:val="00C747C1"/>
    <w:rsid w:val="00C749AE"/>
    <w:rsid w:val="00C7506D"/>
    <w:rsid w:val="00C75AE6"/>
    <w:rsid w:val="00C75BF7"/>
    <w:rsid w:val="00C7641B"/>
    <w:rsid w:val="00C7762C"/>
    <w:rsid w:val="00C77660"/>
    <w:rsid w:val="00C77C23"/>
    <w:rsid w:val="00C80000"/>
    <w:rsid w:val="00C8018E"/>
    <w:rsid w:val="00C8019E"/>
    <w:rsid w:val="00C802A4"/>
    <w:rsid w:val="00C80862"/>
    <w:rsid w:val="00C80C99"/>
    <w:rsid w:val="00C81091"/>
    <w:rsid w:val="00C81BE9"/>
    <w:rsid w:val="00C81C99"/>
    <w:rsid w:val="00C81DE5"/>
    <w:rsid w:val="00C82184"/>
    <w:rsid w:val="00C82287"/>
    <w:rsid w:val="00C82489"/>
    <w:rsid w:val="00C82C69"/>
    <w:rsid w:val="00C83853"/>
    <w:rsid w:val="00C8386B"/>
    <w:rsid w:val="00C83AEC"/>
    <w:rsid w:val="00C83B52"/>
    <w:rsid w:val="00C83FCB"/>
    <w:rsid w:val="00C840A1"/>
    <w:rsid w:val="00C844EA"/>
    <w:rsid w:val="00C85061"/>
    <w:rsid w:val="00C851ED"/>
    <w:rsid w:val="00C854C3"/>
    <w:rsid w:val="00C8568D"/>
    <w:rsid w:val="00C859F1"/>
    <w:rsid w:val="00C85C3A"/>
    <w:rsid w:val="00C866EA"/>
    <w:rsid w:val="00C86C5F"/>
    <w:rsid w:val="00C86ECF"/>
    <w:rsid w:val="00C87205"/>
    <w:rsid w:val="00C879B3"/>
    <w:rsid w:val="00C87D9A"/>
    <w:rsid w:val="00C900B1"/>
    <w:rsid w:val="00C902E0"/>
    <w:rsid w:val="00C909E8"/>
    <w:rsid w:val="00C90A12"/>
    <w:rsid w:val="00C914C8"/>
    <w:rsid w:val="00C9150F"/>
    <w:rsid w:val="00C9216D"/>
    <w:rsid w:val="00C926DF"/>
    <w:rsid w:val="00C92F0E"/>
    <w:rsid w:val="00C9311A"/>
    <w:rsid w:val="00C935AB"/>
    <w:rsid w:val="00C93A70"/>
    <w:rsid w:val="00C93AE4"/>
    <w:rsid w:val="00C941EE"/>
    <w:rsid w:val="00C947D4"/>
    <w:rsid w:val="00C94892"/>
    <w:rsid w:val="00C94A7C"/>
    <w:rsid w:val="00C952D1"/>
    <w:rsid w:val="00C95595"/>
    <w:rsid w:val="00C95A36"/>
    <w:rsid w:val="00C95AC1"/>
    <w:rsid w:val="00C95B2A"/>
    <w:rsid w:val="00C97036"/>
    <w:rsid w:val="00C973BA"/>
    <w:rsid w:val="00C97B38"/>
    <w:rsid w:val="00C97ED5"/>
    <w:rsid w:val="00CA0056"/>
    <w:rsid w:val="00CA04C1"/>
    <w:rsid w:val="00CA04CC"/>
    <w:rsid w:val="00CA0599"/>
    <w:rsid w:val="00CA0A47"/>
    <w:rsid w:val="00CA1333"/>
    <w:rsid w:val="00CA1DCB"/>
    <w:rsid w:val="00CA1E51"/>
    <w:rsid w:val="00CA25E2"/>
    <w:rsid w:val="00CA2C51"/>
    <w:rsid w:val="00CA33DC"/>
    <w:rsid w:val="00CA49B2"/>
    <w:rsid w:val="00CA528B"/>
    <w:rsid w:val="00CA5E2B"/>
    <w:rsid w:val="00CA6460"/>
    <w:rsid w:val="00CA65BF"/>
    <w:rsid w:val="00CA69BF"/>
    <w:rsid w:val="00CA6AA2"/>
    <w:rsid w:val="00CA6E93"/>
    <w:rsid w:val="00CA7855"/>
    <w:rsid w:val="00CA7A07"/>
    <w:rsid w:val="00CA7E6C"/>
    <w:rsid w:val="00CB05B1"/>
    <w:rsid w:val="00CB0EAA"/>
    <w:rsid w:val="00CB1012"/>
    <w:rsid w:val="00CB1183"/>
    <w:rsid w:val="00CB148C"/>
    <w:rsid w:val="00CB14B3"/>
    <w:rsid w:val="00CB1550"/>
    <w:rsid w:val="00CB1626"/>
    <w:rsid w:val="00CB1817"/>
    <w:rsid w:val="00CB1D08"/>
    <w:rsid w:val="00CB1D8E"/>
    <w:rsid w:val="00CB1EB9"/>
    <w:rsid w:val="00CB21FE"/>
    <w:rsid w:val="00CB25F1"/>
    <w:rsid w:val="00CB2739"/>
    <w:rsid w:val="00CB2F24"/>
    <w:rsid w:val="00CB3B64"/>
    <w:rsid w:val="00CB3BBD"/>
    <w:rsid w:val="00CB40B2"/>
    <w:rsid w:val="00CB4192"/>
    <w:rsid w:val="00CB41A9"/>
    <w:rsid w:val="00CB453C"/>
    <w:rsid w:val="00CB54D1"/>
    <w:rsid w:val="00CB54DB"/>
    <w:rsid w:val="00CB582D"/>
    <w:rsid w:val="00CB6027"/>
    <w:rsid w:val="00CB6A63"/>
    <w:rsid w:val="00CB6B7B"/>
    <w:rsid w:val="00CB6E42"/>
    <w:rsid w:val="00CB6E49"/>
    <w:rsid w:val="00CC025C"/>
    <w:rsid w:val="00CC0A26"/>
    <w:rsid w:val="00CC135F"/>
    <w:rsid w:val="00CC1859"/>
    <w:rsid w:val="00CC1E0F"/>
    <w:rsid w:val="00CC20FF"/>
    <w:rsid w:val="00CC24FA"/>
    <w:rsid w:val="00CC26E8"/>
    <w:rsid w:val="00CC2F77"/>
    <w:rsid w:val="00CC33E1"/>
    <w:rsid w:val="00CC3D03"/>
    <w:rsid w:val="00CC41FD"/>
    <w:rsid w:val="00CC4DB7"/>
    <w:rsid w:val="00CC51CA"/>
    <w:rsid w:val="00CC565C"/>
    <w:rsid w:val="00CC5770"/>
    <w:rsid w:val="00CC5C6A"/>
    <w:rsid w:val="00CC6374"/>
    <w:rsid w:val="00CC6697"/>
    <w:rsid w:val="00CC6C60"/>
    <w:rsid w:val="00CC754C"/>
    <w:rsid w:val="00CC7BD1"/>
    <w:rsid w:val="00CC7C53"/>
    <w:rsid w:val="00CD053B"/>
    <w:rsid w:val="00CD07EA"/>
    <w:rsid w:val="00CD08DE"/>
    <w:rsid w:val="00CD1020"/>
    <w:rsid w:val="00CD1C47"/>
    <w:rsid w:val="00CD21A0"/>
    <w:rsid w:val="00CD2274"/>
    <w:rsid w:val="00CD227E"/>
    <w:rsid w:val="00CD2283"/>
    <w:rsid w:val="00CD28FF"/>
    <w:rsid w:val="00CD301A"/>
    <w:rsid w:val="00CD34D3"/>
    <w:rsid w:val="00CD3CDC"/>
    <w:rsid w:val="00CD3DCB"/>
    <w:rsid w:val="00CD49B9"/>
    <w:rsid w:val="00CD4DEC"/>
    <w:rsid w:val="00CD4F24"/>
    <w:rsid w:val="00CD4F7C"/>
    <w:rsid w:val="00CD566C"/>
    <w:rsid w:val="00CD5837"/>
    <w:rsid w:val="00CD6330"/>
    <w:rsid w:val="00CD6760"/>
    <w:rsid w:val="00CD7A03"/>
    <w:rsid w:val="00CE0D06"/>
    <w:rsid w:val="00CE1D33"/>
    <w:rsid w:val="00CE1D72"/>
    <w:rsid w:val="00CE1E0B"/>
    <w:rsid w:val="00CE22EF"/>
    <w:rsid w:val="00CE24A4"/>
    <w:rsid w:val="00CE24C7"/>
    <w:rsid w:val="00CE31D2"/>
    <w:rsid w:val="00CE33DC"/>
    <w:rsid w:val="00CE39DE"/>
    <w:rsid w:val="00CE42D1"/>
    <w:rsid w:val="00CE4428"/>
    <w:rsid w:val="00CE47F5"/>
    <w:rsid w:val="00CE4833"/>
    <w:rsid w:val="00CE5044"/>
    <w:rsid w:val="00CE51C0"/>
    <w:rsid w:val="00CE58A6"/>
    <w:rsid w:val="00CE592D"/>
    <w:rsid w:val="00CE5C93"/>
    <w:rsid w:val="00CE67B6"/>
    <w:rsid w:val="00CE6D68"/>
    <w:rsid w:val="00CE733B"/>
    <w:rsid w:val="00CE74F5"/>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436"/>
    <w:rsid w:val="00CF7716"/>
    <w:rsid w:val="00CF7815"/>
    <w:rsid w:val="00CF7AB8"/>
    <w:rsid w:val="00CF7D51"/>
    <w:rsid w:val="00D0000D"/>
    <w:rsid w:val="00D01363"/>
    <w:rsid w:val="00D018AA"/>
    <w:rsid w:val="00D01B14"/>
    <w:rsid w:val="00D01F21"/>
    <w:rsid w:val="00D02299"/>
    <w:rsid w:val="00D02370"/>
    <w:rsid w:val="00D02435"/>
    <w:rsid w:val="00D02462"/>
    <w:rsid w:val="00D037C5"/>
    <w:rsid w:val="00D03B9F"/>
    <w:rsid w:val="00D04354"/>
    <w:rsid w:val="00D04594"/>
    <w:rsid w:val="00D0474D"/>
    <w:rsid w:val="00D04EAC"/>
    <w:rsid w:val="00D05608"/>
    <w:rsid w:val="00D05E7C"/>
    <w:rsid w:val="00D05EDA"/>
    <w:rsid w:val="00D05F65"/>
    <w:rsid w:val="00D0609F"/>
    <w:rsid w:val="00D06A47"/>
    <w:rsid w:val="00D06B6C"/>
    <w:rsid w:val="00D0703D"/>
    <w:rsid w:val="00D075E7"/>
    <w:rsid w:val="00D07794"/>
    <w:rsid w:val="00D07B04"/>
    <w:rsid w:val="00D07EF6"/>
    <w:rsid w:val="00D102D1"/>
    <w:rsid w:val="00D10312"/>
    <w:rsid w:val="00D107D3"/>
    <w:rsid w:val="00D10AFB"/>
    <w:rsid w:val="00D10B6F"/>
    <w:rsid w:val="00D11C56"/>
    <w:rsid w:val="00D12C19"/>
    <w:rsid w:val="00D12EA7"/>
    <w:rsid w:val="00D12F06"/>
    <w:rsid w:val="00D130E3"/>
    <w:rsid w:val="00D13588"/>
    <w:rsid w:val="00D13C85"/>
    <w:rsid w:val="00D13F3D"/>
    <w:rsid w:val="00D14FEE"/>
    <w:rsid w:val="00D164B2"/>
    <w:rsid w:val="00D1655A"/>
    <w:rsid w:val="00D168F4"/>
    <w:rsid w:val="00D16D35"/>
    <w:rsid w:val="00D16F54"/>
    <w:rsid w:val="00D170E0"/>
    <w:rsid w:val="00D172BA"/>
    <w:rsid w:val="00D179CB"/>
    <w:rsid w:val="00D17B7D"/>
    <w:rsid w:val="00D17DFF"/>
    <w:rsid w:val="00D20AA3"/>
    <w:rsid w:val="00D20BB4"/>
    <w:rsid w:val="00D20C8A"/>
    <w:rsid w:val="00D216BE"/>
    <w:rsid w:val="00D21E02"/>
    <w:rsid w:val="00D226BB"/>
    <w:rsid w:val="00D227ED"/>
    <w:rsid w:val="00D22A26"/>
    <w:rsid w:val="00D22EFE"/>
    <w:rsid w:val="00D2382D"/>
    <w:rsid w:val="00D24427"/>
    <w:rsid w:val="00D24C72"/>
    <w:rsid w:val="00D26235"/>
    <w:rsid w:val="00D26C68"/>
    <w:rsid w:val="00D26D82"/>
    <w:rsid w:val="00D26DF9"/>
    <w:rsid w:val="00D27058"/>
    <w:rsid w:val="00D277B0"/>
    <w:rsid w:val="00D27C49"/>
    <w:rsid w:val="00D27C95"/>
    <w:rsid w:val="00D30377"/>
    <w:rsid w:val="00D30889"/>
    <w:rsid w:val="00D3092A"/>
    <w:rsid w:val="00D31088"/>
    <w:rsid w:val="00D316DF"/>
    <w:rsid w:val="00D31B32"/>
    <w:rsid w:val="00D32286"/>
    <w:rsid w:val="00D325CF"/>
    <w:rsid w:val="00D32880"/>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1DC8"/>
    <w:rsid w:val="00D420A9"/>
    <w:rsid w:val="00D42598"/>
    <w:rsid w:val="00D42B3B"/>
    <w:rsid w:val="00D42EE0"/>
    <w:rsid w:val="00D43A80"/>
    <w:rsid w:val="00D43F20"/>
    <w:rsid w:val="00D43F30"/>
    <w:rsid w:val="00D446FF"/>
    <w:rsid w:val="00D449D0"/>
    <w:rsid w:val="00D4503C"/>
    <w:rsid w:val="00D454F9"/>
    <w:rsid w:val="00D45870"/>
    <w:rsid w:val="00D45C2A"/>
    <w:rsid w:val="00D45CC4"/>
    <w:rsid w:val="00D4608E"/>
    <w:rsid w:val="00D46BD4"/>
    <w:rsid w:val="00D46BF9"/>
    <w:rsid w:val="00D46DB3"/>
    <w:rsid w:val="00D46E2B"/>
    <w:rsid w:val="00D470DD"/>
    <w:rsid w:val="00D47944"/>
    <w:rsid w:val="00D50580"/>
    <w:rsid w:val="00D50827"/>
    <w:rsid w:val="00D509D9"/>
    <w:rsid w:val="00D510FE"/>
    <w:rsid w:val="00D5127E"/>
    <w:rsid w:val="00D5186D"/>
    <w:rsid w:val="00D522A0"/>
    <w:rsid w:val="00D5243F"/>
    <w:rsid w:val="00D525B8"/>
    <w:rsid w:val="00D5340C"/>
    <w:rsid w:val="00D53AB2"/>
    <w:rsid w:val="00D53D7E"/>
    <w:rsid w:val="00D54091"/>
    <w:rsid w:val="00D54841"/>
    <w:rsid w:val="00D54B9A"/>
    <w:rsid w:val="00D54C0B"/>
    <w:rsid w:val="00D54F43"/>
    <w:rsid w:val="00D5523A"/>
    <w:rsid w:val="00D5534C"/>
    <w:rsid w:val="00D555DB"/>
    <w:rsid w:val="00D5570A"/>
    <w:rsid w:val="00D55FF9"/>
    <w:rsid w:val="00D560F1"/>
    <w:rsid w:val="00D561C9"/>
    <w:rsid w:val="00D56759"/>
    <w:rsid w:val="00D56A6A"/>
    <w:rsid w:val="00D5749B"/>
    <w:rsid w:val="00D574AF"/>
    <w:rsid w:val="00D6008F"/>
    <w:rsid w:val="00D604E1"/>
    <w:rsid w:val="00D60B60"/>
    <w:rsid w:val="00D60BCE"/>
    <w:rsid w:val="00D611F8"/>
    <w:rsid w:val="00D614A0"/>
    <w:rsid w:val="00D61B08"/>
    <w:rsid w:val="00D62B27"/>
    <w:rsid w:val="00D62B70"/>
    <w:rsid w:val="00D62CE1"/>
    <w:rsid w:val="00D62D0A"/>
    <w:rsid w:val="00D62F29"/>
    <w:rsid w:val="00D63412"/>
    <w:rsid w:val="00D6389C"/>
    <w:rsid w:val="00D63B33"/>
    <w:rsid w:val="00D63CDD"/>
    <w:rsid w:val="00D6439C"/>
    <w:rsid w:val="00D64AAF"/>
    <w:rsid w:val="00D661FD"/>
    <w:rsid w:val="00D665D3"/>
    <w:rsid w:val="00D66CBB"/>
    <w:rsid w:val="00D674E1"/>
    <w:rsid w:val="00D67550"/>
    <w:rsid w:val="00D7139E"/>
    <w:rsid w:val="00D7197B"/>
    <w:rsid w:val="00D71CCA"/>
    <w:rsid w:val="00D7232B"/>
    <w:rsid w:val="00D724D3"/>
    <w:rsid w:val="00D731E5"/>
    <w:rsid w:val="00D736B6"/>
    <w:rsid w:val="00D73B5B"/>
    <w:rsid w:val="00D73E68"/>
    <w:rsid w:val="00D74EA5"/>
    <w:rsid w:val="00D74F17"/>
    <w:rsid w:val="00D75333"/>
    <w:rsid w:val="00D755C2"/>
    <w:rsid w:val="00D757AC"/>
    <w:rsid w:val="00D759D5"/>
    <w:rsid w:val="00D764D4"/>
    <w:rsid w:val="00D76532"/>
    <w:rsid w:val="00D765D5"/>
    <w:rsid w:val="00D76791"/>
    <w:rsid w:val="00D76B50"/>
    <w:rsid w:val="00D76B54"/>
    <w:rsid w:val="00D76D46"/>
    <w:rsid w:val="00D77071"/>
    <w:rsid w:val="00D7731F"/>
    <w:rsid w:val="00D7761A"/>
    <w:rsid w:val="00D77771"/>
    <w:rsid w:val="00D77A8B"/>
    <w:rsid w:val="00D77BA1"/>
    <w:rsid w:val="00D77F89"/>
    <w:rsid w:val="00D8051A"/>
    <w:rsid w:val="00D80BBD"/>
    <w:rsid w:val="00D80DC5"/>
    <w:rsid w:val="00D80EDD"/>
    <w:rsid w:val="00D80FF8"/>
    <w:rsid w:val="00D81708"/>
    <w:rsid w:val="00D81C01"/>
    <w:rsid w:val="00D81D48"/>
    <w:rsid w:val="00D81E13"/>
    <w:rsid w:val="00D82064"/>
    <w:rsid w:val="00D8343F"/>
    <w:rsid w:val="00D844B7"/>
    <w:rsid w:val="00D845E7"/>
    <w:rsid w:val="00D849B9"/>
    <w:rsid w:val="00D84A1B"/>
    <w:rsid w:val="00D84B95"/>
    <w:rsid w:val="00D84CF4"/>
    <w:rsid w:val="00D853FA"/>
    <w:rsid w:val="00D8566E"/>
    <w:rsid w:val="00D860B8"/>
    <w:rsid w:val="00D864F0"/>
    <w:rsid w:val="00D867AB"/>
    <w:rsid w:val="00D86B96"/>
    <w:rsid w:val="00D86F5F"/>
    <w:rsid w:val="00D8731E"/>
    <w:rsid w:val="00D878B3"/>
    <w:rsid w:val="00D87F9F"/>
    <w:rsid w:val="00D900E5"/>
    <w:rsid w:val="00D909B2"/>
    <w:rsid w:val="00D90C29"/>
    <w:rsid w:val="00D90DB1"/>
    <w:rsid w:val="00D914E7"/>
    <w:rsid w:val="00D91B93"/>
    <w:rsid w:val="00D91CFE"/>
    <w:rsid w:val="00D92340"/>
    <w:rsid w:val="00D9257D"/>
    <w:rsid w:val="00D92A9C"/>
    <w:rsid w:val="00D93626"/>
    <w:rsid w:val="00D93A24"/>
    <w:rsid w:val="00D94574"/>
    <w:rsid w:val="00D946DB"/>
    <w:rsid w:val="00D94805"/>
    <w:rsid w:val="00D94C4D"/>
    <w:rsid w:val="00D95160"/>
    <w:rsid w:val="00D95240"/>
    <w:rsid w:val="00D956BC"/>
    <w:rsid w:val="00D96282"/>
    <w:rsid w:val="00D96781"/>
    <w:rsid w:val="00D96FA2"/>
    <w:rsid w:val="00D97874"/>
    <w:rsid w:val="00D979AE"/>
    <w:rsid w:val="00DA01A3"/>
    <w:rsid w:val="00DA0B11"/>
    <w:rsid w:val="00DA1229"/>
    <w:rsid w:val="00DA1724"/>
    <w:rsid w:val="00DA1B84"/>
    <w:rsid w:val="00DA2445"/>
    <w:rsid w:val="00DA254C"/>
    <w:rsid w:val="00DA2E7A"/>
    <w:rsid w:val="00DA3127"/>
    <w:rsid w:val="00DA3860"/>
    <w:rsid w:val="00DA393F"/>
    <w:rsid w:val="00DA3DE7"/>
    <w:rsid w:val="00DA41BE"/>
    <w:rsid w:val="00DA42B9"/>
    <w:rsid w:val="00DA4B71"/>
    <w:rsid w:val="00DA52EE"/>
    <w:rsid w:val="00DA5E70"/>
    <w:rsid w:val="00DA6252"/>
    <w:rsid w:val="00DA6F41"/>
    <w:rsid w:val="00DA72A8"/>
    <w:rsid w:val="00DA7763"/>
    <w:rsid w:val="00DA786B"/>
    <w:rsid w:val="00DA7939"/>
    <w:rsid w:val="00DB0065"/>
    <w:rsid w:val="00DB04D7"/>
    <w:rsid w:val="00DB09D3"/>
    <w:rsid w:val="00DB158F"/>
    <w:rsid w:val="00DB1858"/>
    <w:rsid w:val="00DB1A2F"/>
    <w:rsid w:val="00DB1F1F"/>
    <w:rsid w:val="00DB1F80"/>
    <w:rsid w:val="00DB2405"/>
    <w:rsid w:val="00DB25FF"/>
    <w:rsid w:val="00DB27DF"/>
    <w:rsid w:val="00DB2B9F"/>
    <w:rsid w:val="00DB2EEF"/>
    <w:rsid w:val="00DB34D5"/>
    <w:rsid w:val="00DB3659"/>
    <w:rsid w:val="00DB3A2F"/>
    <w:rsid w:val="00DB48A2"/>
    <w:rsid w:val="00DB4EB2"/>
    <w:rsid w:val="00DB4FA3"/>
    <w:rsid w:val="00DB5745"/>
    <w:rsid w:val="00DB594F"/>
    <w:rsid w:val="00DB5A79"/>
    <w:rsid w:val="00DB5AFA"/>
    <w:rsid w:val="00DB6067"/>
    <w:rsid w:val="00DB63DB"/>
    <w:rsid w:val="00DB6CFD"/>
    <w:rsid w:val="00DB6D3C"/>
    <w:rsid w:val="00DB75EB"/>
    <w:rsid w:val="00DB7784"/>
    <w:rsid w:val="00DC0228"/>
    <w:rsid w:val="00DC06C1"/>
    <w:rsid w:val="00DC08EF"/>
    <w:rsid w:val="00DC095E"/>
    <w:rsid w:val="00DC0F6B"/>
    <w:rsid w:val="00DC0FD3"/>
    <w:rsid w:val="00DC1307"/>
    <w:rsid w:val="00DC190C"/>
    <w:rsid w:val="00DC1912"/>
    <w:rsid w:val="00DC1ADD"/>
    <w:rsid w:val="00DC20A5"/>
    <w:rsid w:val="00DC21CA"/>
    <w:rsid w:val="00DC3B6F"/>
    <w:rsid w:val="00DC3C20"/>
    <w:rsid w:val="00DC4138"/>
    <w:rsid w:val="00DC43BD"/>
    <w:rsid w:val="00DC4AC6"/>
    <w:rsid w:val="00DC4BC1"/>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1CF0"/>
    <w:rsid w:val="00DD1E33"/>
    <w:rsid w:val="00DD2727"/>
    <w:rsid w:val="00DD27BB"/>
    <w:rsid w:val="00DD2BE3"/>
    <w:rsid w:val="00DD2E0A"/>
    <w:rsid w:val="00DD2FCF"/>
    <w:rsid w:val="00DD305D"/>
    <w:rsid w:val="00DD326E"/>
    <w:rsid w:val="00DD34E2"/>
    <w:rsid w:val="00DD388D"/>
    <w:rsid w:val="00DD3BAE"/>
    <w:rsid w:val="00DD3DA6"/>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DD3"/>
    <w:rsid w:val="00DE7A3E"/>
    <w:rsid w:val="00DE7E3E"/>
    <w:rsid w:val="00DF0A04"/>
    <w:rsid w:val="00DF1446"/>
    <w:rsid w:val="00DF1452"/>
    <w:rsid w:val="00DF182C"/>
    <w:rsid w:val="00DF1A63"/>
    <w:rsid w:val="00DF1F5F"/>
    <w:rsid w:val="00DF2235"/>
    <w:rsid w:val="00DF2701"/>
    <w:rsid w:val="00DF38D7"/>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BE4"/>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9DD"/>
    <w:rsid w:val="00E03A75"/>
    <w:rsid w:val="00E03BCB"/>
    <w:rsid w:val="00E03F86"/>
    <w:rsid w:val="00E0403D"/>
    <w:rsid w:val="00E0471A"/>
    <w:rsid w:val="00E04A18"/>
    <w:rsid w:val="00E04BF8"/>
    <w:rsid w:val="00E04E81"/>
    <w:rsid w:val="00E04F2B"/>
    <w:rsid w:val="00E05300"/>
    <w:rsid w:val="00E055D8"/>
    <w:rsid w:val="00E05C66"/>
    <w:rsid w:val="00E05D7E"/>
    <w:rsid w:val="00E05E8F"/>
    <w:rsid w:val="00E05ED6"/>
    <w:rsid w:val="00E05F82"/>
    <w:rsid w:val="00E05FA2"/>
    <w:rsid w:val="00E06677"/>
    <w:rsid w:val="00E066FE"/>
    <w:rsid w:val="00E06B9E"/>
    <w:rsid w:val="00E07412"/>
    <w:rsid w:val="00E0762A"/>
    <w:rsid w:val="00E07760"/>
    <w:rsid w:val="00E0793A"/>
    <w:rsid w:val="00E07F21"/>
    <w:rsid w:val="00E1045F"/>
    <w:rsid w:val="00E10502"/>
    <w:rsid w:val="00E1059F"/>
    <w:rsid w:val="00E10798"/>
    <w:rsid w:val="00E10A23"/>
    <w:rsid w:val="00E10D0B"/>
    <w:rsid w:val="00E10FFC"/>
    <w:rsid w:val="00E11280"/>
    <w:rsid w:val="00E11420"/>
    <w:rsid w:val="00E1183B"/>
    <w:rsid w:val="00E11AC0"/>
    <w:rsid w:val="00E11D2B"/>
    <w:rsid w:val="00E12309"/>
    <w:rsid w:val="00E128CE"/>
    <w:rsid w:val="00E12AB2"/>
    <w:rsid w:val="00E12E1B"/>
    <w:rsid w:val="00E130C3"/>
    <w:rsid w:val="00E1344D"/>
    <w:rsid w:val="00E136D2"/>
    <w:rsid w:val="00E13776"/>
    <w:rsid w:val="00E14713"/>
    <w:rsid w:val="00E15AF4"/>
    <w:rsid w:val="00E16138"/>
    <w:rsid w:val="00E169D3"/>
    <w:rsid w:val="00E17F4D"/>
    <w:rsid w:val="00E2019A"/>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552"/>
    <w:rsid w:val="00E25749"/>
    <w:rsid w:val="00E25963"/>
    <w:rsid w:val="00E25EC8"/>
    <w:rsid w:val="00E26059"/>
    <w:rsid w:val="00E269AA"/>
    <w:rsid w:val="00E26C16"/>
    <w:rsid w:val="00E2724B"/>
    <w:rsid w:val="00E27EE4"/>
    <w:rsid w:val="00E3035D"/>
    <w:rsid w:val="00E30607"/>
    <w:rsid w:val="00E30851"/>
    <w:rsid w:val="00E30BF0"/>
    <w:rsid w:val="00E314FD"/>
    <w:rsid w:val="00E31787"/>
    <w:rsid w:val="00E31BCD"/>
    <w:rsid w:val="00E31C73"/>
    <w:rsid w:val="00E31ED6"/>
    <w:rsid w:val="00E3262D"/>
    <w:rsid w:val="00E327DD"/>
    <w:rsid w:val="00E332FC"/>
    <w:rsid w:val="00E3375B"/>
    <w:rsid w:val="00E33CCB"/>
    <w:rsid w:val="00E34669"/>
    <w:rsid w:val="00E3524F"/>
    <w:rsid w:val="00E35C45"/>
    <w:rsid w:val="00E35C9D"/>
    <w:rsid w:val="00E35DF7"/>
    <w:rsid w:val="00E36C52"/>
    <w:rsid w:val="00E36E75"/>
    <w:rsid w:val="00E3720A"/>
    <w:rsid w:val="00E3739B"/>
    <w:rsid w:val="00E373CA"/>
    <w:rsid w:val="00E376BD"/>
    <w:rsid w:val="00E37C2D"/>
    <w:rsid w:val="00E37DD8"/>
    <w:rsid w:val="00E37E68"/>
    <w:rsid w:val="00E400BA"/>
    <w:rsid w:val="00E40475"/>
    <w:rsid w:val="00E407F2"/>
    <w:rsid w:val="00E40D1A"/>
    <w:rsid w:val="00E40F6A"/>
    <w:rsid w:val="00E40FCF"/>
    <w:rsid w:val="00E41709"/>
    <w:rsid w:val="00E42121"/>
    <w:rsid w:val="00E42294"/>
    <w:rsid w:val="00E42513"/>
    <w:rsid w:val="00E426E9"/>
    <w:rsid w:val="00E42E06"/>
    <w:rsid w:val="00E43012"/>
    <w:rsid w:val="00E436F1"/>
    <w:rsid w:val="00E43A4C"/>
    <w:rsid w:val="00E43F4D"/>
    <w:rsid w:val="00E44110"/>
    <w:rsid w:val="00E44623"/>
    <w:rsid w:val="00E448FE"/>
    <w:rsid w:val="00E44CA0"/>
    <w:rsid w:val="00E44EFD"/>
    <w:rsid w:val="00E44FEB"/>
    <w:rsid w:val="00E452B0"/>
    <w:rsid w:val="00E45368"/>
    <w:rsid w:val="00E4586E"/>
    <w:rsid w:val="00E45D71"/>
    <w:rsid w:val="00E45E97"/>
    <w:rsid w:val="00E45FA0"/>
    <w:rsid w:val="00E4641C"/>
    <w:rsid w:val="00E465C1"/>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2D6"/>
    <w:rsid w:val="00E5433A"/>
    <w:rsid w:val="00E544FE"/>
    <w:rsid w:val="00E54680"/>
    <w:rsid w:val="00E549B3"/>
    <w:rsid w:val="00E549B4"/>
    <w:rsid w:val="00E549F0"/>
    <w:rsid w:val="00E54E00"/>
    <w:rsid w:val="00E550D8"/>
    <w:rsid w:val="00E55606"/>
    <w:rsid w:val="00E5564C"/>
    <w:rsid w:val="00E55910"/>
    <w:rsid w:val="00E55E4F"/>
    <w:rsid w:val="00E567AE"/>
    <w:rsid w:val="00E56C23"/>
    <w:rsid w:val="00E56DD3"/>
    <w:rsid w:val="00E57656"/>
    <w:rsid w:val="00E5782D"/>
    <w:rsid w:val="00E60A38"/>
    <w:rsid w:val="00E60FDD"/>
    <w:rsid w:val="00E6103B"/>
    <w:rsid w:val="00E610A6"/>
    <w:rsid w:val="00E61E00"/>
    <w:rsid w:val="00E61F0D"/>
    <w:rsid w:val="00E625BC"/>
    <w:rsid w:val="00E628A5"/>
    <w:rsid w:val="00E631E2"/>
    <w:rsid w:val="00E63374"/>
    <w:rsid w:val="00E63D36"/>
    <w:rsid w:val="00E640C9"/>
    <w:rsid w:val="00E642FC"/>
    <w:rsid w:val="00E64B36"/>
    <w:rsid w:val="00E64F16"/>
    <w:rsid w:val="00E65CDE"/>
    <w:rsid w:val="00E65F97"/>
    <w:rsid w:val="00E65FBB"/>
    <w:rsid w:val="00E6606F"/>
    <w:rsid w:val="00E6677D"/>
    <w:rsid w:val="00E66A48"/>
    <w:rsid w:val="00E67811"/>
    <w:rsid w:val="00E6798D"/>
    <w:rsid w:val="00E67D4D"/>
    <w:rsid w:val="00E70345"/>
    <w:rsid w:val="00E704BB"/>
    <w:rsid w:val="00E708A6"/>
    <w:rsid w:val="00E70BB2"/>
    <w:rsid w:val="00E7191F"/>
    <w:rsid w:val="00E71DAD"/>
    <w:rsid w:val="00E71E15"/>
    <w:rsid w:val="00E72050"/>
    <w:rsid w:val="00E7216F"/>
    <w:rsid w:val="00E72287"/>
    <w:rsid w:val="00E723C3"/>
    <w:rsid w:val="00E72758"/>
    <w:rsid w:val="00E7352A"/>
    <w:rsid w:val="00E739FC"/>
    <w:rsid w:val="00E73E86"/>
    <w:rsid w:val="00E7430E"/>
    <w:rsid w:val="00E74792"/>
    <w:rsid w:val="00E7494B"/>
    <w:rsid w:val="00E74A69"/>
    <w:rsid w:val="00E74AC8"/>
    <w:rsid w:val="00E74F6F"/>
    <w:rsid w:val="00E751ED"/>
    <w:rsid w:val="00E75A35"/>
    <w:rsid w:val="00E761BF"/>
    <w:rsid w:val="00E76296"/>
    <w:rsid w:val="00E77345"/>
    <w:rsid w:val="00E774F2"/>
    <w:rsid w:val="00E77ACD"/>
    <w:rsid w:val="00E77F21"/>
    <w:rsid w:val="00E80A6F"/>
    <w:rsid w:val="00E81227"/>
    <w:rsid w:val="00E8185C"/>
    <w:rsid w:val="00E82328"/>
    <w:rsid w:val="00E8265A"/>
    <w:rsid w:val="00E826BE"/>
    <w:rsid w:val="00E828E2"/>
    <w:rsid w:val="00E83118"/>
    <w:rsid w:val="00E8313E"/>
    <w:rsid w:val="00E833DE"/>
    <w:rsid w:val="00E83783"/>
    <w:rsid w:val="00E8386A"/>
    <w:rsid w:val="00E8423B"/>
    <w:rsid w:val="00E845C0"/>
    <w:rsid w:val="00E85976"/>
    <w:rsid w:val="00E85C09"/>
    <w:rsid w:val="00E85D6F"/>
    <w:rsid w:val="00E85EC0"/>
    <w:rsid w:val="00E85F52"/>
    <w:rsid w:val="00E85F69"/>
    <w:rsid w:val="00E861EB"/>
    <w:rsid w:val="00E86448"/>
    <w:rsid w:val="00E86673"/>
    <w:rsid w:val="00E86818"/>
    <w:rsid w:val="00E86B8B"/>
    <w:rsid w:val="00E86D43"/>
    <w:rsid w:val="00E86FA6"/>
    <w:rsid w:val="00E87A0A"/>
    <w:rsid w:val="00E87D33"/>
    <w:rsid w:val="00E90205"/>
    <w:rsid w:val="00E904C0"/>
    <w:rsid w:val="00E906AF"/>
    <w:rsid w:val="00E9070D"/>
    <w:rsid w:val="00E918E7"/>
    <w:rsid w:val="00E91B49"/>
    <w:rsid w:val="00E91EC4"/>
    <w:rsid w:val="00E9231A"/>
    <w:rsid w:val="00E924C2"/>
    <w:rsid w:val="00E92D95"/>
    <w:rsid w:val="00E935F1"/>
    <w:rsid w:val="00E93902"/>
    <w:rsid w:val="00E93F0E"/>
    <w:rsid w:val="00E94A58"/>
    <w:rsid w:val="00E94CA6"/>
    <w:rsid w:val="00E95174"/>
    <w:rsid w:val="00E95607"/>
    <w:rsid w:val="00E95697"/>
    <w:rsid w:val="00E95A2A"/>
    <w:rsid w:val="00E95E91"/>
    <w:rsid w:val="00E95EA1"/>
    <w:rsid w:val="00E9649C"/>
    <w:rsid w:val="00E96B2F"/>
    <w:rsid w:val="00E97397"/>
    <w:rsid w:val="00E9796A"/>
    <w:rsid w:val="00E97FAB"/>
    <w:rsid w:val="00EA044A"/>
    <w:rsid w:val="00EA04CE"/>
    <w:rsid w:val="00EA05E9"/>
    <w:rsid w:val="00EA0A0B"/>
    <w:rsid w:val="00EA0B43"/>
    <w:rsid w:val="00EA180F"/>
    <w:rsid w:val="00EA1CB4"/>
    <w:rsid w:val="00EA1CCA"/>
    <w:rsid w:val="00EA1DC0"/>
    <w:rsid w:val="00EA1E4C"/>
    <w:rsid w:val="00EA25B5"/>
    <w:rsid w:val="00EA263E"/>
    <w:rsid w:val="00EA2E40"/>
    <w:rsid w:val="00EA2F2D"/>
    <w:rsid w:val="00EA33B5"/>
    <w:rsid w:val="00EA3CD2"/>
    <w:rsid w:val="00EA3E47"/>
    <w:rsid w:val="00EA3E52"/>
    <w:rsid w:val="00EA3E86"/>
    <w:rsid w:val="00EA4263"/>
    <w:rsid w:val="00EA44EA"/>
    <w:rsid w:val="00EA490D"/>
    <w:rsid w:val="00EA4FE2"/>
    <w:rsid w:val="00EA5266"/>
    <w:rsid w:val="00EA5B8F"/>
    <w:rsid w:val="00EA6977"/>
    <w:rsid w:val="00EA6FA8"/>
    <w:rsid w:val="00EA7037"/>
    <w:rsid w:val="00EA7094"/>
    <w:rsid w:val="00EA7A0C"/>
    <w:rsid w:val="00EA7AA4"/>
    <w:rsid w:val="00EA7BF2"/>
    <w:rsid w:val="00EA7FD3"/>
    <w:rsid w:val="00EB03B4"/>
    <w:rsid w:val="00EB0CFD"/>
    <w:rsid w:val="00EB0D14"/>
    <w:rsid w:val="00EB0EFE"/>
    <w:rsid w:val="00EB140F"/>
    <w:rsid w:val="00EB1948"/>
    <w:rsid w:val="00EB1A7F"/>
    <w:rsid w:val="00EB1BD7"/>
    <w:rsid w:val="00EB2566"/>
    <w:rsid w:val="00EB2BF4"/>
    <w:rsid w:val="00EB3453"/>
    <w:rsid w:val="00EB3777"/>
    <w:rsid w:val="00EB37BB"/>
    <w:rsid w:val="00EB38B9"/>
    <w:rsid w:val="00EB3988"/>
    <w:rsid w:val="00EB436C"/>
    <w:rsid w:val="00EB4630"/>
    <w:rsid w:val="00EB51B4"/>
    <w:rsid w:val="00EB5287"/>
    <w:rsid w:val="00EB592F"/>
    <w:rsid w:val="00EB5998"/>
    <w:rsid w:val="00EB5A3F"/>
    <w:rsid w:val="00EB6043"/>
    <w:rsid w:val="00EB6076"/>
    <w:rsid w:val="00EB6423"/>
    <w:rsid w:val="00EB6685"/>
    <w:rsid w:val="00EB71CC"/>
    <w:rsid w:val="00EB73D2"/>
    <w:rsid w:val="00EB765C"/>
    <w:rsid w:val="00EB773B"/>
    <w:rsid w:val="00EB7CDD"/>
    <w:rsid w:val="00EC0108"/>
    <w:rsid w:val="00EC12DC"/>
    <w:rsid w:val="00EC186C"/>
    <w:rsid w:val="00EC1905"/>
    <w:rsid w:val="00EC2399"/>
    <w:rsid w:val="00EC2878"/>
    <w:rsid w:val="00EC306F"/>
    <w:rsid w:val="00EC3088"/>
    <w:rsid w:val="00EC34BD"/>
    <w:rsid w:val="00EC354D"/>
    <w:rsid w:val="00EC37CE"/>
    <w:rsid w:val="00EC3BA1"/>
    <w:rsid w:val="00EC4378"/>
    <w:rsid w:val="00EC445F"/>
    <w:rsid w:val="00EC4A82"/>
    <w:rsid w:val="00EC5523"/>
    <w:rsid w:val="00EC5862"/>
    <w:rsid w:val="00EC60CC"/>
    <w:rsid w:val="00EC60D3"/>
    <w:rsid w:val="00EC61E4"/>
    <w:rsid w:val="00EC77F9"/>
    <w:rsid w:val="00ED0217"/>
    <w:rsid w:val="00ED0A76"/>
    <w:rsid w:val="00ED0EDB"/>
    <w:rsid w:val="00ED10B6"/>
    <w:rsid w:val="00ED12ED"/>
    <w:rsid w:val="00ED2312"/>
    <w:rsid w:val="00ED27AD"/>
    <w:rsid w:val="00ED2EB5"/>
    <w:rsid w:val="00ED3396"/>
    <w:rsid w:val="00ED34B4"/>
    <w:rsid w:val="00ED3C4A"/>
    <w:rsid w:val="00ED42AB"/>
    <w:rsid w:val="00ED4797"/>
    <w:rsid w:val="00ED5658"/>
    <w:rsid w:val="00ED5FE9"/>
    <w:rsid w:val="00ED60BB"/>
    <w:rsid w:val="00ED6145"/>
    <w:rsid w:val="00ED62B3"/>
    <w:rsid w:val="00ED6514"/>
    <w:rsid w:val="00ED6E77"/>
    <w:rsid w:val="00ED7316"/>
    <w:rsid w:val="00ED7EFF"/>
    <w:rsid w:val="00EE0D05"/>
    <w:rsid w:val="00EE11B5"/>
    <w:rsid w:val="00EE12B8"/>
    <w:rsid w:val="00EE1AE2"/>
    <w:rsid w:val="00EE21B4"/>
    <w:rsid w:val="00EE323B"/>
    <w:rsid w:val="00EE363C"/>
    <w:rsid w:val="00EE374F"/>
    <w:rsid w:val="00EE414A"/>
    <w:rsid w:val="00EE5096"/>
    <w:rsid w:val="00EE5BBE"/>
    <w:rsid w:val="00EE61C4"/>
    <w:rsid w:val="00EE69A6"/>
    <w:rsid w:val="00EE7265"/>
    <w:rsid w:val="00EE78B9"/>
    <w:rsid w:val="00EE7922"/>
    <w:rsid w:val="00EE7C6E"/>
    <w:rsid w:val="00EE7E25"/>
    <w:rsid w:val="00EF0211"/>
    <w:rsid w:val="00EF02B4"/>
    <w:rsid w:val="00EF0941"/>
    <w:rsid w:val="00EF0D9F"/>
    <w:rsid w:val="00EF1552"/>
    <w:rsid w:val="00EF16CE"/>
    <w:rsid w:val="00EF1C2F"/>
    <w:rsid w:val="00EF1D15"/>
    <w:rsid w:val="00EF2049"/>
    <w:rsid w:val="00EF2299"/>
    <w:rsid w:val="00EF2A43"/>
    <w:rsid w:val="00EF2E86"/>
    <w:rsid w:val="00EF2EAF"/>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6994"/>
    <w:rsid w:val="00EF7096"/>
    <w:rsid w:val="00EF73E0"/>
    <w:rsid w:val="00EF7C02"/>
    <w:rsid w:val="00F00387"/>
    <w:rsid w:val="00F00A3A"/>
    <w:rsid w:val="00F01507"/>
    <w:rsid w:val="00F0199C"/>
    <w:rsid w:val="00F01B29"/>
    <w:rsid w:val="00F01F8D"/>
    <w:rsid w:val="00F01FA3"/>
    <w:rsid w:val="00F02146"/>
    <w:rsid w:val="00F0247B"/>
    <w:rsid w:val="00F02566"/>
    <w:rsid w:val="00F026F2"/>
    <w:rsid w:val="00F036BB"/>
    <w:rsid w:val="00F039EA"/>
    <w:rsid w:val="00F03A89"/>
    <w:rsid w:val="00F03ADE"/>
    <w:rsid w:val="00F03E94"/>
    <w:rsid w:val="00F03F19"/>
    <w:rsid w:val="00F041B1"/>
    <w:rsid w:val="00F04279"/>
    <w:rsid w:val="00F048DA"/>
    <w:rsid w:val="00F04B11"/>
    <w:rsid w:val="00F04F6E"/>
    <w:rsid w:val="00F052F9"/>
    <w:rsid w:val="00F053F6"/>
    <w:rsid w:val="00F0574E"/>
    <w:rsid w:val="00F0579E"/>
    <w:rsid w:val="00F064D2"/>
    <w:rsid w:val="00F067A0"/>
    <w:rsid w:val="00F06C39"/>
    <w:rsid w:val="00F07521"/>
    <w:rsid w:val="00F076B1"/>
    <w:rsid w:val="00F07A5F"/>
    <w:rsid w:val="00F07AFB"/>
    <w:rsid w:val="00F07CAF"/>
    <w:rsid w:val="00F07DF7"/>
    <w:rsid w:val="00F10894"/>
    <w:rsid w:val="00F10D8C"/>
    <w:rsid w:val="00F11224"/>
    <w:rsid w:val="00F116CE"/>
    <w:rsid w:val="00F11C2B"/>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4D1"/>
    <w:rsid w:val="00F17636"/>
    <w:rsid w:val="00F1764F"/>
    <w:rsid w:val="00F2037F"/>
    <w:rsid w:val="00F20939"/>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4A2"/>
    <w:rsid w:val="00F259A5"/>
    <w:rsid w:val="00F260BD"/>
    <w:rsid w:val="00F26329"/>
    <w:rsid w:val="00F263EF"/>
    <w:rsid w:val="00F265C7"/>
    <w:rsid w:val="00F267D7"/>
    <w:rsid w:val="00F26B3C"/>
    <w:rsid w:val="00F273A9"/>
    <w:rsid w:val="00F27751"/>
    <w:rsid w:val="00F27B49"/>
    <w:rsid w:val="00F27BF8"/>
    <w:rsid w:val="00F27D9B"/>
    <w:rsid w:val="00F27E85"/>
    <w:rsid w:val="00F27EA3"/>
    <w:rsid w:val="00F301ED"/>
    <w:rsid w:val="00F3042B"/>
    <w:rsid w:val="00F30767"/>
    <w:rsid w:val="00F30786"/>
    <w:rsid w:val="00F30CB8"/>
    <w:rsid w:val="00F30F8D"/>
    <w:rsid w:val="00F310AA"/>
    <w:rsid w:val="00F31565"/>
    <w:rsid w:val="00F315FD"/>
    <w:rsid w:val="00F317EE"/>
    <w:rsid w:val="00F3262E"/>
    <w:rsid w:val="00F326D2"/>
    <w:rsid w:val="00F329FF"/>
    <w:rsid w:val="00F32CFB"/>
    <w:rsid w:val="00F32EBB"/>
    <w:rsid w:val="00F33A9E"/>
    <w:rsid w:val="00F33D04"/>
    <w:rsid w:val="00F34537"/>
    <w:rsid w:val="00F34EEC"/>
    <w:rsid w:val="00F35185"/>
    <w:rsid w:val="00F36396"/>
    <w:rsid w:val="00F366E9"/>
    <w:rsid w:val="00F36A43"/>
    <w:rsid w:val="00F36E24"/>
    <w:rsid w:val="00F371E0"/>
    <w:rsid w:val="00F3784A"/>
    <w:rsid w:val="00F37994"/>
    <w:rsid w:val="00F402EC"/>
    <w:rsid w:val="00F403CE"/>
    <w:rsid w:val="00F4097A"/>
    <w:rsid w:val="00F40E9D"/>
    <w:rsid w:val="00F41370"/>
    <w:rsid w:val="00F415BC"/>
    <w:rsid w:val="00F41707"/>
    <w:rsid w:val="00F41BCC"/>
    <w:rsid w:val="00F41E93"/>
    <w:rsid w:val="00F42484"/>
    <w:rsid w:val="00F4276F"/>
    <w:rsid w:val="00F42AFB"/>
    <w:rsid w:val="00F43A7E"/>
    <w:rsid w:val="00F43D4E"/>
    <w:rsid w:val="00F43E01"/>
    <w:rsid w:val="00F43F42"/>
    <w:rsid w:val="00F44903"/>
    <w:rsid w:val="00F44A88"/>
    <w:rsid w:val="00F4520B"/>
    <w:rsid w:val="00F455E3"/>
    <w:rsid w:val="00F45775"/>
    <w:rsid w:val="00F45838"/>
    <w:rsid w:val="00F45AA6"/>
    <w:rsid w:val="00F4619B"/>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51C"/>
    <w:rsid w:val="00F52943"/>
    <w:rsid w:val="00F52E86"/>
    <w:rsid w:val="00F53825"/>
    <w:rsid w:val="00F53CE9"/>
    <w:rsid w:val="00F541E9"/>
    <w:rsid w:val="00F544B7"/>
    <w:rsid w:val="00F545DB"/>
    <w:rsid w:val="00F547AA"/>
    <w:rsid w:val="00F5486B"/>
    <w:rsid w:val="00F549E1"/>
    <w:rsid w:val="00F54F7E"/>
    <w:rsid w:val="00F54FAF"/>
    <w:rsid w:val="00F55424"/>
    <w:rsid w:val="00F55477"/>
    <w:rsid w:val="00F55D02"/>
    <w:rsid w:val="00F55F2E"/>
    <w:rsid w:val="00F5728F"/>
    <w:rsid w:val="00F57424"/>
    <w:rsid w:val="00F57801"/>
    <w:rsid w:val="00F579D3"/>
    <w:rsid w:val="00F607C6"/>
    <w:rsid w:val="00F60A75"/>
    <w:rsid w:val="00F60D72"/>
    <w:rsid w:val="00F61054"/>
    <w:rsid w:val="00F61996"/>
    <w:rsid w:val="00F62208"/>
    <w:rsid w:val="00F62238"/>
    <w:rsid w:val="00F62A1F"/>
    <w:rsid w:val="00F62AB6"/>
    <w:rsid w:val="00F62C68"/>
    <w:rsid w:val="00F63119"/>
    <w:rsid w:val="00F63426"/>
    <w:rsid w:val="00F63720"/>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A32"/>
    <w:rsid w:val="00F67C20"/>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3C4"/>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B82"/>
    <w:rsid w:val="00F81E7E"/>
    <w:rsid w:val="00F82170"/>
    <w:rsid w:val="00F821F4"/>
    <w:rsid w:val="00F82216"/>
    <w:rsid w:val="00F8228D"/>
    <w:rsid w:val="00F82486"/>
    <w:rsid w:val="00F82735"/>
    <w:rsid w:val="00F82C2F"/>
    <w:rsid w:val="00F82D7F"/>
    <w:rsid w:val="00F82FFC"/>
    <w:rsid w:val="00F83AB6"/>
    <w:rsid w:val="00F83D77"/>
    <w:rsid w:val="00F84219"/>
    <w:rsid w:val="00F8498B"/>
    <w:rsid w:val="00F851CA"/>
    <w:rsid w:val="00F853B8"/>
    <w:rsid w:val="00F853CB"/>
    <w:rsid w:val="00F85816"/>
    <w:rsid w:val="00F85A62"/>
    <w:rsid w:val="00F85B1F"/>
    <w:rsid w:val="00F85B79"/>
    <w:rsid w:val="00F85C90"/>
    <w:rsid w:val="00F86137"/>
    <w:rsid w:val="00F86295"/>
    <w:rsid w:val="00F862D5"/>
    <w:rsid w:val="00F863E0"/>
    <w:rsid w:val="00F868F2"/>
    <w:rsid w:val="00F869B6"/>
    <w:rsid w:val="00F87A50"/>
    <w:rsid w:val="00F87B8C"/>
    <w:rsid w:val="00F918F7"/>
    <w:rsid w:val="00F91B1B"/>
    <w:rsid w:val="00F91BB5"/>
    <w:rsid w:val="00F91D51"/>
    <w:rsid w:val="00F91E4F"/>
    <w:rsid w:val="00F91FE9"/>
    <w:rsid w:val="00F92159"/>
    <w:rsid w:val="00F923EC"/>
    <w:rsid w:val="00F92476"/>
    <w:rsid w:val="00F92801"/>
    <w:rsid w:val="00F93275"/>
    <w:rsid w:val="00F93325"/>
    <w:rsid w:val="00F93EAD"/>
    <w:rsid w:val="00F93FAE"/>
    <w:rsid w:val="00F941CC"/>
    <w:rsid w:val="00F957DA"/>
    <w:rsid w:val="00F96349"/>
    <w:rsid w:val="00F96A8B"/>
    <w:rsid w:val="00F96F59"/>
    <w:rsid w:val="00F9706E"/>
    <w:rsid w:val="00F970BF"/>
    <w:rsid w:val="00F9746A"/>
    <w:rsid w:val="00FA0114"/>
    <w:rsid w:val="00FA05CE"/>
    <w:rsid w:val="00FA0688"/>
    <w:rsid w:val="00FA070E"/>
    <w:rsid w:val="00FA09AD"/>
    <w:rsid w:val="00FA208E"/>
    <w:rsid w:val="00FA20A2"/>
    <w:rsid w:val="00FA2305"/>
    <w:rsid w:val="00FA23AA"/>
    <w:rsid w:val="00FA303A"/>
    <w:rsid w:val="00FA364C"/>
    <w:rsid w:val="00FA37C3"/>
    <w:rsid w:val="00FA3FBE"/>
    <w:rsid w:val="00FA3FCB"/>
    <w:rsid w:val="00FA425D"/>
    <w:rsid w:val="00FA432E"/>
    <w:rsid w:val="00FA4B06"/>
    <w:rsid w:val="00FA4B17"/>
    <w:rsid w:val="00FA5798"/>
    <w:rsid w:val="00FA58C5"/>
    <w:rsid w:val="00FA596C"/>
    <w:rsid w:val="00FA5A16"/>
    <w:rsid w:val="00FA5CE0"/>
    <w:rsid w:val="00FA5DDA"/>
    <w:rsid w:val="00FA5F3F"/>
    <w:rsid w:val="00FA6320"/>
    <w:rsid w:val="00FA6721"/>
    <w:rsid w:val="00FA6CA3"/>
    <w:rsid w:val="00FA7326"/>
    <w:rsid w:val="00FA7DB6"/>
    <w:rsid w:val="00FA7F2C"/>
    <w:rsid w:val="00FA7FE0"/>
    <w:rsid w:val="00FB029C"/>
    <w:rsid w:val="00FB02B8"/>
    <w:rsid w:val="00FB035D"/>
    <w:rsid w:val="00FB05EA"/>
    <w:rsid w:val="00FB0701"/>
    <w:rsid w:val="00FB0740"/>
    <w:rsid w:val="00FB0B69"/>
    <w:rsid w:val="00FB0FA0"/>
    <w:rsid w:val="00FB1532"/>
    <w:rsid w:val="00FB1610"/>
    <w:rsid w:val="00FB222F"/>
    <w:rsid w:val="00FB22C6"/>
    <w:rsid w:val="00FB2918"/>
    <w:rsid w:val="00FB2C82"/>
    <w:rsid w:val="00FB3CC8"/>
    <w:rsid w:val="00FB43F9"/>
    <w:rsid w:val="00FB46D3"/>
    <w:rsid w:val="00FB48C8"/>
    <w:rsid w:val="00FB4911"/>
    <w:rsid w:val="00FB5190"/>
    <w:rsid w:val="00FB5A89"/>
    <w:rsid w:val="00FB5E21"/>
    <w:rsid w:val="00FB5F7C"/>
    <w:rsid w:val="00FB60A6"/>
    <w:rsid w:val="00FB60CB"/>
    <w:rsid w:val="00FB634E"/>
    <w:rsid w:val="00FB6671"/>
    <w:rsid w:val="00FB6EF6"/>
    <w:rsid w:val="00FB7FE8"/>
    <w:rsid w:val="00FC00AC"/>
    <w:rsid w:val="00FC0225"/>
    <w:rsid w:val="00FC06D4"/>
    <w:rsid w:val="00FC0C63"/>
    <w:rsid w:val="00FC0C90"/>
    <w:rsid w:val="00FC0EDE"/>
    <w:rsid w:val="00FC1327"/>
    <w:rsid w:val="00FC1373"/>
    <w:rsid w:val="00FC182E"/>
    <w:rsid w:val="00FC19D2"/>
    <w:rsid w:val="00FC1E70"/>
    <w:rsid w:val="00FC1FF0"/>
    <w:rsid w:val="00FC2347"/>
    <w:rsid w:val="00FC26DE"/>
    <w:rsid w:val="00FC27F3"/>
    <w:rsid w:val="00FC2A56"/>
    <w:rsid w:val="00FC2B0E"/>
    <w:rsid w:val="00FC2B57"/>
    <w:rsid w:val="00FC2BEB"/>
    <w:rsid w:val="00FC2E0F"/>
    <w:rsid w:val="00FC327F"/>
    <w:rsid w:val="00FC3771"/>
    <w:rsid w:val="00FC3C07"/>
    <w:rsid w:val="00FC3DEA"/>
    <w:rsid w:val="00FC4363"/>
    <w:rsid w:val="00FC4405"/>
    <w:rsid w:val="00FC445B"/>
    <w:rsid w:val="00FC4604"/>
    <w:rsid w:val="00FC46B8"/>
    <w:rsid w:val="00FC48F6"/>
    <w:rsid w:val="00FC4DBC"/>
    <w:rsid w:val="00FC5189"/>
    <w:rsid w:val="00FC51AB"/>
    <w:rsid w:val="00FC5212"/>
    <w:rsid w:val="00FC57D0"/>
    <w:rsid w:val="00FC6C0F"/>
    <w:rsid w:val="00FC718E"/>
    <w:rsid w:val="00FD04F3"/>
    <w:rsid w:val="00FD09F8"/>
    <w:rsid w:val="00FD0D5D"/>
    <w:rsid w:val="00FD0DDC"/>
    <w:rsid w:val="00FD0F79"/>
    <w:rsid w:val="00FD1261"/>
    <w:rsid w:val="00FD12DA"/>
    <w:rsid w:val="00FD1915"/>
    <w:rsid w:val="00FD1A35"/>
    <w:rsid w:val="00FD1FB7"/>
    <w:rsid w:val="00FD2210"/>
    <w:rsid w:val="00FD2606"/>
    <w:rsid w:val="00FD2694"/>
    <w:rsid w:val="00FD2B88"/>
    <w:rsid w:val="00FD2D8A"/>
    <w:rsid w:val="00FD2DC8"/>
    <w:rsid w:val="00FD337D"/>
    <w:rsid w:val="00FD33B7"/>
    <w:rsid w:val="00FD3432"/>
    <w:rsid w:val="00FD3434"/>
    <w:rsid w:val="00FD3B42"/>
    <w:rsid w:val="00FD3C75"/>
    <w:rsid w:val="00FD407F"/>
    <w:rsid w:val="00FD416F"/>
    <w:rsid w:val="00FD439B"/>
    <w:rsid w:val="00FD4669"/>
    <w:rsid w:val="00FD4C16"/>
    <w:rsid w:val="00FD57BC"/>
    <w:rsid w:val="00FD59FB"/>
    <w:rsid w:val="00FD5BD4"/>
    <w:rsid w:val="00FD614E"/>
    <w:rsid w:val="00FD62D4"/>
    <w:rsid w:val="00FD6BF4"/>
    <w:rsid w:val="00FD79AB"/>
    <w:rsid w:val="00FE000D"/>
    <w:rsid w:val="00FE0999"/>
    <w:rsid w:val="00FE0B27"/>
    <w:rsid w:val="00FE16B2"/>
    <w:rsid w:val="00FE1B44"/>
    <w:rsid w:val="00FE2018"/>
    <w:rsid w:val="00FE213F"/>
    <w:rsid w:val="00FE22B2"/>
    <w:rsid w:val="00FE23CB"/>
    <w:rsid w:val="00FE2428"/>
    <w:rsid w:val="00FE2D92"/>
    <w:rsid w:val="00FE3551"/>
    <w:rsid w:val="00FE364B"/>
    <w:rsid w:val="00FE367F"/>
    <w:rsid w:val="00FE50AF"/>
    <w:rsid w:val="00FE578D"/>
    <w:rsid w:val="00FE5AC5"/>
    <w:rsid w:val="00FE5B28"/>
    <w:rsid w:val="00FE5B5B"/>
    <w:rsid w:val="00FE60FA"/>
    <w:rsid w:val="00FE6D0B"/>
    <w:rsid w:val="00FE6E0C"/>
    <w:rsid w:val="00FE6E93"/>
    <w:rsid w:val="00FE743F"/>
    <w:rsid w:val="00FE7A11"/>
    <w:rsid w:val="00FF0888"/>
    <w:rsid w:val="00FF185C"/>
    <w:rsid w:val="00FF2056"/>
    <w:rsid w:val="00FF20F9"/>
    <w:rsid w:val="00FF27AA"/>
    <w:rsid w:val="00FF2831"/>
    <w:rsid w:val="00FF29A6"/>
    <w:rsid w:val="00FF2C52"/>
    <w:rsid w:val="00FF3533"/>
    <w:rsid w:val="00FF3A35"/>
    <w:rsid w:val="00FF3DF1"/>
    <w:rsid w:val="00FF443B"/>
    <w:rsid w:val="00FF4D92"/>
    <w:rsid w:val="00FF4FEA"/>
    <w:rsid w:val="00FF57C0"/>
    <w:rsid w:val="00FF5AD8"/>
    <w:rsid w:val="00FF628C"/>
    <w:rsid w:val="00FF660B"/>
    <w:rsid w:val="00FF69FD"/>
    <w:rsid w:val="00FF6A0A"/>
    <w:rsid w:val="00FF70DA"/>
    <w:rsid w:val="00FF7BC6"/>
    <w:rsid w:val="00FF7C81"/>
    <w:rsid w:val="5391EE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643198"/>
  <w15:chartTrackingRefBased/>
  <w15:docId w15:val="{5B65B2CB-B81A-47FC-A815-68B774BF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toc 1" w:uiPriority="39"/>
    <w:lsdException w:name="toc 2" w:uiPriority="39"/>
    <w:lsdException w:name="toc 3" w:uiPriority="39"/>
    <w:lsdException w:name="caption" w:qFormat="1"/>
    <w:lsdException w:name="List Bullet" w:qFormat="1"/>
    <w:lsdException w:name="Title" w:qFormat="1"/>
    <w:lsdException w:name="Subtitle" w:qFormat="1"/>
    <w:lsdException w:name="Hyperlink" w:uiPriority="99"/>
    <w:lsdException w:name="Strong" w:uiPriority="1"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781"/>
    <w:rPr>
      <w:rFonts w:ascii="Arial" w:hAnsi="Arial"/>
      <w:sz w:val="24"/>
      <w:szCs w:val="22"/>
      <w:lang w:eastAsia="en-GB"/>
    </w:rPr>
  </w:style>
  <w:style w:type="paragraph" w:styleId="Heading1">
    <w:name w:val="heading 1"/>
    <w:next w:val="BodyText"/>
    <w:qFormat/>
    <w:rsid w:val="00094301"/>
    <w:pPr>
      <w:keepNext/>
      <w:keepLines/>
      <w:spacing w:before="720" w:after="200"/>
      <w:outlineLvl w:val="0"/>
    </w:pPr>
    <w:rPr>
      <w:rFonts w:ascii="Arial" w:hAnsi="Arial" w:cs="Arial"/>
      <w:b/>
      <w:bCs/>
      <w:color w:val="005984"/>
      <w:kern w:val="32"/>
      <w:sz w:val="37"/>
      <w:szCs w:val="32"/>
      <w:lang w:eastAsia="en-GB"/>
    </w:rPr>
  </w:style>
  <w:style w:type="paragraph" w:styleId="Heading2">
    <w:name w:val="heading 2"/>
    <w:basedOn w:val="Heading1"/>
    <w:next w:val="BodyText"/>
    <w:qFormat/>
    <w:rsid w:val="00A83B7E"/>
    <w:pPr>
      <w:spacing w:before="480"/>
      <w:outlineLvl w:val="1"/>
    </w:pPr>
    <w:rPr>
      <w:bCs w:val="0"/>
      <w:iCs/>
      <w:sz w:val="31"/>
      <w:szCs w:val="28"/>
    </w:rPr>
  </w:style>
  <w:style w:type="paragraph" w:styleId="Heading3">
    <w:name w:val="heading 3"/>
    <w:basedOn w:val="Heading2"/>
    <w:next w:val="BodyText"/>
    <w:qFormat/>
    <w:rsid w:val="008438B6"/>
    <w:pPr>
      <w:spacing w:before="520"/>
      <w:outlineLvl w:val="2"/>
    </w:pPr>
    <w:rPr>
      <w:bCs/>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qFormat/>
    <w:rsid w:val="00335E48"/>
    <w:pPr>
      <w:spacing w:before="0"/>
      <w:outlineLvl w:val="4"/>
    </w:pPr>
    <w:rPr>
      <w:rFonts w:cs="Times New Roman"/>
      <w:b w:val="0"/>
      <w:kern w:val="0"/>
      <w:sz w:val="22"/>
      <w:szCs w:val="26"/>
    </w:rPr>
  </w:style>
  <w:style w:type="paragraph" w:styleId="Heading6">
    <w:name w:val="heading 6"/>
    <w:basedOn w:val="Heading5"/>
    <w:next w:val="BodyText"/>
    <w:rsid w:val="00FC0C63"/>
    <w:pPr>
      <w:spacing w:before="240" w:after="60"/>
      <w:outlineLvl w:val="5"/>
    </w:pPr>
    <w:rPr>
      <w:bCs/>
      <w:sz w:val="18"/>
    </w:rPr>
  </w:style>
  <w:style w:type="paragraph" w:styleId="Heading7">
    <w:name w:val="heading 7"/>
    <w:basedOn w:val="Heading6"/>
    <w:next w:val="BodyText"/>
    <w:rsid w:val="00FC0C63"/>
    <w:pPr>
      <w:outlineLvl w:val="6"/>
    </w:pPr>
    <w:rPr>
      <w:sz w:val="16"/>
      <w:szCs w:val="24"/>
    </w:rPr>
  </w:style>
  <w:style w:type="paragraph" w:styleId="Heading8">
    <w:name w:val="heading 8"/>
    <w:basedOn w:val="Heading7"/>
    <w:next w:val="BodyText"/>
    <w:rsid w:val="00FC0C63"/>
    <w:pPr>
      <w:outlineLvl w:val="7"/>
    </w:pPr>
    <w:rPr>
      <w:iCs w:val="0"/>
      <w:sz w:val="14"/>
    </w:rPr>
  </w:style>
  <w:style w:type="paragraph" w:styleId="Heading9">
    <w:name w:val="heading 9"/>
    <w:basedOn w:val="Normal"/>
    <w:next w:val="Normal"/>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qFormat/>
    <w:rsid w:val="00CB582D"/>
    <w:pPr>
      <w:numPr>
        <w:numId w:val="1"/>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link w:val="FootnoteTextChar"/>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uiPriority w:val="1"/>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uiPriority w:val="99"/>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506C38"/>
    <w:rPr>
      <w:rFonts w:ascii="Arial" w:hAnsi="Arial"/>
      <w:sz w:val="24"/>
      <w:szCs w:val="22"/>
      <w:lang w:val="en-AU" w:eastAsia="en-GB" w:bidi="ar-SA"/>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uiPriority w:val="39"/>
    <w:rsid w:val="00703089"/>
    <w:pPr>
      <w:tabs>
        <w:tab w:val="right" w:leader="dot" w:pos="8494"/>
      </w:tabs>
      <w:spacing w:before="180"/>
    </w:pPr>
    <w:rPr>
      <w:rFonts w:ascii="Arial" w:hAnsi="Arial"/>
      <w:b/>
      <w:sz w:val="24"/>
      <w:szCs w:val="22"/>
      <w:lang w:eastAsia="en-GB"/>
    </w:rPr>
  </w:style>
  <w:style w:type="paragraph" w:styleId="TOC2">
    <w:name w:val="toc 2"/>
    <w:basedOn w:val="TOC1"/>
    <w:next w:val="BodyText"/>
    <w:autoRedefine/>
    <w:uiPriority w:val="39"/>
    <w:rsid w:val="00422B55"/>
    <w:pPr>
      <w:spacing w:before="100"/>
      <w:ind w:left="567"/>
    </w:pPr>
    <w:rPr>
      <w:b w:val="0"/>
    </w:rPr>
  </w:style>
  <w:style w:type="paragraph" w:styleId="TOC3">
    <w:name w:val="toc 3"/>
    <w:basedOn w:val="TOC2"/>
    <w:next w:val="BodyText"/>
    <w:autoRedefine/>
    <w:uiPriority w:val="39"/>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uiPriority w:val="9"/>
    <w:rsid w:val="00D76532"/>
    <w:pPr>
      <w:numPr>
        <w:numId w:val="23"/>
      </w:numPr>
    </w:pPr>
  </w:style>
  <w:style w:type="paragraph" w:customStyle="1" w:styleId="BlockText-ListContinue2">
    <w:name w:val="Block Text - List Continue 2"/>
    <w:basedOn w:val="BlockText-ListContinue"/>
    <w:uiPriority w:val="9"/>
    <w:rsid w:val="00D76532"/>
    <w:pPr>
      <w:numPr>
        <w:ilvl w:val="1"/>
      </w:numPr>
    </w:pPr>
  </w:style>
  <w:style w:type="paragraph" w:customStyle="1" w:styleId="BlockText-ListContinue3">
    <w:name w:val="Block Text - List Continue 3"/>
    <w:basedOn w:val="BlockText-ListContinue2"/>
    <w:uiPriority w:val="9"/>
    <w:rsid w:val="00D76532"/>
    <w:pPr>
      <w:numPr>
        <w:ilvl w:val="2"/>
      </w:numPr>
    </w:pPr>
  </w:style>
  <w:style w:type="paragraph" w:customStyle="1" w:styleId="BlockText-ListContinue4">
    <w:name w:val="Block Text - List Continue 4"/>
    <w:basedOn w:val="BlockText-ListContinue3"/>
    <w:uiPriority w:val="9"/>
    <w:rsid w:val="00D76532"/>
    <w:pPr>
      <w:numPr>
        <w:ilvl w:val="3"/>
      </w:numPr>
    </w:pPr>
  </w:style>
  <w:style w:type="paragraph" w:customStyle="1" w:styleId="BlockText-ListContinue5">
    <w:name w:val="Block Text - List Continue 5"/>
    <w:basedOn w:val="BlockText-ListContinue4"/>
    <w:uiPriority w:val="9"/>
    <w:rsid w:val="00D76532"/>
    <w:pPr>
      <w:numPr>
        <w:ilvl w:val="4"/>
      </w:numPr>
    </w:pPr>
  </w:style>
  <w:style w:type="paragraph" w:customStyle="1" w:styleId="Frontmatter">
    <w:name w:val="Frontmatter"/>
    <w:basedOn w:val="BodyText"/>
    <w:uiPriority w:val="19"/>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E11280"/>
    <w:pPr>
      <w:spacing w:before="320"/>
    </w:pPr>
    <w:rPr>
      <w:sz w:val="36"/>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PseudoHeading1">
    <w:name w:val="Pseudo Heading 1"/>
    <w:rsid w:val="002A2F3E"/>
    <w:pPr>
      <w:pageBreakBefore/>
      <w:spacing w:after="360"/>
    </w:pPr>
    <w:rPr>
      <w:rFonts w:ascii="Arial" w:hAnsi="Arial" w:cs="Arial"/>
      <w:b/>
      <w:bCs/>
      <w:color w:val="005984"/>
      <w:kern w:val="32"/>
      <w:sz w:val="37"/>
      <w:szCs w:val="32"/>
      <w:lang w:eastAsia="en-GB"/>
    </w:rPr>
  </w:style>
  <w:style w:type="character" w:customStyle="1" w:styleId="UnresolvedMention1">
    <w:name w:val="Unresolved Mention1"/>
    <w:basedOn w:val="DefaultParagraphFont"/>
    <w:uiPriority w:val="99"/>
    <w:semiHidden/>
    <w:unhideWhenUsed/>
    <w:rsid w:val="00D76B54"/>
    <w:rPr>
      <w:color w:val="605E5C"/>
      <w:shd w:val="clear" w:color="auto" w:fill="E1DFDD"/>
    </w:rPr>
  </w:style>
  <w:style w:type="character" w:customStyle="1" w:styleId="FootnoteTextChar">
    <w:name w:val="Footnote Text Char"/>
    <w:basedOn w:val="DefaultParagraphFont"/>
    <w:link w:val="FootnoteText"/>
    <w:rsid w:val="004257EB"/>
    <w:rPr>
      <w:rFonts w:ascii="Arial" w:hAnsi="Arial"/>
      <w:sz w:val="18"/>
      <w:lang w:eastAsia="en-GB"/>
    </w:rPr>
  </w:style>
  <w:style w:type="character" w:styleId="UnresolvedMention">
    <w:name w:val="Unresolved Mention"/>
    <w:basedOn w:val="DefaultParagraphFont"/>
    <w:uiPriority w:val="99"/>
    <w:semiHidden/>
    <w:unhideWhenUsed/>
    <w:rsid w:val="00E61F0D"/>
    <w:rPr>
      <w:color w:val="605E5C"/>
      <w:shd w:val="clear" w:color="auto" w:fill="E1DFDD"/>
    </w:rPr>
  </w:style>
  <w:style w:type="paragraph" w:customStyle="1" w:styleId="Figuretitle">
    <w:name w:val="Figure title"/>
    <w:qFormat/>
    <w:rsid w:val="0092706C"/>
    <w:pPr>
      <w:keepNext/>
      <w:spacing w:before="240" w:after="120"/>
    </w:pPr>
    <w:rPr>
      <w:rFonts w:ascii="Arial" w:hAnsi="Arial"/>
      <w:b/>
      <w:szCs w:val="22"/>
      <w:lang w:eastAsia="en-GB"/>
    </w:rPr>
  </w:style>
  <w:style w:type="paragraph" w:customStyle="1" w:styleId="Source">
    <w:name w:val="Source"/>
    <w:qFormat/>
    <w:rsid w:val="00D54B9A"/>
    <w:pPr>
      <w:spacing w:before="80" w:after="280"/>
    </w:pPr>
    <w:rPr>
      <w:rFonts w:ascii="Arial" w:hAnsi="Arial"/>
      <w:sz w:val="18"/>
      <w:lang w:eastAsia="en-GB"/>
    </w:rPr>
  </w:style>
  <w:style w:type="paragraph" w:customStyle="1" w:styleId="Figurenotes">
    <w:name w:val="Figure notes"/>
    <w:qFormat/>
    <w:rsid w:val="00C3214F"/>
    <w:pPr>
      <w:spacing w:before="20" w:after="80"/>
    </w:pPr>
    <w:rPr>
      <w:rFonts w:ascii="Arial" w:hAnsi="Arial"/>
      <w:sz w:val="18"/>
      <w:szCs w:val="22"/>
      <w:lang w:eastAsia="en-GB"/>
    </w:rPr>
  </w:style>
  <w:style w:type="paragraph" w:styleId="NoSpacing">
    <w:name w:val="No Spacing"/>
    <w:uiPriority w:val="1"/>
    <w:qFormat/>
    <w:rsid w:val="00E1045F"/>
    <w:rPr>
      <w:rFonts w:ascii="Arial" w:hAnsi="Arial"/>
      <w:sz w:val="24"/>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tcoss@actcoss.org.au" TargetMode="External"/><Relationship Id="rId18" Type="http://schemas.openxmlformats.org/officeDocument/2006/relationships/image" Target="media/image4.png"/><Relationship Id="rId26" Type="http://schemas.openxmlformats.org/officeDocument/2006/relationships/image" Target="media/image11.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abs.gov.au/AUSSTATS/abs@.nsf/DetailsPage/6401.0Dec%202018?OpenDocument" TargetMode="External"/><Relationship Id="rId25" Type="http://schemas.openxmlformats.org/officeDocument/2006/relationships/image" Target="media/image10.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aisetherate.org.au/" TargetMode="External"/><Relationship Id="rId20" Type="http://schemas.openxmlformats.org/officeDocument/2006/relationships/image" Target="media/image6.png"/><Relationship Id="rId29" Type="http://schemas.openxmlformats.org/officeDocument/2006/relationships/hyperlink" Target="http://www.abs.gov.au/ausstats/abs@.nsf/mf/6401.0?opendocu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9.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www.abs.gov.au/AUSSTATS/abs@.nsf/Lookup/6467.0Main+Features1Dec%202018?OpenDocument" TargetMode="External"/><Relationship Id="rId28" Type="http://schemas.openxmlformats.org/officeDocument/2006/relationships/hyperlink" Target="http://guides.dss.gov.au/guide-social-security-law/5/1/8/50"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www.abs.gov.au/ausstats/abs@.nsf/mf/630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tcoss.org.au" TargetMode="Externa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hyperlink" Target="http://www.abs.gov.au/AUSSTATS/abs@.nsf/allprimarymainfeatures/E592A3A56EBC2B31CA257C130017D2FA?opendocument"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canberratimes.com.au/story/5996600/petrol-prices-an-outrage-and-canberrans-deserve-better/" TargetMode="External"/><Relationship Id="rId13" Type="http://schemas.openxmlformats.org/officeDocument/2006/relationships/hyperlink" Target="https://www.aer.gov.au/networks-pipelines/determinations-access-arrangements/evoenergy-actewagl-determination-2019-24" TargetMode="External"/><Relationship Id="rId18" Type="http://schemas.openxmlformats.org/officeDocument/2006/relationships/hyperlink" Target="https://www.sacoss.org.au/sites/default/files/public/documents/Reports/Cost%20of%20Living%20Reports/190130%20Cost%20of%20Living%20Update37.pdf" TargetMode="External"/><Relationship Id="rId3" Type="http://schemas.openxmlformats.org/officeDocument/2006/relationships/hyperlink" Target="https://www.actcoss.org.au/publications/advocacy-publications/hidden-disadvantage-act-report-anti-poverty-week-2017" TargetMode="External"/><Relationship Id="rId7" Type="http://schemas.openxmlformats.org/officeDocument/2006/relationships/hyperlink" Target="https://data.gov.au/dataset/ds-dga-cff2ae8a-55e4-47db-a66d-e177fe0ac6a0/details?q=dss" TargetMode="External"/><Relationship Id="rId12" Type="http://schemas.openxmlformats.org/officeDocument/2006/relationships/hyperlink" Target="https://www.sacoss.org.au/no-30-march-qtr-2017-energy-snapshot" TargetMode="External"/><Relationship Id="rId17" Type="http://schemas.openxmlformats.org/officeDocument/2006/relationships/hyperlink" Target="https://www.dss.gov.au/our-responsibilities/seniors/benefits-payments/pension-rates" TargetMode="External"/><Relationship Id="rId2" Type="http://schemas.openxmlformats.org/officeDocument/2006/relationships/hyperlink" Target="https://www.acoss.org.au/social-security-priorities-for-the-2019-federal-election/" TargetMode="External"/><Relationship Id="rId16" Type="http://schemas.openxmlformats.org/officeDocument/2006/relationships/hyperlink" Target="https://www.sprc.unsw.edu.au/research/projects/a-new-healthy-living-minimum-income-standard-for-low-paid-and-unemployed-australians/" TargetMode="External"/><Relationship Id="rId20" Type="http://schemas.openxmlformats.org/officeDocument/2006/relationships/hyperlink" Target="https://www.aph.gov.au/About_Parliament/Parliamentary_Departments/Parliamentary_Library/FlagPost/2014/April/Pension-indexation" TargetMode="External"/><Relationship Id="rId1" Type="http://schemas.openxmlformats.org/officeDocument/2006/relationships/hyperlink" Target="https://www.actcoss.org.au/budgetsub2019-20" TargetMode="External"/><Relationship Id="rId6" Type="http://schemas.openxmlformats.org/officeDocument/2006/relationships/hyperlink" Target="https://www.acoss.org.au/wp-content/uploads/2019/03/ACOSS-Pre-election-priorities-social-security.pdf" TargetMode="External"/><Relationship Id="rId11" Type="http://schemas.openxmlformats.org/officeDocument/2006/relationships/hyperlink" Target="https://www.actcoss.org.au/publications/advocacy-publications/act-cost-living-report-transport-2016" TargetMode="External"/><Relationship Id="rId5" Type="http://schemas.openxmlformats.org/officeDocument/2006/relationships/hyperlink" Target="https://www.acoss.org.au/wp-content/uploads/2018/10/ACOSS_Poverty-in-Australia-Report_Web-Final.pdf" TargetMode="External"/><Relationship Id="rId15" Type="http://schemas.openxmlformats.org/officeDocument/2006/relationships/hyperlink" Target="https://d3n8a8pro7vhmx.cloudfront.net/betterrenting/pages/42/attachments/original/1523488292/The_energy_efficiency_of_rental_properties_in_the_ACT.pdf?1523488292" TargetMode="External"/><Relationship Id="rId10" Type="http://schemas.openxmlformats.org/officeDocument/2006/relationships/hyperlink" Target="http://www.abs.gov.au/AUSSTATS/abs@.nsf/DetailsPage/6401.0Dec%202018?OpenDocument" TargetMode="External"/><Relationship Id="rId19" Type="http://schemas.openxmlformats.org/officeDocument/2006/relationships/hyperlink" Target="https://www.abs.gov.au/AUSSTATS/abs@.nsf/Lookup/6467.0Explanatory%20Notes1Dec%202018?OpenDocument" TargetMode="External"/><Relationship Id="rId4" Type="http://schemas.openxmlformats.org/officeDocument/2006/relationships/hyperlink" Target="http://www.wchm.org.au/wp-content/uploads/2018/06/Hidden-disadvantage-among-women-in-the-ACT-final.pdf" TargetMode="External"/><Relationship Id="rId9" Type="http://schemas.openxmlformats.org/officeDocument/2006/relationships/hyperlink" Target="https://www.actcoss.org.au/publications/advocacy-publications/submission-inquiry-fuel-pricing" TargetMode="External"/><Relationship Id="rId14" Type="http://schemas.openxmlformats.org/officeDocument/2006/relationships/hyperlink" Target="https://www.acoss.org.au/wp-content/uploads/2018/10/Energy-Stressed-in-Australi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0" ma:contentTypeDescription="Create a new document." ma:contentTypeScope="" ma:versionID="c260209d1d844cbbc1c52d02bf11e522">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6f15ef05b2511708b171048ade52a780"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06235-2002-4A40-86E9-C8AE67EEB127}">
  <ds:schemaRefs>
    <ds:schemaRef ds:uri="http://schemas.microsoft.com/sharepoint/v3/contenttype/forms"/>
  </ds:schemaRefs>
</ds:datastoreItem>
</file>

<file path=customXml/itemProps2.xml><?xml version="1.0" encoding="utf-8"?>
<ds:datastoreItem xmlns:ds="http://schemas.openxmlformats.org/officeDocument/2006/customXml" ds:itemID="{0BDCD929-609A-4199-8F9B-1213CA5AD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FC22B7-250C-44DE-AF10-0ADFC904FF8B}">
  <ds:schemaRefs>
    <ds:schemaRef ds:uri="http://purl.org/dc/dcmitype/"/>
    <ds:schemaRef ds:uri="http://schemas.microsoft.com/office/infopath/2007/PartnerControls"/>
    <ds:schemaRef ds:uri="ef2741e4-cc31-428c-aca2-d2da616e4ed0"/>
    <ds:schemaRef ds:uri="http://purl.org/dc/elements/1.1/"/>
    <ds:schemaRef ds:uri="http://schemas.microsoft.com/office/2006/metadata/properties"/>
    <ds:schemaRef ds:uri="http://schemas.microsoft.com/office/2006/documentManagement/types"/>
    <ds:schemaRef ds:uri="32918964-d11d-4bda-ba04-9b8184f6a173"/>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2221D7E-B474-4885-93C7-E91AD94E0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TPL Submission.dot</Template>
  <TotalTime>1757</TotalTime>
  <Pages>23</Pages>
  <Words>6134</Words>
  <Characters>34207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ACT Cost of Living Report, May 2019</vt:lpstr>
    </vt:vector>
  </TitlesOfParts>
  <Company>ACT Council of Social Service</Company>
  <LinksUpToDate>false</LinksUpToDate>
  <CharactersWithSpaces>40261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Cost of Living Report, May 2019</dc:title>
  <dc:subject/>
  <dc:creator/>
  <cp:keywords/>
  <dc:description/>
  <cp:lastModifiedBy>Suzanne Richardson</cp:lastModifiedBy>
  <cp:revision>1158</cp:revision>
  <cp:lastPrinted>2019-04-12T04:33:00Z</cp:lastPrinted>
  <dcterms:created xsi:type="dcterms:W3CDTF">2019-01-30T04:14:00Z</dcterms:created>
  <dcterms:modified xsi:type="dcterms:W3CDTF">2019-05-03T05:15:00Z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AuthorIds_UIVersion_54784">
    <vt:lpwstr>12</vt:lpwstr>
  </property>
  <property fmtid="{D5CDD505-2E9C-101B-9397-08002B2CF9AE}" pid="5" name="_MarkAsFinal">
    <vt:bool>true</vt:bool>
  </property>
</Properties>
</file>