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A5A62" w14:textId="77777777" w:rsidR="00F62238" w:rsidRPr="00CA7855" w:rsidRDefault="00551B34" w:rsidP="009401A9">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7275"/>
        </w:tabs>
      </w:pPr>
      <w:bookmarkStart w:id="0" w:name="_GoBack"/>
      <w:bookmarkEnd w:id="0"/>
      <w:r>
        <w:rPr>
          <w:noProof/>
          <w:lang w:eastAsia="en-AU"/>
        </w:rPr>
        <w:drawing>
          <wp:anchor distT="0" distB="0" distL="114300" distR="114300" simplePos="0" relativeHeight="251658240" behindDoc="1" locked="0" layoutInCell="1" allowOverlap="1" wp14:anchorId="17E5D789" wp14:editId="678A556B">
            <wp:simplePos x="0" y="0"/>
            <wp:positionH relativeFrom="column">
              <wp:posOffset>-1192530</wp:posOffset>
            </wp:positionH>
            <wp:positionV relativeFrom="page">
              <wp:posOffset>-242570</wp:posOffset>
            </wp:positionV>
            <wp:extent cx="9237345" cy="3506470"/>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7345" cy="3506470"/>
                    </a:xfrm>
                    <a:prstGeom prst="rect">
                      <a:avLst/>
                    </a:prstGeom>
                    <a:noFill/>
                  </pic:spPr>
                </pic:pic>
              </a:graphicData>
            </a:graphic>
            <wp14:sizeRelH relativeFrom="page">
              <wp14:pctWidth>0</wp14:pctWidth>
            </wp14:sizeRelH>
            <wp14:sizeRelV relativeFrom="page">
              <wp14:pctHeight>0</wp14:pctHeight>
            </wp14:sizeRelV>
          </wp:anchor>
        </w:drawing>
      </w:r>
      <w:r w:rsidR="009401A9">
        <w:tab/>
      </w:r>
    </w:p>
    <w:p w14:paraId="474A1C1F" w14:textId="77777777" w:rsidR="00F62238" w:rsidRPr="00CA7855" w:rsidRDefault="00F62238" w:rsidP="00E225A5">
      <w:pPr>
        <w:pStyle w:val="Logo-Centred"/>
        <w:jc w:val="right"/>
      </w:pPr>
    </w:p>
    <w:p w14:paraId="0125A5C9" w14:textId="77777777" w:rsidR="00F62238" w:rsidRPr="00CA7855" w:rsidRDefault="00F62238" w:rsidP="00F62238">
      <w:pPr>
        <w:pStyle w:val="Logo-Centred"/>
      </w:pPr>
    </w:p>
    <w:p w14:paraId="1C55BF4D" w14:textId="77777777" w:rsidR="00F62238" w:rsidRPr="00CA7855" w:rsidRDefault="00F62238" w:rsidP="00F62238">
      <w:pPr>
        <w:pStyle w:val="Logo-Centred"/>
      </w:pPr>
    </w:p>
    <w:p w14:paraId="2098B80E" w14:textId="77777777" w:rsidR="00F62238" w:rsidRPr="00CA7855" w:rsidRDefault="00F62238" w:rsidP="00F62238">
      <w:pPr>
        <w:pStyle w:val="Logo-Centred"/>
      </w:pPr>
    </w:p>
    <w:p w14:paraId="1DD9B037" w14:textId="77777777" w:rsidR="00F62238" w:rsidRPr="00CA7855" w:rsidRDefault="00F62238" w:rsidP="00F62238">
      <w:pPr>
        <w:pStyle w:val="Logo-Centred"/>
      </w:pPr>
    </w:p>
    <w:p w14:paraId="4349F5E0" w14:textId="77777777" w:rsidR="00F62238" w:rsidRPr="00CA7855" w:rsidRDefault="00F62238" w:rsidP="00F62238">
      <w:pPr>
        <w:pStyle w:val="Logo-Centred"/>
      </w:pPr>
    </w:p>
    <w:p w14:paraId="076A63F0" w14:textId="77777777" w:rsidR="00F62238" w:rsidRPr="00CA7855" w:rsidRDefault="00F62238" w:rsidP="00F62238">
      <w:pPr>
        <w:pStyle w:val="Logo-Centred"/>
      </w:pPr>
    </w:p>
    <w:p w14:paraId="1788A9FC" w14:textId="77777777" w:rsidR="00F62238" w:rsidRPr="00CA7855" w:rsidRDefault="00551B34" w:rsidP="00F62238">
      <w:pPr>
        <w:pStyle w:val="Logo-Centred"/>
      </w:pPr>
      <w:r>
        <w:rPr>
          <w:noProof/>
          <w:lang w:eastAsia="en-AU"/>
        </w:rPr>
        <w:drawing>
          <wp:inline distT="0" distB="0" distL="0" distR="0" wp14:anchorId="40FBE1FB" wp14:editId="1A193A8B">
            <wp:extent cx="2886075" cy="1085850"/>
            <wp:effectExtent l="0" t="0" r="0" b="0"/>
            <wp:docPr id="1" name="Picture 1" descr="Logo: ACT Council of Social Service Inc. (ACT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1085850"/>
                    </a:xfrm>
                    <a:prstGeom prst="rect">
                      <a:avLst/>
                    </a:prstGeom>
                    <a:noFill/>
                    <a:ln>
                      <a:noFill/>
                    </a:ln>
                  </pic:spPr>
                </pic:pic>
              </a:graphicData>
            </a:graphic>
          </wp:inline>
        </w:drawing>
      </w:r>
    </w:p>
    <w:p w14:paraId="70EDDA12" w14:textId="77777777" w:rsidR="00F62238" w:rsidRPr="00CA7855" w:rsidRDefault="00F62238" w:rsidP="003F3AC3">
      <w:pPr>
        <w:pStyle w:val="BodyText"/>
      </w:pPr>
    </w:p>
    <w:p w14:paraId="6FD3E736" w14:textId="77777777" w:rsidR="00F62238" w:rsidRPr="00CA7855" w:rsidRDefault="00F62238" w:rsidP="003F3AC3">
      <w:pPr>
        <w:pStyle w:val="BodyText"/>
      </w:pPr>
    </w:p>
    <w:p w14:paraId="2F59FA6E" w14:textId="77777777" w:rsidR="00F62238" w:rsidRPr="007F7B12" w:rsidRDefault="0003165D" w:rsidP="00F5270A">
      <w:pPr>
        <w:pStyle w:val="Titlepagetitle"/>
        <w:spacing w:after="360"/>
        <w:rPr>
          <w:sz w:val="36"/>
          <w:szCs w:val="36"/>
        </w:rPr>
      </w:pPr>
      <w:r w:rsidRPr="007F7B12">
        <w:rPr>
          <w:sz w:val="36"/>
          <w:szCs w:val="36"/>
        </w:rPr>
        <w:t xml:space="preserve">GN21 Energy Consumer Advocacy Workshop </w:t>
      </w:r>
      <w:r w:rsidR="00051602" w:rsidRPr="007F7B12">
        <w:rPr>
          <w:sz w:val="36"/>
          <w:szCs w:val="36"/>
        </w:rPr>
        <w:t xml:space="preserve">Outcomes </w:t>
      </w:r>
      <w:r w:rsidRPr="007F7B12">
        <w:rPr>
          <w:sz w:val="36"/>
          <w:szCs w:val="36"/>
        </w:rPr>
        <w:t>Report</w:t>
      </w:r>
    </w:p>
    <w:p w14:paraId="29E91286" w14:textId="3B56DFED" w:rsidR="0003165D" w:rsidRPr="00F5270A" w:rsidRDefault="0051632F" w:rsidP="00F5270A">
      <w:pPr>
        <w:pStyle w:val="Titlepagetitle"/>
        <w:spacing w:line="312" w:lineRule="auto"/>
        <w:rPr>
          <w:b w:val="0"/>
          <w:sz w:val="32"/>
        </w:rPr>
      </w:pPr>
      <w:r w:rsidRPr="00F5270A">
        <w:rPr>
          <w:b w:val="0"/>
          <w:sz w:val="32"/>
        </w:rPr>
        <w:t>Building</w:t>
      </w:r>
      <w:r w:rsidR="00FB2385" w:rsidRPr="00F5270A">
        <w:rPr>
          <w:b w:val="0"/>
          <w:sz w:val="32"/>
        </w:rPr>
        <w:t xml:space="preserve"> capacity for</w:t>
      </w:r>
      <w:r w:rsidR="00D32FA8" w:rsidRPr="00F5270A">
        <w:rPr>
          <w:b w:val="0"/>
          <w:sz w:val="32"/>
        </w:rPr>
        <w:t xml:space="preserve"> people</w:t>
      </w:r>
      <w:r w:rsidR="00F20895" w:rsidRPr="00F5270A">
        <w:rPr>
          <w:b w:val="0"/>
          <w:sz w:val="32"/>
        </w:rPr>
        <w:t xml:space="preserve"> on low</w:t>
      </w:r>
      <w:r w:rsidR="00893F01" w:rsidRPr="00F5270A">
        <w:rPr>
          <w:b w:val="0"/>
          <w:sz w:val="32"/>
        </w:rPr>
        <w:t xml:space="preserve"> </w:t>
      </w:r>
      <w:r w:rsidR="00F20895" w:rsidRPr="00F5270A">
        <w:rPr>
          <w:b w:val="0"/>
          <w:sz w:val="32"/>
        </w:rPr>
        <w:t>income</w:t>
      </w:r>
      <w:r w:rsidR="00893F01" w:rsidRPr="00F5270A">
        <w:rPr>
          <w:b w:val="0"/>
          <w:sz w:val="32"/>
        </w:rPr>
        <w:t>s</w:t>
      </w:r>
      <w:r w:rsidR="00F20895" w:rsidRPr="00F5270A">
        <w:rPr>
          <w:b w:val="0"/>
          <w:sz w:val="32"/>
        </w:rPr>
        <w:t xml:space="preserve">, experiencing disadvantage, or at risk of hardship </w:t>
      </w:r>
      <w:r w:rsidR="00FB2385" w:rsidRPr="00F5270A">
        <w:rPr>
          <w:b w:val="0"/>
          <w:sz w:val="32"/>
        </w:rPr>
        <w:t xml:space="preserve">to </w:t>
      </w:r>
      <w:r w:rsidR="00496377" w:rsidRPr="00F5270A">
        <w:rPr>
          <w:b w:val="0"/>
          <w:sz w:val="32"/>
        </w:rPr>
        <w:t xml:space="preserve">actively </w:t>
      </w:r>
      <w:r w:rsidR="00FB2385" w:rsidRPr="00F5270A">
        <w:rPr>
          <w:b w:val="0"/>
          <w:sz w:val="32"/>
        </w:rPr>
        <w:t>engage in</w:t>
      </w:r>
      <w:r w:rsidR="00D32FA8" w:rsidRPr="00F5270A">
        <w:rPr>
          <w:b w:val="0"/>
          <w:sz w:val="32"/>
        </w:rPr>
        <w:t xml:space="preserve"> the Evoenergy Gas Network </w:t>
      </w:r>
      <w:r w:rsidR="0071122E" w:rsidRPr="00F5270A">
        <w:rPr>
          <w:b w:val="0"/>
          <w:sz w:val="32"/>
        </w:rPr>
        <w:t>2021-26</w:t>
      </w:r>
      <w:r w:rsidR="00D32FA8" w:rsidRPr="00F5270A">
        <w:rPr>
          <w:b w:val="0"/>
          <w:sz w:val="32"/>
        </w:rPr>
        <w:t xml:space="preserve"> </w:t>
      </w:r>
      <w:r w:rsidR="00F5270A">
        <w:rPr>
          <w:b w:val="0"/>
          <w:bCs w:val="0"/>
          <w:sz w:val="32"/>
        </w:rPr>
        <w:br/>
      </w:r>
      <w:r w:rsidR="00D32FA8" w:rsidRPr="00F5270A">
        <w:rPr>
          <w:b w:val="0"/>
          <w:sz w:val="32"/>
        </w:rPr>
        <w:t xml:space="preserve">Access Arrangement </w:t>
      </w:r>
      <w:r w:rsidR="00683A1A" w:rsidRPr="00F5270A">
        <w:rPr>
          <w:b w:val="0"/>
          <w:sz w:val="32"/>
        </w:rPr>
        <w:t>R</w:t>
      </w:r>
      <w:r w:rsidR="00D32FA8" w:rsidRPr="00F5270A">
        <w:rPr>
          <w:b w:val="0"/>
          <w:sz w:val="32"/>
        </w:rPr>
        <w:t>eview</w:t>
      </w:r>
    </w:p>
    <w:p w14:paraId="6D7859DF" w14:textId="77777777" w:rsidR="00F62238" w:rsidRPr="00CA7855" w:rsidRDefault="00F62238" w:rsidP="00F62238">
      <w:pPr>
        <w:pStyle w:val="BodyText"/>
      </w:pPr>
    </w:p>
    <w:p w14:paraId="3D1CACE2" w14:textId="3D62413B" w:rsidR="00F62238" w:rsidRPr="00CA7855" w:rsidRDefault="0031651D" w:rsidP="00F62238">
      <w:pPr>
        <w:pStyle w:val="Titlepagesubtitle"/>
      </w:pPr>
      <w:r>
        <w:t>October</w:t>
      </w:r>
      <w:r w:rsidR="00D32FA8">
        <w:t xml:space="preserve"> 2019</w:t>
      </w:r>
    </w:p>
    <w:p w14:paraId="10213119" w14:textId="77777777" w:rsidR="00F62238" w:rsidRPr="00CA7855" w:rsidRDefault="00F62238" w:rsidP="00F62238">
      <w:pPr>
        <w:pStyle w:val="BodyText"/>
      </w:pPr>
    </w:p>
    <w:p w14:paraId="64653B23" w14:textId="77777777" w:rsidR="005913F7" w:rsidRPr="00CA7855" w:rsidRDefault="005913F7" w:rsidP="00703089">
      <w:pPr>
        <w:pStyle w:val="PseudoHeading1"/>
      </w:pPr>
      <w:r w:rsidRPr="00CA7855">
        <w:lastRenderedPageBreak/>
        <w:t>About ACTCOSS</w:t>
      </w:r>
    </w:p>
    <w:p w14:paraId="1A9A8A41" w14:textId="77777777" w:rsidR="00DD3314" w:rsidRDefault="00DD3314" w:rsidP="00DD3314">
      <w:pPr>
        <w:pStyle w:val="Frontmatter"/>
      </w:pPr>
      <w:r>
        <w:t>ACTCOSS acknowledges Canberra has been built on the land of the Ngunnawal people. We pay respects to their Elders and recognise the strength and resilience of Aboriginal and Torres Strait Islander peoples. We celebrate Aboriginal and Torres Strait Islander cultures and ongoing contribution to the ACT community.</w:t>
      </w:r>
    </w:p>
    <w:p w14:paraId="35B69F9A" w14:textId="7C7F1B7D" w:rsidR="00DD3314" w:rsidRDefault="00DD3314" w:rsidP="00DD3314">
      <w:pPr>
        <w:pStyle w:val="Frontmatter"/>
      </w:pPr>
      <w:r>
        <w:t xml:space="preserve">The ACT Council of Social Service Inc. (ACTCOSS) </w:t>
      </w:r>
      <w:r w:rsidR="0064648F">
        <w:t xml:space="preserve">advocates for social justice and </w:t>
      </w:r>
      <w:r>
        <w:t>represents not-for-profit community organisations in the ACT.</w:t>
      </w:r>
    </w:p>
    <w:p w14:paraId="3A15B56E" w14:textId="77777777" w:rsidR="00DD3314" w:rsidRDefault="00DD3314" w:rsidP="00DD3314">
      <w:pPr>
        <w:pStyle w:val="Frontmatter"/>
      </w:pPr>
      <w:r>
        <w:t>ACTCOSS is a member of the nationwide COSS Network, made up of each of the state and territory Councils and the national body, the Australian Council of Social Service (ACOSS).</w:t>
      </w:r>
    </w:p>
    <w:p w14:paraId="6DDE18AC" w14:textId="77777777" w:rsidR="00DD3314" w:rsidRDefault="00DD3314" w:rsidP="00DD3314">
      <w:pPr>
        <w:pStyle w:val="Frontmatter"/>
      </w:pPr>
      <w:r>
        <w:t>ACTCOSS’ vision is for Canberra to be a just, safe and sustainable community in which everyone has the opportunity for self-determination and a fair share of resources and services.</w:t>
      </w:r>
    </w:p>
    <w:p w14:paraId="7C6564E8" w14:textId="77777777" w:rsidR="00DD3314" w:rsidRDefault="00DD3314" w:rsidP="00DD3314">
      <w:pPr>
        <w:pStyle w:val="Frontmatter"/>
      </w:pPr>
      <w:r>
        <w:t>The membership of the Council includes the majority of community-based service providers in the social welfare area, a range of community associations and networks, self-help and consumer groups and interested individuals.</w:t>
      </w:r>
    </w:p>
    <w:p w14:paraId="58DD242C" w14:textId="77777777" w:rsidR="005913F7" w:rsidRDefault="00DD3314" w:rsidP="00DD3314">
      <w:pPr>
        <w:pStyle w:val="Frontmatter"/>
      </w:pPr>
      <w:r>
        <w:t>ACTCOSS advises that this document may be publicly distributed, including by placing a copy on our website.</w:t>
      </w:r>
    </w:p>
    <w:p w14:paraId="36C18A9F" w14:textId="77777777" w:rsidR="005913F7" w:rsidRPr="00CA7855" w:rsidRDefault="005913F7" w:rsidP="005913F7">
      <w:pPr>
        <w:pStyle w:val="Frontmatter"/>
        <w:rPr>
          <w:rStyle w:val="Bold"/>
        </w:rPr>
      </w:pPr>
      <w:r w:rsidRPr="00CA7855">
        <w:rPr>
          <w:rStyle w:val="Bold"/>
        </w:rPr>
        <w:t>Contact Details</w:t>
      </w:r>
    </w:p>
    <w:p w14:paraId="39EFB90C" w14:textId="77777777" w:rsidR="004F6015" w:rsidRPr="001D19C8" w:rsidRDefault="004F6015" w:rsidP="004F6015">
      <w:pPr>
        <w:pStyle w:val="Frontmatter"/>
      </w:pPr>
      <w:r w:rsidRPr="001D19C8">
        <w:t>Phone:</w:t>
      </w:r>
      <w:r w:rsidRPr="001D19C8">
        <w:tab/>
      </w:r>
      <w:r w:rsidRPr="001D19C8">
        <w:tab/>
        <w:t>02 6202 7200</w:t>
      </w:r>
      <w:r w:rsidRPr="001D19C8">
        <w:br/>
      </w:r>
      <w:r w:rsidR="00D5570A">
        <w:t>Address</w:t>
      </w:r>
      <w:r w:rsidRPr="001D19C8">
        <w:t>:</w:t>
      </w:r>
      <w:r w:rsidRPr="001D19C8">
        <w:tab/>
      </w:r>
      <w:r w:rsidRPr="001D19C8">
        <w:tab/>
      </w:r>
      <w:r w:rsidR="00D5570A" w:rsidRPr="001D19C8">
        <w:t>Weston Community Hub, 1/6 Gritten St, Weston ACT 2611</w:t>
      </w:r>
      <w:r w:rsidRPr="001D19C8">
        <w:br/>
        <w:t>Email:</w:t>
      </w:r>
      <w:r w:rsidRPr="001D19C8">
        <w:tab/>
      </w:r>
      <w:r w:rsidRPr="001D19C8">
        <w:tab/>
      </w:r>
      <w:r w:rsidRPr="001D19C8">
        <w:tab/>
      </w:r>
      <w:hyperlink r:id="rId13" w:history="1">
        <w:r w:rsidRPr="001D19C8">
          <w:rPr>
            <w:rStyle w:val="Hyperlink"/>
          </w:rPr>
          <w:t>actcoss@actcoss.org.au</w:t>
        </w:r>
      </w:hyperlink>
      <w:r w:rsidRPr="001D19C8">
        <w:t xml:space="preserve">  </w:t>
      </w:r>
      <w:r w:rsidRPr="001D19C8">
        <w:br/>
        <w:t xml:space="preserve">Web:  </w:t>
      </w:r>
      <w:r w:rsidRPr="001D19C8">
        <w:tab/>
      </w:r>
      <w:r w:rsidRPr="001D19C8">
        <w:tab/>
      </w:r>
      <w:hyperlink r:id="rId14" w:history="1">
        <w:r w:rsidR="00DD3314">
          <w:rPr>
            <w:rStyle w:val="Hyperlink"/>
          </w:rPr>
          <w:t>actcoss.org.au</w:t>
        </w:r>
      </w:hyperlink>
      <w:r w:rsidRPr="001D19C8">
        <w:tab/>
      </w:r>
      <w:r w:rsidRPr="001D19C8">
        <w:tab/>
      </w:r>
    </w:p>
    <w:p w14:paraId="3C9ADF8B" w14:textId="0D15C255" w:rsidR="004F6015" w:rsidRPr="001D19C8" w:rsidRDefault="007B039E" w:rsidP="004F6015">
      <w:pPr>
        <w:pStyle w:val="Frontmatter"/>
      </w:pPr>
      <w:r>
        <w:t>CEO</w:t>
      </w:r>
      <w:r w:rsidR="004F6015" w:rsidRPr="001D19C8">
        <w:t>:</w:t>
      </w:r>
      <w:r w:rsidR="004F6015" w:rsidRPr="001D19C8">
        <w:tab/>
      </w:r>
      <w:r w:rsidR="004F6015" w:rsidRPr="001D19C8">
        <w:tab/>
      </w:r>
      <w:r>
        <w:tab/>
      </w:r>
      <w:r w:rsidR="004F6015">
        <w:t>Susan Helyar</w:t>
      </w:r>
      <w:r w:rsidR="004F6015" w:rsidRPr="001D19C8">
        <w:tab/>
      </w:r>
      <w:r w:rsidR="004F6015" w:rsidRPr="001D19C8">
        <w:tab/>
      </w:r>
      <w:r w:rsidR="004F6015" w:rsidRPr="001D19C8">
        <w:tab/>
      </w:r>
      <w:r w:rsidR="004F6015" w:rsidRPr="001D19C8">
        <w:br/>
        <w:t>Policy Officer:</w:t>
      </w:r>
      <w:r w:rsidR="004F6015" w:rsidRPr="001D19C8">
        <w:tab/>
      </w:r>
      <w:r w:rsidR="00D32FA8">
        <w:t>Geoff Buchanan</w:t>
      </w:r>
    </w:p>
    <w:p w14:paraId="1C7EBDB3" w14:textId="77777777" w:rsidR="005913F7" w:rsidRPr="00CA7855" w:rsidRDefault="005913F7" w:rsidP="005913F7">
      <w:pPr>
        <w:pStyle w:val="Frontmatter"/>
      </w:pPr>
    </w:p>
    <w:p w14:paraId="45404C93" w14:textId="440C0961" w:rsidR="005913F7" w:rsidRPr="00CA7855" w:rsidRDefault="002C6FB8" w:rsidP="005913F7">
      <w:pPr>
        <w:pStyle w:val="Frontmatter"/>
      </w:pPr>
      <w:r>
        <w:t>October</w:t>
      </w:r>
      <w:r w:rsidR="00D32FA8">
        <w:t xml:space="preserve"> 2019</w:t>
      </w:r>
    </w:p>
    <w:p w14:paraId="4EC6875B" w14:textId="4FC514E2" w:rsidR="005913F7" w:rsidRPr="00CA7855" w:rsidRDefault="005913F7" w:rsidP="005913F7">
      <w:pPr>
        <w:pStyle w:val="Frontmatter"/>
      </w:pPr>
      <w:r w:rsidRPr="00CA7855">
        <w:t xml:space="preserve">ISBN </w:t>
      </w:r>
      <w:r w:rsidR="003A2167" w:rsidRPr="003A2167">
        <w:t>978-1-876632-80-9</w:t>
      </w:r>
      <w:r w:rsidRPr="00CA7855">
        <w:t xml:space="preserve"> </w:t>
      </w:r>
      <w:r w:rsidRPr="00CA7855">
        <w:br/>
        <w:t>© Copyright ACT Council of Social Service Incorporated</w:t>
      </w:r>
    </w:p>
    <w:p w14:paraId="314393BD" w14:textId="7CE2BD47" w:rsidR="001B2FCD" w:rsidRDefault="005913F7" w:rsidP="005913F7">
      <w:pPr>
        <w:pStyle w:val="Frontmatter"/>
      </w:pPr>
      <w:r w:rsidRPr="00CA7855">
        <w:t xml:space="preserve">This publication is copyright, apart from use by those agencies for which it has been produced. Non-profit associations and groups have permission to reproduce parts of this publication as long as the original meaning is retained and proper credit is given to the ACT Council of Social Service Inc (ACTCOSS). All other individuals and Agencies seeking to reproduce material from this publication should obtain the permission of the </w:t>
      </w:r>
      <w:r w:rsidR="007B039E">
        <w:t>CEO</w:t>
      </w:r>
      <w:r w:rsidRPr="00CA7855">
        <w:t xml:space="preserve"> of ACTCOSS.</w:t>
      </w:r>
    </w:p>
    <w:p w14:paraId="08877FCC" w14:textId="77777777" w:rsidR="000622B1" w:rsidRDefault="000622B1" w:rsidP="005913F7">
      <w:pPr>
        <w:pStyle w:val="Frontmatter"/>
      </w:pPr>
    </w:p>
    <w:p w14:paraId="513E692F" w14:textId="7F432EC8" w:rsidR="0010017B" w:rsidRDefault="00FB1249" w:rsidP="005913F7">
      <w:pPr>
        <w:pStyle w:val="Frontmatter"/>
      </w:pPr>
      <w:r w:rsidRPr="00F018A8">
        <w:t xml:space="preserve">This </w:t>
      </w:r>
      <w:r w:rsidR="00272FB9" w:rsidRPr="00F018A8">
        <w:t>report was commissioned</w:t>
      </w:r>
      <w:r w:rsidRPr="00F018A8">
        <w:t xml:space="preserve"> by Evoenergy</w:t>
      </w:r>
      <w:r w:rsidR="00992ADB" w:rsidRPr="00F018A8">
        <w:t>.</w:t>
      </w:r>
    </w:p>
    <w:p w14:paraId="62561321" w14:textId="77777777" w:rsidR="005913F7" w:rsidRPr="00CA7855" w:rsidRDefault="00AB255D" w:rsidP="00703089">
      <w:pPr>
        <w:pStyle w:val="PseudoHeading1"/>
      </w:pPr>
      <w:r w:rsidRPr="00CA7855">
        <w:lastRenderedPageBreak/>
        <w:t>Table of contents</w:t>
      </w:r>
    </w:p>
    <w:p w14:paraId="1C150A72" w14:textId="28718B13" w:rsidR="003B5E1C" w:rsidRDefault="00AB255D">
      <w:pPr>
        <w:pStyle w:val="TOC1"/>
        <w:rPr>
          <w:rFonts w:asciiTheme="minorHAnsi" w:eastAsiaTheme="minorEastAsia" w:hAnsiTheme="minorHAnsi" w:cstheme="minorBidi"/>
          <w:b w:val="0"/>
          <w:noProof/>
          <w:sz w:val="22"/>
          <w:lang w:eastAsia="en-AU"/>
        </w:rPr>
      </w:pPr>
      <w:r w:rsidRPr="00CA7855">
        <w:fldChar w:fldCharType="begin"/>
      </w:r>
      <w:r w:rsidRPr="00CA7855">
        <w:instrText xml:space="preserve"> TOC \o "1-3" \h \z \u </w:instrText>
      </w:r>
      <w:r w:rsidRPr="00CA7855">
        <w:fldChar w:fldCharType="separate"/>
      </w:r>
      <w:hyperlink w:anchor="_Toc25308945" w:history="1">
        <w:r w:rsidR="003B5E1C" w:rsidRPr="00EE4477">
          <w:rPr>
            <w:rStyle w:val="Hyperlink"/>
            <w:noProof/>
          </w:rPr>
          <w:t>Acronyms</w:t>
        </w:r>
        <w:r w:rsidR="003B5E1C">
          <w:rPr>
            <w:noProof/>
            <w:webHidden/>
          </w:rPr>
          <w:tab/>
        </w:r>
        <w:r w:rsidR="003B5E1C">
          <w:rPr>
            <w:noProof/>
            <w:webHidden/>
          </w:rPr>
          <w:fldChar w:fldCharType="begin"/>
        </w:r>
        <w:r w:rsidR="003B5E1C">
          <w:rPr>
            <w:noProof/>
            <w:webHidden/>
          </w:rPr>
          <w:instrText xml:space="preserve"> PAGEREF _Toc25308945 \h </w:instrText>
        </w:r>
        <w:r w:rsidR="003B5E1C">
          <w:rPr>
            <w:noProof/>
            <w:webHidden/>
          </w:rPr>
        </w:r>
        <w:r w:rsidR="003B5E1C">
          <w:rPr>
            <w:noProof/>
            <w:webHidden/>
          </w:rPr>
          <w:fldChar w:fldCharType="separate"/>
        </w:r>
        <w:r w:rsidR="003B5E1C">
          <w:rPr>
            <w:noProof/>
            <w:webHidden/>
          </w:rPr>
          <w:t>4</w:t>
        </w:r>
        <w:r w:rsidR="003B5E1C">
          <w:rPr>
            <w:noProof/>
            <w:webHidden/>
          </w:rPr>
          <w:fldChar w:fldCharType="end"/>
        </w:r>
      </w:hyperlink>
    </w:p>
    <w:p w14:paraId="6E3E7EAB" w14:textId="500C8475" w:rsidR="003B5E1C" w:rsidRDefault="00C6262C">
      <w:pPr>
        <w:pStyle w:val="TOC1"/>
        <w:rPr>
          <w:rFonts w:asciiTheme="minorHAnsi" w:eastAsiaTheme="minorEastAsia" w:hAnsiTheme="minorHAnsi" w:cstheme="minorBidi"/>
          <w:b w:val="0"/>
          <w:noProof/>
          <w:sz w:val="22"/>
          <w:lang w:eastAsia="en-AU"/>
        </w:rPr>
      </w:pPr>
      <w:hyperlink w:anchor="_Toc25308946" w:history="1">
        <w:r w:rsidR="003B5E1C" w:rsidRPr="00EE4477">
          <w:rPr>
            <w:rStyle w:val="Hyperlink"/>
            <w:noProof/>
          </w:rPr>
          <w:t>Introduction</w:t>
        </w:r>
        <w:r w:rsidR="003B5E1C">
          <w:rPr>
            <w:noProof/>
            <w:webHidden/>
          </w:rPr>
          <w:tab/>
        </w:r>
        <w:r w:rsidR="003B5E1C">
          <w:rPr>
            <w:noProof/>
            <w:webHidden/>
          </w:rPr>
          <w:fldChar w:fldCharType="begin"/>
        </w:r>
        <w:r w:rsidR="003B5E1C">
          <w:rPr>
            <w:noProof/>
            <w:webHidden/>
          </w:rPr>
          <w:instrText xml:space="preserve"> PAGEREF _Toc25308946 \h </w:instrText>
        </w:r>
        <w:r w:rsidR="003B5E1C">
          <w:rPr>
            <w:noProof/>
            <w:webHidden/>
          </w:rPr>
        </w:r>
        <w:r w:rsidR="003B5E1C">
          <w:rPr>
            <w:noProof/>
            <w:webHidden/>
          </w:rPr>
          <w:fldChar w:fldCharType="separate"/>
        </w:r>
        <w:r w:rsidR="003B5E1C">
          <w:rPr>
            <w:noProof/>
            <w:webHidden/>
          </w:rPr>
          <w:t>5</w:t>
        </w:r>
        <w:r w:rsidR="003B5E1C">
          <w:rPr>
            <w:noProof/>
            <w:webHidden/>
          </w:rPr>
          <w:fldChar w:fldCharType="end"/>
        </w:r>
      </w:hyperlink>
    </w:p>
    <w:p w14:paraId="6E8E5C5B" w14:textId="36DD5A2C" w:rsidR="003B5E1C" w:rsidRDefault="00C6262C">
      <w:pPr>
        <w:pStyle w:val="TOC1"/>
        <w:rPr>
          <w:rFonts w:asciiTheme="minorHAnsi" w:eastAsiaTheme="minorEastAsia" w:hAnsiTheme="minorHAnsi" w:cstheme="minorBidi"/>
          <w:b w:val="0"/>
          <w:noProof/>
          <w:sz w:val="22"/>
          <w:lang w:eastAsia="en-AU"/>
        </w:rPr>
      </w:pPr>
      <w:hyperlink w:anchor="_Toc25308947" w:history="1">
        <w:r w:rsidR="003B5E1C" w:rsidRPr="00EE4477">
          <w:rPr>
            <w:rStyle w:val="Hyperlink"/>
            <w:noProof/>
          </w:rPr>
          <w:t>Key issues and information needs</w:t>
        </w:r>
        <w:r w:rsidR="003B5E1C">
          <w:rPr>
            <w:noProof/>
            <w:webHidden/>
          </w:rPr>
          <w:tab/>
        </w:r>
        <w:r w:rsidR="003B5E1C">
          <w:rPr>
            <w:noProof/>
            <w:webHidden/>
          </w:rPr>
          <w:fldChar w:fldCharType="begin"/>
        </w:r>
        <w:r w:rsidR="003B5E1C">
          <w:rPr>
            <w:noProof/>
            <w:webHidden/>
          </w:rPr>
          <w:instrText xml:space="preserve"> PAGEREF _Toc25308947 \h </w:instrText>
        </w:r>
        <w:r w:rsidR="003B5E1C">
          <w:rPr>
            <w:noProof/>
            <w:webHidden/>
          </w:rPr>
        </w:r>
        <w:r w:rsidR="003B5E1C">
          <w:rPr>
            <w:noProof/>
            <w:webHidden/>
          </w:rPr>
          <w:fldChar w:fldCharType="separate"/>
        </w:r>
        <w:r w:rsidR="003B5E1C">
          <w:rPr>
            <w:noProof/>
            <w:webHidden/>
          </w:rPr>
          <w:t>6</w:t>
        </w:r>
        <w:r w:rsidR="003B5E1C">
          <w:rPr>
            <w:noProof/>
            <w:webHidden/>
          </w:rPr>
          <w:fldChar w:fldCharType="end"/>
        </w:r>
      </w:hyperlink>
    </w:p>
    <w:p w14:paraId="667A012C" w14:textId="726625BE" w:rsidR="003B5E1C" w:rsidRDefault="00C6262C">
      <w:pPr>
        <w:pStyle w:val="TOC2"/>
        <w:rPr>
          <w:rFonts w:asciiTheme="minorHAnsi" w:eastAsiaTheme="minorEastAsia" w:hAnsiTheme="minorHAnsi" w:cstheme="minorBidi"/>
          <w:noProof/>
          <w:sz w:val="22"/>
          <w:lang w:eastAsia="en-AU"/>
        </w:rPr>
      </w:pPr>
      <w:hyperlink w:anchor="_Toc25308948" w:history="1">
        <w:r w:rsidR="003B5E1C" w:rsidRPr="00EE4477">
          <w:rPr>
            <w:rStyle w:val="Hyperlink"/>
            <w:noProof/>
          </w:rPr>
          <w:t>Impacts on gas prices and affordability</w:t>
        </w:r>
        <w:r w:rsidR="003B5E1C">
          <w:rPr>
            <w:noProof/>
            <w:webHidden/>
          </w:rPr>
          <w:tab/>
        </w:r>
        <w:r w:rsidR="003B5E1C">
          <w:rPr>
            <w:noProof/>
            <w:webHidden/>
          </w:rPr>
          <w:fldChar w:fldCharType="begin"/>
        </w:r>
        <w:r w:rsidR="003B5E1C">
          <w:rPr>
            <w:noProof/>
            <w:webHidden/>
          </w:rPr>
          <w:instrText xml:space="preserve"> PAGEREF _Toc25308948 \h </w:instrText>
        </w:r>
        <w:r w:rsidR="003B5E1C">
          <w:rPr>
            <w:noProof/>
            <w:webHidden/>
          </w:rPr>
        </w:r>
        <w:r w:rsidR="003B5E1C">
          <w:rPr>
            <w:noProof/>
            <w:webHidden/>
          </w:rPr>
          <w:fldChar w:fldCharType="separate"/>
        </w:r>
        <w:r w:rsidR="003B5E1C">
          <w:rPr>
            <w:noProof/>
            <w:webHidden/>
          </w:rPr>
          <w:t>6</w:t>
        </w:r>
        <w:r w:rsidR="003B5E1C">
          <w:rPr>
            <w:noProof/>
            <w:webHidden/>
          </w:rPr>
          <w:fldChar w:fldCharType="end"/>
        </w:r>
      </w:hyperlink>
    </w:p>
    <w:p w14:paraId="718BE766" w14:textId="65C42A82" w:rsidR="003B5E1C" w:rsidRDefault="00C6262C">
      <w:pPr>
        <w:pStyle w:val="TOC3"/>
        <w:rPr>
          <w:rFonts w:asciiTheme="minorHAnsi" w:eastAsiaTheme="minorEastAsia" w:hAnsiTheme="minorHAnsi" w:cstheme="minorBidi"/>
          <w:noProof/>
          <w:sz w:val="22"/>
          <w:lang w:eastAsia="en-AU"/>
        </w:rPr>
      </w:pPr>
      <w:hyperlink w:anchor="_Toc25308949" w:history="1">
        <w:r w:rsidR="003B5E1C" w:rsidRPr="00EE4477">
          <w:rPr>
            <w:rStyle w:val="Hyperlink"/>
            <w:noProof/>
          </w:rPr>
          <w:t>Gas vs electricity: cost and customer preferences</w:t>
        </w:r>
        <w:r w:rsidR="003B5E1C">
          <w:rPr>
            <w:noProof/>
            <w:webHidden/>
          </w:rPr>
          <w:tab/>
        </w:r>
        <w:r w:rsidR="003B5E1C">
          <w:rPr>
            <w:noProof/>
            <w:webHidden/>
          </w:rPr>
          <w:fldChar w:fldCharType="begin"/>
        </w:r>
        <w:r w:rsidR="003B5E1C">
          <w:rPr>
            <w:noProof/>
            <w:webHidden/>
          </w:rPr>
          <w:instrText xml:space="preserve"> PAGEREF _Toc25308949 \h </w:instrText>
        </w:r>
        <w:r w:rsidR="003B5E1C">
          <w:rPr>
            <w:noProof/>
            <w:webHidden/>
          </w:rPr>
        </w:r>
        <w:r w:rsidR="003B5E1C">
          <w:rPr>
            <w:noProof/>
            <w:webHidden/>
          </w:rPr>
          <w:fldChar w:fldCharType="separate"/>
        </w:r>
        <w:r w:rsidR="003B5E1C">
          <w:rPr>
            <w:noProof/>
            <w:webHidden/>
          </w:rPr>
          <w:t>7</w:t>
        </w:r>
        <w:r w:rsidR="003B5E1C">
          <w:rPr>
            <w:noProof/>
            <w:webHidden/>
          </w:rPr>
          <w:fldChar w:fldCharType="end"/>
        </w:r>
      </w:hyperlink>
    </w:p>
    <w:p w14:paraId="1F391BE8" w14:textId="7EA3B606" w:rsidR="003B5E1C" w:rsidRDefault="00C6262C">
      <w:pPr>
        <w:pStyle w:val="TOC3"/>
        <w:rPr>
          <w:rFonts w:asciiTheme="minorHAnsi" w:eastAsiaTheme="minorEastAsia" w:hAnsiTheme="minorHAnsi" w:cstheme="minorBidi"/>
          <w:noProof/>
          <w:sz w:val="22"/>
          <w:lang w:eastAsia="en-AU"/>
        </w:rPr>
      </w:pPr>
      <w:hyperlink w:anchor="_Toc25308950" w:history="1">
        <w:r w:rsidR="003B5E1C" w:rsidRPr="00EE4477">
          <w:rPr>
            <w:rStyle w:val="Hyperlink"/>
            <w:noProof/>
          </w:rPr>
          <w:t>Connection fees for low-income households</w:t>
        </w:r>
        <w:r w:rsidR="003B5E1C">
          <w:rPr>
            <w:noProof/>
            <w:webHidden/>
          </w:rPr>
          <w:tab/>
        </w:r>
        <w:r w:rsidR="003B5E1C">
          <w:rPr>
            <w:noProof/>
            <w:webHidden/>
          </w:rPr>
          <w:fldChar w:fldCharType="begin"/>
        </w:r>
        <w:r w:rsidR="003B5E1C">
          <w:rPr>
            <w:noProof/>
            <w:webHidden/>
          </w:rPr>
          <w:instrText xml:space="preserve"> PAGEREF _Toc25308950 \h </w:instrText>
        </w:r>
        <w:r w:rsidR="003B5E1C">
          <w:rPr>
            <w:noProof/>
            <w:webHidden/>
          </w:rPr>
        </w:r>
        <w:r w:rsidR="003B5E1C">
          <w:rPr>
            <w:noProof/>
            <w:webHidden/>
          </w:rPr>
          <w:fldChar w:fldCharType="separate"/>
        </w:r>
        <w:r w:rsidR="003B5E1C">
          <w:rPr>
            <w:noProof/>
            <w:webHidden/>
          </w:rPr>
          <w:t>8</w:t>
        </w:r>
        <w:r w:rsidR="003B5E1C">
          <w:rPr>
            <w:noProof/>
            <w:webHidden/>
          </w:rPr>
          <w:fldChar w:fldCharType="end"/>
        </w:r>
      </w:hyperlink>
    </w:p>
    <w:p w14:paraId="6CF063D4" w14:textId="1C7026C5" w:rsidR="003B5E1C" w:rsidRDefault="00C6262C">
      <w:pPr>
        <w:pStyle w:val="TOC3"/>
        <w:rPr>
          <w:rFonts w:asciiTheme="minorHAnsi" w:eastAsiaTheme="minorEastAsia" w:hAnsiTheme="minorHAnsi" w:cstheme="minorBidi"/>
          <w:noProof/>
          <w:sz w:val="22"/>
          <w:lang w:eastAsia="en-AU"/>
        </w:rPr>
      </w:pPr>
      <w:hyperlink w:anchor="_Toc25308951" w:history="1">
        <w:r w:rsidR="003B5E1C" w:rsidRPr="00EE4477">
          <w:rPr>
            <w:rStyle w:val="Hyperlink"/>
            <w:noProof/>
          </w:rPr>
          <w:t>Energy hardship data</w:t>
        </w:r>
        <w:r w:rsidR="003B5E1C">
          <w:rPr>
            <w:noProof/>
            <w:webHidden/>
          </w:rPr>
          <w:tab/>
        </w:r>
        <w:r w:rsidR="003B5E1C">
          <w:rPr>
            <w:noProof/>
            <w:webHidden/>
          </w:rPr>
          <w:fldChar w:fldCharType="begin"/>
        </w:r>
        <w:r w:rsidR="003B5E1C">
          <w:rPr>
            <w:noProof/>
            <w:webHidden/>
          </w:rPr>
          <w:instrText xml:space="preserve"> PAGEREF _Toc25308951 \h </w:instrText>
        </w:r>
        <w:r w:rsidR="003B5E1C">
          <w:rPr>
            <w:noProof/>
            <w:webHidden/>
          </w:rPr>
        </w:r>
        <w:r w:rsidR="003B5E1C">
          <w:rPr>
            <w:noProof/>
            <w:webHidden/>
          </w:rPr>
          <w:fldChar w:fldCharType="separate"/>
        </w:r>
        <w:r w:rsidR="003B5E1C">
          <w:rPr>
            <w:noProof/>
            <w:webHidden/>
          </w:rPr>
          <w:t>8</w:t>
        </w:r>
        <w:r w:rsidR="003B5E1C">
          <w:rPr>
            <w:noProof/>
            <w:webHidden/>
          </w:rPr>
          <w:fldChar w:fldCharType="end"/>
        </w:r>
      </w:hyperlink>
    </w:p>
    <w:p w14:paraId="5D329FF8" w14:textId="3E28A1CD" w:rsidR="003B5E1C" w:rsidRDefault="00C6262C">
      <w:pPr>
        <w:pStyle w:val="TOC1"/>
        <w:rPr>
          <w:rFonts w:asciiTheme="minorHAnsi" w:eastAsiaTheme="minorEastAsia" w:hAnsiTheme="minorHAnsi" w:cstheme="minorBidi"/>
          <w:b w:val="0"/>
          <w:noProof/>
          <w:sz w:val="22"/>
          <w:lang w:eastAsia="en-AU"/>
        </w:rPr>
      </w:pPr>
      <w:hyperlink w:anchor="_Toc25308952" w:history="1">
        <w:r w:rsidR="003B5E1C" w:rsidRPr="00EE4477">
          <w:rPr>
            <w:rStyle w:val="Hyperlink"/>
            <w:noProof/>
          </w:rPr>
          <w:t>The access arrangement review</w:t>
        </w:r>
        <w:r w:rsidR="003B5E1C">
          <w:rPr>
            <w:noProof/>
            <w:webHidden/>
          </w:rPr>
          <w:tab/>
        </w:r>
        <w:r w:rsidR="003B5E1C">
          <w:rPr>
            <w:noProof/>
            <w:webHidden/>
          </w:rPr>
          <w:fldChar w:fldCharType="begin"/>
        </w:r>
        <w:r w:rsidR="003B5E1C">
          <w:rPr>
            <w:noProof/>
            <w:webHidden/>
          </w:rPr>
          <w:instrText xml:space="preserve"> PAGEREF _Toc25308952 \h </w:instrText>
        </w:r>
        <w:r w:rsidR="003B5E1C">
          <w:rPr>
            <w:noProof/>
            <w:webHidden/>
          </w:rPr>
        </w:r>
        <w:r w:rsidR="003B5E1C">
          <w:rPr>
            <w:noProof/>
            <w:webHidden/>
          </w:rPr>
          <w:fldChar w:fldCharType="separate"/>
        </w:r>
        <w:r w:rsidR="003B5E1C">
          <w:rPr>
            <w:noProof/>
            <w:webHidden/>
          </w:rPr>
          <w:t>8</w:t>
        </w:r>
        <w:r w:rsidR="003B5E1C">
          <w:rPr>
            <w:noProof/>
            <w:webHidden/>
          </w:rPr>
          <w:fldChar w:fldCharType="end"/>
        </w:r>
      </w:hyperlink>
    </w:p>
    <w:p w14:paraId="7A2FD2EB" w14:textId="5865994F" w:rsidR="003B5E1C" w:rsidRDefault="00C6262C">
      <w:pPr>
        <w:pStyle w:val="TOC2"/>
        <w:rPr>
          <w:rFonts w:asciiTheme="minorHAnsi" w:eastAsiaTheme="minorEastAsia" w:hAnsiTheme="minorHAnsi" w:cstheme="minorBidi"/>
          <w:noProof/>
          <w:sz w:val="22"/>
          <w:lang w:eastAsia="en-AU"/>
        </w:rPr>
      </w:pPr>
      <w:hyperlink w:anchor="_Toc25308953" w:history="1">
        <w:r w:rsidR="003B5E1C" w:rsidRPr="00EE4477">
          <w:rPr>
            <w:rStyle w:val="Hyperlink"/>
            <w:noProof/>
          </w:rPr>
          <w:t>How network charges are calculated: AER building block model</w:t>
        </w:r>
        <w:r w:rsidR="003B5E1C">
          <w:rPr>
            <w:noProof/>
            <w:webHidden/>
          </w:rPr>
          <w:tab/>
        </w:r>
        <w:r w:rsidR="003B5E1C">
          <w:rPr>
            <w:noProof/>
            <w:webHidden/>
          </w:rPr>
          <w:fldChar w:fldCharType="begin"/>
        </w:r>
        <w:r w:rsidR="003B5E1C">
          <w:rPr>
            <w:noProof/>
            <w:webHidden/>
          </w:rPr>
          <w:instrText xml:space="preserve"> PAGEREF _Toc25308953 \h </w:instrText>
        </w:r>
        <w:r w:rsidR="003B5E1C">
          <w:rPr>
            <w:noProof/>
            <w:webHidden/>
          </w:rPr>
        </w:r>
        <w:r w:rsidR="003B5E1C">
          <w:rPr>
            <w:noProof/>
            <w:webHidden/>
          </w:rPr>
          <w:fldChar w:fldCharType="separate"/>
        </w:r>
        <w:r w:rsidR="003B5E1C">
          <w:rPr>
            <w:noProof/>
            <w:webHidden/>
          </w:rPr>
          <w:t>8</w:t>
        </w:r>
        <w:r w:rsidR="003B5E1C">
          <w:rPr>
            <w:noProof/>
            <w:webHidden/>
          </w:rPr>
          <w:fldChar w:fldCharType="end"/>
        </w:r>
      </w:hyperlink>
    </w:p>
    <w:p w14:paraId="17BB7BCF" w14:textId="3E4B24F4" w:rsidR="003B5E1C" w:rsidRDefault="00C6262C">
      <w:pPr>
        <w:pStyle w:val="TOC3"/>
        <w:rPr>
          <w:rFonts w:asciiTheme="minorHAnsi" w:eastAsiaTheme="minorEastAsia" w:hAnsiTheme="minorHAnsi" w:cstheme="minorBidi"/>
          <w:noProof/>
          <w:sz w:val="22"/>
          <w:lang w:eastAsia="en-AU"/>
        </w:rPr>
      </w:pPr>
      <w:hyperlink w:anchor="_Toc25308954" w:history="1">
        <w:r w:rsidR="003B5E1C" w:rsidRPr="00EE4477">
          <w:rPr>
            <w:rStyle w:val="Hyperlink"/>
            <w:noProof/>
          </w:rPr>
          <w:t>Operating and capital expenditure</w:t>
        </w:r>
        <w:r w:rsidR="003B5E1C">
          <w:rPr>
            <w:noProof/>
            <w:webHidden/>
          </w:rPr>
          <w:tab/>
        </w:r>
        <w:r w:rsidR="003B5E1C">
          <w:rPr>
            <w:noProof/>
            <w:webHidden/>
          </w:rPr>
          <w:fldChar w:fldCharType="begin"/>
        </w:r>
        <w:r w:rsidR="003B5E1C">
          <w:rPr>
            <w:noProof/>
            <w:webHidden/>
          </w:rPr>
          <w:instrText xml:space="preserve"> PAGEREF _Toc25308954 \h </w:instrText>
        </w:r>
        <w:r w:rsidR="003B5E1C">
          <w:rPr>
            <w:noProof/>
            <w:webHidden/>
          </w:rPr>
        </w:r>
        <w:r w:rsidR="003B5E1C">
          <w:rPr>
            <w:noProof/>
            <w:webHidden/>
          </w:rPr>
          <w:fldChar w:fldCharType="separate"/>
        </w:r>
        <w:r w:rsidR="003B5E1C">
          <w:rPr>
            <w:noProof/>
            <w:webHidden/>
          </w:rPr>
          <w:t>9</w:t>
        </w:r>
        <w:r w:rsidR="003B5E1C">
          <w:rPr>
            <w:noProof/>
            <w:webHidden/>
          </w:rPr>
          <w:fldChar w:fldCharType="end"/>
        </w:r>
      </w:hyperlink>
    </w:p>
    <w:p w14:paraId="0E89602F" w14:textId="3BC5155B" w:rsidR="003B5E1C" w:rsidRDefault="00C6262C">
      <w:pPr>
        <w:pStyle w:val="TOC3"/>
        <w:rPr>
          <w:rFonts w:asciiTheme="minorHAnsi" w:eastAsiaTheme="minorEastAsia" w:hAnsiTheme="minorHAnsi" w:cstheme="minorBidi"/>
          <w:noProof/>
          <w:sz w:val="22"/>
          <w:lang w:eastAsia="en-AU"/>
        </w:rPr>
      </w:pPr>
      <w:hyperlink w:anchor="_Toc25308955" w:history="1">
        <w:r w:rsidR="003B5E1C" w:rsidRPr="00EE4477">
          <w:rPr>
            <w:rStyle w:val="Hyperlink"/>
            <w:noProof/>
          </w:rPr>
          <w:t>Return on capital</w:t>
        </w:r>
        <w:r w:rsidR="003B5E1C">
          <w:rPr>
            <w:noProof/>
            <w:webHidden/>
          </w:rPr>
          <w:tab/>
        </w:r>
        <w:r w:rsidR="003B5E1C">
          <w:rPr>
            <w:noProof/>
            <w:webHidden/>
          </w:rPr>
          <w:fldChar w:fldCharType="begin"/>
        </w:r>
        <w:r w:rsidR="003B5E1C">
          <w:rPr>
            <w:noProof/>
            <w:webHidden/>
          </w:rPr>
          <w:instrText xml:space="preserve"> PAGEREF _Toc25308955 \h </w:instrText>
        </w:r>
        <w:r w:rsidR="003B5E1C">
          <w:rPr>
            <w:noProof/>
            <w:webHidden/>
          </w:rPr>
        </w:r>
        <w:r w:rsidR="003B5E1C">
          <w:rPr>
            <w:noProof/>
            <w:webHidden/>
          </w:rPr>
          <w:fldChar w:fldCharType="separate"/>
        </w:r>
        <w:r w:rsidR="003B5E1C">
          <w:rPr>
            <w:noProof/>
            <w:webHidden/>
          </w:rPr>
          <w:t>9</w:t>
        </w:r>
        <w:r w:rsidR="003B5E1C">
          <w:rPr>
            <w:noProof/>
            <w:webHidden/>
          </w:rPr>
          <w:fldChar w:fldCharType="end"/>
        </w:r>
      </w:hyperlink>
    </w:p>
    <w:p w14:paraId="473BB674" w14:textId="131BAEB1" w:rsidR="003B5E1C" w:rsidRDefault="00C6262C">
      <w:pPr>
        <w:pStyle w:val="TOC3"/>
        <w:rPr>
          <w:rFonts w:asciiTheme="minorHAnsi" w:eastAsiaTheme="minorEastAsia" w:hAnsiTheme="minorHAnsi" w:cstheme="minorBidi"/>
          <w:noProof/>
          <w:sz w:val="22"/>
          <w:lang w:eastAsia="en-AU"/>
        </w:rPr>
      </w:pPr>
      <w:hyperlink w:anchor="_Toc25308956" w:history="1">
        <w:r w:rsidR="003B5E1C" w:rsidRPr="00EE4477">
          <w:rPr>
            <w:rStyle w:val="Hyperlink"/>
            <w:noProof/>
          </w:rPr>
          <w:t>Incentive schemes</w:t>
        </w:r>
        <w:r w:rsidR="003B5E1C">
          <w:rPr>
            <w:noProof/>
            <w:webHidden/>
          </w:rPr>
          <w:tab/>
        </w:r>
        <w:r w:rsidR="003B5E1C">
          <w:rPr>
            <w:noProof/>
            <w:webHidden/>
          </w:rPr>
          <w:fldChar w:fldCharType="begin"/>
        </w:r>
        <w:r w:rsidR="003B5E1C">
          <w:rPr>
            <w:noProof/>
            <w:webHidden/>
          </w:rPr>
          <w:instrText xml:space="preserve"> PAGEREF _Toc25308956 \h </w:instrText>
        </w:r>
        <w:r w:rsidR="003B5E1C">
          <w:rPr>
            <w:noProof/>
            <w:webHidden/>
          </w:rPr>
        </w:r>
        <w:r w:rsidR="003B5E1C">
          <w:rPr>
            <w:noProof/>
            <w:webHidden/>
          </w:rPr>
          <w:fldChar w:fldCharType="separate"/>
        </w:r>
        <w:r w:rsidR="003B5E1C">
          <w:rPr>
            <w:noProof/>
            <w:webHidden/>
          </w:rPr>
          <w:t>10</w:t>
        </w:r>
        <w:r w:rsidR="003B5E1C">
          <w:rPr>
            <w:noProof/>
            <w:webHidden/>
          </w:rPr>
          <w:fldChar w:fldCharType="end"/>
        </w:r>
      </w:hyperlink>
    </w:p>
    <w:p w14:paraId="58D34FA3" w14:textId="0E1E53A5" w:rsidR="003B5E1C" w:rsidRDefault="00C6262C">
      <w:pPr>
        <w:pStyle w:val="TOC3"/>
        <w:rPr>
          <w:rFonts w:asciiTheme="minorHAnsi" w:eastAsiaTheme="minorEastAsia" w:hAnsiTheme="minorHAnsi" w:cstheme="minorBidi"/>
          <w:noProof/>
          <w:sz w:val="22"/>
          <w:lang w:eastAsia="en-AU"/>
        </w:rPr>
      </w:pPr>
      <w:hyperlink w:anchor="_Toc25308957" w:history="1">
        <w:r w:rsidR="003B5E1C" w:rsidRPr="00EE4477">
          <w:rPr>
            <w:rStyle w:val="Hyperlink"/>
            <w:noProof/>
          </w:rPr>
          <w:t>Distribution of costs among consumers: tariffs</w:t>
        </w:r>
        <w:r w:rsidR="003B5E1C">
          <w:rPr>
            <w:noProof/>
            <w:webHidden/>
          </w:rPr>
          <w:tab/>
        </w:r>
        <w:r w:rsidR="003B5E1C">
          <w:rPr>
            <w:noProof/>
            <w:webHidden/>
          </w:rPr>
          <w:fldChar w:fldCharType="begin"/>
        </w:r>
        <w:r w:rsidR="003B5E1C">
          <w:rPr>
            <w:noProof/>
            <w:webHidden/>
          </w:rPr>
          <w:instrText xml:space="preserve"> PAGEREF _Toc25308957 \h </w:instrText>
        </w:r>
        <w:r w:rsidR="003B5E1C">
          <w:rPr>
            <w:noProof/>
            <w:webHidden/>
          </w:rPr>
        </w:r>
        <w:r w:rsidR="003B5E1C">
          <w:rPr>
            <w:noProof/>
            <w:webHidden/>
          </w:rPr>
          <w:fldChar w:fldCharType="separate"/>
        </w:r>
        <w:r w:rsidR="003B5E1C">
          <w:rPr>
            <w:noProof/>
            <w:webHidden/>
          </w:rPr>
          <w:t>10</w:t>
        </w:r>
        <w:r w:rsidR="003B5E1C">
          <w:rPr>
            <w:noProof/>
            <w:webHidden/>
          </w:rPr>
          <w:fldChar w:fldCharType="end"/>
        </w:r>
      </w:hyperlink>
    </w:p>
    <w:p w14:paraId="3DA315B4" w14:textId="18D8E20E" w:rsidR="003B5E1C" w:rsidRDefault="00C6262C">
      <w:pPr>
        <w:pStyle w:val="TOC3"/>
        <w:rPr>
          <w:rFonts w:asciiTheme="minorHAnsi" w:eastAsiaTheme="minorEastAsia" w:hAnsiTheme="minorHAnsi" w:cstheme="minorBidi"/>
          <w:noProof/>
          <w:sz w:val="22"/>
          <w:lang w:eastAsia="en-AU"/>
        </w:rPr>
      </w:pPr>
      <w:hyperlink w:anchor="_Toc25308958" w:history="1">
        <w:r w:rsidR="003B5E1C" w:rsidRPr="00EE4477">
          <w:rPr>
            <w:rStyle w:val="Hyperlink"/>
            <w:noProof/>
          </w:rPr>
          <w:t>Distribution of costs over time: glide path and seasonality</w:t>
        </w:r>
        <w:r w:rsidR="003B5E1C">
          <w:rPr>
            <w:noProof/>
            <w:webHidden/>
          </w:rPr>
          <w:tab/>
        </w:r>
        <w:r w:rsidR="003B5E1C">
          <w:rPr>
            <w:noProof/>
            <w:webHidden/>
          </w:rPr>
          <w:fldChar w:fldCharType="begin"/>
        </w:r>
        <w:r w:rsidR="003B5E1C">
          <w:rPr>
            <w:noProof/>
            <w:webHidden/>
          </w:rPr>
          <w:instrText xml:space="preserve"> PAGEREF _Toc25308958 \h </w:instrText>
        </w:r>
        <w:r w:rsidR="003B5E1C">
          <w:rPr>
            <w:noProof/>
            <w:webHidden/>
          </w:rPr>
        </w:r>
        <w:r w:rsidR="003B5E1C">
          <w:rPr>
            <w:noProof/>
            <w:webHidden/>
          </w:rPr>
          <w:fldChar w:fldCharType="separate"/>
        </w:r>
        <w:r w:rsidR="003B5E1C">
          <w:rPr>
            <w:noProof/>
            <w:webHidden/>
          </w:rPr>
          <w:t>10</w:t>
        </w:r>
        <w:r w:rsidR="003B5E1C">
          <w:rPr>
            <w:noProof/>
            <w:webHidden/>
          </w:rPr>
          <w:fldChar w:fldCharType="end"/>
        </w:r>
      </w:hyperlink>
    </w:p>
    <w:p w14:paraId="34846D0A" w14:textId="49644967" w:rsidR="003B5E1C" w:rsidRDefault="00C6262C">
      <w:pPr>
        <w:pStyle w:val="TOC2"/>
        <w:rPr>
          <w:rFonts w:asciiTheme="minorHAnsi" w:eastAsiaTheme="minorEastAsia" w:hAnsiTheme="minorHAnsi" w:cstheme="minorBidi"/>
          <w:noProof/>
          <w:sz w:val="22"/>
          <w:lang w:eastAsia="en-AU"/>
        </w:rPr>
      </w:pPr>
      <w:hyperlink w:anchor="_Toc25308959" w:history="1">
        <w:r w:rsidR="003B5E1C" w:rsidRPr="00EE4477">
          <w:rPr>
            <w:rStyle w:val="Hyperlink"/>
            <w:noProof/>
          </w:rPr>
          <w:t>Current and future demand for gas</w:t>
        </w:r>
        <w:r w:rsidR="003B5E1C">
          <w:rPr>
            <w:noProof/>
            <w:webHidden/>
          </w:rPr>
          <w:tab/>
        </w:r>
        <w:r w:rsidR="003B5E1C">
          <w:rPr>
            <w:noProof/>
            <w:webHidden/>
          </w:rPr>
          <w:fldChar w:fldCharType="begin"/>
        </w:r>
        <w:r w:rsidR="003B5E1C">
          <w:rPr>
            <w:noProof/>
            <w:webHidden/>
          </w:rPr>
          <w:instrText xml:space="preserve"> PAGEREF _Toc25308959 \h </w:instrText>
        </w:r>
        <w:r w:rsidR="003B5E1C">
          <w:rPr>
            <w:noProof/>
            <w:webHidden/>
          </w:rPr>
        </w:r>
        <w:r w:rsidR="003B5E1C">
          <w:rPr>
            <w:noProof/>
            <w:webHidden/>
          </w:rPr>
          <w:fldChar w:fldCharType="separate"/>
        </w:r>
        <w:r w:rsidR="003B5E1C">
          <w:rPr>
            <w:noProof/>
            <w:webHidden/>
          </w:rPr>
          <w:t>11</w:t>
        </w:r>
        <w:r w:rsidR="003B5E1C">
          <w:rPr>
            <w:noProof/>
            <w:webHidden/>
          </w:rPr>
          <w:fldChar w:fldCharType="end"/>
        </w:r>
      </w:hyperlink>
    </w:p>
    <w:p w14:paraId="5757D985" w14:textId="56DD3D94" w:rsidR="003B5E1C" w:rsidRDefault="00C6262C">
      <w:pPr>
        <w:pStyle w:val="TOC2"/>
        <w:rPr>
          <w:rFonts w:asciiTheme="minorHAnsi" w:eastAsiaTheme="minorEastAsia" w:hAnsiTheme="minorHAnsi" w:cstheme="minorBidi"/>
          <w:noProof/>
          <w:sz w:val="22"/>
          <w:lang w:eastAsia="en-AU"/>
        </w:rPr>
      </w:pPr>
      <w:hyperlink w:anchor="_Toc25308960" w:history="1">
        <w:r w:rsidR="003B5E1C" w:rsidRPr="00EE4477">
          <w:rPr>
            <w:rStyle w:val="Hyperlink"/>
            <w:noProof/>
          </w:rPr>
          <w:t>The future of gas in a zero net greenhouse gas emissions ACT</w:t>
        </w:r>
        <w:r w:rsidR="003B5E1C">
          <w:rPr>
            <w:noProof/>
            <w:webHidden/>
          </w:rPr>
          <w:tab/>
        </w:r>
        <w:r w:rsidR="003B5E1C">
          <w:rPr>
            <w:noProof/>
            <w:webHidden/>
          </w:rPr>
          <w:fldChar w:fldCharType="begin"/>
        </w:r>
        <w:r w:rsidR="003B5E1C">
          <w:rPr>
            <w:noProof/>
            <w:webHidden/>
          </w:rPr>
          <w:instrText xml:space="preserve"> PAGEREF _Toc25308960 \h </w:instrText>
        </w:r>
        <w:r w:rsidR="003B5E1C">
          <w:rPr>
            <w:noProof/>
            <w:webHidden/>
          </w:rPr>
        </w:r>
        <w:r w:rsidR="003B5E1C">
          <w:rPr>
            <w:noProof/>
            <w:webHidden/>
          </w:rPr>
          <w:fldChar w:fldCharType="separate"/>
        </w:r>
        <w:r w:rsidR="003B5E1C">
          <w:rPr>
            <w:noProof/>
            <w:webHidden/>
          </w:rPr>
          <w:t>11</w:t>
        </w:r>
        <w:r w:rsidR="003B5E1C">
          <w:rPr>
            <w:noProof/>
            <w:webHidden/>
          </w:rPr>
          <w:fldChar w:fldCharType="end"/>
        </w:r>
      </w:hyperlink>
    </w:p>
    <w:p w14:paraId="6040A8B1" w14:textId="1A957BF4" w:rsidR="003B5E1C" w:rsidRDefault="00C6262C">
      <w:pPr>
        <w:pStyle w:val="TOC3"/>
        <w:rPr>
          <w:rFonts w:asciiTheme="minorHAnsi" w:eastAsiaTheme="minorEastAsia" w:hAnsiTheme="minorHAnsi" w:cstheme="minorBidi"/>
          <w:noProof/>
          <w:sz w:val="22"/>
          <w:lang w:eastAsia="en-AU"/>
        </w:rPr>
      </w:pPr>
      <w:hyperlink w:anchor="_Toc25308961" w:history="1">
        <w:r w:rsidR="003B5E1C" w:rsidRPr="00EE4477">
          <w:rPr>
            <w:rStyle w:val="Hyperlink"/>
            <w:noProof/>
          </w:rPr>
          <w:t>Alternative energy sources</w:t>
        </w:r>
        <w:r w:rsidR="003B5E1C">
          <w:rPr>
            <w:noProof/>
            <w:webHidden/>
          </w:rPr>
          <w:tab/>
        </w:r>
        <w:r w:rsidR="003B5E1C">
          <w:rPr>
            <w:noProof/>
            <w:webHidden/>
          </w:rPr>
          <w:fldChar w:fldCharType="begin"/>
        </w:r>
        <w:r w:rsidR="003B5E1C">
          <w:rPr>
            <w:noProof/>
            <w:webHidden/>
          </w:rPr>
          <w:instrText xml:space="preserve"> PAGEREF _Toc25308961 \h </w:instrText>
        </w:r>
        <w:r w:rsidR="003B5E1C">
          <w:rPr>
            <w:noProof/>
            <w:webHidden/>
          </w:rPr>
        </w:r>
        <w:r w:rsidR="003B5E1C">
          <w:rPr>
            <w:noProof/>
            <w:webHidden/>
          </w:rPr>
          <w:fldChar w:fldCharType="separate"/>
        </w:r>
        <w:r w:rsidR="003B5E1C">
          <w:rPr>
            <w:noProof/>
            <w:webHidden/>
          </w:rPr>
          <w:t>12</w:t>
        </w:r>
        <w:r w:rsidR="003B5E1C">
          <w:rPr>
            <w:noProof/>
            <w:webHidden/>
          </w:rPr>
          <w:fldChar w:fldCharType="end"/>
        </w:r>
      </w:hyperlink>
    </w:p>
    <w:p w14:paraId="2B94854A" w14:textId="10C17BF6" w:rsidR="003B5E1C" w:rsidRDefault="00C6262C">
      <w:pPr>
        <w:pStyle w:val="TOC3"/>
        <w:rPr>
          <w:rFonts w:asciiTheme="minorHAnsi" w:eastAsiaTheme="minorEastAsia" w:hAnsiTheme="minorHAnsi" w:cstheme="minorBidi"/>
          <w:noProof/>
          <w:sz w:val="22"/>
          <w:lang w:eastAsia="en-AU"/>
        </w:rPr>
      </w:pPr>
      <w:hyperlink w:anchor="_Toc25308962" w:history="1">
        <w:r w:rsidR="003B5E1C" w:rsidRPr="00EE4477">
          <w:rPr>
            <w:rStyle w:val="Hyperlink"/>
            <w:noProof/>
          </w:rPr>
          <w:t>Safety and reliability</w:t>
        </w:r>
        <w:r w:rsidR="003B5E1C">
          <w:rPr>
            <w:noProof/>
            <w:webHidden/>
          </w:rPr>
          <w:tab/>
        </w:r>
        <w:r w:rsidR="003B5E1C">
          <w:rPr>
            <w:noProof/>
            <w:webHidden/>
          </w:rPr>
          <w:fldChar w:fldCharType="begin"/>
        </w:r>
        <w:r w:rsidR="003B5E1C">
          <w:rPr>
            <w:noProof/>
            <w:webHidden/>
          </w:rPr>
          <w:instrText xml:space="preserve"> PAGEREF _Toc25308962 \h </w:instrText>
        </w:r>
        <w:r w:rsidR="003B5E1C">
          <w:rPr>
            <w:noProof/>
            <w:webHidden/>
          </w:rPr>
        </w:r>
        <w:r w:rsidR="003B5E1C">
          <w:rPr>
            <w:noProof/>
            <w:webHidden/>
          </w:rPr>
          <w:fldChar w:fldCharType="separate"/>
        </w:r>
        <w:r w:rsidR="003B5E1C">
          <w:rPr>
            <w:noProof/>
            <w:webHidden/>
          </w:rPr>
          <w:t>13</w:t>
        </w:r>
        <w:r w:rsidR="003B5E1C">
          <w:rPr>
            <w:noProof/>
            <w:webHidden/>
          </w:rPr>
          <w:fldChar w:fldCharType="end"/>
        </w:r>
      </w:hyperlink>
    </w:p>
    <w:p w14:paraId="7BCA2C70" w14:textId="73CE6F36" w:rsidR="003B5E1C" w:rsidRDefault="00C6262C">
      <w:pPr>
        <w:pStyle w:val="TOC1"/>
        <w:rPr>
          <w:rFonts w:asciiTheme="minorHAnsi" w:eastAsiaTheme="minorEastAsia" w:hAnsiTheme="minorHAnsi" w:cstheme="minorBidi"/>
          <w:b w:val="0"/>
          <w:noProof/>
          <w:sz w:val="22"/>
          <w:lang w:eastAsia="en-AU"/>
        </w:rPr>
      </w:pPr>
      <w:hyperlink w:anchor="_Toc25308963" w:history="1">
        <w:r w:rsidR="003B5E1C" w:rsidRPr="00EE4477">
          <w:rPr>
            <w:rStyle w:val="Hyperlink"/>
            <w:noProof/>
          </w:rPr>
          <w:t>Key consumer engagement needs</w:t>
        </w:r>
        <w:r w:rsidR="003B5E1C">
          <w:rPr>
            <w:noProof/>
            <w:webHidden/>
          </w:rPr>
          <w:tab/>
        </w:r>
        <w:r w:rsidR="003B5E1C">
          <w:rPr>
            <w:noProof/>
            <w:webHidden/>
          </w:rPr>
          <w:fldChar w:fldCharType="begin"/>
        </w:r>
        <w:r w:rsidR="003B5E1C">
          <w:rPr>
            <w:noProof/>
            <w:webHidden/>
          </w:rPr>
          <w:instrText xml:space="preserve"> PAGEREF _Toc25308963 \h </w:instrText>
        </w:r>
        <w:r w:rsidR="003B5E1C">
          <w:rPr>
            <w:noProof/>
            <w:webHidden/>
          </w:rPr>
        </w:r>
        <w:r w:rsidR="003B5E1C">
          <w:rPr>
            <w:noProof/>
            <w:webHidden/>
          </w:rPr>
          <w:fldChar w:fldCharType="separate"/>
        </w:r>
        <w:r w:rsidR="003B5E1C">
          <w:rPr>
            <w:noProof/>
            <w:webHidden/>
          </w:rPr>
          <w:t>13</w:t>
        </w:r>
        <w:r w:rsidR="003B5E1C">
          <w:rPr>
            <w:noProof/>
            <w:webHidden/>
          </w:rPr>
          <w:fldChar w:fldCharType="end"/>
        </w:r>
      </w:hyperlink>
    </w:p>
    <w:p w14:paraId="1617CC9C" w14:textId="06C53365" w:rsidR="003B5E1C" w:rsidRDefault="00C6262C">
      <w:pPr>
        <w:pStyle w:val="TOC2"/>
        <w:rPr>
          <w:rFonts w:asciiTheme="minorHAnsi" w:eastAsiaTheme="minorEastAsia" w:hAnsiTheme="minorHAnsi" w:cstheme="minorBidi"/>
          <w:noProof/>
          <w:sz w:val="22"/>
          <w:lang w:eastAsia="en-AU"/>
        </w:rPr>
      </w:pPr>
      <w:hyperlink w:anchor="_Toc25308964" w:history="1">
        <w:r w:rsidR="003B5E1C" w:rsidRPr="00EE4477">
          <w:rPr>
            <w:rStyle w:val="Hyperlink"/>
            <w:noProof/>
          </w:rPr>
          <w:t>Engaging with consumer representatives</w:t>
        </w:r>
        <w:r w:rsidR="003B5E1C">
          <w:rPr>
            <w:noProof/>
            <w:webHidden/>
          </w:rPr>
          <w:tab/>
        </w:r>
        <w:r w:rsidR="003B5E1C">
          <w:rPr>
            <w:noProof/>
            <w:webHidden/>
          </w:rPr>
          <w:fldChar w:fldCharType="begin"/>
        </w:r>
        <w:r w:rsidR="003B5E1C">
          <w:rPr>
            <w:noProof/>
            <w:webHidden/>
          </w:rPr>
          <w:instrText xml:space="preserve"> PAGEREF _Toc25308964 \h </w:instrText>
        </w:r>
        <w:r w:rsidR="003B5E1C">
          <w:rPr>
            <w:noProof/>
            <w:webHidden/>
          </w:rPr>
        </w:r>
        <w:r w:rsidR="003B5E1C">
          <w:rPr>
            <w:noProof/>
            <w:webHidden/>
          </w:rPr>
          <w:fldChar w:fldCharType="separate"/>
        </w:r>
        <w:r w:rsidR="003B5E1C">
          <w:rPr>
            <w:noProof/>
            <w:webHidden/>
          </w:rPr>
          <w:t>14</w:t>
        </w:r>
        <w:r w:rsidR="003B5E1C">
          <w:rPr>
            <w:noProof/>
            <w:webHidden/>
          </w:rPr>
          <w:fldChar w:fldCharType="end"/>
        </w:r>
      </w:hyperlink>
    </w:p>
    <w:p w14:paraId="2A114355" w14:textId="6F063D62" w:rsidR="003B5E1C" w:rsidRDefault="00C6262C">
      <w:pPr>
        <w:pStyle w:val="TOC2"/>
        <w:rPr>
          <w:rFonts w:asciiTheme="minorHAnsi" w:eastAsiaTheme="minorEastAsia" w:hAnsiTheme="minorHAnsi" w:cstheme="minorBidi"/>
          <w:noProof/>
          <w:sz w:val="22"/>
          <w:lang w:eastAsia="en-AU"/>
        </w:rPr>
      </w:pPr>
      <w:hyperlink w:anchor="_Toc25308965" w:history="1">
        <w:r w:rsidR="003B5E1C" w:rsidRPr="00EE4477">
          <w:rPr>
            <w:rStyle w:val="Hyperlink"/>
            <w:noProof/>
          </w:rPr>
          <w:t>Engaging directly with consumers</w:t>
        </w:r>
        <w:r w:rsidR="003B5E1C">
          <w:rPr>
            <w:noProof/>
            <w:webHidden/>
          </w:rPr>
          <w:tab/>
        </w:r>
        <w:r w:rsidR="003B5E1C">
          <w:rPr>
            <w:noProof/>
            <w:webHidden/>
          </w:rPr>
          <w:fldChar w:fldCharType="begin"/>
        </w:r>
        <w:r w:rsidR="003B5E1C">
          <w:rPr>
            <w:noProof/>
            <w:webHidden/>
          </w:rPr>
          <w:instrText xml:space="preserve"> PAGEREF _Toc25308965 \h </w:instrText>
        </w:r>
        <w:r w:rsidR="003B5E1C">
          <w:rPr>
            <w:noProof/>
            <w:webHidden/>
          </w:rPr>
        </w:r>
        <w:r w:rsidR="003B5E1C">
          <w:rPr>
            <w:noProof/>
            <w:webHidden/>
          </w:rPr>
          <w:fldChar w:fldCharType="separate"/>
        </w:r>
        <w:r w:rsidR="003B5E1C">
          <w:rPr>
            <w:noProof/>
            <w:webHidden/>
          </w:rPr>
          <w:t>14</w:t>
        </w:r>
        <w:r w:rsidR="003B5E1C">
          <w:rPr>
            <w:noProof/>
            <w:webHidden/>
          </w:rPr>
          <w:fldChar w:fldCharType="end"/>
        </w:r>
      </w:hyperlink>
    </w:p>
    <w:p w14:paraId="7350D25E" w14:textId="67503580" w:rsidR="003B5E1C" w:rsidRDefault="00C6262C">
      <w:pPr>
        <w:pStyle w:val="TOC2"/>
        <w:rPr>
          <w:rFonts w:asciiTheme="minorHAnsi" w:eastAsiaTheme="minorEastAsia" w:hAnsiTheme="minorHAnsi" w:cstheme="minorBidi"/>
          <w:noProof/>
          <w:sz w:val="22"/>
          <w:lang w:eastAsia="en-AU"/>
        </w:rPr>
      </w:pPr>
      <w:hyperlink w:anchor="_Toc25308966" w:history="1">
        <w:r w:rsidR="003B5E1C" w:rsidRPr="00EE4477">
          <w:rPr>
            <w:rStyle w:val="Hyperlink"/>
            <w:noProof/>
          </w:rPr>
          <w:t>Citizens’ jury</w:t>
        </w:r>
        <w:r w:rsidR="003B5E1C">
          <w:rPr>
            <w:noProof/>
            <w:webHidden/>
          </w:rPr>
          <w:tab/>
        </w:r>
        <w:r w:rsidR="003B5E1C">
          <w:rPr>
            <w:noProof/>
            <w:webHidden/>
          </w:rPr>
          <w:fldChar w:fldCharType="begin"/>
        </w:r>
        <w:r w:rsidR="003B5E1C">
          <w:rPr>
            <w:noProof/>
            <w:webHidden/>
          </w:rPr>
          <w:instrText xml:space="preserve"> PAGEREF _Toc25308966 \h </w:instrText>
        </w:r>
        <w:r w:rsidR="003B5E1C">
          <w:rPr>
            <w:noProof/>
            <w:webHidden/>
          </w:rPr>
        </w:r>
        <w:r w:rsidR="003B5E1C">
          <w:rPr>
            <w:noProof/>
            <w:webHidden/>
          </w:rPr>
          <w:fldChar w:fldCharType="separate"/>
        </w:r>
        <w:r w:rsidR="003B5E1C">
          <w:rPr>
            <w:noProof/>
            <w:webHidden/>
          </w:rPr>
          <w:t>15</w:t>
        </w:r>
        <w:r w:rsidR="003B5E1C">
          <w:rPr>
            <w:noProof/>
            <w:webHidden/>
          </w:rPr>
          <w:fldChar w:fldCharType="end"/>
        </w:r>
      </w:hyperlink>
    </w:p>
    <w:p w14:paraId="7EA34CB7" w14:textId="1CE98AF1" w:rsidR="003B5E1C" w:rsidRDefault="00C6262C">
      <w:pPr>
        <w:pStyle w:val="TOC1"/>
        <w:rPr>
          <w:rFonts w:asciiTheme="minorHAnsi" w:eastAsiaTheme="minorEastAsia" w:hAnsiTheme="minorHAnsi" w:cstheme="minorBidi"/>
          <w:b w:val="0"/>
          <w:noProof/>
          <w:sz w:val="22"/>
          <w:lang w:eastAsia="en-AU"/>
        </w:rPr>
      </w:pPr>
      <w:hyperlink w:anchor="_Toc25308967" w:history="1">
        <w:r w:rsidR="003B5E1C" w:rsidRPr="00EE4477">
          <w:rPr>
            <w:rStyle w:val="Hyperlink"/>
            <w:noProof/>
          </w:rPr>
          <w:t>Conclusion</w:t>
        </w:r>
        <w:r w:rsidR="003B5E1C">
          <w:rPr>
            <w:noProof/>
            <w:webHidden/>
          </w:rPr>
          <w:tab/>
        </w:r>
        <w:r w:rsidR="003B5E1C">
          <w:rPr>
            <w:noProof/>
            <w:webHidden/>
          </w:rPr>
          <w:fldChar w:fldCharType="begin"/>
        </w:r>
        <w:r w:rsidR="003B5E1C">
          <w:rPr>
            <w:noProof/>
            <w:webHidden/>
          </w:rPr>
          <w:instrText xml:space="preserve"> PAGEREF _Toc25308967 \h </w:instrText>
        </w:r>
        <w:r w:rsidR="003B5E1C">
          <w:rPr>
            <w:noProof/>
            <w:webHidden/>
          </w:rPr>
        </w:r>
        <w:r w:rsidR="003B5E1C">
          <w:rPr>
            <w:noProof/>
            <w:webHidden/>
          </w:rPr>
          <w:fldChar w:fldCharType="separate"/>
        </w:r>
        <w:r w:rsidR="003B5E1C">
          <w:rPr>
            <w:noProof/>
            <w:webHidden/>
          </w:rPr>
          <w:t>17</w:t>
        </w:r>
        <w:r w:rsidR="003B5E1C">
          <w:rPr>
            <w:noProof/>
            <w:webHidden/>
          </w:rPr>
          <w:fldChar w:fldCharType="end"/>
        </w:r>
      </w:hyperlink>
    </w:p>
    <w:p w14:paraId="59C31053" w14:textId="664A68BF" w:rsidR="003B5E1C" w:rsidRDefault="00C6262C">
      <w:pPr>
        <w:pStyle w:val="TOC1"/>
        <w:rPr>
          <w:rFonts w:asciiTheme="minorHAnsi" w:eastAsiaTheme="minorEastAsia" w:hAnsiTheme="minorHAnsi" w:cstheme="minorBidi"/>
          <w:b w:val="0"/>
          <w:noProof/>
          <w:sz w:val="22"/>
          <w:lang w:eastAsia="en-AU"/>
        </w:rPr>
      </w:pPr>
      <w:hyperlink w:anchor="_Toc25308968" w:history="1">
        <w:r w:rsidR="003B5E1C" w:rsidRPr="00EE4477">
          <w:rPr>
            <w:rStyle w:val="Hyperlink"/>
            <w:rFonts w:eastAsia="MS Gothic"/>
            <w:noProof/>
            <w:lang w:val="en-US" w:eastAsia="en-US"/>
          </w:rPr>
          <w:t>Attachment A: Workshop agenda</w:t>
        </w:r>
        <w:r w:rsidR="003B5E1C">
          <w:rPr>
            <w:noProof/>
            <w:webHidden/>
          </w:rPr>
          <w:tab/>
        </w:r>
        <w:r w:rsidR="003B5E1C">
          <w:rPr>
            <w:noProof/>
            <w:webHidden/>
          </w:rPr>
          <w:fldChar w:fldCharType="begin"/>
        </w:r>
        <w:r w:rsidR="003B5E1C">
          <w:rPr>
            <w:noProof/>
            <w:webHidden/>
          </w:rPr>
          <w:instrText xml:space="preserve"> PAGEREF _Toc25308968 \h </w:instrText>
        </w:r>
        <w:r w:rsidR="003B5E1C">
          <w:rPr>
            <w:noProof/>
            <w:webHidden/>
          </w:rPr>
        </w:r>
        <w:r w:rsidR="003B5E1C">
          <w:rPr>
            <w:noProof/>
            <w:webHidden/>
          </w:rPr>
          <w:fldChar w:fldCharType="separate"/>
        </w:r>
        <w:r w:rsidR="003B5E1C">
          <w:rPr>
            <w:noProof/>
            <w:webHidden/>
          </w:rPr>
          <w:t>19</w:t>
        </w:r>
        <w:r w:rsidR="003B5E1C">
          <w:rPr>
            <w:noProof/>
            <w:webHidden/>
          </w:rPr>
          <w:fldChar w:fldCharType="end"/>
        </w:r>
      </w:hyperlink>
    </w:p>
    <w:p w14:paraId="2B562622" w14:textId="5800C12D" w:rsidR="003B5E1C" w:rsidRDefault="00C6262C">
      <w:pPr>
        <w:pStyle w:val="TOC1"/>
        <w:rPr>
          <w:rFonts w:asciiTheme="minorHAnsi" w:eastAsiaTheme="minorEastAsia" w:hAnsiTheme="minorHAnsi" w:cstheme="minorBidi"/>
          <w:b w:val="0"/>
          <w:noProof/>
          <w:sz w:val="22"/>
          <w:lang w:eastAsia="en-AU"/>
        </w:rPr>
      </w:pPr>
      <w:hyperlink w:anchor="_Toc25308969" w:history="1">
        <w:r w:rsidR="003B5E1C" w:rsidRPr="00EE4477">
          <w:rPr>
            <w:rStyle w:val="Hyperlink"/>
            <w:noProof/>
          </w:rPr>
          <w:t>Attachment B: Workshop attendees</w:t>
        </w:r>
        <w:r w:rsidR="003B5E1C">
          <w:rPr>
            <w:noProof/>
            <w:webHidden/>
          </w:rPr>
          <w:tab/>
        </w:r>
        <w:r w:rsidR="003B5E1C">
          <w:rPr>
            <w:noProof/>
            <w:webHidden/>
          </w:rPr>
          <w:fldChar w:fldCharType="begin"/>
        </w:r>
        <w:r w:rsidR="003B5E1C">
          <w:rPr>
            <w:noProof/>
            <w:webHidden/>
          </w:rPr>
          <w:instrText xml:space="preserve"> PAGEREF _Toc25308969 \h </w:instrText>
        </w:r>
        <w:r w:rsidR="003B5E1C">
          <w:rPr>
            <w:noProof/>
            <w:webHidden/>
          </w:rPr>
        </w:r>
        <w:r w:rsidR="003B5E1C">
          <w:rPr>
            <w:noProof/>
            <w:webHidden/>
          </w:rPr>
          <w:fldChar w:fldCharType="separate"/>
        </w:r>
        <w:r w:rsidR="003B5E1C">
          <w:rPr>
            <w:noProof/>
            <w:webHidden/>
          </w:rPr>
          <w:t>21</w:t>
        </w:r>
        <w:r w:rsidR="003B5E1C">
          <w:rPr>
            <w:noProof/>
            <w:webHidden/>
          </w:rPr>
          <w:fldChar w:fldCharType="end"/>
        </w:r>
      </w:hyperlink>
    </w:p>
    <w:p w14:paraId="292A3546" w14:textId="2301A1FF" w:rsidR="00AB255D" w:rsidRPr="00CA7855" w:rsidRDefault="00AB255D" w:rsidP="00F62238">
      <w:pPr>
        <w:pStyle w:val="BodyText"/>
      </w:pPr>
      <w:r w:rsidRPr="00CA7855">
        <w:fldChar w:fldCharType="end"/>
      </w:r>
    </w:p>
    <w:p w14:paraId="534A8DB4" w14:textId="77777777" w:rsidR="00AB255D" w:rsidRPr="00CA7855" w:rsidRDefault="00AB255D" w:rsidP="00AB255D">
      <w:pPr>
        <w:pStyle w:val="Heading1-Pagebreakbefore"/>
      </w:pPr>
      <w:bookmarkStart w:id="1" w:name="_Toc25308945"/>
      <w:r w:rsidRPr="00CA7855">
        <w:lastRenderedPageBreak/>
        <w:t>Acronyms</w:t>
      </w:r>
      <w:bookmarkEnd w:id="1"/>
    </w:p>
    <w:p w14:paraId="6E2B12F8" w14:textId="77777777" w:rsidR="000A5F59" w:rsidRDefault="000A5F59" w:rsidP="00AB255D">
      <w:pPr>
        <w:pStyle w:val="AcronymsList"/>
      </w:pPr>
      <w:r>
        <w:t>ACAT</w:t>
      </w:r>
      <w:r>
        <w:tab/>
        <w:t xml:space="preserve">ACT </w:t>
      </w:r>
      <w:r w:rsidR="00B6331C">
        <w:t>Civil and Administrative Tribunal</w:t>
      </w:r>
    </w:p>
    <w:p w14:paraId="0583B978" w14:textId="4F25801D" w:rsidR="00AB255D" w:rsidRDefault="00703089" w:rsidP="00AB255D">
      <w:pPr>
        <w:pStyle w:val="AcronymsList"/>
      </w:pPr>
      <w:r>
        <w:t>ACTCOSS</w:t>
      </w:r>
      <w:r>
        <w:tab/>
        <w:t>ACT Council of S</w:t>
      </w:r>
      <w:r w:rsidR="00AB255D" w:rsidRPr="00CA7855">
        <w:t>ocial Service Inc.</w:t>
      </w:r>
    </w:p>
    <w:p w14:paraId="6CB0A6C2" w14:textId="1DC398E0" w:rsidR="00B1271D" w:rsidRDefault="00B1271D" w:rsidP="00AB255D">
      <w:pPr>
        <w:pStyle w:val="AcronymsList"/>
      </w:pPr>
      <w:r>
        <w:t>AEMC</w:t>
      </w:r>
      <w:r>
        <w:tab/>
        <w:t>Australian Energy</w:t>
      </w:r>
      <w:r w:rsidR="00DA0870">
        <w:t xml:space="preserve"> Market Commission</w:t>
      </w:r>
    </w:p>
    <w:p w14:paraId="296EF05C" w14:textId="77777777" w:rsidR="00CA7A30" w:rsidRDefault="00CA7A30" w:rsidP="00AB255D">
      <w:pPr>
        <w:pStyle w:val="AcronymsList"/>
      </w:pPr>
      <w:r>
        <w:t>AER</w:t>
      </w:r>
      <w:r>
        <w:tab/>
        <w:t>Australian Energy Regulator</w:t>
      </w:r>
    </w:p>
    <w:p w14:paraId="2007C301" w14:textId="57815024" w:rsidR="00497C8E" w:rsidRDefault="00497C8E" w:rsidP="00AB255D">
      <w:pPr>
        <w:pStyle w:val="AcronymsList"/>
      </w:pPr>
      <w:r>
        <w:t>CALD</w:t>
      </w:r>
      <w:r>
        <w:tab/>
      </w:r>
      <w:r w:rsidR="00F47C11">
        <w:t>c</w:t>
      </w:r>
      <w:r>
        <w:t>ulturally and linguistically diverse</w:t>
      </w:r>
    </w:p>
    <w:p w14:paraId="64D0BF13" w14:textId="77777777" w:rsidR="000A5F59" w:rsidRDefault="000A5F59" w:rsidP="00AB255D">
      <w:pPr>
        <w:pStyle w:val="AcronymsList"/>
      </w:pPr>
      <w:r>
        <w:t>CAPaD</w:t>
      </w:r>
      <w:r>
        <w:tab/>
        <w:t>Canberra Alliance for Participatory Democracy</w:t>
      </w:r>
    </w:p>
    <w:p w14:paraId="373F2135" w14:textId="4F7EE187" w:rsidR="00CA7A30" w:rsidRDefault="00CA7A30" w:rsidP="00AB255D">
      <w:pPr>
        <w:pStyle w:val="AcronymsList"/>
      </w:pPr>
      <w:r>
        <w:t>CCP</w:t>
      </w:r>
      <w:r>
        <w:tab/>
        <w:t>Consumer Challenge Panel</w:t>
      </w:r>
    </w:p>
    <w:p w14:paraId="0BE9B7E9" w14:textId="77777777" w:rsidR="00F14BBC" w:rsidRDefault="00F14BBC" w:rsidP="00AB255D">
      <w:pPr>
        <w:pStyle w:val="AcronymsList"/>
      </w:pPr>
      <w:r>
        <w:t>ECRC</w:t>
      </w:r>
      <w:r>
        <w:tab/>
        <w:t xml:space="preserve">(Evoenergy) </w:t>
      </w:r>
      <w:r w:rsidR="00F37714" w:rsidRPr="00F37714">
        <w:t>Energy Consumer Reference Council</w:t>
      </w:r>
    </w:p>
    <w:p w14:paraId="20412E54" w14:textId="77777777" w:rsidR="00B6331C" w:rsidRDefault="00B6331C" w:rsidP="00AB255D">
      <w:pPr>
        <w:pStyle w:val="AcronymsList"/>
      </w:pPr>
      <w:r>
        <w:t>EWON</w:t>
      </w:r>
      <w:r>
        <w:tab/>
        <w:t>Energy and Water Ombudsman NSW</w:t>
      </w:r>
    </w:p>
    <w:p w14:paraId="7F9B0755" w14:textId="4BCB8363" w:rsidR="005F6886" w:rsidRDefault="005F6886" w:rsidP="00AB255D">
      <w:pPr>
        <w:pStyle w:val="AcronymsList"/>
      </w:pPr>
      <w:r>
        <w:t>GN21</w:t>
      </w:r>
      <w:r>
        <w:tab/>
        <w:t xml:space="preserve">Evoenergy </w:t>
      </w:r>
      <w:r w:rsidR="00683A1A">
        <w:t>G</w:t>
      </w:r>
      <w:r w:rsidR="00CA7A30">
        <w:t xml:space="preserve">as </w:t>
      </w:r>
      <w:r w:rsidR="00683A1A">
        <w:t>N</w:t>
      </w:r>
      <w:r w:rsidR="00CA7A30">
        <w:t xml:space="preserve">etwork </w:t>
      </w:r>
      <w:r w:rsidR="0071122E">
        <w:t>2021-26</w:t>
      </w:r>
      <w:r w:rsidR="00CA7A30">
        <w:t xml:space="preserve"> </w:t>
      </w:r>
      <w:r w:rsidR="00683A1A">
        <w:t>A</w:t>
      </w:r>
      <w:r w:rsidR="00CA7A30">
        <w:t xml:space="preserve">ccess </w:t>
      </w:r>
      <w:r w:rsidR="00683A1A">
        <w:t>A</w:t>
      </w:r>
      <w:r w:rsidR="00CA7A30">
        <w:t xml:space="preserve">rrangement </w:t>
      </w:r>
      <w:r w:rsidR="00683A1A">
        <w:t>R</w:t>
      </w:r>
      <w:r w:rsidR="00CA7A30">
        <w:t>eview</w:t>
      </w:r>
    </w:p>
    <w:p w14:paraId="676222F6" w14:textId="3E734995" w:rsidR="0031651D" w:rsidRDefault="0031651D" w:rsidP="00AB255D">
      <w:pPr>
        <w:pStyle w:val="AcronymsList"/>
      </w:pPr>
      <w:r>
        <w:t>RAB</w:t>
      </w:r>
      <w:r>
        <w:tab/>
      </w:r>
      <w:r w:rsidRPr="0031651D">
        <w:t>regulatory asset base</w:t>
      </w:r>
    </w:p>
    <w:p w14:paraId="20FC9A97" w14:textId="13DEDA1C" w:rsidR="00E249DB" w:rsidRDefault="00E249DB" w:rsidP="00AB255D">
      <w:pPr>
        <w:pStyle w:val="AcronymsList"/>
      </w:pPr>
      <w:r>
        <w:t>PIAC</w:t>
      </w:r>
      <w:r>
        <w:tab/>
        <w:t>Public Interest Advocacy Centre</w:t>
      </w:r>
    </w:p>
    <w:p w14:paraId="15C35F83" w14:textId="77777777" w:rsidR="009D1DFB" w:rsidRDefault="009D1DFB" w:rsidP="00AB255D">
      <w:pPr>
        <w:pStyle w:val="AcronymsList"/>
      </w:pPr>
      <w:r>
        <w:t>VRI</w:t>
      </w:r>
      <w:r>
        <w:tab/>
        <w:t>Volume Residential Individual (tariff)</w:t>
      </w:r>
    </w:p>
    <w:p w14:paraId="0333D11A" w14:textId="06DDCE08" w:rsidR="00AB2814" w:rsidRPr="00CA7855" w:rsidRDefault="00AB2814" w:rsidP="00AB255D">
      <w:pPr>
        <w:pStyle w:val="AcronymsList"/>
      </w:pPr>
      <w:r>
        <w:t>WACC</w:t>
      </w:r>
      <w:r>
        <w:tab/>
      </w:r>
      <w:r w:rsidR="00F47C11">
        <w:t>w</w:t>
      </w:r>
      <w:r>
        <w:t>eighted average cost of capital</w:t>
      </w:r>
    </w:p>
    <w:p w14:paraId="75E981DF" w14:textId="77777777" w:rsidR="00AB255D" w:rsidRPr="00CA7855" w:rsidRDefault="006212ED" w:rsidP="00F54FAF">
      <w:pPr>
        <w:pStyle w:val="Heading1-Pagebreakbefore"/>
      </w:pPr>
      <w:bookmarkStart w:id="2" w:name="_Toc25308946"/>
      <w:r>
        <w:lastRenderedPageBreak/>
        <w:t>Introduction</w:t>
      </w:r>
      <w:bookmarkEnd w:id="2"/>
    </w:p>
    <w:p w14:paraId="1A284765" w14:textId="1307F83B" w:rsidR="00986331" w:rsidRDefault="00D346A7" w:rsidP="00986331">
      <w:pPr>
        <w:pStyle w:val="BodyText"/>
      </w:pPr>
      <w:r>
        <w:t xml:space="preserve">This report provides a summary of </w:t>
      </w:r>
      <w:r w:rsidR="00051602">
        <w:t>the outcomes of</w:t>
      </w:r>
      <w:r w:rsidR="005E3D99">
        <w:t xml:space="preserve"> an Energy Consumer Advocacy Workshop on the Evoenergy Gas Network </w:t>
      </w:r>
      <w:r w:rsidR="0071122E">
        <w:t>2021-26</w:t>
      </w:r>
      <w:r w:rsidR="005E3D99">
        <w:t xml:space="preserve"> Access Arrangement Review (GN21)</w:t>
      </w:r>
      <w:r w:rsidR="00C04BE4">
        <w:t xml:space="preserve"> </w:t>
      </w:r>
      <w:r w:rsidR="00E548EA">
        <w:t>held on 27 August 2019</w:t>
      </w:r>
      <w:r w:rsidR="00100494">
        <w:t xml:space="preserve">. The ACT Council of Social Service (ACTCOSS) was commissioned by </w:t>
      </w:r>
      <w:r w:rsidR="00230854">
        <w:t xml:space="preserve">Evoenergy </w:t>
      </w:r>
      <w:r w:rsidR="002819E4">
        <w:t xml:space="preserve">to </w:t>
      </w:r>
      <w:r w:rsidR="00882DB7">
        <w:t>run this workshop as part of ensuring</w:t>
      </w:r>
      <w:r w:rsidR="00B42D03">
        <w:t xml:space="preserve"> </w:t>
      </w:r>
      <w:r w:rsidR="00882DB7">
        <w:t xml:space="preserve">that </w:t>
      </w:r>
      <w:r w:rsidR="00C205F7">
        <w:t>energy consumers</w:t>
      </w:r>
      <w:r w:rsidR="00E548EA">
        <w:t xml:space="preserve"> in</w:t>
      </w:r>
      <w:r w:rsidR="00C205F7">
        <w:t xml:space="preserve"> </w:t>
      </w:r>
      <w:r w:rsidR="00E548EA">
        <w:t xml:space="preserve">the ACT and Queanbeyan-Palerang region </w:t>
      </w:r>
      <w:r w:rsidR="00C205F7">
        <w:t>who are on low incomes, experiencing disadvantage</w:t>
      </w:r>
      <w:r w:rsidR="00B42D03">
        <w:t>, or at risk of hardship are</w:t>
      </w:r>
      <w:r w:rsidR="00707089">
        <w:t xml:space="preserve"> </w:t>
      </w:r>
      <w:r w:rsidR="003B7D9C">
        <w:t xml:space="preserve">able to actively contribute to </w:t>
      </w:r>
      <w:r w:rsidR="00B42D03">
        <w:t>the GN21 process</w:t>
      </w:r>
      <w:r w:rsidR="00E548EA">
        <w:t>.</w:t>
      </w:r>
    </w:p>
    <w:p w14:paraId="1647B028" w14:textId="00F249A6" w:rsidR="00606BAA" w:rsidRDefault="00986331" w:rsidP="00606BAA">
      <w:pPr>
        <w:pStyle w:val="BodyText"/>
      </w:pPr>
      <w:r w:rsidRPr="00986331">
        <w:t xml:space="preserve">Evoenergy is the gas distribution network service provider for the ACT and </w:t>
      </w:r>
      <w:r w:rsidR="007B4AB0">
        <w:t>Queanbeyan-Palerang region</w:t>
      </w:r>
      <w:r>
        <w:t xml:space="preserve"> – it owns and operates </w:t>
      </w:r>
      <w:r w:rsidR="00606BAA">
        <w:t>the network delivering gas to homes and businesses in the region.</w:t>
      </w:r>
      <w:r w:rsidRPr="00986331">
        <w:t xml:space="preserve"> </w:t>
      </w:r>
      <w:r w:rsidR="00051602">
        <w:t xml:space="preserve">Evoenergy’s network charges for transporting gas through the network are levied on gas retailers and form part of the costs in a retail gas bill. </w:t>
      </w:r>
      <w:r w:rsidRPr="00986331">
        <w:t xml:space="preserve">The National Gas Law and National Gas Rules provide the regulatory framework governing gas networks. </w:t>
      </w:r>
      <w:r w:rsidR="00606BAA" w:rsidRPr="00F23EB2">
        <w:t>The Australian Energy Regulator (AER)</w:t>
      </w:r>
      <w:r w:rsidRPr="00F23EB2">
        <w:t xml:space="preserve"> </w:t>
      </w:r>
      <w:r w:rsidR="00B842A7" w:rsidRPr="00F23EB2">
        <w:t xml:space="preserve">determines the revenue </w:t>
      </w:r>
      <w:r w:rsidR="00F23EB2" w:rsidRPr="00F23EB2">
        <w:t xml:space="preserve">Evoenergy can raise through tariffs from network users </w:t>
      </w:r>
      <w:r w:rsidR="00F32DEF">
        <w:t>(</w:t>
      </w:r>
      <w:r w:rsidR="003E733F">
        <w:t>i.e.</w:t>
      </w:r>
      <w:r w:rsidR="00F32DEF">
        <w:t xml:space="preserve"> gas retailers) </w:t>
      </w:r>
      <w:r w:rsidR="00F23EB2" w:rsidRPr="00F23EB2">
        <w:t>to operate and maintain the network and to fund network growth, refurbishment and replacement</w:t>
      </w:r>
      <w:r w:rsidR="00F32DEF" w:rsidRPr="00F32DEF">
        <w:t xml:space="preserve"> </w:t>
      </w:r>
      <w:r w:rsidR="00F32DEF" w:rsidRPr="00F23EB2">
        <w:t>under an approved access arrangement</w:t>
      </w:r>
      <w:r w:rsidR="00F23EB2" w:rsidRPr="00F23EB2">
        <w:t>.</w:t>
      </w:r>
      <w:r w:rsidR="00B842A7" w:rsidRPr="00F23EB2">
        <w:t xml:space="preserve"> </w:t>
      </w:r>
      <w:r w:rsidRPr="00F23EB2">
        <w:t xml:space="preserve">Evoenergy is required to submit its gas access arrangement </w:t>
      </w:r>
      <w:r w:rsidR="000E51B4" w:rsidRPr="00F23EB2">
        <w:t xml:space="preserve">proposal </w:t>
      </w:r>
      <w:r w:rsidRPr="00F23EB2">
        <w:t xml:space="preserve">for the </w:t>
      </w:r>
      <w:r w:rsidR="0071122E">
        <w:t>2021-26</w:t>
      </w:r>
      <w:r w:rsidRPr="00F23EB2">
        <w:t xml:space="preserve"> period</w:t>
      </w:r>
      <w:r w:rsidR="00606BAA" w:rsidRPr="00F23EB2">
        <w:t xml:space="preserve"> </w:t>
      </w:r>
      <w:r w:rsidRPr="00F23EB2">
        <w:t xml:space="preserve">to the AER for approval </w:t>
      </w:r>
      <w:r w:rsidR="00F23EB2">
        <w:t>by</w:t>
      </w:r>
      <w:r w:rsidR="00F23EB2" w:rsidRPr="00F23EB2">
        <w:t xml:space="preserve"> </w:t>
      </w:r>
      <w:r w:rsidRPr="00F23EB2">
        <w:t>1 July 2020.</w:t>
      </w:r>
      <w:r w:rsidRPr="00986331">
        <w:t xml:space="preserve"> </w:t>
      </w:r>
      <w:r w:rsidR="008F3633">
        <w:t xml:space="preserve">The AER </w:t>
      </w:r>
      <w:r w:rsidR="002F428B">
        <w:t xml:space="preserve">plans to publish its final decision </w:t>
      </w:r>
      <w:r w:rsidR="000E51B4">
        <w:t>in April 2021.</w:t>
      </w:r>
    </w:p>
    <w:p w14:paraId="573DA66D" w14:textId="77777777" w:rsidR="00635E24" w:rsidRDefault="005A7D71" w:rsidP="00606BAA">
      <w:pPr>
        <w:pStyle w:val="BodyText"/>
      </w:pPr>
      <w:r>
        <w:t>The objectives of the workshop were to:</w:t>
      </w:r>
    </w:p>
    <w:p w14:paraId="732690C4" w14:textId="77777777" w:rsidR="007309C0" w:rsidRDefault="007309C0" w:rsidP="007309C0">
      <w:pPr>
        <w:pStyle w:val="ListBullet"/>
      </w:pPr>
      <w:r>
        <w:t>Identify key issues that consumers and their representatives need to understand in order to actively contribute to the GN21 process</w:t>
      </w:r>
    </w:p>
    <w:p w14:paraId="298CA1FF" w14:textId="77777777" w:rsidR="007309C0" w:rsidRDefault="007309C0" w:rsidP="007309C0">
      <w:pPr>
        <w:pStyle w:val="ListBullet"/>
      </w:pPr>
      <w:r>
        <w:t>Clarify what further information and/or opportunities will be needed for consumers and their representatives to actively contribute to the GN21 process</w:t>
      </w:r>
    </w:p>
    <w:p w14:paraId="132F719B" w14:textId="77777777" w:rsidR="00606BAA" w:rsidRDefault="007309C0" w:rsidP="007309C0">
      <w:pPr>
        <w:pStyle w:val="ListBullet"/>
      </w:pPr>
      <w:r>
        <w:t>Develop local consumer advocacy capacity to engage in the GN21 process.</w:t>
      </w:r>
    </w:p>
    <w:p w14:paraId="5A772F54" w14:textId="03F50572" w:rsidR="0049687E" w:rsidRDefault="00CE0A74" w:rsidP="00E332B5">
      <w:pPr>
        <w:pStyle w:val="BodyText"/>
      </w:pPr>
      <w:r>
        <w:t>As a first step in building</w:t>
      </w:r>
      <w:r w:rsidR="009E4152">
        <w:t xml:space="preserve"> the capacity of consumers to </w:t>
      </w:r>
      <w:r w:rsidR="007E3D54">
        <w:t xml:space="preserve">actively </w:t>
      </w:r>
      <w:r w:rsidR="009E4152">
        <w:t xml:space="preserve">engage in the </w:t>
      </w:r>
      <w:r w:rsidR="001F3B58">
        <w:t>GN21 process, t</w:t>
      </w:r>
      <w:r w:rsidR="00F1691A">
        <w:t xml:space="preserve">he workshop </w:t>
      </w:r>
      <w:r w:rsidR="0002626C">
        <w:t>brought together</w:t>
      </w:r>
      <w:r w:rsidR="00357248">
        <w:t xml:space="preserve"> Evoenergy </w:t>
      </w:r>
      <w:r w:rsidR="003E20BA">
        <w:t xml:space="preserve">representatives, </w:t>
      </w:r>
      <w:r w:rsidR="00357248">
        <w:t>energy consumer experts</w:t>
      </w:r>
      <w:r w:rsidR="003E20BA">
        <w:t xml:space="preserve"> and representatives from a range of community </w:t>
      </w:r>
      <w:r w:rsidR="00AF3F88">
        <w:t>organisations that work with and/or represent people within the region who</w:t>
      </w:r>
      <w:r w:rsidR="007F3723">
        <w:t xml:space="preserve"> are living</w:t>
      </w:r>
      <w:r w:rsidR="00AF3F88">
        <w:t xml:space="preserve"> on low incomes, experiencing disadvantage, or </w:t>
      </w:r>
      <w:r w:rsidR="007F3723">
        <w:t>at risk of hardship</w:t>
      </w:r>
      <w:r w:rsidR="00B45BF9">
        <w:t xml:space="preserve"> (see </w:t>
      </w:r>
      <w:r w:rsidR="00DC0AA9">
        <w:t>Attachments</w:t>
      </w:r>
      <w:r w:rsidR="00B45BF9">
        <w:t xml:space="preserve"> for </w:t>
      </w:r>
      <w:r w:rsidR="003868FA">
        <w:t xml:space="preserve">the workshop agenda, </w:t>
      </w:r>
      <w:r w:rsidR="00187BBF">
        <w:t>list of attendees</w:t>
      </w:r>
      <w:r w:rsidR="00E04825">
        <w:t xml:space="preserve"> and their organisations</w:t>
      </w:r>
      <w:r w:rsidR="00187BBF">
        <w:t>).</w:t>
      </w:r>
      <w:r w:rsidR="001E3FA1">
        <w:t xml:space="preserve"> Thi</w:t>
      </w:r>
      <w:r w:rsidR="00651B12">
        <w:t xml:space="preserve">s provided an initial opportunity to learn about the GN21 process and gain insights from </w:t>
      </w:r>
      <w:r w:rsidR="001E186A">
        <w:t xml:space="preserve">experts </w:t>
      </w:r>
      <w:r w:rsidR="0062691E">
        <w:t>with</w:t>
      </w:r>
      <w:r w:rsidR="00F96408">
        <w:t xml:space="preserve"> </w:t>
      </w:r>
      <w:r w:rsidR="0018115D">
        <w:t xml:space="preserve">extensive experience </w:t>
      </w:r>
      <w:r w:rsidR="0062691E">
        <w:t>as</w:t>
      </w:r>
      <w:r w:rsidR="0018115D">
        <w:t xml:space="preserve"> </w:t>
      </w:r>
      <w:r w:rsidR="008D2F64">
        <w:t xml:space="preserve">energy </w:t>
      </w:r>
      <w:r w:rsidR="00F96408">
        <w:t xml:space="preserve">consumer </w:t>
      </w:r>
      <w:r w:rsidR="001E186A">
        <w:t>advoca</w:t>
      </w:r>
      <w:r w:rsidR="0062691E">
        <w:t>tes</w:t>
      </w:r>
      <w:r w:rsidR="008D2F64">
        <w:t xml:space="preserve">, </w:t>
      </w:r>
      <w:r w:rsidR="00FC25EB">
        <w:t>including</w:t>
      </w:r>
      <w:r w:rsidR="008D2F64">
        <w:t xml:space="preserve"> experience in engaging in</w:t>
      </w:r>
      <w:r w:rsidR="00FC25EB">
        <w:t xml:space="preserve"> </w:t>
      </w:r>
      <w:r w:rsidR="008D2F64">
        <w:t>other energy</w:t>
      </w:r>
      <w:r w:rsidR="00FC25EB">
        <w:t xml:space="preserve"> </w:t>
      </w:r>
      <w:r w:rsidR="001E186A">
        <w:t>network planning processes</w:t>
      </w:r>
      <w:r w:rsidR="00F96408">
        <w:t>.</w:t>
      </w:r>
      <w:r w:rsidR="00E161C0">
        <w:t xml:space="preserve"> Workshop participants from the local community were able to engage </w:t>
      </w:r>
      <w:r w:rsidR="00E04825">
        <w:t>in dialogue</w:t>
      </w:r>
      <w:r w:rsidR="00E161C0">
        <w:t xml:space="preserve"> with </w:t>
      </w:r>
      <w:r w:rsidR="00DB11C8">
        <w:t xml:space="preserve">Evoenergy and the expert panel through a </w:t>
      </w:r>
      <w:r w:rsidR="00B93EC0">
        <w:t>q</w:t>
      </w:r>
      <w:r w:rsidR="00DB11C8">
        <w:t xml:space="preserve">uestion and </w:t>
      </w:r>
      <w:r w:rsidR="00B93EC0">
        <w:t>a</w:t>
      </w:r>
      <w:r w:rsidR="00DB11C8">
        <w:t xml:space="preserve">nswer session and a World Café </w:t>
      </w:r>
      <w:r w:rsidR="0087757A">
        <w:t xml:space="preserve">session. </w:t>
      </w:r>
    </w:p>
    <w:p w14:paraId="3351D456" w14:textId="67F684B0" w:rsidR="00054B89" w:rsidRDefault="0049687E" w:rsidP="00E332B5">
      <w:pPr>
        <w:pStyle w:val="BodyText"/>
      </w:pPr>
      <w:r>
        <w:t xml:space="preserve">In order to inform Evoenergy’s GN21 consumer engagement, this report presents the outcomes of the workshop in terms of the information and </w:t>
      </w:r>
      <w:r>
        <w:lastRenderedPageBreak/>
        <w:t xml:space="preserve">processes needed to build </w:t>
      </w:r>
      <w:r w:rsidR="0043470C">
        <w:t xml:space="preserve">vulnerable </w:t>
      </w:r>
      <w:r>
        <w:t xml:space="preserve">consumers’ capacity to actively </w:t>
      </w:r>
      <w:r w:rsidR="00C51205">
        <w:t xml:space="preserve">engage and </w:t>
      </w:r>
      <w:r>
        <w:t xml:space="preserve">contribute. </w:t>
      </w:r>
    </w:p>
    <w:p w14:paraId="0CA5BFB4" w14:textId="65AD6D85" w:rsidR="00C17C60" w:rsidRDefault="00606518" w:rsidP="00606518">
      <w:pPr>
        <w:pStyle w:val="Heading1"/>
      </w:pPr>
      <w:bookmarkStart w:id="3" w:name="_Toc25308947"/>
      <w:r>
        <w:t xml:space="preserve">Key </w:t>
      </w:r>
      <w:r w:rsidR="00432C2D">
        <w:t>i</w:t>
      </w:r>
      <w:r>
        <w:t xml:space="preserve">ssues and </w:t>
      </w:r>
      <w:r w:rsidR="00432C2D">
        <w:t>i</w:t>
      </w:r>
      <w:r>
        <w:t xml:space="preserve">nformation </w:t>
      </w:r>
      <w:r w:rsidR="00432C2D">
        <w:t>n</w:t>
      </w:r>
      <w:r>
        <w:t>eeds</w:t>
      </w:r>
      <w:bookmarkEnd w:id="3"/>
    </w:p>
    <w:p w14:paraId="4DB82718" w14:textId="58523C9F" w:rsidR="00606518" w:rsidRDefault="00F449C6" w:rsidP="003E20BA">
      <w:pPr>
        <w:pStyle w:val="BodyText"/>
      </w:pPr>
      <w:r>
        <w:t xml:space="preserve">This section outlines key issues that were raised during the workshop related </w:t>
      </w:r>
      <w:r w:rsidR="00F32DEF">
        <w:t xml:space="preserve">to identified </w:t>
      </w:r>
      <w:r w:rsidR="00FB683B">
        <w:t>information needs</w:t>
      </w:r>
      <w:r w:rsidR="00F32DEF">
        <w:t xml:space="preserve"> by </w:t>
      </w:r>
      <w:r w:rsidR="00CD5324">
        <w:t>workshop participants.</w:t>
      </w:r>
    </w:p>
    <w:p w14:paraId="2CC0A13B" w14:textId="77777777" w:rsidR="00FA7F57" w:rsidRDefault="001B7C0E" w:rsidP="001B7C0E">
      <w:pPr>
        <w:pStyle w:val="Heading2"/>
      </w:pPr>
      <w:bookmarkStart w:id="4" w:name="_Toc25308948"/>
      <w:r>
        <w:t xml:space="preserve">Impacts on </w:t>
      </w:r>
      <w:r w:rsidR="007E7A41">
        <w:t xml:space="preserve">gas prices and </w:t>
      </w:r>
      <w:r w:rsidR="00AC6C80">
        <w:t>affordability</w:t>
      </w:r>
      <w:bookmarkEnd w:id="4"/>
    </w:p>
    <w:p w14:paraId="74F62248" w14:textId="77777777" w:rsidR="0065137F" w:rsidRDefault="00315E74" w:rsidP="005269D9">
      <w:pPr>
        <w:pStyle w:val="BodyText"/>
      </w:pPr>
      <w:r>
        <w:t xml:space="preserve">A key </w:t>
      </w:r>
      <w:r w:rsidR="005003E3">
        <w:t>issue</w:t>
      </w:r>
      <w:r>
        <w:t xml:space="preserve"> that participants </w:t>
      </w:r>
      <w:r w:rsidR="00D650DD">
        <w:t>wanted to get clarity about was</w:t>
      </w:r>
      <w:r w:rsidR="002E26FD">
        <w:t xml:space="preserve"> how the GN21 outcome w</w:t>
      </w:r>
      <w:r w:rsidR="00ED2DA5">
        <w:t xml:space="preserve">ould impact on </w:t>
      </w:r>
      <w:r w:rsidR="007F57F3">
        <w:t xml:space="preserve">low-income </w:t>
      </w:r>
      <w:r w:rsidR="005C702A">
        <w:t>household</w:t>
      </w:r>
      <w:r w:rsidR="007E7A41">
        <w:t>s’</w:t>
      </w:r>
      <w:r w:rsidR="005C702A">
        <w:t xml:space="preserve"> gas bills. </w:t>
      </w:r>
    </w:p>
    <w:p w14:paraId="218E19CC" w14:textId="77777777" w:rsidR="00336D8D" w:rsidRDefault="00FE5FAA" w:rsidP="005269D9">
      <w:pPr>
        <w:pStyle w:val="BodyText"/>
      </w:pPr>
      <w:r>
        <w:t>Evoenergy</w:t>
      </w:r>
      <w:r w:rsidR="009A7E09">
        <w:t>’s co</w:t>
      </w:r>
      <w:r w:rsidR="00B1646C">
        <w:t>nsumer guide to engaging in the GN21 process</w:t>
      </w:r>
      <w:r w:rsidR="00F86C9E">
        <w:t xml:space="preserve"> provides the following breakdown of ACT retail gas bills, highlighting that </w:t>
      </w:r>
      <w:r w:rsidR="00336D8D">
        <w:t>their distribution network makes up 25% of the typical annual household gas bill.</w:t>
      </w:r>
      <w:r w:rsidR="00EF18CD">
        <w:rPr>
          <w:rStyle w:val="FootnoteReference"/>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62"/>
        <w:gridCol w:w="2832"/>
      </w:tblGrid>
      <w:tr w:rsidR="00257B7F" w:rsidRPr="00CA7855" w14:paraId="4F287244" w14:textId="77777777" w:rsidTr="003B5B06">
        <w:tc>
          <w:tcPr>
            <w:tcW w:w="8494" w:type="dxa"/>
            <w:gridSpan w:val="2"/>
            <w:tcBorders>
              <w:bottom w:val="single" w:sz="4" w:space="0" w:color="auto"/>
            </w:tcBorders>
            <w:shd w:val="clear" w:color="auto" w:fill="auto"/>
            <w:tcMar>
              <w:left w:w="170" w:type="dxa"/>
              <w:right w:w="170" w:type="dxa"/>
            </w:tcMar>
          </w:tcPr>
          <w:p w14:paraId="6380617A" w14:textId="77777777" w:rsidR="00257B7F" w:rsidRPr="00CA7855" w:rsidRDefault="00844F4E" w:rsidP="003F5BE7">
            <w:pPr>
              <w:pStyle w:val="Tableheading"/>
              <w:rPr>
                <w:lang w:eastAsia="en-AU"/>
              </w:rPr>
            </w:pPr>
            <w:r>
              <w:rPr>
                <w:lang w:eastAsia="en-AU"/>
              </w:rPr>
              <w:t>ACT retail gas bill breakdown</w:t>
            </w:r>
          </w:p>
        </w:tc>
      </w:tr>
      <w:tr w:rsidR="00257B7F" w:rsidRPr="00CA7855" w14:paraId="101E031C" w14:textId="77777777" w:rsidTr="003B5B06">
        <w:tc>
          <w:tcPr>
            <w:tcW w:w="5662" w:type="dxa"/>
            <w:tcBorders>
              <w:right w:val="nil"/>
            </w:tcBorders>
            <w:shd w:val="clear" w:color="auto" w:fill="auto"/>
            <w:tcMar>
              <w:left w:w="170" w:type="dxa"/>
              <w:right w:w="170" w:type="dxa"/>
            </w:tcMar>
          </w:tcPr>
          <w:p w14:paraId="5DB47896" w14:textId="77777777" w:rsidR="00257B7F" w:rsidRPr="00CA7855" w:rsidRDefault="00844F4E" w:rsidP="00C67D98">
            <w:pPr>
              <w:pStyle w:val="TableBody"/>
              <w:rPr>
                <w:lang w:eastAsia="en-AU"/>
              </w:rPr>
            </w:pPr>
            <w:r w:rsidRPr="00844F4E">
              <w:rPr>
                <w:lang w:eastAsia="en-AU"/>
              </w:rPr>
              <w:t>Production</w:t>
            </w:r>
          </w:p>
        </w:tc>
        <w:tc>
          <w:tcPr>
            <w:tcW w:w="2832" w:type="dxa"/>
            <w:tcBorders>
              <w:left w:val="nil"/>
            </w:tcBorders>
            <w:shd w:val="clear" w:color="auto" w:fill="auto"/>
            <w:tcMar>
              <w:left w:w="170" w:type="dxa"/>
              <w:right w:w="170" w:type="dxa"/>
            </w:tcMar>
          </w:tcPr>
          <w:p w14:paraId="6F83032F" w14:textId="77777777" w:rsidR="00257B7F" w:rsidRPr="00CA7855" w:rsidRDefault="00844F4E" w:rsidP="006A140C">
            <w:pPr>
              <w:pStyle w:val="TableBody"/>
              <w:jc w:val="right"/>
              <w:rPr>
                <w:lang w:eastAsia="en-AU"/>
              </w:rPr>
            </w:pPr>
            <w:r w:rsidRPr="00844F4E">
              <w:rPr>
                <w:lang w:eastAsia="en-AU"/>
              </w:rPr>
              <w:t>42%</w:t>
            </w:r>
          </w:p>
        </w:tc>
      </w:tr>
      <w:tr w:rsidR="00257B7F" w:rsidRPr="00CA7855" w14:paraId="58547487" w14:textId="77777777" w:rsidTr="003B5B06">
        <w:tc>
          <w:tcPr>
            <w:tcW w:w="5662" w:type="dxa"/>
            <w:tcBorders>
              <w:right w:val="nil"/>
            </w:tcBorders>
            <w:shd w:val="clear" w:color="auto" w:fill="auto"/>
            <w:tcMar>
              <w:left w:w="170" w:type="dxa"/>
              <w:right w:w="170" w:type="dxa"/>
            </w:tcMar>
          </w:tcPr>
          <w:p w14:paraId="6A6A0556" w14:textId="77777777" w:rsidR="00257B7F" w:rsidRPr="00CA7855" w:rsidRDefault="00844F4E" w:rsidP="00C67D98">
            <w:pPr>
              <w:pStyle w:val="TableBody"/>
              <w:rPr>
                <w:lang w:eastAsia="en-AU"/>
              </w:rPr>
            </w:pPr>
            <w:r w:rsidRPr="00844F4E">
              <w:rPr>
                <w:lang w:eastAsia="en-AU"/>
              </w:rPr>
              <w:t xml:space="preserve">Transmission </w:t>
            </w:r>
          </w:p>
        </w:tc>
        <w:tc>
          <w:tcPr>
            <w:tcW w:w="2832" w:type="dxa"/>
            <w:tcBorders>
              <w:left w:val="nil"/>
            </w:tcBorders>
            <w:shd w:val="clear" w:color="auto" w:fill="auto"/>
            <w:tcMar>
              <w:left w:w="170" w:type="dxa"/>
              <w:right w:w="170" w:type="dxa"/>
            </w:tcMar>
          </w:tcPr>
          <w:p w14:paraId="005BAEFB" w14:textId="77777777" w:rsidR="00257B7F" w:rsidRPr="00CA7855" w:rsidRDefault="00844F4E" w:rsidP="006A140C">
            <w:pPr>
              <w:pStyle w:val="TableBody"/>
              <w:jc w:val="right"/>
              <w:rPr>
                <w:lang w:eastAsia="en-AU"/>
              </w:rPr>
            </w:pPr>
            <w:r w:rsidRPr="00844F4E">
              <w:rPr>
                <w:lang w:eastAsia="en-AU"/>
              </w:rPr>
              <w:t>9%</w:t>
            </w:r>
          </w:p>
        </w:tc>
      </w:tr>
      <w:tr w:rsidR="00257B7F" w:rsidRPr="00CA7855" w14:paraId="6656FB00" w14:textId="77777777" w:rsidTr="003B5E1C">
        <w:tc>
          <w:tcPr>
            <w:tcW w:w="5662" w:type="dxa"/>
            <w:tcBorders>
              <w:right w:val="nil"/>
            </w:tcBorders>
            <w:shd w:val="clear" w:color="auto" w:fill="F4B083" w:themeFill="accent2" w:themeFillTint="99"/>
            <w:tcMar>
              <w:left w:w="170" w:type="dxa"/>
              <w:right w:w="170" w:type="dxa"/>
            </w:tcMar>
          </w:tcPr>
          <w:p w14:paraId="3B07325E" w14:textId="77777777" w:rsidR="00257B7F" w:rsidRPr="00844F4E" w:rsidRDefault="00844F4E" w:rsidP="00C67D98">
            <w:pPr>
              <w:pStyle w:val="TableBody"/>
              <w:rPr>
                <w:b/>
                <w:bCs/>
                <w:lang w:eastAsia="en-AU"/>
              </w:rPr>
            </w:pPr>
            <w:r w:rsidRPr="00844F4E">
              <w:rPr>
                <w:b/>
                <w:bCs/>
                <w:lang w:eastAsia="en-AU"/>
              </w:rPr>
              <w:t xml:space="preserve">Distribution - Evoenergy </w:t>
            </w:r>
          </w:p>
        </w:tc>
        <w:tc>
          <w:tcPr>
            <w:tcW w:w="2832" w:type="dxa"/>
            <w:tcBorders>
              <w:left w:val="nil"/>
            </w:tcBorders>
            <w:shd w:val="clear" w:color="auto" w:fill="F4B083" w:themeFill="accent2" w:themeFillTint="99"/>
            <w:tcMar>
              <w:left w:w="170" w:type="dxa"/>
              <w:right w:w="170" w:type="dxa"/>
            </w:tcMar>
          </w:tcPr>
          <w:p w14:paraId="1E24016A" w14:textId="77777777" w:rsidR="00257B7F" w:rsidRPr="00844F4E" w:rsidRDefault="00844F4E" w:rsidP="006A140C">
            <w:pPr>
              <w:pStyle w:val="TableBody"/>
              <w:jc w:val="right"/>
              <w:rPr>
                <w:b/>
                <w:bCs/>
                <w:lang w:eastAsia="en-AU"/>
              </w:rPr>
            </w:pPr>
            <w:r w:rsidRPr="00844F4E">
              <w:rPr>
                <w:b/>
                <w:bCs/>
                <w:lang w:eastAsia="en-AU"/>
              </w:rPr>
              <w:t>25%</w:t>
            </w:r>
          </w:p>
        </w:tc>
      </w:tr>
      <w:tr w:rsidR="00257B7F" w:rsidRPr="00CA7855" w14:paraId="3A4E6038" w14:textId="77777777" w:rsidTr="003B5B06">
        <w:tc>
          <w:tcPr>
            <w:tcW w:w="5662" w:type="dxa"/>
            <w:tcBorders>
              <w:right w:val="nil"/>
            </w:tcBorders>
            <w:shd w:val="clear" w:color="auto" w:fill="auto"/>
            <w:tcMar>
              <w:left w:w="170" w:type="dxa"/>
              <w:right w:w="170" w:type="dxa"/>
            </w:tcMar>
          </w:tcPr>
          <w:p w14:paraId="31E81162" w14:textId="77777777" w:rsidR="00257B7F" w:rsidRPr="00CA7855" w:rsidRDefault="00844F4E" w:rsidP="00C67D98">
            <w:pPr>
              <w:pStyle w:val="TableBody"/>
              <w:rPr>
                <w:lang w:eastAsia="en-AU"/>
              </w:rPr>
            </w:pPr>
            <w:r w:rsidRPr="00844F4E">
              <w:rPr>
                <w:lang w:eastAsia="en-AU"/>
              </w:rPr>
              <w:t xml:space="preserve">Retailer </w:t>
            </w:r>
          </w:p>
        </w:tc>
        <w:tc>
          <w:tcPr>
            <w:tcW w:w="2832" w:type="dxa"/>
            <w:tcBorders>
              <w:left w:val="nil"/>
            </w:tcBorders>
            <w:shd w:val="clear" w:color="auto" w:fill="auto"/>
            <w:tcMar>
              <w:left w:w="170" w:type="dxa"/>
              <w:right w:w="170" w:type="dxa"/>
            </w:tcMar>
          </w:tcPr>
          <w:p w14:paraId="2EEFA309" w14:textId="77777777" w:rsidR="00257B7F" w:rsidRPr="00CA7855" w:rsidRDefault="00844F4E" w:rsidP="006A140C">
            <w:pPr>
              <w:pStyle w:val="TableBody"/>
              <w:jc w:val="right"/>
              <w:rPr>
                <w:lang w:eastAsia="en-AU"/>
              </w:rPr>
            </w:pPr>
            <w:r w:rsidRPr="00844F4E">
              <w:rPr>
                <w:lang w:eastAsia="en-AU"/>
              </w:rPr>
              <w:t>22%</w:t>
            </w:r>
          </w:p>
        </w:tc>
      </w:tr>
      <w:tr w:rsidR="00257B7F" w:rsidRPr="00CA7855" w14:paraId="4E55D375" w14:textId="77777777" w:rsidTr="003B5B06">
        <w:tc>
          <w:tcPr>
            <w:tcW w:w="5662" w:type="dxa"/>
            <w:tcBorders>
              <w:right w:val="nil"/>
            </w:tcBorders>
            <w:shd w:val="clear" w:color="auto" w:fill="auto"/>
            <w:tcMar>
              <w:left w:w="170" w:type="dxa"/>
              <w:right w:w="170" w:type="dxa"/>
            </w:tcMar>
          </w:tcPr>
          <w:p w14:paraId="6BCE16EA" w14:textId="77777777" w:rsidR="00257B7F" w:rsidRPr="00CA7855" w:rsidRDefault="00844F4E" w:rsidP="00C67D98">
            <w:pPr>
              <w:pStyle w:val="TableBody"/>
              <w:rPr>
                <w:lang w:eastAsia="en-AU"/>
              </w:rPr>
            </w:pPr>
            <w:r w:rsidRPr="00844F4E">
              <w:rPr>
                <w:lang w:eastAsia="en-AU"/>
              </w:rPr>
              <w:t xml:space="preserve">Other* </w:t>
            </w:r>
          </w:p>
        </w:tc>
        <w:tc>
          <w:tcPr>
            <w:tcW w:w="2832" w:type="dxa"/>
            <w:tcBorders>
              <w:left w:val="nil"/>
            </w:tcBorders>
            <w:shd w:val="clear" w:color="auto" w:fill="auto"/>
            <w:tcMar>
              <w:left w:w="170" w:type="dxa"/>
              <w:right w:w="170" w:type="dxa"/>
            </w:tcMar>
          </w:tcPr>
          <w:p w14:paraId="5C51EF4A" w14:textId="77777777" w:rsidR="00257B7F" w:rsidRPr="00CA7855" w:rsidRDefault="00844F4E" w:rsidP="006A140C">
            <w:pPr>
              <w:pStyle w:val="TableBody"/>
              <w:jc w:val="right"/>
              <w:rPr>
                <w:lang w:eastAsia="en-AU"/>
              </w:rPr>
            </w:pPr>
            <w:r w:rsidRPr="00844F4E">
              <w:rPr>
                <w:lang w:eastAsia="en-AU"/>
              </w:rPr>
              <w:t>2%</w:t>
            </w:r>
          </w:p>
        </w:tc>
      </w:tr>
      <w:tr w:rsidR="00844F4E" w:rsidRPr="00CA7855" w14:paraId="31A93339" w14:textId="77777777" w:rsidTr="00C67D98">
        <w:tc>
          <w:tcPr>
            <w:tcW w:w="8494" w:type="dxa"/>
            <w:gridSpan w:val="2"/>
            <w:shd w:val="clear" w:color="auto" w:fill="auto"/>
            <w:tcMar>
              <w:left w:w="170" w:type="dxa"/>
              <w:right w:w="170" w:type="dxa"/>
            </w:tcMar>
          </w:tcPr>
          <w:p w14:paraId="4D9E06B8" w14:textId="77777777" w:rsidR="00844F4E" w:rsidRDefault="00844F4E" w:rsidP="00844F4E">
            <w:pPr>
              <w:pStyle w:val="TableBody"/>
              <w:rPr>
                <w:lang w:eastAsia="en-AU"/>
              </w:rPr>
            </w:pPr>
            <w:r>
              <w:rPr>
                <w:lang w:eastAsia="en-AU"/>
              </w:rPr>
              <w:t>Typical annual household gas bill**</w:t>
            </w:r>
          </w:p>
          <w:p w14:paraId="4274AB2B" w14:textId="77777777" w:rsidR="00844F4E" w:rsidRDefault="00844F4E" w:rsidP="00844F4E">
            <w:pPr>
              <w:pStyle w:val="TableBody"/>
              <w:rPr>
                <w:lang w:eastAsia="en-AU"/>
              </w:rPr>
            </w:pPr>
            <w:r>
              <w:rPr>
                <w:lang w:eastAsia="en-AU"/>
              </w:rPr>
              <w:t>* Other costs include costs associated with storage and the costs of</w:t>
            </w:r>
            <w:r w:rsidR="00710EE1">
              <w:rPr>
                <w:lang w:eastAsia="en-AU"/>
              </w:rPr>
              <w:t xml:space="preserve"> </w:t>
            </w:r>
            <w:r>
              <w:rPr>
                <w:lang w:eastAsia="en-AU"/>
              </w:rPr>
              <w:t>participating in AEMO-operated Wholesale markets</w:t>
            </w:r>
          </w:p>
          <w:p w14:paraId="10D760CC" w14:textId="7432DBE3" w:rsidR="00844F4E" w:rsidRPr="00844F4E" w:rsidRDefault="00844F4E" w:rsidP="00844F4E">
            <w:pPr>
              <w:pStyle w:val="TableBody"/>
              <w:rPr>
                <w:lang w:eastAsia="en-AU"/>
              </w:rPr>
            </w:pPr>
            <w:r>
              <w:rPr>
                <w:lang w:eastAsia="en-AU"/>
              </w:rPr>
              <w:t>** based on ActewAGL Retail and Evoenergy pricing for 2019/20 and gas usage of 44.3 gigajoules per year</w:t>
            </w:r>
          </w:p>
        </w:tc>
      </w:tr>
    </w:tbl>
    <w:p w14:paraId="431EE5A0" w14:textId="77777777" w:rsidR="00114A59" w:rsidRDefault="00114A59" w:rsidP="00114A59">
      <w:pPr>
        <w:pStyle w:val="BodyText"/>
      </w:pPr>
    </w:p>
    <w:p w14:paraId="135C15C0" w14:textId="1DAA2607" w:rsidR="00594D3B" w:rsidRDefault="000D18EB" w:rsidP="00114A59">
      <w:pPr>
        <w:pStyle w:val="BodyText"/>
      </w:pPr>
      <w:r>
        <w:t xml:space="preserve">It is this </w:t>
      </w:r>
      <w:r w:rsidR="00D80FE3">
        <w:t>distribution component</w:t>
      </w:r>
      <w:r>
        <w:t xml:space="preserve"> of </w:t>
      </w:r>
      <w:r w:rsidR="0048658E">
        <w:t>household gas bil</w:t>
      </w:r>
      <w:r w:rsidR="00D80FE3">
        <w:t>ls</w:t>
      </w:r>
      <w:r w:rsidR="0048658E">
        <w:t xml:space="preserve"> that will be impacted by</w:t>
      </w:r>
      <w:r w:rsidR="004B7093">
        <w:t xml:space="preserve"> what is included in the final </w:t>
      </w:r>
      <w:r w:rsidR="00241CF7">
        <w:t xml:space="preserve">Evoenergy Gas Network </w:t>
      </w:r>
      <w:r w:rsidR="0071122E">
        <w:t>2021-26</w:t>
      </w:r>
      <w:r w:rsidR="00B359A7">
        <w:t xml:space="preserve"> </w:t>
      </w:r>
      <w:r w:rsidR="00241CF7">
        <w:t>Access A</w:t>
      </w:r>
      <w:r w:rsidR="00EC1BC2">
        <w:t>rrangement</w:t>
      </w:r>
      <w:r w:rsidR="00DC6111">
        <w:t>.</w:t>
      </w:r>
      <w:r w:rsidR="001C1796">
        <w:t xml:space="preserve"> </w:t>
      </w:r>
    </w:p>
    <w:p w14:paraId="4EBB2C6F" w14:textId="746D596E" w:rsidR="006A04ED" w:rsidDel="0065137F" w:rsidRDefault="00C50E1A" w:rsidP="00114A59">
      <w:pPr>
        <w:pStyle w:val="BodyText"/>
      </w:pPr>
      <w:r w:rsidDel="0065137F">
        <w:t xml:space="preserve">With production making up the largest component of </w:t>
      </w:r>
      <w:r w:rsidR="00BA7F0E" w:rsidDel="0065137F">
        <w:t xml:space="preserve">household </w:t>
      </w:r>
      <w:r w:rsidDel="0065137F">
        <w:t xml:space="preserve">gas </w:t>
      </w:r>
      <w:r w:rsidR="00BA7F0E" w:rsidDel="0065137F">
        <w:t>bills</w:t>
      </w:r>
      <w:r w:rsidDel="0065137F">
        <w:t xml:space="preserve">, participants were interested to know what is expected to </w:t>
      </w:r>
      <w:r w:rsidRPr="00C50E1A" w:rsidDel="0065137F">
        <w:t>happen to</w:t>
      </w:r>
      <w:r w:rsidR="00BA7F0E" w:rsidDel="0065137F">
        <w:t xml:space="preserve"> wholesale</w:t>
      </w:r>
      <w:r w:rsidRPr="00C50E1A" w:rsidDel="0065137F">
        <w:t xml:space="preserve"> gas prices in the future</w:t>
      </w:r>
      <w:r w:rsidR="00BA7F0E" w:rsidDel="0065137F">
        <w:t>.</w:t>
      </w:r>
      <w:r w:rsidR="00A747CE">
        <w:t xml:space="preserve"> </w:t>
      </w:r>
      <w:r w:rsidR="00893D56">
        <w:t>Evoenergy</w:t>
      </w:r>
      <w:r w:rsidR="00A747CE">
        <w:t xml:space="preserve"> noted</w:t>
      </w:r>
      <w:r w:rsidR="00893D56">
        <w:t xml:space="preserve"> </w:t>
      </w:r>
      <w:r w:rsidR="00A747CE">
        <w:t xml:space="preserve">that costs in the supply chain outside of distribution are outside of </w:t>
      </w:r>
      <w:r w:rsidR="00893D56">
        <w:t>their</w:t>
      </w:r>
      <w:r w:rsidR="00A747CE">
        <w:t xml:space="preserve"> control.</w:t>
      </w:r>
    </w:p>
    <w:p w14:paraId="7DA47550" w14:textId="76B0F6D5" w:rsidR="003C5319" w:rsidRDefault="005F0ADD" w:rsidP="00CF781E">
      <w:pPr>
        <w:pStyle w:val="Heading3"/>
      </w:pPr>
      <w:bookmarkStart w:id="5" w:name="_Toc25308949"/>
      <w:r>
        <w:lastRenderedPageBreak/>
        <w:t xml:space="preserve">Gas </w:t>
      </w:r>
      <w:r w:rsidR="00986BC6">
        <w:t>v</w:t>
      </w:r>
      <w:r w:rsidR="00BD6089">
        <w:t xml:space="preserve">s </w:t>
      </w:r>
      <w:r w:rsidR="00344DA5">
        <w:t>e</w:t>
      </w:r>
      <w:r w:rsidR="00BD6089">
        <w:t>lectricity</w:t>
      </w:r>
      <w:r w:rsidR="00F1245D">
        <w:t xml:space="preserve">: </w:t>
      </w:r>
      <w:r w:rsidR="003645C4">
        <w:t>c</w:t>
      </w:r>
      <w:r w:rsidR="00F1245D">
        <w:t>ost and customer preferences</w:t>
      </w:r>
      <w:bookmarkEnd w:id="5"/>
    </w:p>
    <w:p w14:paraId="293579D9" w14:textId="5BF343B7" w:rsidR="007D1537" w:rsidRDefault="00460F81" w:rsidP="0033284B">
      <w:pPr>
        <w:pStyle w:val="BodyText"/>
      </w:pPr>
      <w:r>
        <w:t>Parti</w:t>
      </w:r>
      <w:r w:rsidR="00574AC2">
        <w:t>cipants were interested to find out whether low-income households that are currently connected to gas would generally be better off switching to 100% electricity</w:t>
      </w:r>
      <w:r w:rsidR="00C435BB">
        <w:t>.</w:t>
      </w:r>
      <w:r w:rsidR="00DA58A5">
        <w:t xml:space="preserve"> While there </w:t>
      </w:r>
      <w:r w:rsidR="00C442F2">
        <w:t xml:space="preserve">are believed to be savings (e.g. not having two supply charges), it was also understood that there would be costs in terms of </w:t>
      </w:r>
      <w:r w:rsidR="007D1537">
        <w:t>purchasing new appliances</w:t>
      </w:r>
      <w:r w:rsidR="00EB22EE">
        <w:t xml:space="preserve">. </w:t>
      </w:r>
      <w:r w:rsidR="00A747CE">
        <w:t xml:space="preserve">Participants noted that these </w:t>
      </w:r>
      <w:r w:rsidR="00EB22EE">
        <w:t>cost</w:t>
      </w:r>
      <w:r w:rsidR="00A747CE">
        <w:t>s</w:t>
      </w:r>
      <w:r w:rsidR="00EB22EE">
        <w:t xml:space="preserve"> </w:t>
      </w:r>
      <w:r w:rsidR="00D92129">
        <w:t>could be</w:t>
      </w:r>
      <w:r w:rsidR="00EB22EE">
        <w:t xml:space="preserve"> eased through </w:t>
      </w:r>
      <w:r w:rsidR="00D92129">
        <w:t>subsidies or other programs, e.g. no-interest loans</w:t>
      </w:r>
      <w:r w:rsidR="00684E55">
        <w:t xml:space="preserve">. </w:t>
      </w:r>
    </w:p>
    <w:p w14:paraId="03903002" w14:textId="1FA7D9D4" w:rsidR="00CF781E" w:rsidRDefault="0033284B" w:rsidP="00CF781E">
      <w:pPr>
        <w:pStyle w:val="BodyText"/>
      </w:pPr>
      <w:r>
        <w:t xml:space="preserve">There </w:t>
      </w:r>
      <w:r w:rsidR="00D53A5C">
        <w:t xml:space="preserve">was concern that there </w:t>
      </w:r>
      <w:r>
        <w:t>may be a high proportion of household connections in new development areas</w:t>
      </w:r>
      <w:r w:rsidR="00D53A5C">
        <w:t xml:space="preserve"> </w:t>
      </w:r>
      <w:r w:rsidR="00DA58A5">
        <w:t xml:space="preserve">without </w:t>
      </w:r>
      <w:r>
        <w:t xml:space="preserve">consideration of </w:t>
      </w:r>
      <w:r w:rsidR="007D1537">
        <w:t>whether</w:t>
      </w:r>
      <w:r w:rsidR="00D53A5C">
        <w:t xml:space="preserve"> </w:t>
      </w:r>
      <w:r w:rsidR="005841F9">
        <w:t>hav</w:t>
      </w:r>
      <w:r w:rsidR="00263134">
        <w:t>ing</w:t>
      </w:r>
      <w:r w:rsidR="005841F9">
        <w:t xml:space="preserve"> two energy sources </w:t>
      </w:r>
      <w:r w:rsidR="00D53A5C">
        <w:t xml:space="preserve">would </w:t>
      </w:r>
      <w:r w:rsidR="00675E0B">
        <w:t xml:space="preserve">result in higher </w:t>
      </w:r>
      <w:r w:rsidR="005841F9">
        <w:t xml:space="preserve">overall </w:t>
      </w:r>
      <w:r>
        <w:t>energy cost</w:t>
      </w:r>
      <w:r w:rsidR="00675E0B">
        <w:t>s</w:t>
      </w:r>
      <w:r w:rsidR="00D53A5C">
        <w:t xml:space="preserve">. </w:t>
      </w:r>
      <w:r w:rsidR="003B7170">
        <w:t xml:space="preserve">There was also concern that some </w:t>
      </w:r>
      <w:r w:rsidR="002024C5">
        <w:t xml:space="preserve">low-income households </w:t>
      </w:r>
      <w:r w:rsidR="003B7170">
        <w:t xml:space="preserve">may </w:t>
      </w:r>
      <w:r w:rsidR="002024C5">
        <w:t>be</w:t>
      </w:r>
      <w:r w:rsidR="003B7170">
        <w:t xml:space="preserve"> ‘stuck’ with gas due t</w:t>
      </w:r>
      <w:r w:rsidR="002024C5">
        <w:t>o being unable to switch appliances easily and/or affordably.</w:t>
      </w:r>
    </w:p>
    <w:p w14:paraId="4D8E7CB7" w14:textId="463E0EC1" w:rsidR="004A0410" w:rsidRPr="00CA7855" w:rsidRDefault="00A747CE" w:rsidP="007F2AEC">
      <w:pPr>
        <w:pStyle w:val="BodyText"/>
      </w:pPr>
      <w:r>
        <w:t xml:space="preserve">The </w:t>
      </w:r>
      <w:r w:rsidR="00263134" w:rsidRPr="007F2AEC">
        <w:t xml:space="preserve">Evoenergy </w:t>
      </w:r>
      <w:r w:rsidRPr="007F2AEC">
        <w:t xml:space="preserve">attendees </w:t>
      </w:r>
      <w:r>
        <w:t>noted that a</w:t>
      </w:r>
      <w:r w:rsidR="004A0410">
        <w:t xml:space="preserve">nswers to questions of cost versus benefit for a household in moving from gas to electric are unlikely to be straightforward. They </w:t>
      </w:r>
      <w:r w:rsidR="00404816">
        <w:t xml:space="preserve">noted </w:t>
      </w:r>
      <w:r w:rsidR="00F116CB">
        <w:t xml:space="preserve">the influence of </w:t>
      </w:r>
      <w:r w:rsidR="004A0410">
        <w:t>factors such as relative costs of the energy sources and appliances</w:t>
      </w:r>
      <w:r w:rsidR="009A454A">
        <w:t xml:space="preserve">; size and composition of the household; and individual preferences. </w:t>
      </w:r>
    </w:p>
    <w:p w14:paraId="0E3C1D72" w14:textId="145259A3" w:rsidR="00C133F3" w:rsidRDefault="00F32DEF" w:rsidP="00CF781E">
      <w:pPr>
        <w:pStyle w:val="BodyText"/>
      </w:pPr>
      <w:r>
        <w:t>P</w:t>
      </w:r>
      <w:r w:rsidR="00D95C61">
        <w:t>articipants also noted that some households may have a preference to stay connected to gas</w:t>
      </w:r>
      <w:r>
        <w:t xml:space="preserve"> due to cultural or other factors</w:t>
      </w:r>
      <w:r w:rsidR="000D5F15">
        <w:t>.</w:t>
      </w:r>
      <w:r w:rsidR="009E1F58">
        <w:t xml:space="preserve"> </w:t>
      </w: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2938D4" w:rsidRPr="00CA7855" w14:paraId="02BFE80A" w14:textId="77777777" w:rsidTr="008B168E">
        <w:tc>
          <w:tcPr>
            <w:tcW w:w="8720" w:type="dxa"/>
            <w:shd w:val="clear" w:color="auto" w:fill="auto"/>
            <w:tcMar>
              <w:left w:w="170" w:type="dxa"/>
              <w:right w:w="170" w:type="dxa"/>
            </w:tcMar>
          </w:tcPr>
          <w:p w14:paraId="0DB376E4" w14:textId="54CAD754" w:rsidR="002938D4" w:rsidRPr="00CA7855" w:rsidRDefault="002938D4" w:rsidP="00AD2106">
            <w:pPr>
              <w:pStyle w:val="Recommendationsheading"/>
            </w:pPr>
            <w:r>
              <w:t xml:space="preserve">Participant </w:t>
            </w:r>
            <w:r w:rsidR="008B168E">
              <w:t>q</w:t>
            </w:r>
            <w:r>
              <w:t xml:space="preserve">uestions: </w:t>
            </w:r>
            <w:r w:rsidR="003645C4">
              <w:t>c</w:t>
            </w:r>
            <w:r w:rsidR="007D2385">
              <w:t>osts and customer preferences</w:t>
            </w:r>
            <w:r w:rsidR="004D7962">
              <w:t xml:space="preserve"> for gas and electricity</w:t>
            </w:r>
          </w:p>
          <w:p w14:paraId="38E4C79E" w14:textId="4E7F5E9C" w:rsidR="002938D4" w:rsidRDefault="002938D4" w:rsidP="00AD2106">
            <w:pPr>
              <w:pStyle w:val="ListBullet"/>
              <w:tabs>
                <w:tab w:val="num" w:pos="567"/>
              </w:tabs>
              <w:spacing w:after="120"/>
            </w:pPr>
            <w:r>
              <w:t xml:space="preserve">Is there data on the costs and benefits </w:t>
            </w:r>
            <w:r w:rsidR="00AD6C78">
              <w:t xml:space="preserve">for dual fuel </w:t>
            </w:r>
            <w:r>
              <w:t>households switching to 100% electricity?</w:t>
            </w:r>
          </w:p>
          <w:p w14:paraId="3BCADA7B" w14:textId="77777777" w:rsidR="002938D4" w:rsidRDefault="002938D4" w:rsidP="00AD2106">
            <w:pPr>
              <w:pStyle w:val="ListBullet"/>
              <w:tabs>
                <w:tab w:val="num" w:pos="567"/>
              </w:tabs>
              <w:spacing w:after="120"/>
            </w:pPr>
            <w:r>
              <w:t>Does the community understand the options and the related costs and benefits?</w:t>
            </w:r>
          </w:p>
          <w:p w14:paraId="702C719B" w14:textId="77777777" w:rsidR="002938D4" w:rsidRDefault="002938D4" w:rsidP="00AD2106">
            <w:pPr>
              <w:pStyle w:val="ListBullet"/>
              <w:tabs>
                <w:tab w:val="num" w:pos="567"/>
              </w:tabs>
              <w:spacing w:after="120"/>
            </w:pPr>
            <w:r>
              <w:t>What is the cost-benefit in terms of appliances when switching from gas to electricity?</w:t>
            </w:r>
          </w:p>
          <w:p w14:paraId="740F27BD" w14:textId="2B89882F" w:rsidR="002938D4" w:rsidRDefault="00AD6C78" w:rsidP="00AD2106">
            <w:pPr>
              <w:pStyle w:val="ListBullet"/>
              <w:tabs>
                <w:tab w:val="num" w:pos="567"/>
              </w:tabs>
              <w:spacing w:after="120"/>
            </w:pPr>
            <w:r>
              <w:t>Has</w:t>
            </w:r>
            <w:r w:rsidR="002938D4">
              <w:t xml:space="preserve"> electricity changed to become more useable and comparable to gas? </w:t>
            </w:r>
            <w:r w:rsidR="002E0D2E">
              <w:t>e</w:t>
            </w:r>
            <w:r w:rsidR="002938D4">
              <w:t>.g. induction stove tops</w:t>
            </w:r>
            <w:r>
              <w:t>.</w:t>
            </w:r>
          </w:p>
          <w:p w14:paraId="6EDBC748" w14:textId="77777777" w:rsidR="002938D4" w:rsidRDefault="000370FC" w:rsidP="00AD2106">
            <w:pPr>
              <w:pStyle w:val="ListBullet"/>
              <w:tabs>
                <w:tab w:val="num" w:pos="567"/>
              </w:tabs>
              <w:spacing w:after="120"/>
            </w:pPr>
            <w:r>
              <w:t>Is there a</w:t>
            </w:r>
            <w:r w:rsidR="002938D4">
              <w:t xml:space="preserve"> risk/cost of low-income households </w:t>
            </w:r>
            <w:r w:rsidR="000A34E1">
              <w:t>being unable to transition from the</w:t>
            </w:r>
            <w:r w:rsidR="002938D4">
              <w:t xml:space="preserve"> gas network due to </w:t>
            </w:r>
            <w:r w:rsidR="00D45BBA">
              <w:t>the in</w:t>
            </w:r>
            <w:r w:rsidR="002938D4">
              <w:t>ability to switch appliances easily and/or affordably?</w:t>
            </w:r>
          </w:p>
          <w:p w14:paraId="47F8C690" w14:textId="20A51712" w:rsidR="007D2385" w:rsidRDefault="007D2385" w:rsidP="00AD2106">
            <w:pPr>
              <w:pStyle w:val="ListBullet"/>
              <w:tabs>
                <w:tab w:val="num" w:pos="567"/>
              </w:tabs>
              <w:spacing w:after="120"/>
            </w:pPr>
            <w:r>
              <w:t xml:space="preserve">Why do some households prefer gas? </w:t>
            </w:r>
            <w:r w:rsidR="0072785B">
              <w:t>e</w:t>
            </w:r>
            <w:r>
              <w:t>.g. aesthetic, heating/comfort, and cooking (including for people from culturally and linguistically diverse (CALD) backgrounds where some foods need a flame for cooking properly)</w:t>
            </w:r>
            <w:r w:rsidR="00B613CF">
              <w:t>.</w:t>
            </w:r>
          </w:p>
          <w:p w14:paraId="2DE66512" w14:textId="77777777" w:rsidR="007D2385" w:rsidRDefault="007D2385" w:rsidP="00AD2106">
            <w:pPr>
              <w:pStyle w:val="ListBullet"/>
              <w:tabs>
                <w:tab w:val="num" w:pos="567"/>
              </w:tabs>
              <w:spacing w:after="120"/>
            </w:pPr>
            <w:r>
              <w:t>Are CALD or other groups within the community more likely to use and/or prefer gas?</w:t>
            </w:r>
          </w:p>
          <w:p w14:paraId="0474752D" w14:textId="7AC02672" w:rsidR="007D2385" w:rsidRPr="00CA7855" w:rsidRDefault="007D2385" w:rsidP="007D2385">
            <w:pPr>
              <w:pStyle w:val="ListBullet"/>
              <w:tabs>
                <w:tab w:val="num" w:pos="567"/>
              </w:tabs>
            </w:pPr>
            <w:r>
              <w:t>Note: the Canberra Multicultural Community Forum Inc. undertook consultation around the move to zero emissions which found a preference among some CALD communities for gas cooking, including generational differences in preferences.</w:t>
            </w:r>
          </w:p>
        </w:tc>
      </w:tr>
    </w:tbl>
    <w:p w14:paraId="10EB4155" w14:textId="696174C6" w:rsidR="001A13CB" w:rsidRDefault="00F32DEF" w:rsidP="00CB3780">
      <w:pPr>
        <w:pStyle w:val="Heading3"/>
      </w:pPr>
      <w:bookmarkStart w:id="6" w:name="_Toc25308950"/>
      <w:r>
        <w:lastRenderedPageBreak/>
        <w:t>C</w:t>
      </w:r>
      <w:r w:rsidR="00CB3780">
        <w:t>onnection fees for low-income households</w:t>
      </w:r>
      <w:bookmarkEnd w:id="6"/>
    </w:p>
    <w:p w14:paraId="5803A71C" w14:textId="77777777" w:rsidR="00F32DEF" w:rsidRDefault="00F32DEF" w:rsidP="00F32DEF">
      <w:pPr>
        <w:pStyle w:val="BodyText"/>
      </w:pPr>
      <w:r>
        <w:t xml:space="preserve">Participants raised the question of whether gas connection fees could be waived for low-income households. </w:t>
      </w:r>
    </w:p>
    <w:p w14:paraId="58CAB83E" w14:textId="2F7A0F9D" w:rsidR="005804A4" w:rsidRDefault="005804A4" w:rsidP="0057515F">
      <w:pPr>
        <w:pStyle w:val="BodyText"/>
      </w:pPr>
      <w:r>
        <w:t>Evoenergy</w:t>
      </w:r>
      <w:r w:rsidR="000659F1">
        <w:t xml:space="preserve"> advised that they</w:t>
      </w:r>
      <w:r>
        <w:t xml:space="preserve"> lev</w:t>
      </w:r>
      <w:r w:rsidR="000659F1">
        <w:t>y</w:t>
      </w:r>
      <w:r>
        <w:t xml:space="preserve"> a charge on retailers for meter reads request</w:t>
      </w:r>
      <w:r w:rsidR="00672B6C">
        <w:t>ed</w:t>
      </w:r>
      <w:r>
        <w:t xml:space="preserve"> when customers change address. Retailers determine how to pass th</w:t>
      </w:r>
      <w:r w:rsidR="00672B6C">
        <w:t>is</w:t>
      </w:r>
      <w:r>
        <w:t xml:space="preserve"> charge through to consumers. The National Gas Rules </w:t>
      </w:r>
      <w:r w:rsidR="00F32DEF">
        <w:t>encourage</w:t>
      </w:r>
      <w:r>
        <w:t xml:space="preserve"> distributors to be cost reflective in their charging, that is, where feasible, to ensure that customers bear costs which they cause</w:t>
      </w:r>
      <w:r w:rsidR="00F32DEF">
        <w:t xml:space="preserve"> </w:t>
      </w:r>
      <w:r w:rsidR="007B79F4">
        <w:t xml:space="preserve">in order </w:t>
      </w:r>
      <w:r w:rsidR="00F32DEF">
        <w:t>t</w:t>
      </w:r>
      <w:r>
        <w:t xml:space="preserve">o </w:t>
      </w:r>
      <w:r w:rsidR="00F32DEF">
        <w:t>avoid</w:t>
      </w:r>
      <w:r>
        <w:t xml:space="preserve"> cross-subsidies between individuals and groups of customers. </w:t>
      </w:r>
    </w:p>
    <w:p w14:paraId="740AF94A" w14:textId="15A2D33D" w:rsidR="00901D9C" w:rsidRDefault="0011643D" w:rsidP="00901D9C">
      <w:pPr>
        <w:pStyle w:val="BodyText"/>
      </w:pPr>
      <w:r>
        <w:t>Evoenergy noted that i</w:t>
      </w:r>
      <w:r w:rsidR="0086313F">
        <w:t xml:space="preserve">t is unclear whether vulnerable customers as a group </w:t>
      </w:r>
      <w:r w:rsidR="007B79F4">
        <w:t>are subject to these fees</w:t>
      </w:r>
      <w:r w:rsidR="0086313F">
        <w:t xml:space="preserve"> more often than other customers</w:t>
      </w:r>
      <w:r w:rsidR="007B79F4">
        <w:t>.</w:t>
      </w:r>
      <w:r w:rsidR="0086313F">
        <w:t xml:space="preserve"> </w:t>
      </w:r>
      <w:r w:rsidR="007B79F4">
        <w:t>One method to reduce their effect on vulnerable customers is through targeted assistance</w:t>
      </w:r>
      <w:r w:rsidR="00672B6C">
        <w:t xml:space="preserve"> </w:t>
      </w:r>
      <w:r w:rsidR="007B79F4">
        <w:t>such as the</w:t>
      </w:r>
      <w:r w:rsidR="00901D9C">
        <w:t xml:space="preserve"> ACT Government</w:t>
      </w:r>
      <w:r w:rsidR="007B79F4">
        <w:t>’s</w:t>
      </w:r>
      <w:r w:rsidR="00901D9C">
        <w:t xml:space="preserve"> Utilities Concession covering electricity, natural gas, water and sewerage to eligible concession card holders. </w:t>
      </w:r>
    </w:p>
    <w:p w14:paraId="3AFD11D5" w14:textId="2B764648" w:rsidR="00114A59" w:rsidRDefault="0086364C" w:rsidP="00114A59">
      <w:pPr>
        <w:pStyle w:val="Heading3"/>
      </w:pPr>
      <w:bookmarkStart w:id="7" w:name="_Toc25308951"/>
      <w:r>
        <w:t>Energy hardship data</w:t>
      </w:r>
      <w:bookmarkEnd w:id="7"/>
    </w:p>
    <w:p w14:paraId="19A1EABA" w14:textId="4DCC2E54" w:rsidR="00EB0881" w:rsidRDefault="008F754B" w:rsidP="00EB0881">
      <w:pPr>
        <w:pStyle w:val="BodyText"/>
      </w:pPr>
      <w:r>
        <w:t>W</w:t>
      </w:r>
      <w:r w:rsidR="00EB0881">
        <w:t xml:space="preserve">orkshop participants </w:t>
      </w:r>
      <w:r w:rsidR="002740FD">
        <w:t xml:space="preserve">were interested in finding out </w:t>
      </w:r>
      <w:r w:rsidR="0086313F">
        <w:t xml:space="preserve">whether </w:t>
      </w:r>
      <w:r w:rsidR="002740FD" w:rsidRPr="002740FD">
        <w:t xml:space="preserve">Evoenergy </w:t>
      </w:r>
      <w:r w:rsidR="0086313F">
        <w:t>has</w:t>
      </w:r>
      <w:r w:rsidR="002740FD" w:rsidRPr="002740FD">
        <w:t xml:space="preserve"> </w:t>
      </w:r>
      <w:r w:rsidR="0086313F">
        <w:t xml:space="preserve">data on </w:t>
      </w:r>
      <w:r w:rsidR="00495343">
        <w:t xml:space="preserve">gas </w:t>
      </w:r>
      <w:r w:rsidR="002740FD" w:rsidRPr="002740FD">
        <w:t>customers experiencing hardship</w:t>
      </w:r>
      <w:r w:rsidR="002740FD">
        <w:t xml:space="preserve"> in the region</w:t>
      </w:r>
      <w:r w:rsidR="008510E2">
        <w:t xml:space="preserve">, including data from the </w:t>
      </w:r>
      <w:r w:rsidR="00272130">
        <w:t>ACT Civil and Administrative Tribunal (ACAT</w:t>
      </w:r>
      <w:r w:rsidR="005C4B85">
        <w:t>)</w:t>
      </w:r>
      <w:r w:rsidR="00495BC8">
        <w:t xml:space="preserve"> and the Energy and Water Ombudsman NSW (EWON)</w:t>
      </w:r>
      <w:r w:rsidR="004C019A">
        <w:t xml:space="preserve">. </w:t>
      </w:r>
    </w:p>
    <w:p w14:paraId="764BD7DE" w14:textId="31E3D821" w:rsidR="008F754B" w:rsidRPr="000E4798" w:rsidRDefault="008F754B" w:rsidP="00552ED2">
      <w:pPr>
        <w:pStyle w:val="Heading1"/>
      </w:pPr>
      <w:bookmarkStart w:id="8" w:name="_Toc25308952"/>
      <w:r>
        <w:t>The access arrangement review</w:t>
      </w:r>
      <w:bookmarkEnd w:id="8"/>
      <w:r>
        <w:t xml:space="preserve"> </w:t>
      </w:r>
    </w:p>
    <w:p w14:paraId="0331CC7A" w14:textId="1ABBCE68" w:rsidR="008F754B" w:rsidRDefault="008F754B" w:rsidP="00552ED2">
      <w:pPr>
        <w:pStyle w:val="BodyText"/>
      </w:pPr>
      <w:r>
        <w:t xml:space="preserve">Workshop participants were interested in better understanding elements of the AER’s review of Evoenergy’s access arrangement proposal. </w:t>
      </w:r>
    </w:p>
    <w:p w14:paraId="4215B5C7" w14:textId="3731129E" w:rsidR="008C4308" w:rsidRDefault="00C83FCF" w:rsidP="00050C8F">
      <w:pPr>
        <w:pStyle w:val="Heading2"/>
      </w:pPr>
      <w:bookmarkStart w:id="9" w:name="_Toc25308953"/>
      <w:r>
        <w:t>How</w:t>
      </w:r>
      <w:r w:rsidR="001734E3">
        <w:t xml:space="preserve"> network charges</w:t>
      </w:r>
      <w:r>
        <w:t xml:space="preserve"> are calculated</w:t>
      </w:r>
      <w:r w:rsidR="001734E3">
        <w:t xml:space="preserve">: </w:t>
      </w:r>
      <w:r w:rsidR="008C4308">
        <w:t xml:space="preserve">AER </w:t>
      </w:r>
      <w:r w:rsidR="001734E3">
        <w:t>b</w:t>
      </w:r>
      <w:r w:rsidR="008C4308">
        <w:t xml:space="preserve">uilding </w:t>
      </w:r>
      <w:r w:rsidR="001734E3">
        <w:t>b</w:t>
      </w:r>
      <w:r w:rsidR="008C4308">
        <w:t xml:space="preserve">lock </w:t>
      </w:r>
      <w:r w:rsidR="001734E3">
        <w:t>m</w:t>
      </w:r>
      <w:r w:rsidR="008C4308">
        <w:t>odel</w:t>
      </w:r>
      <w:bookmarkEnd w:id="9"/>
    </w:p>
    <w:p w14:paraId="55EB627E" w14:textId="41F924B4" w:rsidR="00BA2F8D" w:rsidRDefault="0086313F" w:rsidP="00EB0881">
      <w:pPr>
        <w:pStyle w:val="BodyText"/>
      </w:pPr>
      <w:r>
        <w:t>N</w:t>
      </w:r>
      <w:r w:rsidR="005A4603">
        <w:t xml:space="preserve">etwork charges are </w:t>
      </w:r>
      <w:r w:rsidR="00F4156E">
        <w:t xml:space="preserve">calculated based on </w:t>
      </w:r>
      <w:r w:rsidR="00A76153">
        <w:t xml:space="preserve">what the </w:t>
      </w:r>
      <w:r w:rsidR="00F60015">
        <w:t>regulatory framework</w:t>
      </w:r>
      <w:r w:rsidR="00AA22A4">
        <w:t xml:space="preserve"> </w:t>
      </w:r>
      <w:r w:rsidR="00A76153">
        <w:t xml:space="preserve">refers to as </w:t>
      </w:r>
      <w:r w:rsidR="00A76153" w:rsidRPr="002D6C7A">
        <w:rPr>
          <w:i/>
        </w:rPr>
        <w:t>building blocks</w:t>
      </w:r>
      <w:r w:rsidR="00A76153">
        <w:t xml:space="preserve">. </w:t>
      </w:r>
      <w:r w:rsidR="00BA2F8D">
        <w:t>The</w:t>
      </w:r>
      <w:r w:rsidR="006E041C">
        <w:t xml:space="preserve"> building blocks</w:t>
      </w:r>
      <w:r w:rsidR="00BA2F8D">
        <w:t xml:space="preserve"> </w:t>
      </w:r>
      <w:r w:rsidR="00681A80">
        <w:t>represent</w:t>
      </w:r>
      <w:r w:rsidR="00BA2F8D">
        <w:t xml:space="preserve"> costs that business</w:t>
      </w:r>
      <w:r>
        <w:t>es</w:t>
      </w:r>
      <w:r w:rsidR="00BA2F8D">
        <w:t xml:space="preserve"> need to recover </w:t>
      </w:r>
      <w:r>
        <w:t>through</w:t>
      </w:r>
      <w:r w:rsidR="00BA2F8D">
        <w:t xml:space="preserve"> </w:t>
      </w:r>
      <w:r w:rsidR="006E041C">
        <w:t>sales</w:t>
      </w:r>
      <w:r w:rsidR="00F60015">
        <w:t xml:space="preserve"> to remain</w:t>
      </w:r>
      <w:r w:rsidR="00BA2F8D">
        <w:t xml:space="preserve"> </w:t>
      </w:r>
      <w:r w:rsidR="00F60015">
        <w:t>economically sustainable</w:t>
      </w:r>
      <w:r w:rsidR="00BA2F8D">
        <w:t xml:space="preserve">. </w:t>
      </w:r>
    </w:p>
    <w:p w14:paraId="422E5563" w14:textId="03BA6EFA" w:rsidR="006A37CE" w:rsidRDefault="003D4F4E" w:rsidP="00EB0881">
      <w:pPr>
        <w:pStyle w:val="BodyText"/>
      </w:pPr>
      <w:r>
        <w:t>The</w:t>
      </w:r>
      <w:r w:rsidR="00A76153">
        <w:t xml:space="preserve"> Evoenergy consultation paper</w:t>
      </w:r>
      <w:r w:rsidR="0062522C">
        <w:t xml:space="preserve"> </w:t>
      </w:r>
      <w:r w:rsidR="008F754B">
        <w:t xml:space="preserve">identified </w:t>
      </w:r>
      <w:r w:rsidR="00A76153">
        <w:t>these building blocks</w:t>
      </w:r>
      <w:r w:rsidR="006A37CE">
        <w:t xml:space="preserve"> and their </w:t>
      </w:r>
      <w:r w:rsidR="00817E9E">
        <w:t xml:space="preserve">relative sizes </w:t>
      </w:r>
      <w:r w:rsidR="008E1938">
        <w:t xml:space="preserve">in the current Evoenergy decision </w:t>
      </w:r>
      <w:r w:rsidR="00817E9E">
        <w:t>as per the table below.</w:t>
      </w:r>
      <w:r w:rsidR="00DF0EC9">
        <w:rPr>
          <w:rStyle w:val="FootnoteReference"/>
        </w:rPr>
        <w:footnoteReference w:id="3"/>
      </w:r>
    </w:p>
    <w:p w14:paraId="224013B6" w14:textId="6A7CBE72" w:rsidR="00920615" w:rsidRDefault="0092061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62"/>
        <w:gridCol w:w="2832"/>
      </w:tblGrid>
      <w:tr w:rsidR="00817E9E" w:rsidRPr="00CA7855" w14:paraId="36799F0F" w14:textId="77777777" w:rsidTr="00D10511">
        <w:trPr>
          <w:cantSplit/>
        </w:trPr>
        <w:tc>
          <w:tcPr>
            <w:tcW w:w="5662" w:type="dxa"/>
            <w:shd w:val="clear" w:color="auto" w:fill="auto"/>
            <w:tcMar>
              <w:left w:w="170" w:type="dxa"/>
              <w:right w:w="170" w:type="dxa"/>
            </w:tcMar>
          </w:tcPr>
          <w:p w14:paraId="068E9A19" w14:textId="77777777" w:rsidR="00817E9E" w:rsidRPr="00CA7855" w:rsidRDefault="00A02AB8" w:rsidP="00C67D98">
            <w:pPr>
              <w:pStyle w:val="Tableheading"/>
              <w:rPr>
                <w:lang w:eastAsia="en-AU"/>
              </w:rPr>
            </w:pPr>
            <w:r>
              <w:rPr>
                <w:lang w:eastAsia="en-AU"/>
              </w:rPr>
              <w:lastRenderedPageBreak/>
              <w:t xml:space="preserve">Building </w:t>
            </w:r>
            <w:r w:rsidR="003D4F4E">
              <w:rPr>
                <w:lang w:eastAsia="en-AU"/>
              </w:rPr>
              <w:t>block component</w:t>
            </w:r>
          </w:p>
        </w:tc>
        <w:tc>
          <w:tcPr>
            <w:tcW w:w="2832" w:type="dxa"/>
            <w:shd w:val="clear" w:color="auto" w:fill="auto"/>
            <w:tcMar>
              <w:left w:w="170" w:type="dxa"/>
              <w:right w:w="170" w:type="dxa"/>
            </w:tcMar>
          </w:tcPr>
          <w:p w14:paraId="27BA7079" w14:textId="77777777" w:rsidR="00817E9E" w:rsidRPr="00CA7855" w:rsidRDefault="00A02AB8" w:rsidP="00C67D98">
            <w:pPr>
              <w:pStyle w:val="Tableheading"/>
              <w:rPr>
                <w:lang w:eastAsia="en-AU"/>
              </w:rPr>
            </w:pPr>
            <w:r>
              <w:rPr>
                <w:lang w:eastAsia="en-AU"/>
              </w:rPr>
              <w:t xml:space="preserve">Relative size </w:t>
            </w:r>
          </w:p>
        </w:tc>
      </w:tr>
      <w:tr w:rsidR="00817E9E" w:rsidRPr="00CA7855" w14:paraId="267C7F63" w14:textId="77777777" w:rsidTr="00D10511">
        <w:trPr>
          <w:cantSplit/>
        </w:trPr>
        <w:tc>
          <w:tcPr>
            <w:tcW w:w="5662" w:type="dxa"/>
            <w:shd w:val="clear" w:color="auto" w:fill="auto"/>
            <w:tcMar>
              <w:left w:w="170" w:type="dxa"/>
              <w:right w:w="170" w:type="dxa"/>
            </w:tcMar>
          </w:tcPr>
          <w:p w14:paraId="72D7D8C4" w14:textId="77777777" w:rsidR="003D4F4E" w:rsidRDefault="00A02AB8" w:rsidP="00C67D98">
            <w:pPr>
              <w:pStyle w:val="TableBody"/>
              <w:rPr>
                <w:lang w:eastAsia="en-AU"/>
              </w:rPr>
            </w:pPr>
            <w:r>
              <w:rPr>
                <w:lang w:eastAsia="en-AU"/>
              </w:rPr>
              <w:t>Operating costs</w:t>
            </w:r>
            <w:r w:rsidR="003D4F4E">
              <w:rPr>
                <w:lang w:eastAsia="en-AU"/>
              </w:rPr>
              <w:t xml:space="preserve"> </w:t>
            </w:r>
          </w:p>
          <w:p w14:paraId="5DA3BAA2" w14:textId="38D3B8A7" w:rsidR="00817E9E" w:rsidRPr="00CA7855" w:rsidRDefault="003D4F4E" w:rsidP="00C67D98">
            <w:pPr>
              <w:pStyle w:val="TableBody"/>
              <w:rPr>
                <w:lang w:eastAsia="en-AU"/>
              </w:rPr>
            </w:pPr>
            <w:r>
              <w:rPr>
                <w:lang w:eastAsia="en-AU"/>
              </w:rPr>
              <w:t>(including Revenue adjustments (incentive scheme</w:t>
            </w:r>
            <w:r w:rsidR="00767D6E">
              <w:rPr>
                <w:lang w:eastAsia="en-AU"/>
              </w:rPr>
              <w:t>s</w:t>
            </w:r>
            <w:r>
              <w:rPr>
                <w:lang w:eastAsia="en-AU"/>
              </w:rPr>
              <w:t>))</w:t>
            </w:r>
          </w:p>
        </w:tc>
        <w:tc>
          <w:tcPr>
            <w:tcW w:w="2832" w:type="dxa"/>
            <w:shd w:val="clear" w:color="auto" w:fill="auto"/>
            <w:tcMar>
              <w:left w:w="170" w:type="dxa"/>
              <w:right w:w="170" w:type="dxa"/>
            </w:tcMar>
          </w:tcPr>
          <w:p w14:paraId="6D3BB430" w14:textId="77777777" w:rsidR="00817E9E" w:rsidRPr="00CA7855" w:rsidRDefault="00A02AB8" w:rsidP="003D4F4E">
            <w:pPr>
              <w:pStyle w:val="TableBody"/>
              <w:jc w:val="right"/>
              <w:rPr>
                <w:lang w:eastAsia="en-AU"/>
              </w:rPr>
            </w:pPr>
            <w:r>
              <w:rPr>
                <w:lang w:eastAsia="en-AU"/>
              </w:rPr>
              <w:t>56%</w:t>
            </w:r>
          </w:p>
        </w:tc>
      </w:tr>
      <w:tr w:rsidR="00A02AB8" w:rsidRPr="00CA7855" w14:paraId="7AB40F5C" w14:textId="77777777" w:rsidTr="00D10511">
        <w:trPr>
          <w:cantSplit/>
        </w:trPr>
        <w:tc>
          <w:tcPr>
            <w:tcW w:w="5662" w:type="dxa"/>
            <w:shd w:val="clear" w:color="auto" w:fill="auto"/>
            <w:tcMar>
              <w:left w:w="170" w:type="dxa"/>
              <w:right w:w="170" w:type="dxa"/>
            </w:tcMar>
          </w:tcPr>
          <w:p w14:paraId="112FCCD0" w14:textId="77777777" w:rsidR="00A02AB8" w:rsidRDefault="00C24D58" w:rsidP="00C67D98">
            <w:pPr>
              <w:pStyle w:val="TableBody"/>
              <w:rPr>
                <w:lang w:eastAsia="en-AU"/>
              </w:rPr>
            </w:pPr>
            <w:r>
              <w:rPr>
                <w:lang w:eastAsia="en-AU"/>
              </w:rPr>
              <w:t>Return on capital</w:t>
            </w:r>
          </w:p>
        </w:tc>
        <w:tc>
          <w:tcPr>
            <w:tcW w:w="2832" w:type="dxa"/>
            <w:shd w:val="clear" w:color="auto" w:fill="auto"/>
            <w:tcMar>
              <w:left w:w="170" w:type="dxa"/>
              <w:right w:w="170" w:type="dxa"/>
            </w:tcMar>
          </w:tcPr>
          <w:p w14:paraId="71D104DA" w14:textId="77777777" w:rsidR="00A02AB8" w:rsidRDefault="00C24D58" w:rsidP="003D4F4E">
            <w:pPr>
              <w:pStyle w:val="TableBody"/>
              <w:jc w:val="right"/>
              <w:rPr>
                <w:lang w:eastAsia="en-AU"/>
              </w:rPr>
            </w:pPr>
            <w:r>
              <w:rPr>
                <w:lang w:eastAsia="en-AU"/>
              </w:rPr>
              <w:t>31%</w:t>
            </w:r>
          </w:p>
        </w:tc>
      </w:tr>
      <w:tr w:rsidR="00C24D58" w:rsidRPr="00CA7855" w14:paraId="49C9C6F6" w14:textId="77777777" w:rsidTr="00D10511">
        <w:trPr>
          <w:cantSplit/>
        </w:trPr>
        <w:tc>
          <w:tcPr>
            <w:tcW w:w="5662" w:type="dxa"/>
            <w:shd w:val="clear" w:color="auto" w:fill="auto"/>
            <w:tcMar>
              <w:left w:w="170" w:type="dxa"/>
              <w:right w:w="170" w:type="dxa"/>
            </w:tcMar>
          </w:tcPr>
          <w:p w14:paraId="68BE397A" w14:textId="77777777" w:rsidR="00C24D58" w:rsidRDefault="00C24D58" w:rsidP="00C67D98">
            <w:pPr>
              <w:pStyle w:val="TableBody"/>
              <w:rPr>
                <w:lang w:eastAsia="en-AU"/>
              </w:rPr>
            </w:pPr>
            <w:r>
              <w:rPr>
                <w:lang w:eastAsia="en-AU"/>
              </w:rPr>
              <w:t>Depreciation</w:t>
            </w:r>
          </w:p>
        </w:tc>
        <w:tc>
          <w:tcPr>
            <w:tcW w:w="2832" w:type="dxa"/>
            <w:shd w:val="clear" w:color="auto" w:fill="auto"/>
            <w:tcMar>
              <w:left w:w="170" w:type="dxa"/>
              <w:right w:w="170" w:type="dxa"/>
            </w:tcMar>
          </w:tcPr>
          <w:p w14:paraId="64AFDD4D" w14:textId="77777777" w:rsidR="00C24D58" w:rsidRDefault="00C24D58" w:rsidP="003D4F4E">
            <w:pPr>
              <w:pStyle w:val="TableBody"/>
              <w:jc w:val="right"/>
              <w:rPr>
                <w:lang w:eastAsia="en-AU"/>
              </w:rPr>
            </w:pPr>
            <w:r>
              <w:rPr>
                <w:lang w:eastAsia="en-AU"/>
              </w:rPr>
              <w:t>12%</w:t>
            </w:r>
          </w:p>
        </w:tc>
      </w:tr>
      <w:tr w:rsidR="00C24D58" w:rsidRPr="00CA7855" w14:paraId="0499726F" w14:textId="77777777" w:rsidTr="00D10511">
        <w:trPr>
          <w:cantSplit/>
        </w:trPr>
        <w:tc>
          <w:tcPr>
            <w:tcW w:w="5662" w:type="dxa"/>
            <w:shd w:val="clear" w:color="auto" w:fill="auto"/>
            <w:tcMar>
              <w:left w:w="170" w:type="dxa"/>
              <w:right w:w="170" w:type="dxa"/>
            </w:tcMar>
          </w:tcPr>
          <w:p w14:paraId="5CE2AC19" w14:textId="77777777" w:rsidR="00C24D58" w:rsidRDefault="00C24D58" w:rsidP="00C67D98">
            <w:pPr>
              <w:pStyle w:val="TableBody"/>
              <w:rPr>
                <w:lang w:eastAsia="en-AU"/>
              </w:rPr>
            </w:pPr>
            <w:r>
              <w:rPr>
                <w:lang w:eastAsia="en-AU"/>
              </w:rPr>
              <w:t>Tax allowance</w:t>
            </w:r>
          </w:p>
        </w:tc>
        <w:tc>
          <w:tcPr>
            <w:tcW w:w="2832" w:type="dxa"/>
            <w:shd w:val="clear" w:color="auto" w:fill="auto"/>
            <w:tcMar>
              <w:left w:w="170" w:type="dxa"/>
              <w:right w:w="170" w:type="dxa"/>
            </w:tcMar>
          </w:tcPr>
          <w:p w14:paraId="7EF12806" w14:textId="77777777" w:rsidR="00C24D58" w:rsidRDefault="00C24D58" w:rsidP="003D4F4E">
            <w:pPr>
              <w:pStyle w:val="TableBody"/>
              <w:jc w:val="right"/>
              <w:rPr>
                <w:lang w:eastAsia="en-AU"/>
              </w:rPr>
            </w:pPr>
            <w:r>
              <w:rPr>
                <w:lang w:eastAsia="en-AU"/>
              </w:rPr>
              <w:t>1%</w:t>
            </w:r>
          </w:p>
        </w:tc>
      </w:tr>
      <w:tr w:rsidR="00A60E8C" w:rsidRPr="00CA7855" w14:paraId="7E8E485A" w14:textId="77777777" w:rsidTr="00D10511">
        <w:trPr>
          <w:cantSplit/>
        </w:trPr>
        <w:tc>
          <w:tcPr>
            <w:tcW w:w="5662" w:type="dxa"/>
            <w:shd w:val="clear" w:color="auto" w:fill="auto"/>
            <w:tcMar>
              <w:left w:w="170" w:type="dxa"/>
              <w:right w:w="170" w:type="dxa"/>
            </w:tcMar>
          </w:tcPr>
          <w:p w14:paraId="0DC7B05E" w14:textId="77777777" w:rsidR="00A60E8C" w:rsidRDefault="003D4F4E" w:rsidP="00C67D98">
            <w:pPr>
              <w:pStyle w:val="TableBody"/>
              <w:rPr>
                <w:lang w:eastAsia="en-AU"/>
              </w:rPr>
            </w:pPr>
            <w:r>
              <w:rPr>
                <w:lang w:eastAsia="en-AU"/>
              </w:rPr>
              <w:t>Total</w:t>
            </w:r>
          </w:p>
        </w:tc>
        <w:tc>
          <w:tcPr>
            <w:tcW w:w="2832" w:type="dxa"/>
            <w:shd w:val="clear" w:color="auto" w:fill="auto"/>
            <w:tcMar>
              <w:left w:w="170" w:type="dxa"/>
              <w:right w:w="170" w:type="dxa"/>
            </w:tcMar>
          </w:tcPr>
          <w:p w14:paraId="40C5C7C9" w14:textId="77777777" w:rsidR="00A60E8C" w:rsidRDefault="003D4F4E" w:rsidP="003D4F4E">
            <w:pPr>
              <w:pStyle w:val="TableBody"/>
              <w:jc w:val="right"/>
              <w:rPr>
                <w:lang w:eastAsia="en-AU"/>
              </w:rPr>
            </w:pPr>
            <w:r>
              <w:rPr>
                <w:lang w:eastAsia="en-AU"/>
              </w:rPr>
              <w:t>100%</w:t>
            </w:r>
          </w:p>
        </w:tc>
      </w:tr>
    </w:tbl>
    <w:p w14:paraId="01461234" w14:textId="5F47AFB2" w:rsidR="001B7C0E" w:rsidRDefault="005B236B" w:rsidP="00050C8F">
      <w:pPr>
        <w:pStyle w:val="Heading3"/>
      </w:pPr>
      <w:bookmarkStart w:id="10" w:name="_Toc25308954"/>
      <w:r>
        <w:t xml:space="preserve">Operating and </w:t>
      </w:r>
      <w:r w:rsidR="0059772C">
        <w:t>c</w:t>
      </w:r>
      <w:r>
        <w:t xml:space="preserve">apital </w:t>
      </w:r>
      <w:r w:rsidR="0059772C">
        <w:t>e</w:t>
      </w:r>
      <w:r>
        <w:t>xpenditure</w:t>
      </w:r>
      <w:bookmarkEnd w:id="10"/>
    </w:p>
    <w:p w14:paraId="49AD2403" w14:textId="4AF54AE5" w:rsidR="008F754B" w:rsidRDefault="00F60015" w:rsidP="00D408D2">
      <w:pPr>
        <w:pStyle w:val="BodyText"/>
      </w:pPr>
      <w:r>
        <w:t xml:space="preserve">The </w:t>
      </w:r>
      <w:r w:rsidR="006A1568">
        <w:t xml:space="preserve">key elements of the GN21 proposal will be </w:t>
      </w:r>
      <w:r w:rsidR="00751837">
        <w:t>Evoenergy</w:t>
      </w:r>
      <w:r w:rsidR="00056D1F">
        <w:t>’s</w:t>
      </w:r>
      <w:r w:rsidR="00751837">
        <w:t xml:space="preserve"> plan</w:t>
      </w:r>
      <w:r w:rsidR="00056D1F">
        <w:t>ned</w:t>
      </w:r>
      <w:r w:rsidR="00751837">
        <w:t xml:space="preserve"> </w:t>
      </w:r>
      <w:r>
        <w:t xml:space="preserve">operating </w:t>
      </w:r>
      <w:r w:rsidR="00056D1F">
        <w:t>expenditure (opex)</w:t>
      </w:r>
      <w:r w:rsidR="006E041C">
        <w:t xml:space="preserve"> </w:t>
      </w:r>
      <w:r w:rsidR="00751837">
        <w:t>and capital</w:t>
      </w:r>
      <w:r w:rsidR="006E041C">
        <w:t xml:space="preserve"> </w:t>
      </w:r>
      <w:r w:rsidR="00056D1F">
        <w:t>expenditure (capex)</w:t>
      </w:r>
      <w:r>
        <w:t xml:space="preserve">. </w:t>
      </w:r>
    </w:p>
    <w:p w14:paraId="7FCFF8B9" w14:textId="77777777" w:rsidR="008F754B" w:rsidRDefault="00056D1F" w:rsidP="00D408D2">
      <w:pPr>
        <w:pStyle w:val="BodyText"/>
      </w:pPr>
      <w:r>
        <w:t>Opex</w:t>
      </w:r>
      <w:r w:rsidR="00F60015">
        <w:t xml:space="preserve"> </w:t>
      </w:r>
      <w:r w:rsidR="00E27F02">
        <w:t>is incurred in operating and maintaining the network assets and is reflected in the operating cost</w:t>
      </w:r>
      <w:r w:rsidR="00425C80">
        <w:t>s</w:t>
      </w:r>
      <w:r w:rsidR="00E27F02">
        <w:t xml:space="preserve"> building block. </w:t>
      </w:r>
    </w:p>
    <w:p w14:paraId="2386873B" w14:textId="0AAC65F2" w:rsidR="00D408D2" w:rsidRDefault="008F754B" w:rsidP="00D408D2">
      <w:pPr>
        <w:pStyle w:val="BodyText"/>
      </w:pPr>
      <w:r>
        <w:t>Capex</w:t>
      </w:r>
      <w:r w:rsidR="00425C80">
        <w:t xml:space="preserve"> </w:t>
      </w:r>
      <w:r w:rsidR="000C5B05">
        <w:t>is incurred on refurbishing and replacing assets</w:t>
      </w:r>
      <w:r w:rsidR="00766546">
        <w:t>,</w:t>
      </w:r>
      <w:r w:rsidR="002219CD" w:rsidRPr="002219CD">
        <w:t xml:space="preserve"> </w:t>
      </w:r>
      <w:r w:rsidR="002219CD">
        <w:t>and</w:t>
      </w:r>
      <w:r w:rsidR="002219CD" w:rsidRPr="002219CD">
        <w:t xml:space="preserve"> </w:t>
      </w:r>
      <w:r w:rsidR="002219CD">
        <w:t>building new assets</w:t>
      </w:r>
      <w:r w:rsidR="000C5B05">
        <w:t xml:space="preserve">. In </w:t>
      </w:r>
      <w:r w:rsidR="003054C3">
        <w:t>contrast</w:t>
      </w:r>
      <w:r w:rsidR="000C5B05">
        <w:t xml:space="preserve"> to </w:t>
      </w:r>
      <w:r>
        <w:t>opex</w:t>
      </w:r>
      <w:r w:rsidR="000C5B05">
        <w:t xml:space="preserve">, which is recovered from </w:t>
      </w:r>
      <w:r w:rsidR="002219CD">
        <w:t xml:space="preserve">gas </w:t>
      </w:r>
      <w:r w:rsidR="000C5B05">
        <w:t>cu</w:t>
      </w:r>
      <w:r w:rsidR="002219CD">
        <w:t>s</w:t>
      </w:r>
      <w:r w:rsidR="000C5B05">
        <w:t xml:space="preserve">tomers in the year it is spent, </w:t>
      </w:r>
      <w:r>
        <w:t>capex</w:t>
      </w:r>
      <w:r w:rsidR="000C5B05">
        <w:t xml:space="preserve"> is recovered over the life of assets. </w:t>
      </w:r>
      <w:r w:rsidR="006E041C">
        <w:t>It</w:t>
      </w:r>
      <w:r w:rsidR="003054C3">
        <w:t xml:space="preserve"> is reflect</w:t>
      </w:r>
      <w:r w:rsidR="002219CD">
        <w:t>ed</w:t>
      </w:r>
      <w:r w:rsidR="003054C3">
        <w:t xml:space="preserve"> in the building blocks via </w:t>
      </w:r>
      <w:r>
        <w:t>the capex</w:t>
      </w:r>
      <w:r w:rsidR="003054C3">
        <w:t xml:space="preserve"> being added </w:t>
      </w:r>
      <w:r w:rsidR="006E041C">
        <w:t>to a regulatory asset base (RAB) with</w:t>
      </w:r>
      <w:r w:rsidR="003054C3">
        <w:t xml:space="preserve"> the value of </w:t>
      </w:r>
      <w:r w:rsidR="006E041C">
        <w:t xml:space="preserve">asset </w:t>
      </w:r>
      <w:r w:rsidR="003054C3">
        <w:t xml:space="preserve">depreciation being subtracted. </w:t>
      </w:r>
      <w:r w:rsidR="00345A0D">
        <w:t xml:space="preserve">The </w:t>
      </w:r>
      <w:r w:rsidR="002D5EC7">
        <w:t>return</w:t>
      </w:r>
      <w:r w:rsidR="00345A0D">
        <w:t xml:space="preserve"> on capital building block is equal to the RAB multiplied by the cost of capital. </w:t>
      </w:r>
    </w:p>
    <w:p w14:paraId="7AFEB214" w14:textId="175269EB" w:rsidR="00DB2CF0" w:rsidRPr="00057869" w:rsidRDefault="00054B89" w:rsidP="0017327A">
      <w:pPr>
        <w:pStyle w:val="BodyText"/>
      </w:pPr>
      <w:r>
        <w:t xml:space="preserve">Under the National </w:t>
      </w:r>
      <w:r w:rsidR="00EA67A4">
        <w:t>Gas</w:t>
      </w:r>
      <w:r>
        <w:t xml:space="preserve"> Rules, </w:t>
      </w:r>
      <w:r w:rsidR="00DB2CF0" w:rsidRPr="00057869">
        <w:t>Evoenergy must justify all proposed s</w:t>
      </w:r>
      <w:r w:rsidR="00DB2CF0" w:rsidRPr="00423317">
        <w:t>pending</w:t>
      </w:r>
      <w:r w:rsidR="00DB2CF0" w:rsidRPr="00E36E6E">
        <w:t xml:space="preserve"> </w:t>
      </w:r>
      <w:r w:rsidR="007157C1">
        <w:t>in its plan to</w:t>
      </w:r>
      <w:r>
        <w:t xml:space="preserve"> AER. The AER assesses proposed spending on the basis that it meets the National Gas Objective </w:t>
      </w:r>
      <w:r w:rsidRPr="00054B89">
        <w:t>as stated i</w:t>
      </w:r>
      <w:r>
        <w:t>n the National Gas Law which is</w:t>
      </w:r>
      <w:r w:rsidRPr="00054B89">
        <w:t xml:space="preserve"> </w:t>
      </w:r>
      <w:r w:rsidR="00E679E8">
        <w:t>‘</w:t>
      </w:r>
      <w:r w:rsidRPr="00054B89">
        <w:t>to promote efficient investment in, and efficient operation and use of, natural gas services for the long term interests of consumers of natural gas with respect to price, quality, safety, reliability and security of supply of natural gas</w:t>
      </w:r>
      <w:r w:rsidR="00BF64BE">
        <w:t>’.</w:t>
      </w:r>
      <w:r w:rsidR="00BF64BE">
        <w:rPr>
          <w:rStyle w:val="FootnoteReference"/>
        </w:rPr>
        <w:footnoteReference w:id="4"/>
      </w:r>
      <w:r>
        <w:t xml:space="preserve"> </w:t>
      </w:r>
    </w:p>
    <w:p w14:paraId="66EB6D90" w14:textId="77777777" w:rsidR="009D1DFB" w:rsidRDefault="009D1DFB" w:rsidP="00050C8F">
      <w:pPr>
        <w:pStyle w:val="Heading3"/>
      </w:pPr>
      <w:bookmarkStart w:id="11" w:name="_Toc25308955"/>
      <w:r>
        <w:t>Return on capital</w:t>
      </w:r>
      <w:bookmarkEnd w:id="11"/>
    </w:p>
    <w:p w14:paraId="70D70859" w14:textId="05617412" w:rsidR="00360A52" w:rsidRDefault="00391380" w:rsidP="009D1DFB">
      <w:pPr>
        <w:pStyle w:val="BodyText"/>
      </w:pPr>
      <w:r>
        <w:t>Workshop participants raised some specific questions around return on capital.</w:t>
      </w:r>
      <w:r w:rsidR="00360A52">
        <w:t xml:space="preserve"> </w:t>
      </w:r>
    </w:p>
    <w:p w14:paraId="046832C6" w14:textId="0E4BA2DC" w:rsidR="00CA5E0D" w:rsidRDefault="00310649" w:rsidP="009D1DFB">
      <w:pPr>
        <w:pStyle w:val="BodyText"/>
      </w:pPr>
      <w:r>
        <w:t>Evoenergy’s</w:t>
      </w:r>
      <w:r w:rsidR="00360A52">
        <w:t xml:space="preserve"> consultation paper discusses the return on capital building block and how it is calculated.</w:t>
      </w:r>
      <w:r w:rsidR="00360A52" w:rsidRPr="00360A52">
        <w:t xml:space="preserve"> </w:t>
      </w:r>
      <w:r w:rsidR="00CA5E0D">
        <w:t xml:space="preserve">It is equal to the RAB (discussed above, in relation to capital expenditure) times the rate of return. </w:t>
      </w:r>
    </w:p>
    <w:p w14:paraId="2C7093E6" w14:textId="3BD34BC2" w:rsidR="009D1DFB" w:rsidRDefault="00CA5E0D" w:rsidP="009D1DFB">
      <w:pPr>
        <w:pStyle w:val="BodyText"/>
      </w:pPr>
      <w:r>
        <w:t>All</w:t>
      </w:r>
      <w:r w:rsidR="00360A52">
        <w:t xml:space="preserve"> </w:t>
      </w:r>
      <w:r>
        <w:t xml:space="preserve">elements of the </w:t>
      </w:r>
      <w:r w:rsidR="00360A52">
        <w:t xml:space="preserve">rate of return </w:t>
      </w:r>
      <w:r>
        <w:t>are</w:t>
      </w:r>
      <w:r w:rsidR="00360A52">
        <w:t xml:space="preserve"> now set </w:t>
      </w:r>
      <w:r>
        <w:t>such that both Evoenergy and the AER are bound by</w:t>
      </w:r>
      <w:r w:rsidR="00E11F46">
        <w:t xml:space="preserve"> </w:t>
      </w:r>
      <w:r>
        <w:t xml:space="preserve">predetermined </w:t>
      </w:r>
      <w:r w:rsidR="00057869">
        <w:t xml:space="preserve">parameter </w:t>
      </w:r>
      <w:r>
        <w:t>value</w:t>
      </w:r>
      <w:r w:rsidR="00057869">
        <w:t>s (or methods of calculation from publicly available data)</w:t>
      </w:r>
      <w:r>
        <w:t xml:space="preserve">. As such, </w:t>
      </w:r>
      <w:r w:rsidR="00057869">
        <w:t xml:space="preserve">the rate of return will not be </w:t>
      </w:r>
      <w:r w:rsidR="008F754B">
        <w:t>determined</w:t>
      </w:r>
      <w:r w:rsidR="00057869">
        <w:t xml:space="preserve"> </w:t>
      </w:r>
      <w:r w:rsidR="008F754B">
        <w:t>by the AER</w:t>
      </w:r>
      <w:r w:rsidR="00057869">
        <w:t xml:space="preserve"> as part of the </w:t>
      </w:r>
      <w:r w:rsidR="00FC0E07">
        <w:t xml:space="preserve">Evoenergy’s </w:t>
      </w:r>
      <w:r w:rsidR="0071122E">
        <w:t>2021-26</w:t>
      </w:r>
      <w:r w:rsidR="00057869">
        <w:t xml:space="preserve"> </w:t>
      </w:r>
      <w:r w:rsidR="00414A4E">
        <w:t>A</w:t>
      </w:r>
      <w:r w:rsidR="00057869">
        <w:t xml:space="preserve">ccess </w:t>
      </w:r>
      <w:r w:rsidR="00414A4E">
        <w:t>A</w:t>
      </w:r>
      <w:r w:rsidR="00057869">
        <w:t xml:space="preserve">rrangement </w:t>
      </w:r>
      <w:r w:rsidR="00414A4E">
        <w:t>R</w:t>
      </w:r>
      <w:r w:rsidR="00057869">
        <w:t xml:space="preserve">eview. </w:t>
      </w:r>
    </w:p>
    <w:p w14:paraId="683A5FDF" w14:textId="65258DE1" w:rsidR="00012360" w:rsidRDefault="00012360" w:rsidP="00050C8F">
      <w:pPr>
        <w:pStyle w:val="Heading3"/>
      </w:pPr>
      <w:bookmarkStart w:id="12" w:name="_Toc25308956"/>
      <w:r>
        <w:lastRenderedPageBreak/>
        <w:t>Incentive</w:t>
      </w:r>
      <w:r w:rsidR="00BA3229">
        <w:t xml:space="preserve"> </w:t>
      </w:r>
      <w:r w:rsidR="00767D6E">
        <w:t>schemes</w:t>
      </w:r>
      <w:bookmarkEnd w:id="12"/>
      <w:r w:rsidR="00767D6E">
        <w:t xml:space="preserve"> </w:t>
      </w:r>
    </w:p>
    <w:p w14:paraId="227CD843" w14:textId="7A691410" w:rsidR="00012360" w:rsidRDefault="00D4499D" w:rsidP="00012360">
      <w:pPr>
        <w:pStyle w:val="BodyText"/>
      </w:pPr>
      <w:r>
        <w:t>The workshop d</w:t>
      </w:r>
      <w:r w:rsidR="00012360">
        <w:t xml:space="preserve">iscussion of </w:t>
      </w:r>
      <w:r w:rsidR="00041985">
        <w:t>operating and capital expenditure also identified the need for consumers to understand h</w:t>
      </w:r>
      <w:r w:rsidR="00012360" w:rsidRPr="00766F73">
        <w:t>ow incentive schemes work for gas distributors</w:t>
      </w:r>
      <w:r w:rsidR="00041985">
        <w:t>, including w</w:t>
      </w:r>
      <w:r w:rsidR="00012360" w:rsidRPr="00766F73">
        <w:t>hat penalties</w:t>
      </w:r>
      <w:r w:rsidR="00041985">
        <w:t xml:space="preserve"> </w:t>
      </w:r>
      <w:r w:rsidR="00A55F75">
        <w:t>or</w:t>
      </w:r>
      <w:r w:rsidR="00041985">
        <w:t xml:space="preserve"> </w:t>
      </w:r>
      <w:r w:rsidR="00012360" w:rsidRPr="00766F73">
        <w:t xml:space="preserve">rewards are </w:t>
      </w:r>
      <w:r w:rsidR="007157C1">
        <w:t>available</w:t>
      </w:r>
      <w:r w:rsidR="00041985">
        <w:t>.</w:t>
      </w:r>
      <w:r w:rsidR="00D16412">
        <w:t xml:space="preserve"> </w:t>
      </w:r>
      <w:r w:rsidR="00D16412" w:rsidRPr="00D16412">
        <w:t xml:space="preserve">It will be important for consumers and their representatives to understand how incentives operate in relation to </w:t>
      </w:r>
      <w:r w:rsidR="007157C1">
        <w:t>service levels</w:t>
      </w:r>
      <w:r w:rsidR="00564D04">
        <w:t>.</w:t>
      </w:r>
    </w:p>
    <w:p w14:paraId="2A814B8C" w14:textId="77777777" w:rsidR="00A55F75" w:rsidRDefault="003D0CBD" w:rsidP="00012360">
      <w:pPr>
        <w:pStyle w:val="BodyText"/>
      </w:pPr>
      <w:r>
        <w:t>For</w:t>
      </w:r>
      <w:r w:rsidR="00A55F75">
        <w:t xml:space="preserve"> consumers</w:t>
      </w:r>
      <w:r w:rsidR="00051FC1">
        <w:t xml:space="preserve"> and their representatives</w:t>
      </w:r>
      <w:r w:rsidR="00A55F75">
        <w:t xml:space="preserve"> </w:t>
      </w:r>
      <w:r w:rsidR="00051FC1">
        <w:t xml:space="preserve">engaging in </w:t>
      </w:r>
      <w:r w:rsidR="00560734">
        <w:t>access arrangement</w:t>
      </w:r>
      <w:r w:rsidR="00051FC1">
        <w:t xml:space="preserve"> process</w:t>
      </w:r>
      <w:r w:rsidR="00560734">
        <w:t>es</w:t>
      </w:r>
      <w:r w:rsidR="00051FC1">
        <w:t xml:space="preserve">, it </w:t>
      </w:r>
      <w:r w:rsidR="00560734">
        <w:t xml:space="preserve">is </w:t>
      </w:r>
      <w:r w:rsidR="00051FC1">
        <w:t xml:space="preserve">important </w:t>
      </w:r>
      <w:r>
        <w:t>to understand what incentive there may be for</w:t>
      </w:r>
      <w:r w:rsidR="00560734">
        <w:t xml:space="preserve"> the </w:t>
      </w:r>
      <w:r w:rsidR="006021D8">
        <w:t xml:space="preserve">distributor to over- or under-estimate </w:t>
      </w:r>
      <w:r w:rsidR="0025249C">
        <w:t xml:space="preserve">expenditure, demand, and other </w:t>
      </w:r>
      <w:r w:rsidR="0056479F">
        <w:t>items in the proposal.</w:t>
      </w:r>
      <w:r w:rsidR="00F0422A">
        <w:t xml:space="preserve"> As this is likely to be </w:t>
      </w:r>
      <w:bookmarkStart w:id="13" w:name="_Hlk18604783"/>
      <w:r w:rsidR="00F0422A">
        <w:t xml:space="preserve">beyond the capacity of </w:t>
      </w:r>
      <w:r w:rsidR="008A4377">
        <w:t xml:space="preserve">individual gas consumers, it is important to ensure that </w:t>
      </w:r>
      <w:r w:rsidR="005F7AC5">
        <w:t xml:space="preserve">there is also engagement with consumer representatives </w:t>
      </w:r>
      <w:r w:rsidR="00932446">
        <w:t>who are able to undertake a ‘deep dive’ utilising energy policy advocacy expertise.</w:t>
      </w:r>
    </w:p>
    <w:p w14:paraId="3D3BFF18" w14:textId="77777777" w:rsidR="00440F55" w:rsidRPr="00440F55" w:rsidRDefault="003833FF" w:rsidP="00050C8F">
      <w:pPr>
        <w:pStyle w:val="Heading3"/>
      </w:pPr>
      <w:bookmarkStart w:id="14" w:name="_Toc25308957"/>
      <w:bookmarkEnd w:id="13"/>
      <w:r>
        <w:t>Distribution of costs among consumers: tariffs</w:t>
      </w:r>
      <w:bookmarkEnd w:id="14"/>
    </w:p>
    <w:p w14:paraId="41B60F44" w14:textId="77777777" w:rsidR="00D0496B" w:rsidRDefault="00D0496B" w:rsidP="00D0496B">
      <w:pPr>
        <w:pStyle w:val="BodyText"/>
      </w:pPr>
      <w:r>
        <w:t>A</w:t>
      </w:r>
      <w:r w:rsidRPr="009C6F2F">
        <w:t xml:space="preserve"> key question for Evoenergy to address </w:t>
      </w:r>
      <w:r>
        <w:t>i</w:t>
      </w:r>
      <w:r w:rsidRPr="009C6F2F">
        <w:t>n relation to operating and capital expenditure is how the costs and benefits will be distributed, and in particular how much of the costs and benefits will flow to residential consumers.</w:t>
      </w:r>
    </w:p>
    <w:p w14:paraId="00746B7D" w14:textId="544EEE1F" w:rsidR="009C6F2F" w:rsidRDefault="00DE3AD1" w:rsidP="00D0496B">
      <w:pPr>
        <w:pStyle w:val="BodyText"/>
      </w:pPr>
      <w:r>
        <w:t xml:space="preserve">The amount a customer is charged under the contract with their retailer includes </w:t>
      </w:r>
      <w:r w:rsidR="007134D5">
        <w:t xml:space="preserve">the </w:t>
      </w:r>
      <w:r>
        <w:t>network tariff levied for the carriage of gas through Evoenergy’s gas distribution network and associated services</w:t>
      </w:r>
      <w:r w:rsidR="00D0496B">
        <w:t xml:space="preserve">. </w:t>
      </w:r>
    </w:p>
    <w:p w14:paraId="0D4C4E57" w14:textId="77777777" w:rsidR="009C6F2F" w:rsidRDefault="009C6F2F" w:rsidP="00D0496B">
      <w:pPr>
        <w:pStyle w:val="BodyText"/>
      </w:pPr>
      <w:r>
        <w:t xml:space="preserve">Key to this </w:t>
      </w:r>
      <w:r w:rsidR="00CC3078">
        <w:t>will be explaining</w:t>
      </w:r>
      <w:r w:rsidR="00D50B24">
        <w:t xml:space="preserve"> to consumers</w:t>
      </w:r>
      <w:r w:rsidR="00D0496B">
        <w:t xml:space="preserve"> and their representatives</w:t>
      </w:r>
      <w:r w:rsidR="00CC3078">
        <w:t xml:space="preserve"> </w:t>
      </w:r>
      <w:r w:rsidR="00B84D24">
        <w:t xml:space="preserve">how </w:t>
      </w:r>
      <w:r w:rsidR="0093555C">
        <w:t>network charges will be distributed among tariff categories</w:t>
      </w:r>
      <w:r w:rsidR="007C5390">
        <w:t xml:space="preserve">. </w:t>
      </w:r>
      <w:r w:rsidR="00584C72">
        <w:t>For</w:t>
      </w:r>
      <w:r w:rsidR="007C5390">
        <w:t xml:space="preserve"> </w:t>
      </w:r>
      <w:r w:rsidR="0044599A">
        <w:t xml:space="preserve">residential gas consumers, </w:t>
      </w:r>
      <w:r w:rsidR="009D1DFB">
        <w:t xml:space="preserve">a key concern will be the </w:t>
      </w:r>
      <w:r w:rsidR="005E08BB">
        <w:t xml:space="preserve">impact on the </w:t>
      </w:r>
      <w:r w:rsidR="009D1DFB">
        <w:t>Volume Residential Individual (VRI) tariff.</w:t>
      </w:r>
    </w:p>
    <w:p w14:paraId="43660E5D" w14:textId="77777777" w:rsidR="00DB11E0" w:rsidRDefault="00DB11E0" w:rsidP="00050C8F">
      <w:pPr>
        <w:pStyle w:val="Heading3"/>
      </w:pPr>
      <w:bookmarkStart w:id="15" w:name="_Toc25308958"/>
      <w:r>
        <w:t>Distribution of costs over time</w:t>
      </w:r>
      <w:r w:rsidR="003833FF">
        <w:t xml:space="preserve">: </w:t>
      </w:r>
      <w:r w:rsidR="0091605A">
        <w:t>glide path and seasonality</w:t>
      </w:r>
      <w:bookmarkEnd w:id="15"/>
    </w:p>
    <w:p w14:paraId="3D41D1F3" w14:textId="2DDAEA73" w:rsidR="00DB11E0" w:rsidRDefault="00E677EF" w:rsidP="00492E27">
      <w:pPr>
        <w:pStyle w:val="BodyText"/>
      </w:pPr>
      <w:r>
        <w:t xml:space="preserve">As well as understanding how costs will be distributed across tariff or customer categories, it will also be important for consumers and their representatives to know how costs will be distributed over the </w:t>
      </w:r>
      <w:r w:rsidR="00854F29">
        <w:t>5-year plan, and perhaps even longer</w:t>
      </w:r>
      <w:r w:rsidR="00B72774">
        <w:t xml:space="preserve"> – </w:t>
      </w:r>
      <w:r w:rsidR="007134D5">
        <w:t xml:space="preserve">some participants suggested </w:t>
      </w:r>
      <w:r w:rsidR="00B72774">
        <w:t xml:space="preserve">a </w:t>
      </w:r>
      <w:r w:rsidR="0007009E">
        <w:t>15</w:t>
      </w:r>
      <w:r w:rsidR="00062C33">
        <w:t>-</w:t>
      </w:r>
      <w:r w:rsidR="0007009E">
        <w:t xml:space="preserve">year glide path </w:t>
      </w:r>
      <w:r w:rsidR="00FE1023">
        <w:t>being needed</w:t>
      </w:r>
      <w:r w:rsidR="00854F29">
        <w:t xml:space="preserve">. During the discussions </w:t>
      </w:r>
      <w:r w:rsidR="008563EE">
        <w:t xml:space="preserve">the term </w:t>
      </w:r>
      <w:r w:rsidR="00FE1023">
        <w:t>‘</w:t>
      </w:r>
      <w:r w:rsidR="00854F29">
        <w:t>glide path’</w:t>
      </w:r>
      <w:r w:rsidR="00863448">
        <w:t xml:space="preserve"> </w:t>
      </w:r>
      <w:r w:rsidR="00FE1023">
        <w:t xml:space="preserve">was used to describe </w:t>
      </w:r>
      <w:r w:rsidR="00863448">
        <w:t>a way of balancing price changes over the life of the plan.</w:t>
      </w:r>
      <w:r w:rsidR="00CE0496">
        <w:t xml:space="preserve"> A longer-term glide path would also require longer-term forecasting</w:t>
      </w:r>
      <w:r w:rsidR="000B0965">
        <w:t xml:space="preserve"> based on different scenarios</w:t>
      </w:r>
      <w:r w:rsidR="00492E27">
        <w:t xml:space="preserve">, e.g. </w:t>
      </w:r>
      <w:r w:rsidR="003D47D8">
        <w:t>c</w:t>
      </w:r>
      <w:r w:rsidR="00492E27">
        <w:t xml:space="preserve">ontinue current arrangement; or </w:t>
      </w:r>
      <w:r w:rsidR="003D47D8">
        <w:t>c</w:t>
      </w:r>
      <w:r w:rsidR="00492E27">
        <w:t xml:space="preserve">ontinue using gas in specific limited places; or </w:t>
      </w:r>
      <w:r w:rsidR="003D47D8">
        <w:t>t</w:t>
      </w:r>
      <w:r w:rsidR="00492E27">
        <w:t>ransition to another gas fuel that is carbon neutral.</w:t>
      </w:r>
    </w:p>
    <w:p w14:paraId="21203670" w14:textId="77777777" w:rsidR="009D258B" w:rsidRPr="00DB11E0" w:rsidRDefault="005314C7" w:rsidP="00492E27">
      <w:pPr>
        <w:pStyle w:val="BodyText"/>
      </w:pPr>
      <w:r>
        <w:t>As well as this longer-term distribution, the option of seasonal pricing was also raised during discussions.</w:t>
      </w:r>
    </w:p>
    <w:p w14:paraId="6BD53463" w14:textId="77777777" w:rsidR="006066D3" w:rsidRPr="00050C8F" w:rsidRDefault="00C16D7E" w:rsidP="00050C8F">
      <w:pPr>
        <w:pStyle w:val="Heading2"/>
      </w:pPr>
      <w:bookmarkStart w:id="16" w:name="_Toc25308959"/>
      <w:r w:rsidRPr="00050C8F">
        <w:lastRenderedPageBreak/>
        <w:t>Current and future d</w:t>
      </w:r>
      <w:r w:rsidR="00C17C60" w:rsidRPr="00050C8F">
        <w:t>emand for gas</w:t>
      </w:r>
      <w:bookmarkEnd w:id="16"/>
    </w:p>
    <w:p w14:paraId="78BB3576" w14:textId="64D97E00" w:rsidR="00735754" w:rsidRDefault="00963C13" w:rsidP="00606518">
      <w:pPr>
        <w:pStyle w:val="BodyText"/>
      </w:pPr>
      <w:r>
        <w:t>Workshop participants were interested in finding out about the current demand for gas</w:t>
      </w:r>
      <w:r w:rsidR="00463E3B">
        <w:t xml:space="preserve"> in the region and forecasts of future demand.</w:t>
      </w:r>
      <w:r w:rsidR="00767D6E">
        <w:t xml:space="preserve"> </w:t>
      </w:r>
      <w:r w:rsidR="00E64F3B">
        <w:t>There was interest in knowing how the level of demand might impact on gas prices and affordability</w:t>
      </w:r>
      <w:r w:rsidR="000B47E4">
        <w:t>.</w:t>
      </w:r>
    </w:p>
    <w:p w14:paraId="40FEE415" w14:textId="7678FE12" w:rsidR="00926166" w:rsidRDefault="00926166" w:rsidP="00606518">
      <w:pPr>
        <w:pStyle w:val="BodyText"/>
      </w:pPr>
      <w:r>
        <w:t>There was</w:t>
      </w:r>
      <w:r w:rsidR="000C13B0">
        <w:t xml:space="preserve"> also</w:t>
      </w:r>
      <w:r>
        <w:t xml:space="preserve"> interest in knowing </w:t>
      </w:r>
      <w:r w:rsidR="007C7547">
        <w:t>more about the</w:t>
      </w:r>
      <w:r w:rsidR="00E10C60">
        <w:t xml:space="preserve"> current and expected</w:t>
      </w:r>
      <w:r w:rsidR="007C7547">
        <w:t xml:space="preserve"> expansion (or otherwise) of the gas network to new suburbs</w:t>
      </w:r>
      <w:r w:rsidR="00E10C60">
        <w:t xml:space="preserve"> and residential developments.</w:t>
      </w:r>
      <w:r w:rsidR="00AF1315">
        <w:t xml:space="preserve"> </w:t>
      </w:r>
      <w:r w:rsidR="00BB277E">
        <w:t xml:space="preserve">There was particular interest in understanding </w:t>
      </w:r>
      <w:r w:rsidR="003D47D8">
        <w:t xml:space="preserve">what </w:t>
      </w:r>
      <w:r w:rsidR="00BB277E">
        <w:t xml:space="preserve">the status of the gas network </w:t>
      </w:r>
      <w:r w:rsidR="005F5BAD">
        <w:t>will be in relation to the development of Ginninderr</w:t>
      </w:r>
      <w:r w:rsidR="008C237D">
        <w:t xml:space="preserve">y </w:t>
      </w:r>
      <w:r w:rsidR="00423317">
        <w:t xml:space="preserve">where, in agreement with the developers, the mandatory requirement for gas reticulation in new subdivisions has been </w:t>
      </w:r>
      <w:r w:rsidR="00D30950">
        <w:t>suspended</w:t>
      </w:r>
      <w:r w:rsidR="00423317">
        <w:t xml:space="preserve">.  </w:t>
      </w: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0B47E4" w:rsidRPr="00CA7855" w14:paraId="05D85348" w14:textId="77777777" w:rsidTr="00C67D98">
        <w:trPr>
          <w:cantSplit/>
        </w:trPr>
        <w:tc>
          <w:tcPr>
            <w:tcW w:w="8720" w:type="dxa"/>
            <w:shd w:val="clear" w:color="auto" w:fill="auto"/>
            <w:tcMar>
              <w:left w:w="170" w:type="dxa"/>
              <w:right w:w="170" w:type="dxa"/>
            </w:tcMar>
          </w:tcPr>
          <w:p w14:paraId="0D80C8FB" w14:textId="769B7775" w:rsidR="000B47E4" w:rsidRPr="00CA7855" w:rsidRDefault="00A028D5" w:rsidP="00C67D98">
            <w:pPr>
              <w:pStyle w:val="Recommendationsheading"/>
            </w:pPr>
            <w:r>
              <w:t>Participant</w:t>
            </w:r>
            <w:r w:rsidR="0036579C">
              <w:t xml:space="preserve"> </w:t>
            </w:r>
            <w:r w:rsidR="00323DBA">
              <w:t>q</w:t>
            </w:r>
            <w:r w:rsidR="0036579C">
              <w:t>uestions</w:t>
            </w:r>
            <w:r w:rsidR="003805DC">
              <w:t xml:space="preserve">: </w:t>
            </w:r>
            <w:r w:rsidR="00323DBA">
              <w:t>c</w:t>
            </w:r>
            <w:r w:rsidR="003805DC">
              <w:t>urrent and future demand for gas</w:t>
            </w:r>
          </w:p>
          <w:p w14:paraId="5D13408E" w14:textId="77777777" w:rsidR="00813919" w:rsidRDefault="00813919" w:rsidP="00813919">
            <w:pPr>
              <w:pStyle w:val="ListBullet"/>
            </w:pPr>
            <w:r>
              <w:t>What is the benefit to existing gas consumers of having more households added to the gas network?</w:t>
            </w:r>
          </w:p>
          <w:p w14:paraId="46A07402" w14:textId="77777777" w:rsidR="00CA2024" w:rsidRDefault="00CA2024" w:rsidP="00CA2024">
            <w:pPr>
              <w:pStyle w:val="ListBullet"/>
            </w:pPr>
            <w:r>
              <w:t>What is Evoenergy proposing to build the network to in terms of future demand, geographic areas, and number of households?</w:t>
            </w:r>
          </w:p>
          <w:p w14:paraId="148F4433" w14:textId="77777777" w:rsidR="00CA2024" w:rsidRDefault="00CA2024" w:rsidP="00CA2024">
            <w:pPr>
              <w:pStyle w:val="ListBullet"/>
            </w:pPr>
            <w:r>
              <w:t>What are the demand forecasts? Are they accurate? What are the assumptions? What are the alternative scenarios?</w:t>
            </w:r>
          </w:p>
          <w:p w14:paraId="57381957" w14:textId="77777777" w:rsidR="00FA07C2" w:rsidRDefault="00FE6847" w:rsidP="00CA2024">
            <w:pPr>
              <w:pStyle w:val="ListBullet"/>
            </w:pPr>
            <w:r>
              <w:t>What is the forecast for the next 15 years</w:t>
            </w:r>
            <w:r w:rsidR="00003B11">
              <w:t xml:space="preserve"> for gas and electricity?</w:t>
            </w:r>
          </w:p>
          <w:p w14:paraId="1E30FD04" w14:textId="77777777" w:rsidR="00E21579" w:rsidRDefault="006D1BDB" w:rsidP="00CA2024">
            <w:pPr>
              <w:pStyle w:val="ListBullet"/>
            </w:pPr>
            <w:r>
              <w:t>How has fuel switching been addressed in the demand forecasts?</w:t>
            </w:r>
          </w:p>
          <w:p w14:paraId="58675732" w14:textId="77777777" w:rsidR="00A72484" w:rsidRDefault="00A72484" w:rsidP="00CA2024">
            <w:pPr>
              <w:pStyle w:val="ListBullet"/>
            </w:pPr>
            <w:r>
              <w:t>How has the rate of disconnections been determined?</w:t>
            </w:r>
          </w:p>
          <w:p w14:paraId="0F8903B7" w14:textId="77777777" w:rsidR="009F1C43" w:rsidRDefault="009F1C43" w:rsidP="009F1C43">
            <w:pPr>
              <w:pStyle w:val="ListBullet"/>
            </w:pPr>
            <w:r w:rsidRPr="009F1C43">
              <w:t xml:space="preserve">How many new </w:t>
            </w:r>
            <w:r>
              <w:t xml:space="preserve">gas </w:t>
            </w:r>
            <w:r w:rsidRPr="009F1C43">
              <w:t>connections</w:t>
            </w:r>
            <w:r>
              <w:t xml:space="preserve"> are forecast</w:t>
            </w:r>
            <w:r w:rsidRPr="009F1C43">
              <w:t xml:space="preserve"> and where?</w:t>
            </w:r>
          </w:p>
          <w:p w14:paraId="77D1CF92" w14:textId="77777777" w:rsidR="000B47E4" w:rsidRDefault="00E10C60" w:rsidP="001F3232">
            <w:pPr>
              <w:pStyle w:val="ListBullet"/>
            </w:pPr>
            <w:r w:rsidRPr="00E10C60">
              <w:t>What is happening in Gin</w:t>
            </w:r>
            <w:r w:rsidR="00E36E6E">
              <w:t>n</w:t>
            </w:r>
            <w:r w:rsidRPr="00E10C60">
              <w:t>inderry in relation to gas supply to residential and business customers? And, what is and will be happening in new developments generally?</w:t>
            </w:r>
          </w:p>
          <w:p w14:paraId="16604233" w14:textId="7472F430" w:rsidR="00D752EB" w:rsidRPr="00CA7855" w:rsidRDefault="00D752EB" w:rsidP="001F3232">
            <w:pPr>
              <w:pStyle w:val="ListBullet"/>
            </w:pPr>
            <w:r>
              <w:t>Does climate change play into demand forecasting?</w:t>
            </w:r>
          </w:p>
        </w:tc>
      </w:tr>
    </w:tbl>
    <w:p w14:paraId="78C86B86" w14:textId="77777777" w:rsidR="00606518" w:rsidRDefault="001B4908" w:rsidP="003C6BEB">
      <w:pPr>
        <w:pStyle w:val="Heading2"/>
      </w:pPr>
      <w:bookmarkStart w:id="17" w:name="_Toc25308960"/>
      <w:r>
        <w:t xml:space="preserve">The future of gas in a zero </w:t>
      </w:r>
      <w:r w:rsidR="003C6BEB">
        <w:t xml:space="preserve">net greenhouse </w:t>
      </w:r>
      <w:r w:rsidR="00CF12FC">
        <w:t xml:space="preserve">gas </w:t>
      </w:r>
      <w:r w:rsidR="003C6BEB">
        <w:t>emissions ACT</w:t>
      </w:r>
      <w:bookmarkEnd w:id="17"/>
    </w:p>
    <w:p w14:paraId="3BD1FAA0" w14:textId="77777777" w:rsidR="003B079F" w:rsidRDefault="00BE478E" w:rsidP="003B079F">
      <w:pPr>
        <w:pStyle w:val="BodyText"/>
      </w:pPr>
      <w:r>
        <w:t>One of the most significant issues raised at the workshop was</w:t>
      </w:r>
      <w:r w:rsidR="008D2FBD">
        <w:t xml:space="preserve"> </w:t>
      </w:r>
      <w:r w:rsidR="00651A30">
        <w:t xml:space="preserve">how the gas network would be </w:t>
      </w:r>
      <w:r w:rsidR="00D10327">
        <w:t>impact</w:t>
      </w:r>
      <w:r w:rsidR="00651A30">
        <w:t xml:space="preserve">ed by </w:t>
      </w:r>
      <w:r w:rsidR="00D10327">
        <w:t xml:space="preserve">the ACT Government’s </w:t>
      </w:r>
      <w:r w:rsidR="003B079F">
        <w:t xml:space="preserve">target of zero net greenhouse gas emissions </w:t>
      </w:r>
      <w:r w:rsidR="00CF12FC">
        <w:t>by 2045.</w:t>
      </w: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B835A3" w:rsidRPr="00CA7855" w14:paraId="64F46B3B" w14:textId="77777777" w:rsidTr="006D37E6">
        <w:tc>
          <w:tcPr>
            <w:tcW w:w="8720" w:type="dxa"/>
            <w:shd w:val="clear" w:color="auto" w:fill="auto"/>
            <w:tcMar>
              <w:left w:w="170" w:type="dxa"/>
              <w:right w:w="170" w:type="dxa"/>
            </w:tcMar>
          </w:tcPr>
          <w:p w14:paraId="0188AB37" w14:textId="06576569" w:rsidR="00B835A3" w:rsidRPr="00CA7855" w:rsidRDefault="00B835A3" w:rsidP="00C67D98">
            <w:pPr>
              <w:pStyle w:val="Recommendationsheading"/>
            </w:pPr>
            <w:r>
              <w:t xml:space="preserve">Participant </w:t>
            </w:r>
            <w:r w:rsidR="006D37E6">
              <w:t>q</w:t>
            </w:r>
            <w:r>
              <w:t xml:space="preserve">uestions: </w:t>
            </w:r>
            <w:r w:rsidR="006D37E6">
              <w:t>z</w:t>
            </w:r>
            <w:r w:rsidR="007B23B1">
              <w:t>ero net emissions by 2045</w:t>
            </w:r>
          </w:p>
          <w:p w14:paraId="731CFD59" w14:textId="3D7BDF1A" w:rsidR="0013639C" w:rsidRPr="0013639C" w:rsidRDefault="0013639C" w:rsidP="006D37E6">
            <w:pPr>
              <w:pStyle w:val="ListBullet"/>
              <w:spacing w:after="120"/>
            </w:pPr>
            <w:r w:rsidRPr="0013639C">
              <w:t xml:space="preserve">How </w:t>
            </w:r>
            <w:r w:rsidR="009561DB">
              <w:t>firm</w:t>
            </w:r>
            <w:r w:rsidRPr="0013639C">
              <w:t xml:space="preserve"> is the ACT Government’s target of zero net greenhouse gas emissions by 2045?</w:t>
            </w:r>
          </w:p>
          <w:p w14:paraId="3A302B28" w14:textId="77777777" w:rsidR="00B835A3" w:rsidRPr="00CA7855" w:rsidRDefault="009F3192" w:rsidP="009F3192">
            <w:pPr>
              <w:pStyle w:val="ListBullet"/>
            </w:pPr>
            <w:r w:rsidRPr="009F3192">
              <w:t>What is Evoenergy doing to improve energy efficiency?</w:t>
            </w:r>
          </w:p>
        </w:tc>
      </w:tr>
    </w:tbl>
    <w:p w14:paraId="0FC29E23" w14:textId="77777777" w:rsidR="003C6BEB" w:rsidRDefault="00280DFA" w:rsidP="00280DFA">
      <w:pPr>
        <w:pStyle w:val="Heading3"/>
      </w:pPr>
      <w:bookmarkStart w:id="18" w:name="_Toc25308961"/>
      <w:r>
        <w:lastRenderedPageBreak/>
        <w:t>Alternative</w:t>
      </w:r>
      <w:r w:rsidR="000D7E9E">
        <w:t xml:space="preserve"> energy sources</w:t>
      </w:r>
      <w:bookmarkEnd w:id="18"/>
    </w:p>
    <w:p w14:paraId="3839672D" w14:textId="77777777" w:rsidR="00BF734E" w:rsidRPr="00BF734E" w:rsidRDefault="00BF734E" w:rsidP="00BF734E">
      <w:pPr>
        <w:pStyle w:val="BodyText"/>
      </w:pPr>
      <w:r>
        <w:t>During the workshop two key alternative</w:t>
      </w:r>
      <w:r w:rsidR="00984092">
        <w:t xml:space="preserve"> paths were discussed in relation to moving towards zero net greenhouse gas emissions by 2045: transitioning to hydrogen and/or other renewable gas; and transitioning to 100% electricity.</w:t>
      </w:r>
    </w:p>
    <w:p w14:paraId="0D38079C" w14:textId="77777777" w:rsidR="00280DFA" w:rsidRDefault="00280DFA" w:rsidP="00280DFA">
      <w:pPr>
        <w:pStyle w:val="Heading4"/>
      </w:pPr>
      <w:r>
        <w:t xml:space="preserve">Hydrogen and </w:t>
      </w:r>
      <w:r w:rsidR="001E3E0C">
        <w:t>other renewable gas</w:t>
      </w:r>
    </w:p>
    <w:p w14:paraId="3988B27B" w14:textId="77777777" w:rsidR="00A76946" w:rsidRDefault="00425A29" w:rsidP="00042880">
      <w:pPr>
        <w:pStyle w:val="BodyText"/>
        <w:ind w:right="-285"/>
      </w:pPr>
      <w:r>
        <w:t xml:space="preserve">Evoenergy </w:t>
      </w:r>
      <w:r w:rsidR="00D53AA9">
        <w:t>noted that h</w:t>
      </w:r>
      <w:r w:rsidR="00D77A4E">
        <w:t>ydroge</w:t>
      </w:r>
      <w:r w:rsidR="00AE60C7">
        <w:t>n</w:t>
      </w:r>
      <w:r>
        <w:t xml:space="preserve"> and bio-methane</w:t>
      </w:r>
      <w:r w:rsidR="00AE60C7">
        <w:t xml:space="preserve"> </w:t>
      </w:r>
      <w:r w:rsidR="00D53AA9">
        <w:t xml:space="preserve">are </w:t>
      </w:r>
      <w:r w:rsidR="00AE60C7">
        <w:t>being explored as</w:t>
      </w:r>
      <w:r w:rsidR="00D2109D">
        <w:t xml:space="preserve"> renewable </w:t>
      </w:r>
      <w:r w:rsidR="00DC7EB7">
        <w:t>forms</w:t>
      </w:r>
      <w:r w:rsidR="00D2109D">
        <w:t xml:space="preserve"> of gas</w:t>
      </w:r>
      <w:r w:rsidR="00170C02">
        <w:t xml:space="preserve"> </w:t>
      </w:r>
      <w:r w:rsidR="00D53AA9">
        <w:t>that would also</w:t>
      </w:r>
      <w:r w:rsidR="00170C02">
        <w:t xml:space="preserve"> reduc</w:t>
      </w:r>
      <w:r w:rsidR="00D53AA9">
        <w:t>e</w:t>
      </w:r>
      <w:r w:rsidR="00170C02">
        <w:t xml:space="preserve"> greenhouse gas emissions. </w:t>
      </w:r>
      <w:r w:rsidR="005A1C6D">
        <w:t xml:space="preserve">The potential of hydrogen in particular was identified as </w:t>
      </w:r>
      <w:r w:rsidR="003B4765">
        <w:t xml:space="preserve">a key issue in relation to GN21, including what </w:t>
      </w:r>
      <w:r w:rsidR="00B53A19">
        <w:t xml:space="preserve">would be the impact </w:t>
      </w:r>
      <w:r w:rsidR="00DC7EB7">
        <w:t xml:space="preserve">of such a transition be </w:t>
      </w:r>
      <w:r w:rsidR="00B53A19">
        <w:t>on low-income households.</w:t>
      </w: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6F648C" w:rsidRPr="00CA7855" w14:paraId="48660A11" w14:textId="77777777" w:rsidTr="00C67D98">
        <w:trPr>
          <w:cantSplit/>
        </w:trPr>
        <w:tc>
          <w:tcPr>
            <w:tcW w:w="8720" w:type="dxa"/>
            <w:shd w:val="clear" w:color="auto" w:fill="auto"/>
            <w:tcMar>
              <w:left w:w="170" w:type="dxa"/>
              <w:right w:w="170" w:type="dxa"/>
            </w:tcMar>
          </w:tcPr>
          <w:p w14:paraId="4C33E51C" w14:textId="6F665060" w:rsidR="006F648C" w:rsidRPr="00CA7855" w:rsidRDefault="006F648C" w:rsidP="00C67D98">
            <w:pPr>
              <w:pStyle w:val="Recommendationsheading"/>
            </w:pPr>
            <w:r>
              <w:t xml:space="preserve">Participant </w:t>
            </w:r>
            <w:r w:rsidR="00B70666">
              <w:t>q</w:t>
            </w:r>
            <w:r>
              <w:t xml:space="preserve">uestions: </w:t>
            </w:r>
            <w:r w:rsidR="00B70666">
              <w:t>h</w:t>
            </w:r>
            <w:r>
              <w:t>ydrogen and other renewable gas</w:t>
            </w:r>
          </w:p>
          <w:p w14:paraId="7DE9477F" w14:textId="77777777" w:rsidR="00DC7EB7" w:rsidRDefault="00DC7EB7" w:rsidP="00BE037A">
            <w:pPr>
              <w:pStyle w:val="ListBullet"/>
            </w:pPr>
            <w:r>
              <w:t>What does the roadmap to hydrogen look like?</w:t>
            </w:r>
          </w:p>
          <w:p w14:paraId="7968DBA7" w14:textId="77777777" w:rsidR="00BE037A" w:rsidRDefault="00BE037A" w:rsidP="00BE037A">
            <w:pPr>
              <w:pStyle w:val="ListBullet"/>
            </w:pPr>
            <w:r>
              <w:t>How realistic is it to move to hydrogen technology?</w:t>
            </w:r>
          </w:p>
          <w:p w14:paraId="46BF9412" w14:textId="77777777" w:rsidR="00BE037A" w:rsidRDefault="00BE037A" w:rsidP="00BE037A">
            <w:pPr>
              <w:pStyle w:val="ListBullet"/>
            </w:pPr>
            <w:r>
              <w:t>What do we know about the cost, risk, and potential of having a hydrogen gas network?</w:t>
            </w:r>
          </w:p>
          <w:p w14:paraId="3EA060DD" w14:textId="77777777" w:rsidR="00BE037A" w:rsidRDefault="00BE037A" w:rsidP="00BE037A">
            <w:pPr>
              <w:pStyle w:val="ListBullet"/>
            </w:pPr>
            <w:r>
              <w:t>Who will carry the cost of exploring hydrogen as an alternative – what risk/cost flows to consumers? What will be spent on research?</w:t>
            </w:r>
          </w:p>
          <w:p w14:paraId="29B0CE76" w14:textId="77777777" w:rsidR="00BE037A" w:rsidRDefault="00BE037A" w:rsidP="00BE037A">
            <w:pPr>
              <w:pStyle w:val="ListBullet"/>
            </w:pPr>
            <w:r>
              <w:t>How would gas leakage/losses be managed with hydrogen?</w:t>
            </w:r>
          </w:p>
          <w:p w14:paraId="7EED45FA" w14:textId="77777777" w:rsidR="00BE037A" w:rsidRDefault="00BE037A" w:rsidP="00BE037A">
            <w:pPr>
              <w:pStyle w:val="ListBullet"/>
            </w:pPr>
            <w:r>
              <w:t>What is happening elsewhere with renewable gas?</w:t>
            </w:r>
          </w:p>
          <w:p w14:paraId="6FA2821A" w14:textId="77777777" w:rsidR="006F648C" w:rsidRPr="00CA7855" w:rsidRDefault="00BE037A" w:rsidP="00BE037A">
            <w:pPr>
              <w:pStyle w:val="ListBullet"/>
            </w:pPr>
            <w:r>
              <w:t>What would this mean in terms of household appliances?</w:t>
            </w:r>
          </w:p>
        </w:tc>
      </w:tr>
    </w:tbl>
    <w:p w14:paraId="0D9D1A4D" w14:textId="67A733A3" w:rsidR="00280DFA" w:rsidRDefault="0012790F" w:rsidP="00280DFA">
      <w:pPr>
        <w:pStyle w:val="Heading4"/>
      </w:pPr>
      <w:r>
        <w:t xml:space="preserve">100% </w:t>
      </w:r>
      <w:r w:rsidR="009B507C">
        <w:t>e</w:t>
      </w:r>
      <w:r w:rsidR="00280DFA">
        <w:t>lectricity</w:t>
      </w:r>
    </w:p>
    <w:p w14:paraId="5F06B391" w14:textId="77777777" w:rsidR="00B64CF3" w:rsidRPr="0012790F" w:rsidRDefault="0012790F" w:rsidP="00B64CF3">
      <w:pPr>
        <w:pStyle w:val="BodyText"/>
      </w:pPr>
      <w:r>
        <w:t xml:space="preserve">The </w:t>
      </w:r>
      <w:r w:rsidR="00692CEB">
        <w:t>prospect of a future without gas was identified during the workshop</w:t>
      </w:r>
      <w:r w:rsidR="007E517C">
        <w:t xml:space="preserve">. This raised questions in relation to </w:t>
      </w:r>
      <w:r w:rsidR="004C0849">
        <w:t xml:space="preserve">the cost of retrofitting households </w:t>
      </w:r>
      <w:r w:rsidR="00166F8E">
        <w:t>for electric appliances</w:t>
      </w:r>
      <w:r w:rsidR="00B64CF3">
        <w:t>. There are also implications in relation to those households that have a preference for gas for cultural or other reasons.</w:t>
      </w:r>
      <w:r w:rsidR="009B53A4">
        <w:t xml:space="preserve"> The impact on businesses was also a concern.</w:t>
      </w:r>
    </w:p>
    <w:p w14:paraId="1F23B957" w14:textId="77777777" w:rsidR="00020483" w:rsidRDefault="00B64CF3" w:rsidP="00CD1ECD">
      <w:pPr>
        <w:pStyle w:val="BodyText"/>
        <w:ind w:right="-143"/>
      </w:pPr>
      <w:r>
        <w:t xml:space="preserve">This also raised questions about what </w:t>
      </w:r>
      <w:r w:rsidR="00B961E7">
        <w:t>cost</w:t>
      </w:r>
      <w:r>
        <w:t>s would be associated with</w:t>
      </w:r>
      <w:r w:rsidR="00B961E7">
        <w:t xml:space="preserve"> increasing </w:t>
      </w:r>
      <w:r w:rsidR="002C787B">
        <w:t>the capacity</w:t>
      </w:r>
      <w:r w:rsidR="0005505B">
        <w:t xml:space="preserve"> of the electricity network. </w:t>
      </w:r>
      <w:r w:rsidR="00EB6947">
        <w:t xml:space="preserve">It was noted that there would also be </w:t>
      </w:r>
      <w:r>
        <w:t xml:space="preserve">implications in terms of </w:t>
      </w:r>
      <w:r w:rsidR="00EB6947">
        <w:t xml:space="preserve">loss of </w:t>
      </w:r>
      <w:r w:rsidR="008F2C18">
        <w:t xml:space="preserve">income to the ACT Government and potentially paying out </w:t>
      </w:r>
      <w:r w:rsidR="00020483">
        <w:t xml:space="preserve">Jemena (as 50% owner of Evoenergy with ACT Government). </w:t>
      </w: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12090C" w:rsidRPr="00CA7855" w14:paraId="1E3BE2F9" w14:textId="77777777" w:rsidTr="00CD1ECD">
        <w:tc>
          <w:tcPr>
            <w:tcW w:w="8720" w:type="dxa"/>
            <w:shd w:val="clear" w:color="auto" w:fill="auto"/>
            <w:tcMar>
              <w:left w:w="170" w:type="dxa"/>
              <w:right w:w="170" w:type="dxa"/>
            </w:tcMar>
          </w:tcPr>
          <w:p w14:paraId="3889F527" w14:textId="74F7F326" w:rsidR="0012090C" w:rsidRPr="00CA7855" w:rsidRDefault="0012090C" w:rsidP="00C67D98">
            <w:pPr>
              <w:pStyle w:val="Recommendationsheading"/>
            </w:pPr>
            <w:r>
              <w:t xml:space="preserve">Participant </w:t>
            </w:r>
            <w:r w:rsidR="00CD1ECD">
              <w:t>q</w:t>
            </w:r>
            <w:r>
              <w:t xml:space="preserve">uestions: </w:t>
            </w:r>
            <w:r w:rsidR="00CD1ECD">
              <w:t>c</w:t>
            </w:r>
            <w:r w:rsidR="000D7E9E">
              <w:t xml:space="preserve">ost to transition to </w:t>
            </w:r>
            <w:r>
              <w:t xml:space="preserve">100% </w:t>
            </w:r>
            <w:r w:rsidR="00CD1ECD">
              <w:t>e</w:t>
            </w:r>
            <w:r>
              <w:t>lectricity</w:t>
            </w:r>
          </w:p>
          <w:p w14:paraId="1F8EBC00" w14:textId="77777777" w:rsidR="0012090C" w:rsidRDefault="00A951DC" w:rsidP="00CD1ECD">
            <w:pPr>
              <w:pStyle w:val="ListBullet"/>
              <w:spacing w:after="120"/>
            </w:pPr>
            <w:r>
              <w:t>What would be the cost</w:t>
            </w:r>
            <w:r w:rsidR="0004296C">
              <w:t>s</w:t>
            </w:r>
            <w:r>
              <w:t xml:space="preserve"> of shutting down the gas network in favour of 100% electricity</w:t>
            </w:r>
            <w:r w:rsidR="0004296C">
              <w:t>?</w:t>
            </w:r>
          </w:p>
          <w:p w14:paraId="41CF15E1" w14:textId="77777777" w:rsidR="001A02F2" w:rsidRDefault="001A02F2" w:rsidP="00CD1ECD">
            <w:pPr>
              <w:pStyle w:val="ListBullet"/>
              <w:spacing w:after="120"/>
            </w:pPr>
            <w:r>
              <w:t xml:space="preserve">What </w:t>
            </w:r>
            <w:r w:rsidR="003211A3">
              <w:t>would be</w:t>
            </w:r>
            <w:r>
              <w:t xml:space="preserve"> the cost of retrofitting households to electric appliances?</w:t>
            </w:r>
          </w:p>
          <w:p w14:paraId="40873653" w14:textId="77777777" w:rsidR="003211A3" w:rsidRPr="00CA7855" w:rsidRDefault="003211A3" w:rsidP="00F50EFE">
            <w:pPr>
              <w:pStyle w:val="ListBullet"/>
            </w:pPr>
            <w:r>
              <w:t>What would be the cost of upgrading the electricity network?</w:t>
            </w:r>
          </w:p>
        </w:tc>
      </w:tr>
    </w:tbl>
    <w:p w14:paraId="7A7F359B" w14:textId="77777777" w:rsidR="00A40B66" w:rsidRDefault="00A40B66" w:rsidP="00A40B66">
      <w:pPr>
        <w:pStyle w:val="Heading3"/>
      </w:pPr>
      <w:bookmarkStart w:id="19" w:name="_Toc25308962"/>
      <w:r>
        <w:lastRenderedPageBreak/>
        <w:t>Safety and reliability</w:t>
      </w:r>
      <w:bookmarkEnd w:id="19"/>
    </w:p>
    <w:p w14:paraId="36F17282" w14:textId="597E11B2" w:rsidR="00D752EB" w:rsidRPr="00CA7855" w:rsidRDefault="00D16091" w:rsidP="00D752EB">
      <w:pPr>
        <w:pStyle w:val="BodyText"/>
      </w:pPr>
      <w:r>
        <w:t xml:space="preserve">While the majority of the workshop discussion focused on affordability and the future of gas in a zero emissions </w:t>
      </w:r>
      <w:r w:rsidR="00C46B64">
        <w:t xml:space="preserve">environment, participants also raised questions about safety and reliability. </w:t>
      </w:r>
      <w:r w:rsidR="00CE36EE">
        <w:t xml:space="preserve">This included the question of whether a move away from gas – </w:t>
      </w:r>
      <w:r w:rsidR="003E4CF5">
        <w:t xml:space="preserve">to </w:t>
      </w:r>
      <w:r w:rsidR="00984092">
        <w:t>h</w:t>
      </w:r>
      <w:r w:rsidR="003E4CF5">
        <w:t xml:space="preserve">ydrogen or to </w:t>
      </w:r>
      <w:r w:rsidR="00CE36EE">
        <w:t>100% electricity –</w:t>
      </w:r>
      <w:r w:rsidR="00D752EB">
        <w:t xml:space="preserve"> or increasing frequency of climate events </w:t>
      </w:r>
      <w:r w:rsidR="000972C6">
        <w:t>could potentially have a negative impact</w:t>
      </w:r>
      <w:r w:rsidR="00537BA6">
        <w:t xml:space="preserve"> on safety and reliability.</w:t>
      </w:r>
      <w:r w:rsidR="00E20BD2">
        <w:t xml:space="preserve"> </w:t>
      </w:r>
      <w:r w:rsidR="002E47F9">
        <w:t>Evoenergy noted that t</w:t>
      </w:r>
      <w:r w:rsidR="00D752EB">
        <w:t xml:space="preserve">he effect of climate change on asset management planning is being considered across all networks. </w:t>
      </w:r>
    </w:p>
    <w:p w14:paraId="582E9E2B" w14:textId="301C02FB" w:rsidR="003C6BEB" w:rsidRPr="00606518" w:rsidRDefault="00E94BCF" w:rsidP="00B239D6">
      <w:pPr>
        <w:pStyle w:val="Heading1"/>
      </w:pPr>
      <w:bookmarkStart w:id="20" w:name="_Toc25308963"/>
      <w:r>
        <w:t xml:space="preserve">Key </w:t>
      </w:r>
      <w:r w:rsidR="00906E0B">
        <w:t>c</w:t>
      </w:r>
      <w:r w:rsidR="00933081">
        <w:t xml:space="preserve">onsumer </w:t>
      </w:r>
      <w:r w:rsidR="00906E0B">
        <w:t>e</w:t>
      </w:r>
      <w:r w:rsidR="00933081">
        <w:t xml:space="preserve">ngagement </w:t>
      </w:r>
      <w:r w:rsidR="00906E0B">
        <w:t>n</w:t>
      </w:r>
      <w:r w:rsidR="00933081">
        <w:t>eeds</w:t>
      </w:r>
      <w:bookmarkEnd w:id="20"/>
      <w:r w:rsidR="00933081">
        <w:t xml:space="preserve"> </w:t>
      </w:r>
    </w:p>
    <w:p w14:paraId="0F76CDF0" w14:textId="77777777" w:rsidR="00606518" w:rsidRDefault="00BE15EB" w:rsidP="00606518">
      <w:pPr>
        <w:pStyle w:val="BodyText"/>
      </w:pPr>
      <w:r>
        <w:t xml:space="preserve">This section outlines key </w:t>
      </w:r>
      <w:r w:rsidR="00782F2D">
        <w:t xml:space="preserve">issues and </w:t>
      </w:r>
      <w:r>
        <w:t>needs identified in terms of Evoenergy’s consumer engagement</w:t>
      </w:r>
      <w:r w:rsidR="003E361B">
        <w:t xml:space="preserve"> for GN21.</w:t>
      </w:r>
    </w:p>
    <w:p w14:paraId="5BC71C65" w14:textId="77777777" w:rsidR="003E3429" w:rsidRDefault="003D3237" w:rsidP="00606518">
      <w:pPr>
        <w:pStyle w:val="BodyText"/>
      </w:pPr>
      <w:r>
        <w:t xml:space="preserve">The expectations for consumer engagement by </w:t>
      </w:r>
      <w:r w:rsidR="009F1717">
        <w:t xml:space="preserve">gas and electricity distribution network service providers has </w:t>
      </w:r>
      <w:r w:rsidR="002A2900">
        <w:t xml:space="preserve">increased. </w:t>
      </w:r>
      <w:r w:rsidR="00881B0F">
        <w:t xml:space="preserve">The expectation is that </w:t>
      </w:r>
      <w:r w:rsidR="003F5E43">
        <w:t xml:space="preserve">engagement will involve meaningful and influential conversations rather than one-way information flows. </w:t>
      </w:r>
      <w:r w:rsidR="003E3429">
        <w:t>Engagement is expected to occur</w:t>
      </w:r>
      <w:r w:rsidR="002A2900">
        <w:t xml:space="preserve"> </w:t>
      </w:r>
      <w:r w:rsidR="000655EA">
        <w:t xml:space="preserve">directly with consumers </w:t>
      </w:r>
      <w:r w:rsidR="003E3429">
        <w:t xml:space="preserve">as well as </w:t>
      </w:r>
      <w:r w:rsidR="000655EA">
        <w:t xml:space="preserve">with consumer representatives. </w:t>
      </w:r>
    </w:p>
    <w:p w14:paraId="00992EFA" w14:textId="77777777" w:rsidR="000B4177" w:rsidRDefault="000655EA" w:rsidP="00606518">
      <w:pPr>
        <w:pStyle w:val="BodyText"/>
      </w:pPr>
      <w:r>
        <w:t xml:space="preserve">Energy Consumer Expert Panel members </w:t>
      </w:r>
      <w:r w:rsidR="00361BA7">
        <w:t xml:space="preserve">noted that many networks were doing a very good </w:t>
      </w:r>
      <w:r w:rsidR="00881B0F">
        <w:t>consumer engagement.</w:t>
      </w:r>
      <w:r w:rsidR="00172874">
        <w:t xml:space="preserve"> </w:t>
      </w:r>
      <w:r w:rsidR="00DA0EF4">
        <w:t>Evoenergy’s Energy Consumer Reference Co</w:t>
      </w:r>
      <w:r w:rsidR="00035ABC">
        <w:t xml:space="preserve">uncil (ECRC) was mentioned as </w:t>
      </w:r>
      <w:r w:rsidR="004D0C99">
        <w:t>an example of good practice in terms of its structure and working relationship.</w:t>
      </w:r>
    </w:p>
    <w:p w14:paraId="0FABEFF6" w14:textId="77777777" w:rsidR="00C05803" w:rsidRDefault="00C05803" w:rsidP="00606518">
      <w:pPr>
        <w:pStyle w:val="BodyText"/>
      </w:pPr>
      <w:r>
        <w:t xml:space="preserve">The AER has </w:t>
      </w:r>
      <w:r w:rsidR="002705D4">
        <w:t xml:space="preserve">produced a consumer engagement guideline for </w:t>
      </w:r>
      <w:r w:rsidR="006E21AE">
        <w:t>network service providers which includes the following best practice principles:</w:t>
      </w:r>
    </w:p>
    <w:p w14:paraId="52215A41" w14:textId="17399086" w:rsidR="006E21AE" w:rsidRDefault="002C5843" w:rsidP="00D14954">
      <w:pPr>
        <w:pStyle w:val="ListBullet"/>
      </w:pPr>
      <w:r>
        <w:t>Clear, accurate and timely communication</w:t>
      </w:r>
    </w:p>
    <w:p w14:paraId="64904332" w14:textId="77777777" w:rsidR="002C5843" w:rsidRDefault="002C5843" w:rsidP="00D14954">
      <w:pPr>
        <w:pStyle w:val="ListBullet"/>
      </w:pPr>
      <w:r>
        <w:t>Accessible and inclusive</w:t>
      </w:r>
    </w:p>
    <w:p w14:paraId="0D6EB394" w14:textId="77777777" w:rsidR="002C5843" w:rsidRDefault="002C5843" w:rsidP="00D14954">
      <w:pPr>
        <w:pStyle w:val="ListBullet"/>
      </w:pPr>
      <w:r>
        <w:t>Transparent</w:t>
      </w:r>
    </w:p>
    <w:p w14:paraId="6AEBE325" w14:textId="77777777" w:rsidR="002C5843" w:rsidRDefault="002C5843" w:rsidP="00D14954">
      <w:pPr>
        <w:pStyle w:val="ListBullet"/>
      </w:pPr>
      <w:r>
        <w:t>Measurable</w:t>
      </w:r>
      <w:r w:rsidR="00D14954">
        <w:t>.</w:t>
      </w:r>
      <w:r w:rsidR="00D14954">
        <w:rPr>
          <w:rStyle w:val="FootnoteReference"/>
        </w:rPr>
        <w:footnoteReference w:id="5"/>
      </w:r>
    </w:p>
    <w:p w14:paraId="7675ECFD" w14:textId="77777777" w:rsidR="00135921" w:rsidRDefault="00E249DB" w:rsidP="00B73622">
      <w:pPr>
        <w:pStyle w:val="BodyText"/>
      </w:pPr>
      <w:r>
        <w:t>The Public Interest Advocacy Centre (PIAC)</w:t>
      </w:r>
      <w:r w:rsidR="00387AD9">
        <w:t xml:space="preserve"> has developed a </w:t>
      </w:r>
      <w:r w:rsidR="00B73622">
        <w:t xml:space="preserve">consumer engagement </w:t>
      </w:r>
      <w:r w:rsidR="00A57623">
        <w:t>evaluation</w:t>
      </w:r>
      <w:r w:rsidR="00455E23">
        <w:t xml:space="preserve"> framework that adopts the AER principles</w:t>
      </w:r>
      <w:r w:rsidR="00506B4A">
        <w:t xml:space="preserve"> outlined above while adding:</w:t>
      </w:r>
    </w:p>
    <w:p w14:paraId="25118B24" w14:textId="77777777" w:rsidR="00506B4A" w:rsidRDefault="00CE25FE" w:rsidP="00506B4A">
      <w:pPr>
        <w:pStyle w:val="ListBullet"/>
      </w:pPr>
      <w:r>
        <w:t>Culture of engagement</w:t>
      </w:r>
    </w:p>
    <w:p w14:paraId="2D13A6D7" w14:textId="77777777" w:rsidR="00747703" w:rsidRDefault="00CE25FE" w:rsidP="00747703">
      <w:pPr>
        <w:pStyle w:val="ListBullet"/>
      </w:pPr>
      <w:r>
        <w:t>Approach to engagement</w:t>
      </w:r>
      <w:r w:rsidR="00747703">
        <w:t>.</w:t>
      </w:r>
      <w:r w:rsidR="00747703">
        <w:rPr>
          <w:rStyle w:val="FootnoteReference"/>
        </w:rPr>
        <w:footnoteReference w:id="6"/>
      </w:r>
    </w:p>
    <w:p w14:paraId="65F459E0" w14:textId="77777777" w:rsidR="00EB6ED5" w:rsidRDefault="00F2009B" w:rsidP="007E356F">
      <w:pPr>
        <w:pStyle w:val="ListBullet"/>
        <w:keepNext/>
        <w:numPr>
          <w:ilvl w:val="0"/>
          <w:numId w:val="0"/>
        </w:numPr>
        <w:ind w:left="567" w:hanging="567"/>
      </w:pPr>
      <w:r>
        <w:lastRenderedPageBreak/>
        <w:t>PIAC have also outlined what good engagement is and isn’t</w:t>
      </w:r>
      <w:r w:rsidR="00E2576C">
        <w:t>.</w:t>
      </w:r>
      <w:r w:rsidR="00881981">
        <w:rPr>
          <w:rStyle w:val="FootnoteReference"/>
        </w:rPr>
        <w:footnoteReference w:id="7"/>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245"/>
        <w:gridCol w:w="4249"/>
      </w:tblGrid>
      <w:tr w:rsidR="00E2576C" w:rsidRPr="00CA7855" w14:paraId="2038CAE8" w14:textId="77777777" w:rsidTr="005A0112">
        <w:trPr>
          <w:cantSplit/>
        </w:trPr>
        <w:tc>
          <w:tcPr>
            <w:tcW w:w="2499" w:type="pct"/>
            <w:shd w:val="clear" w:color="auto" w:fill="auto"/>
            <w:tcMar>
              <w:left w:w="170" w:type="dxa"/>
              <w:right w:w="170" w:type="dxa"/>
            </w:tcMar>
          </w:tcPr>
          <w:p w14:paraId="6A28C30F" w14:textId="77777777" w:rsidR="00E2576C" w:rsidRPr="00CA7855" w:rsidRDefault="00E2576C" w:rsidP="0058672C">
            <w:pPr>
              <w:pStyle w:val="Tableheading"/>
              <w:keepNext/>
              <w:rPr>
                <w:lang w:eastAsia="en-AU"/>
              </w:rPr>
            </w:pPr>
            <w:r>
              <w:rPr>
                <w:lang w:eastAsia="en-AU"/>
              </w:rPr>
              <w:t>Good engagement is…</w:t>
            </w:r>
          </w:p>
        </w:tc>
        <w:tc>
          <w:tcPr>
            <w:tcW w:w="2501" w:type="pct"/>
            <w:shd w:val="clear" w:color="auto" w:fill="auto"/>
            <w:tcMar>
              <w:left w:w="170" w:type="dxa"/>
              <w:right w:w="170" w:type="dxa"/>
            </w:tcMar>
          </w:tcPr>
          <w:p w14:paraId="38D00ABD" w14:textId="77777777" w:rsidR="00E2576C" w:rsidRPr="00CA7855" w:rsidRDefault="00E2576C" w:rsidP="0058672C">
            <w:pPr>
              <w:pStyle w:val="Tableheading"/>
              <w:keepNext/>
              <w:rPr>
                <w:lang w:eastAsia="en-AU"/>
              </w:rPr>
            </w:pPr>
            <w:r>
              <w:rPr>
                <w:lang w:eastAsia="en-AU"/>
              </w:rPr>
              <w:t>Good engagement is not…</w:t>
            </w:r>
          </w:p>
        </w:tc>
      </w:tr>
      <w:tr w:rsidR="00E2576C" w:rsidRPr="00CA7855" w14:paraId="6DCE3A5D" w14:textId="77777777" w:rsidTr="005A0112">
        <w:trPr>
          <w:cantSplit/>
        </w:trPr>
        <w:tc>
          <w:tcPr>
            <w:tcW w:w="2499" w:type="pct"/>
            <w:shd w:val="clear" w:color="auto" w:fill="auto"/>
            <w:tcMar>
              <w:left w:w="170" w:type="dxa"/>
              <w:right w:w="170" w:type="dxa"/>
            </w:tcMar>
          </w:tcPr>
          <w:p w14:paraId="3DCCDC61" w14:textId="77777777" w:rsidR="00E2576C" w:rsidRPr="00CA7855" w:rsidRDefault="00E2576C" w:rsidP="0058672C">
            <w:pPr>
              <w:pStyle w:val="TableBody"/>
              <w:keepNext/>
              <w:rPr>
                <w:lang w:eastAsia="en-AU"/>
              </w:rPr>
            </w:pPr>
            <w:r>
              <w:rPr>
                <w:lang w:eastAsia="en-AU"/>
              </w:rPr>
              <w:t>Ongoing</w:t>
            </w:r>
          </w:p>
        </w:tc>
        <w:tc>
          <w:tcPr>
            <w:tcW w:w="2501" w:type="pct"/>
            <w:shd w:val="clear" w:color="auto" w:fill="auto"/>
            <w:tcMar>
              <w:left w:w="170" w:type="dxa"/>
              <w:right w:w="170" w:type="dxa"/>
            </w:tcMar>
          </w:tcPr>
          <w:p w14:paraId="772F549E" w14:textId="77777777" w:rsidR="00E2576C" w:rsidRPr="00CA7855" w:rsidRDefault="00E2576C" w:rsidP="0058672C">
            <w:pPr>
              <w:pStyle w:val="TableBody"/>
              <w:keepNext/>
              <w:rPr>
                <w:lang w:eastAsia="en-AU"/>
              </w:rPr>
            </w:pPr>
            <w:r>
              <w:rPr>
                <w:lang w:eastAsia="en-AU"/>
              </w:rPr>
              <w:t>Quick or one</w:t>
            </w:r>
            <w:r w:rsidR="00881981">
              <w:rPr>
                <w:lang w:eastAsia="en-AU"/>
              </w:rPr>
              <w:t>-off</w:t>
            </w:r>
          </w:p>
        </w:tc>
      </w:tr>
      <w:tr w:rsidR="00881981" w:rsidRPr="00CA7855" w14:paraId="2DC60B34" w14:textId="77777777" w:rsidTr="005A0112">
        <w:trPr>
          <w:cantSplit/>
        </w:trPr>
        <w:tc>
          <w:tcPr>
            <w:tcW w:w="2499" w:type="pct"/>
            <w:shd w:val="clear" w:color="auto" w:fill="auto"/>
            <w:tcMar>
              <w:left w:w="170" w:type="dxa"/>
              <w:right w:w="170" w:type="dxa"/>
            </w:tcMar>
          </w:tcPr>
          <w:p w14:paraId="1BA2037D" w14:textId="77777777" w:rsidR="00881981" w:rsidRDefault="00881981" w:rsidP="0058672C">
            <w:pPr>
              <w:pStyle w:val="TableBody"/>
              <w:keepNext/>
              <w:rPr>
                <w:lang w:eastAsia="en-AU"/>
              </w:rPr>
            </w:pPr>
            <w:r>
              <w:rPr>
                <w:lang w:eastAsia="en-AU"/>
              </w:rPr>
              <w:t>Detailed</w:t>
            </w:r>
          </w:p>
        </w:tc>
        <w:tc>
          <w:tcPr>
            <w:tcW w:w="2501" w:type="pct"/>
            <w:shd w:val="clear" w:color="auto" w:fill="auto"/>
            <w:tcMar>
              <w:left w:w="170" w:type="dxa"/>
              <w:right w:w="170" w:type="dxa"/>
            </w:tcMar>
          </w:tcPr>
          <w:p w14:paraId="316C9612" w14:textId="77777777" w:rsidR="00881981" w:rsidRDefault="00881981" w:rsidP="0058672C">
            <w:pPr>
              <w:pStyle w:val="TableBody"/>
              <w:keepNext/>
              <w:rPr>
                <w:lang w:eastAsia="en-AU"/>
              </w:rPr>
            </w:pPr>
            <w:r>
              <w:rPr>
                <w:lang w:eastAsia="en-AU"/>
              </w:rPr>
              <w:t>Survey or research</w:t>
            </w:r>
          </w:p>
        </w:tc>
      </w:tr>
      <w:tr w:rsidR="00881981" w:rsidRPr="00CA7855" w14:paraId="3161A9BA" w14:textId="77777777" w:rsidTr="005A0112">
        <w:trPr>
          <w:cantSplit/>
        </w:trPr>
        <w:tc>
          <w:tcPr>
            <w:tcW w:w="2499" w:type="pct"/>
            <w:shd w:val="clear" w:color="auto" w:fill="auto"/>
            <w:tcMar>
              <w:left w:w="170" w:type="dxa"/>
              <w:right w:w="170" w:type="dxa"/>
            </w:tcMar>
          </w:tcPr>
          <w:p w14:paraId="21A89B7D" w14:textId="77777777" w:rsidR="00881981" w:rsidRDefault="00881981" w:rsidP="0058672C">
            <w:pPr>
              <w:pStyle w:val="TableBody"/>
              <w:keepNext/>
              <w:rPr>
                <w:lang w:eastAsia="en-AU"/>
              </w:rPr>
            </w:pPr>
            <w:r>
              <w:rPr>
                <w:lang w:eastAsia="en-AU"/>
              </w:rPr>
              <w:t>Deliberative</w:t>
            </w:r>
          </w:p>
        </w:tc>
        <w:tc>
          <w:tcPr>
            <w:tcW w:w="2501" w:type="pct"/>
            <w:shd w:val="clear" w:color="auto" w:fill="auto"/>
            <w:tcMar>
              <w:left w:w="170" w:type="dxa"/>
              <w:right w:w="170" w:type="dxa"/>
            </w:tcMar>
          </w:tcPr>
          <w:p w14:paraId="5C61DCD4" w14:textId="77777777" w:rsidR="00881981" w:rsidRDefault="00881981" w:rsidP="0058672C">
            <w:pPr>
              <w:pStyle w:val="TableBody"/>
              <w:keepNext/>
              <w:rPr>
                <w:lang w:eastAsia="en-AU"/>
              </w:rPr>
            </w:pPr>
            <w:r>
              <w:rPr>
                <w:lang w:eastAsia="en-AU"/>
              </w:rPr>
              <w:t>One-way</w:t>
            </w:r>
          </w:p>
        </w:tc>
      </w:tr>
      <w:tr w:rsidR="00881981" w:rsidRPr="00CA7855" w14:paraId="06E21D6C" w14:textId="77777777" w:rsidTr="005A0112">
        <w:trPr>
          <w:cantSplit/>
        </w:trPr>
        <w:tc>
          <w:tcPr>
            <w:tcW w:w="2499" w:type="pct"/>
            <w:shd w:val="clear" w:color="auto" w:fill="auto"/>
            <w:tcMar>
              <w:left w:w="170" w:type="dxa"/>
              <w:right w:w="170" w:type="dxa"/>
            </w:tcMar>
          </w:tcPr>
          <w:p w14:paraId="0AB90FF4" w14:textId="77777777" w:rsidR="00881981" w:rsidRDefault="00881981" w:rsidP="0058672C">
            <w:pPr>
              <w:pStyle w:val="TableBody"/>
              <w:keepNext/>
              <w:rPr>
                <w:lang w:eastAsia="en-AU"/>
              </w:rPr>
            </w:pPr>
            <w:r>
              <w:rPr>
                <w:lang w:eastAsia="en-AU"/>
              </w:rPr>
              <w:t>Strategy driven</w:t>
            </w:r>
          </w:p>
        </w:tc>
        <w:tc>
          <w:tcPr>
            <w:tcW w:w="2501" w:type="pct"/>
            <w:shd w:val="clear" w:color="auto" w:fill="auto"/>
            <w:tcMar>
              <w:left w:w="170" w:type="dxa"/>
              <w:right w:w="170" w:type="dxa"/>
            </w:tcMar>
          </w:tcPr>
          <w:p w14:paraId="78A5ACC6" w14:textId="77777777" w:rsidR="00881981" w:rsidRDefault="00881981" w:rsidP="0058672C">
            <w:pPr>
              <w:pStyle w:val="TableBody"/>
              <w:keepNext/>
              <w:rPr>
                <w:lang w:eastAsia="en-AU"/>
              </w:rPr>
            </w:pPr>
            <w:r>
              <w:rPr>
                <w:lang w:eastAsia="en-AU"/>
              </w:rPr>
              <w:t>Tick-the-box</w:t>
            </w:r>
          </w:p>
        </w:tc>
      </w:tr>
      <w:tr w:rsidR="00881981" w:rsidRPr="00CA7855" w14:paraId="7C57C744" w14:textId="77777777" w:rsidTr="005A0112">
        <w:trPr>
          <w:cantSplit/>
        </w:trPr>
        <w:tc>
          <w:tcPr>
            <w:tcW w:w="2499" w:type="pct"/>
            <w:shd w:val="clear" w:color="auto" w:fill="auto"/>
            <w:tcMar>
              <w:left w:w="170" w:type="dxa"/>
              <w:right w:w="170" w:type="dxa"/>
            </w:tcMar>
          </w:tcPr>
          <w:p w14:paraId="2B8F6485" w14:textId="77777777" w:rsidR="00881981" w:rsidRDefault="00881981" w:rsidP="0058672C">
            <w:pPr>
              <w:pStyle w:val="TableBody"/>
              <w:keepNext/>
              <w:rPr>
                <w:lang w:eastAsia="en-AU"/>
              </w:rPr>
            </w:pPr>
            <w:r>
              <w:rPr>
                <w:lang w:eastAsia="en-AU"/>
              </w:rPr>
              <w:t>Tailored</w:t>
            </w:r>
          </w:p>
        </w:tc>
        <w:tc>
          <w:tcPr>
            <w:tcW w:w="2501" w:type="pct"/>
            <w:shd w:val="clear" w:color="auto" w:fill="auto"/>
            <w:tcMar>
              <w:left w:w="170" w:type="dxa"/>
              <w:right w:w="170" w:type="dxa"/>
            </w:tcMar>
          </w:tcPr>
          <w:p w14:paraId="37100335" w14:textId="77777777" w:rsidR="00881981" w:rsidRDefault="00881981" w:rsidP="0058672C">
            <w:pPr>
              <w:pStyle w:val="TableBody"/>
              <w:keepNext/>
              <w:rPr>
                <w:lang w:eastAsia="en-AU"/>
              </w:rPr>
            </w:pPr>
            <w:r>
              <w:rPr>
                <w:lang w:eastAsia="en-AU"/>
              </w:rPr>
              <w:t>Cookie cutter</w:t>
            </w:r>
          </w:p>
        </w:tc>
      </w:tr>
    </w:tbl>
    <w:p w14:paraId="4E8472B0" w14:textId="77777777" w:rsidR="00E2576C" w:rsidRDefault="00E2576C" w:rsidP="00EB6ED5">
      <w:pPr>
        <w:pStyle w:val="ListBullet"/>
        <w:numPr>
          <w:ilvl w:val="0"/>
          <w:numId w:val="0"/>
        </w:numPr>
        <w:ind w:left="567" w:hanging="567"/>
      </w:pPr>
    </w:p>
    <w:p w14:paraId="4A30B4DC" w14:textId="77777777" w:rsidR="005E2AFD" w:rsidRDefault="001E119E" w:rsidP="00F57C1D">
      <w:pPr>
        <w:pStyle w:val="BodyText"/>
      </w:pPr>
      <w:r>
        <w:t>The</w:t>
      </w:r>
      <w:r w:rsidR="00933F7E">
        <w:t xml:space="preserve"> consumer engagement </w:t>
      </w:r>
      <w:r w:rsidR="006B545F">
        <w:t>by</w:t>
      </w:r>
      <w:r w:rsidR="00933F7E">
        <w:t xml:space="preserve"> Jemena Gas Network</w:t>
      </w:r>
      <w:r w:rsidR="006B545F">
        <w:t xml:space="preserve"> for their 2020-25 access arrangement in NSW</w:t>
      </w:r>
      <w:r w:rsidR="0042461F">
        <w:t xml:space="preserve"> was discussed as a </w:t>
      </w:r>
      <w:r w:rsidR="00250BC1">
        <w:t>good</w:t>
      </w:r>
      <w:r w:rsidR="0042461F">
        <w:t xml:space="preserve"> example of engagement </w:t>
      </w:r>
      <w:r w:rsidR="00A140F0">
        <w:t xml:space="preserve">both </w:t>
      </w:r>
      <w:r w:rsidR="0042461F">
        <w:t>with consumer representatives and directly with consumers.</w:t>
      </w:r>
      <w:r w:rsidR="00654FED">
        <w:t xml:space="preserve"> </w:t>
      </w:r>
    </w:p>
    <w:p w14:paraId="49973D7A" w14:textId="77777777" w:rsidR="005E2AFD" w:rsidRDefault="005E2AFD" w:rsidP="005E2AFD">
      <w:pPr>
        <w:pStyle w:val="Heading2"/>
      </w:pPr>
      <w:bookmarkStart w:id="21" w:name="_Toc25308964"/>
      <w:r>
        <w:t>Engaging with consumer representatives</w:t>
      </w:r>
      <w:bookmarkEnd w:id="21"/>
    </w:p>
    <w:p w14:paraId="4A1E5E31" w14:textId="77777777" w:rsidR="00F57C1D" w:rsidRDefault="00654FED" w:rsidP="00F57C1D">
      <w:pPr>
        <w:pStyle w:val="BodyText"/>
      </w:pPr>
      <w:r>
        <w:t xml:space="preserve">In terms of engagement with consumer representatives, this </w:t>
      </w:r>
      <w:r w:rsidR="000321B7">
        <w:t xml:space="preserve">included ‘deep dives’ with consumer advocates on the draft plan and on a specific component of the </w:t>
      </w:r>
      <w:r w:rsidR="00622FAF">
        <w:t>proposal (i.e. incentive scheme design).</w:t>
      </w:r>
      <w:r w:rsidR="00622FAF">
        <w:rPr>
          <w:rStyle w:val="FootnoteReference"/>
        </w:rPr>
        <w:footnoteReference w:id="8"/>
      </w:r>
      <w:r w:rsidR="00622FAF">
        <w:t xml:space="preserve"> As noted above, </w:t>
      </w:r>
      <w:r w:rsidR="00423EAC">
        <w:t xml:space="preserve">it is not realistic to expect individual consumers to </w:t>
      </w:r>
      <w:r w:rsidR="00F97B77">
        <w:t xml:space="preserve">engage in the significant amount of </w:t>
      </w:r>
      <w:r w:rsidR="00A91363">
        <w:t xml:space="preserve">detail included in </w:t>
      </w:r>
      <w:r w:rsidR="00A140F0">
        <w:t>the GN21</w:t>
      </w:r>
      <w:r w:rsidR="00A91363">
        <w:t xml:space="preserve"> proposal</w:t>
      </w:r>
      <w:r w:rsidR="00F97B77">
        <w:t xml:space="preserve">. </w:t>
      </w:r>
      <w:r w:rsidR="00561F48">
        <w:t>I</w:t>
      </w:r>
      <w:r w:rsidR="00F57C1D">
        <w:t xml:space="preserve">t is important to ensure that there is engagement with consumer representatives who </w:t>
      </w:r>
      <w:r w:rsidR="00561F48">
        <w:t>can</w:t>
      </w:r>
      <w:r w:rsidR="00F57C1D">
        <w:t xml:space="preserve"> undertake a ‘deep dive’ utilising energy policy advocacy expertise.</w:t>
      </w:r>
    </w:p>
    <w:p w14:paraId="0A1054B9" w14:textId="77777777" w:rsidR="0047482D" w:rsidRDefault="0047482D" w:rsidP="00F57C1D">
      <w:pPr>
        <w:pStyle w:val="BodyText"/>
      </w:pPr>
      <w:r>
        <w:t xml:space="preserve">Given the amount of detail, the level of complexity, and the </w:t>
      </w:r>
      <w:r w:rsidR="00386216">
        <w:t xml:space="preserve">need to engage with a lot of new and unfamiliar material, it is also important that engagement occurs early and regularly over the </w:t>
      </w:r>
      <w:r w:rsidR="009811B4">
        <w:t>GN21 process.</w:t>
      </w:r>
    </w:p>
    <w:p w14:paraId="2F8EE54C" w14:textId="77777777" w:rsidR="005E2AFD" w:rsidRDefault="005E2AFD" w:rsidP="005E2AFD">
      <w:pPr>
        <w:pStyle w:val="Heading2"/>
      </w:pPr>
      <w:bookmarkStart w:id="22" w:name="_Toc25308965"/>
      <w:r>
        <w:t>Engaging directly with consumers</w:t>
      </w:r>
      <w:bookmarkEnd w:id="22"/>
    </w:p>
    <w:p w14:paraId="17FF4EE8" w14:textId="77777777" w:rsidR="005E4D3D" w:rsidRDefault="005E4D3D" w:rsidP="00F57C1D">
      <w:pPr>
        <w:pStyle w:val="BodyText"/>
      </w:pPr>
      <w:r>
        <w:t>Direct engagement with</w:t>
      </w:r>
      <w:r w:rsidR="00174FC8">
        <w:t xml:space="preserve"> consumers</w:t>
      </w:r>
      <w:r w:rsidR="00286B3D">
        <w:t xml:space="preserve"> in</w:t>
      </w:r>
      <w:r w:rsidR="0042225A">
        <w:t>volved multiple rounds of deliberative engagement with a broad, representative group of households.</w:t>
      </w:r>
      <w:r w:rsidR="00B63368">
        <w:t xml:space="preserve"> Multiple sessions with increasing levels of detail </w:t>
      </w:r>
      <w:r w:rsidR="001F2404">
        <w:t>helped to build understanding and elicit informed consumer input</w:t>
      </w:r>
      <w:r w:rsidR="00AD07C9">
        <w:t xml:space="preserve"> and also allowed Jemena to </w:t>
      </w:r>
      <w:r w:rsidR="0084482F">
        <w:t>confirm it had correctly understood and applied consumer feedback. The process also included external perspectives and observers</w:t>
      </w:r>
      <w:r w:rsidR="001930AB">
        <w:t xml:space="preserve">. </w:t>
      </w:r>
    </w:p>
    <w:p w14:paraId="3882D9E5" w14:textId="77777777" w:rsidR="008B6EF0" w:rsidRDefault="001930AB" w:rsidP="008B6EF0">
      <w:pPr>
        <w:pStyle w:val="BodyText"/>
      </w:pPr>
      <w:r>
        <w:t xml:space="preserve">Of particular relevance for Evoenergy in wanting to engage effectively with </w:t>
      </w:r>
      <w:r w:rsidR="002B2DA8">
        <w:t xml:space="preserve">people living in low-income households, experiencing disadvantage, or at risk of hardship, </w:t>
      </w:r>
      <w:r w:rsidR="00B67E5F">
        <w:t xml:space="preserve">Jemena’s work in NSW and Victoria is seen to provide </w:t>
      </w:r>
      <w:r w:rsidR="00AB6CE2">
        <w:t xml:space="preserve">some useful guidance. This includes </w:t>
      </w:r>
      <w:r w:rsidR="004B3C42">
        <w:t>having targeted sessions with CALD, over-55, and low-</w:t>
      </w:r>
      <w:r w:rsidR="004B3C42">
        <w:lastRenderedPageBreak/>
        <w:t xml:space="preserve">income households. </w:t>
      </w:r>
      <w:r w:rsidR="005E4D3D">
        <w:t xml:space="preserve">In </w:t>
      </w:r>
      <w:r w:rsidR="00286B3D">
        <w:t>Victoria</w:t>
      </w:r>
      <w:r w:rsidR="005E4D3D">
        <w:t xml:space="preserve">, </w:t>
      </w:r>
      <w:r w:rsidR="008B6EF0">
        <w:t>Jemena Electricity ensured that its engagement was accessible by:</w:t>
      </w:r>
    </w:p>
    <w:p w14:paraId="0EEE0833" w14:textId="1899CAED" w:rsidR="008B6EF0" w:rsidRDefault="00494996" w:rsidP="00E47A0D">
      <w:pPr>
        <w:pStyle w:val="ListBullet"/>
      </w:pPr>
      <w:r>
        <w:t>P</w:t>
      </w:r>
      <w:r w:rsidR="008B6EF0">
        <w:t>roviding an interpreter for a member of its People’s Panel so that they could participate in the workshops</w:t>
      </w:r>
    </w:p>
    <w:p w14:paraId="5CBD567B" w14:textId="3439B382" w:rsidR="008B6EF0" w:rsidRDefault="00494996" w:rsidP="00E47A0D">
      <w:pPr>
        <w:pStyle w:val="ListBullet"/>
      </w:pPr>
      <w:r>
        <w:t>P</w:t>
      </w:r>
      <w:r w:rsidR="008B6EF0">
        <w:t>roviding transport solutions</w:t>
      </w:r>
    </w:p>
    <w:p w14:paraId="66AB913C" w14:textId="6700EAF4" w:rsidR="008B6EF0" w:rsidRDefault="00494996" w:rsidP="00E47A0D">
      <w:pPr>
        <w:pStyle w:val="ListBullet"/>
      </w:pPr>
      <w:r>
        <w:t>P</w:t>
      </w:r>
      <w:r w:rsidR="008B6EF0">
        <w:t>roviding child</w:t>
      </w:r>
      <w:r w:rsidR="00A313B4">
        <w:t>-</w:t>
      </w:r>
      <w:r w:rsidR="008B6EF0">
        <w:t>minding solutions</w:t>
      </w:r>
    </w:p>
    <w:p w14:paraId="5EEFA1DB" w14:textId="77171C05" w:rsidR="008B6EF0" w:rsidRDefault="00494996" w:rsidP="00E47A0D">
      <w:pPr>
        <w:pStyle w:val="ListBullet"/>
      </w:pPr>
      <w:r>
        <w:t>M</w:t>
      </w:r>
      <w:r w:rsidR="008B6EF0">
        <w:t>eeting consumers in their neighbourhood.</w:t>
      </w:r>
      <w:r w:rsidR="00A313B4">
        <w:rPr>
          <w:rStyle w:val="FootnoteReference"/>
        </w:rPr>
        <w:footnoteReference w:id="9"/>
      </w:r>
    </w:p>
    <w:p w14:paraId="2A214074" w14:textId="77777777" w:rsidR="00F80556" w:rsidRDefault="003B3BBF" w:rsidP="00ED7211">
      <w:pPr>
        <w:pStyle w:val="BodyText"/>
      </w:pPr>
      <w:r>
        <w:t>The examples provided also highlighted the role of consumer representatives in facilitating</w:t>
      </w:r>
      <w:r w:rsidR="00ED7211">
        <w:t xml:space="preserve">, informing, observing, and evaluating such direct consumer engagement. </w:t>
      </w:r>
      <w:r w:rsidR="00C12226">
        <w:t xml:space="preserve">During the GN21 workshop, this was highlighted particularly in relation to engaging with CALD </w:t>
      </w:r>
      <w:r w:rsidR="00CA4A15">
        <w:t xml:space="preserve">consumers. </w:t>
      </w:r>
      <w:r w:rsidR="009152E2">
        <w:t>As one workshop participant noted:</w:t>
      </w:r>
    </w:p>
    <w:p w14:paraId="58B25936" w14:textId="77777777" w:rsidR="009152E2" w:rsidRDefault="009152E2" w:rsidP="009152E2">
      <w:pPr>
        <w:pStyle w:val="BlockText"/>
      </w:pPr>
      <w:r w:rsidRPr="009152E2">
        <w:t>It is absolutely necessary to engage with the multicultural communities, to make them aware of their options and to understand what they want. The Canberra Multicultural Community Forum</w:t>
      </w:r>
      <w:r>
        <w:t xml:space="preserve"> (CMCF)</w:t>
      </w:r>
      <w:r w:rsidRPr="009152E2">
        <w:t xml:space="preserve"> is the peak body for these organisations. CMCF is the peak body and runs consultation forums and events and have social media and ways of connecting with people. It’s not all about online, and links</w:t>
      </w:r>
      <w:r>
        <w:t>,</w:t>
      </w:r>
      <w:r w:rsidRPr="009152E2">
        <w:t xml:space="preserve"> and links, it’s about the human touch.</w:t>
      </w:r>
    </w:p>
    <w:p w14:paraId="4D1559DD" w14:textId="77777777" w:rsidR="009152E2" w:rsidRDefault="00145532" w:rsidP="009152E2">
      <w:pPr>
        <w:pStyle w:val="BodyText"/>
      </w:pPr>
      <w:r>
        <w:t xml:space="preserve">Community service providers </w:t>
      </w:r>
      <w:r w:rsidR="004B4E42">
        <w:t>might also be able to facilitate direct consumer engagement, as another workshop participant noted:</w:t>
      </w:r>
    </w:p>
    <w:p w14:paraId="472546AE" w14:textId="77777777" w:rsidR="004B4E42" w:rsidRDefault="004B4E42" w:rsidP="004B4E42">
      <w:pPr>
        <w:pStyle w:val="BlockText"/>
      </w:pPr>
      <w:r>
        <w:t>…</w:t>
      </w:r>
      <w:r w:rsidRPr="004B4E42">
        <w:t>we can target the groups we work with. We have the community centre, the food hub</w:t>
      </w:r>
      <w:r>
        <w:t xml:space="preserve">, and </w:t>
      </w:r>
      <w:r w:rsidRPr="004B4E42">
        <w:t>we work with families, young people</w:t>
      </w:r>
      <w:r w:rsidR="003375C6">
        <w:t>, over 55s</w:t>
      </w:r>
      <w:r w:rsidR="008A0F2B">
        <w:t xml:space="preserve">. We provided </w:t>
      </w:r>
      <w:r w:rsidRPr="004B4E42">
        <w:t xml:space="preserve">services where you could do that targeted </w:t>
      </w:r>
      <w:r w:rsidR="003375C6">
        <w:t>engagement</w:t>
      </w:r>
      <w:r w:rsidRPr="004B4E42">
        <w:t>.</w:t>
      </w:r>
    </w:p>
    <w:p w14:paraId="7C15616A" w14:textId="77777777" w:rsidR="00D0496B" w:rsidRDefault="00355E87" w:rsidP="00D0496B">
      <w:pPr>
        <w:pStyle w:val="BodyText"/>
      </w:pPr>
      <w:r>
        <w:t xml:space="preserve">It was also noted </w:t>
      </w:r>
      <w:r w:rsidR="00136E81">
        <w:t xml:space="preserve">that there are people who </w:t>
      </w:r>
      <w:r w:rsidR="00243E6D">
        <w:t>don’t use mobile phones or the internet</w:t>
      </w:r>
      <w:r w:rsidR="0065143C">
        <w:t>, and also people who may need support to engage in consultations.</w:t>
      </w:r>
      <w:r w:rsidR="00337E92">
        <w:t xml:space="preserve"> As </w:t>
      </w:r>
      <w:r w:rsidR="00A52F6A">
        <w:t xml:space="preserve">was noted by another workshop participant: </w:t>
      </w:r>
    </w:p>
    <w:p w14:paraId="5B472867" w14:textId="77777777" w:rsidR="00A52F6A" w:rsidRDefault="00A52F6A" w:rsidP="00A52F6A">
      <w:pPr>
        <w:pStyle w:val="BlockText"/>
      </w:pPr>
      <w:r w:rsidRPr="00A52F6A">
        <w:t>A lot of the people I work with have mental health</w:t>
      </w:r>
      <w:r>
        <w:t>,</w:t>
      </w:r>
      <w:r w:rsidRPr="00A52F6A">
        <w:t xml:space="preserve"> or language</w:t>
      </w:r>
      <w:r>
        <w:t>,</w:t>
      </w:r>
      <w:r w:rsidRPr="00A52F6A">
        <w:t xml:space="preserve"> or substance abuse issues. Some of these people cannot actively contribute, how will Evoenergy </w:t>
      </w:r>
      <w:r>
        <w:t>engage with them</w:t>
      </w:r>
      <w:r w:rsidRPr="00A52F6A">
        <w:t xml:space="preserve">? What might be required is for Evoenergy to </w:t>
      </w:r>
      <w:r>
        <w:t>come</w:t>
      </w:r>
      <w:r w:rsidRPr="00A52F6A">
        <w:t xml:space="preserve"> and sit alongside me and my clients.</w:t>
      </w:r>
    </w:p>
    <w:p w14:paraId="7DF74D5B" w14:textId="5632C59B" w:rsidR="00606518" w:rsidRDefault="00AF0ED2" w:rsidP="005E2AFD">
      <w:pPr>
        <w:pStyle w:val="Heading2"/>
      </w:pPr>
      <w:bookmarkStart w:id="23" w:name="_Toc25308966"/>
      <w:r>
        <w:t xml:space="preserve">Citizens’ </w:t>
      </w:r>
      <w:r w:rsidR="00C53E51">
        <w:t>j</w:t>
      </w:r>
      <w:r>
        <w:t>ury</w:t>
      </w:r>
      <w:bookmarkEnd w:id="23"/>
    </w:p>
    <w:p w14:paraId="135F9991" w14:textId="77777777" w:rsidR="00DC0E97" w:rsidRDefault="00DC0E97" w:rsidP="00DC0E97">
      <w:pPr>
        <w:pStyle w:val="BodyText"/>
      </w:pPr>
      <w:r>
        <w:t xml:space="preserve">Workshop participants </w:t>
      </w:r>
      <w:r w:rsidR="001D58ED">
        <w:t xml:space="preserve">raised a number of questions </w:t>
      </w:r>
      <w:r>
        <w:t>in relation to</w:t>
      </w:r>
      <w:r w:rsidR="00276A13">
        <w:t xml:space="preserve"> Evoenergy’s plans to conduct a citizens’ jury as part of their GN21 consumer engagement</w:t>
      </w:r>
      <w:r w:rsidR="001D58ED">
        <w:t xml:space="preserve">. </w:t>
      </w:r>
      <w:r w:rsidR="00B73F04">
        <w:t>Issues raised included</w:t>
      </w:r>
      <w:r w:rsidR="00276A13">
        <w:t>:</w:t>
      </w:r>
    </w:p>
    <w:p w14:paraId="55930CBE" w14:textId="77777777" w:rsidR="00276A13" w:rsidRDefault="00507E48" w:rsidP="00D33432">
      <w:pPr>
        <w:pStyle w:val="ListBullet"/>
      </w:pPr>
      <w:r>
        <w:t>Recruitment of jurors and incentives to participate</w:t>
      </w:r>
    </w:p>
    <w:p w14:paraId="055CB04A" w14:textId="77777777" w:rsidR="00507E48" w:rsidRDefault="00507E48" w:rsidP="00D33432">
      <w:pPr>
        <w:pStyle w:val="ListBullet"/>
      </w:pPr>
      <w:r>
        <w:t>Identification of participants’ housing tenure</w:t>
      </w:r>
    </w:p>
    <w:p w14:paraId="4FE3C380" w14:textId="77777777" w:rsidR="00507E48" w:rsidRDefault="00507E48" w:rsidP="00D33432">
      <w:pPr>
        <w:pStyle w:val="ListBullet"/>
      </w:pPr>
      <w:r>
        <w:t xml:space="preserve">Involvement of observers to </w:t>
      </w:r>
      <w:r w:rsidR="00D437CB">
        <w:t>build external confidence in the process</w:t>
      </w:r>
      <w:r w:rsidR="001D58ED">
        <w:t>.</w:t>
      </w:r>
    </w:p>
    <w:p w14:paraId="6FCFDD50" w14:textId="77777777" w:rsidR="00B73F04" w:rsidRDefault="00B73F04" w:rsidP="0022174A">
      <w:pPr>
        <w:pStyle w:val="BodyText"/>
      </w:pPr>
      <w:r>
        <w:lastRenderedPageBreak/>
        <w:t>In 2017, ACTCOSS and the C</w:t>
      </w:r>
      <w:r w:rsidR="003A5B77">
        <w:t>anberra Alliance for Participatory Democracy (C</w:t>
      </w:r>
      <w:r w:rsidR="0022174A">
        <w:t>APaD)</w:t>
      </w:r>
      <w:r w:rsidR="0068234B">
        <w:t xml:space="preserve"> developed a set of principles to ensure that the ACT Government’s </w:t>
      </w:r>
      <w:r w:rsidR="00164BD0">
        <w:t>trial of citizens’ juries was robust, respectful and informed.</w:t>
      </w:r>
    </w:p>
    <w:tbl>
      <w:tblPr>
        <w:tblW w:w="8688" w:type="dxa"/>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688"/>
      </w:tblGrid>
      <w:tr w:rsidR="00550B28" w:rsidRPr="00CA7855" w14:paraId="4C7FFD27" w14:textId="77777777" w:rsidTr="00640FB2">
        <w:tc>
          <w:tcPr>
            <w:tcW w:w="8688" w:type="dxa"/>
            <w:shd w:val="clear" w:color="auto" w:fill="auto"/>
            <w:tcMar>
              <w:left w:w="170" w:type="dxa"/>
              <w:right w:w="170" w:type="dxa"/>
            </w:tcMar>
          </w:tcPr>
          <w:p w14:paraId="146A41C6" w14:textId="321722C7" w:rsidR="00550B28" w:rsidRPr="00CA7855" w:rsidRDefault="00550B28" w:rsidP="00C67D98">
            <w:pPr>
              <w:pStyle w:val="Recommendationsheading"/>
            </w:pPr>
            <w:r>
              <w:t xml:space="preserve">ACTCOSS and CAPaD </w:t>
            </w:r>
            <w:r w:rsidR="00640FB2">
              <w:t>p</w:t>
            </w:r>
            <w:r>
              <w:t xml:space="preserve">rinciples </w:t>
            </w:r>
            <w:r w:rsidR="00646AD8">
              <w:t xml:space="preserve">for the </w:t>
            </w:r>
            <w:r w:rsidR="00640FB2">
              <w:t>t</w:t>
            </w:r>
            <w:r w:rsidR="00646AD8">
              <w:t xml:space="preserve">rial of </w:t>
            </w:r>
            <w:r w:rsidR="00640FB2">
              <w:t>c</w:t>
            </w:r>
            <w:r w:rsidR="00646AD8">
              <w:t xml:space="preserve">itizens’ </w:t>
            </w:r>
            <w:r w:rsidR="00640FB2">
              <w:t>j</w:t>
            </w:r>
            <w:r w:rsidR="00646AD8">
              <w:t>uries in the ACT</w:t>
            </w:r>
          </w:p>
          <w:p w14:paraId="4B69F836" w14:textId="77777777" w:rsidR="00646AD8" w:rsidRPr="00646AD8" w:rsidRDefault="00646AD8" w:rsidP="00640FB2">
            <w:pPr>
              <w:pStyle w:val="ListNumber"/>
              <w:spacing w:after="120"/>
            </w:pPr>
            <w:r w:rsidRPr="00646AD8">
              <w:rPr>
                <w:b/>
                <w:bCs/>
              </w:rPr>
              <w:t>The drivers, process, output/recommendations and response processes must be transparent and enable accountability.</w:t>
            </w:r>
            <w:r w:rsidRPr="00646AD8">
              <w:br/>
            </w:r>
            <w:r w:rsidRPr="00A11F48">
              <w:rPr>
                <w:i/>
                <w:iCs/>
              </w:rPr>
              <w:t>Indicator: Sponsors provide a public description of the purpose and process (including how the public will be kept informed and how recommendations will be considered and responded to), before the jury is convened so everyone knows what is proposed. </w:t>
            </w:r>
          </w:p>
          <w:p w14:paraId="3B63FAB2" w14:textId="77777777" w:rsidR="00646AD8" w:rsidRPr="00646AD8" w:rsidRDefault="00646AD8" w:rsidP="00640FB2">
            <w:pPr>
              <w:pStyle w:val="ListNumber"/>
              <w:spacing w:after="120"/>
            </w:pPr>
            <w:r w:rsidRPr="00646AD8">
              <w:rPr>
                <w:b/>
                <w:bCs/>
              </w:rPr>
              <w:t>Commitment is made to build broad community confidence in the process.</w:t>
            </w:r>
            <w:r w:rsidRPr="00646AD8">
              <w:br/>
            </w:r>
            <w:r w:rsidRPr="00A11F48">
              <w:rPr>
                <w:i/>
                <w:iCs/>
              </w:rPr>
              <w:t>Indicator: The public is regularly updated on progress and receives prompt responses to questions about the process.</w:t>
            </w:r>
          </w:p>
          <w:p w14:paraId="059558A8" w14:textId="77777777" w:rsidR="00646AD8" w:rsidRPr="00646AD8" w:rsidRDefault="00646AD8" w:rsidP="00640FB2">
            <w:pPr>
              <w:pStyle w:val="ListNumber"/>
              <w:spacing w:after="120"/>
            </w:pPr>
            <w:r w:rsidRPr="00646AD8">
              <w:rPr>
                <w:b/>
                <w:bCs/>
              </w:rPr>
              <w:t>Sponsors/decision makers have not already made up their minds – they are open to advice and consider it seriously.</w:t>
            </w:r>
            <w:r w:rsidRPr="00646AD8">
              <w:br/>
            </w:r>
            <w:r w:rsidRPr="00A11F48">
              <w:rPr>
                <w:i/>
                <w:iCs/>
              </w:rPr>
              <w:t xml:space="preserve">Indicator: There are no fixed positions on the outcome on the public record from sponsors and decision makers. The public is kept informed, the jury is given access to available points of contesting advice and government includes the advice in their considerations and responds publicly. </w:t>
            </w:r>
          </w:p>
          <w:p w14:paraId="4D76DE47" w14:textId="77777777" w:rsidR="00646AD8" w:rsidRPr="00646AD8" w:rsidRDefault="00646AD8" w:rsidP="00640FB2">
            <w:pPr>
              <w:pStyle w:val="ListNumber"/>
              <w:spacing w:after="120"/>
            </w:pPr>
            <w:r w:rsidRPr="00646AD8">
              <w:rPr>
                <w:b/>
                <w:bCs/>
              </w:rPr>
              <w:t>Sponsors and decision makers back the process and commit to responding.</w:t>
            </w:r>
            <w:r w:rsidRPr="00646AD8">
              <w:br/>
            </w:r>
            <w:r w:rsidRPr="00A11F48">
              <w:rPr>
                <w:i/>
                <w:iCs/>
              </w:rPr>
              <w:t>Indicator: Sponsors provide a public description of the purpose and process (including how the public will be kept informed and how recommendations will be considered and responded to), before the jury is convened so everyone knows what is proposed.</w:t>
            </w:r>
          </w:p>
          <w:p w14:paraId="643A1AF0" w14:textId="77777777" w:rsidR="00646AD8" w:rsidRPr="00646AD8" w:rsidRDefault="00646AD8" w:rsidP="00640FB2">
            <w:pPr>
              <w:pStyle w:val="ListNumber"/>
              <w:spacing w:after="120"/>
            </w:pPr>
            <w:r w:rsidRPr="00A11F48">
              <w:rPr>
                <w:b/>
                <w:bCs/>
              </w:rPr>
              <w:t>Recruitment and facilitation are conducted by neutral actors with a transparent process.</w:t>
            </w:r>
            <w:r w:rsidRPr="00646AD8">
              <w:br/>
            </w:r>
            <w:r w:rsidRPr="00646AD8">
              <w:rPr>
                <w:i/>
                <w:iCs/>
              </w:rPr>
              <w:t>Indicator: Community feedback trusts the process.</w:t>
            </w:r>
          </w:p>
          <w:p w14:paraId="24285E87" w14:textId="77777777" w:rsidR="00646AD8" w:rsidRPr="00646AD8" w:rsidRDefault="00646AD8" w:rsidP="00640FB2">
            <w:pPr>
              <w:pStyle w:val="ListNumber"/>
              <w:spacing w:after="120"/>
            </w:pPr>
            <w:r w:rsidRPr="00646AD8">
              <w:rPr>
                <w:b/>
                <w:bCs/>
              </w:rPr>
              <w:t>A fair spread of evidence/information is provided and drawn upon, and sufficient time is allowed for deliberation.</w:t>
            </w:r>
            <w:r w:rsidRPr="00646AD8">
              <w:br/>
            </w:r>
            <w:r w:rsidRPr="00A11F48">
              <w:rPr>
                <w:i/>
                <w:iCs/>
              </w:rPr>
              <w:t xml:space="preserve">Indicator: Juror and community feedback confirms that a fair spread of information was provided, and sufficient time was allowed. </w:t>
            </w:r>
          </w:p>
          <w:p w14:paraId="3BBF25C1" w14:textId="77777777" w:rsidR="00646AD8" w:rsidRPr="00646AD8" w:rsidRDefault="00646AD8" w:rsidP="00640FB2">
            <w:pPr>
              <w:pStyle w:val="ListNumber"/>
              <w:spacing w:after="120"/>
            </w:pPr>
            <w:r w:rsidRPr="00646AD8">
              <w:rPr>
                <w:b/>
                <w:bCs/>
              </w:rPr>
              <w:t xml:space="preserve">It is clear how the deep deliberative process relates to broader engagement. </w:t>
            </w:r>
            <w:r w:rsidRPr="00646AD8">
              <w:br/>
            </w:r>
            <w:r w:rsidRPr="00640FB2">
              <w:rPr>
                <w:i/>
                <w:iCs/>
              </w:rPr>
              <w:t>Indicator: Sponsors provide a public description of the purpose and process (including how the public will be kept informed and how recommendations will be considered and responded to), before the jury is convened so everyone knows what is proposed.</w:t>
            </w:r>
          </w:p>
          <w:p w14:paraId="2F18263F" w14:textId="77777777" w:rsidR="00550B28" w:rsidRPr="00CA7855" w:rsidRDefault="00646AD8" w:rsidP="00640FB2">
            <w:pPr>
              <w:pStyle w:val="ListNumber"/>
            </w:pPr>
            <w:r w:rsidRPr="00646AD8">
              <w:rPr>
                <w:b/>
                <w:bCs/>
              </w:rPr>
              <w:t>Evaluation, learning and feedback is demonstrated to the community to be used to continuously improve the process.</w:t>
            </w:r>
            <w:r w:rsidRPr="00646AD8">
              <w:br/>
            </w:r>
            <w:r w:rsidRPr="00640FB2">
              <w:rPr>
                <w:i/>
                <w:iCs/>
              </w:rPr>
              <w:t>Indicator: A public and transparent evaluation process is used to gather and share information about the success and failures of the trial.</w:t>
            </w:r>
          </w:p>
        </w:tc>
      </w:tr>
    </w:tbl>
    <w:p w14:paraId="4399BC9D" w14:textId="56385020" w:rsidR="00550B28" w:rsidRDefault="00CE59EF" w:rsidP="0022174A">
      <w:pPr>
        <w:pStyle w:val="BodyText"/>
      </w:pPr>
      <w:r>
        <w:lastRenderedPageBreak/>
        <w:t>During the World Café discussion, participant</w:t>
      </w:r>
      <w:r w:rsidR="004F5BD5">
        <w:t>s</w:t>
      </w:r>
      <w:r>
        <w:t xml:space="preserve"> raised a number of questions about the citizens’ jury with the Evoenergy representatives. </w:t>
      </w: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D6533A" w:rsidRPr="00CA7855" w14:paraId="6DE8354A" w14:textId="77777777" w:rsidTr="00E54865">
        <w:trPr>
          <w:cantSplit/>
        </w:trPr>
        <w:tc>
          <w:tcPr>
            <w:tcW w:w="8494" w:type="dxa"/>
            <w:shd w:val="clear" w:color="auto" w:fill="auto"/>
            <w:tcMar>
              <w:left w:w="170" w:type="dxa"/>
              <w:right w:w="170" w:type="dxa"/>
            </w:tcMar>
          </w:tcPr>
          <w:p w14:paraId="7BE5BCC1" w14:textId="7D5542A0" w:rsidR="00D6533A" w:rsidRPr="00CA7855" w:rsidRDefault="00E11134" w:rsidP="00C67D98">
            <w:pPr>
              <w:pStyle w:val="Recommendationsheading"/>
            </w:pPr>
            <w:r>
              <w:t xml:space="preserve">World Café </w:t>
            </w:r>
            <w:r w:rsidR="00640FB2">
              <w:t>d</w:t>
            </w:r>
            <w:r w:rsidR="00DC0E97">
              <w:t xml:space="preserve">iscussion: </w:t>
            </w:r>
            <w:r w:rsidR="00640FB2">
              <w:t>c</w:t>
            </w:r>
            <w:r w:rsidR="00DC0E97">
              <w:t xml:space="preserve">itizens’ </w:t>
            </w:r>
            <w:r w:rsidR="00640FB2">
              <w:t>j</w:t>
            </w:r>
            <w:r w:rsidR="00DC0E97">
              <w:t>ury</w:t>
            </w:r>
          </w:p>
          <w:p w14:paraId="378743A1" w14:textId="77777777" w:rsidR="00E11134" w:rsidRDefault="00E11134" w:rsidP="00E11134">
            <w:pPr>
              <w:pStyle w:val="BodyText"/>
            </w:pPr>
            <w:r>
              <w:t>Q. In terms of the Citizens’ Jury - how are we recruiting or incentivizing people to participate?</w:t>
            </w:r>
          </w:p>
          <w:p w14:paraId="5B3A59B8" w14:textId="73ADA742" w:rsidR="00E11134" w:rsidRDefault="00E11134" w:rsidP="00E11134">
            <w:pPr>
              <w:pStyle w:val="BodyText"/>
            </w:pPr>
            <w:r>
              <w:t>A. 10,000 invitations have been sent to randomly selected consumers from lists taken from NSW (approx 10%) and ACT (gas) and ACT electricity (no gas). They have been invited to express interest in participating in the Citizens’ Jury (EOI closes September 25th) and those who express interest will go into another pool where we will stratify the sample and reflect our diverse population.</w:t>
            </w:r>
          </w:p>
          <w:p w14:paraId="6890C6B3" w14:textId="77777777" w:rsidR="00E11134" w:rsidRDefault="00E11134" w:rsidP="00E11134">
            <w:pPr>
              <w:pStyle w:val="BodyText"/>
            </w:pPr>
            <w:r>
              <w:t>Q. Will the recruitment for the Citizens’ Jury ask about the tenure in the ACT/NSW – is Evoenergy seeking this as well as age, sex, income? Who will you get to hear from?</w:t>
            </w:r>
          </w:p>
          <w:p w14:paraId="1523BF96" w14:textId="77777777" w:rsidR="00E11134" w:rsidRDefault="00E11134" w:rsidP="00E11134">
            <w:pPr>
              <w:pStyle w:val="BodyText"/>
            </w:pPr>
            <w:r>
              <w:t>A. We have a few ways of addressing this to make sure the Citizens’ Jury hears from a range of perspectives. There will be a witness list from which the jury members can request to hear their input. We will also ask our Evoenergy Energy Consumer Reference Council (ECRC) to submit input to the Citizens’ Jury on behalf of their organisation so these perspectives and experiences are captured too.</w:t>
            </w:r>
          </w:p>
          <w:p w14:paraId="177988F4" w14:textId="77777777" w:rsidR="00E11134" w:rsidRDefault="00E11134" w:rsidP="00E11134">
            <w:pPr>
              <w:pStyle w:val="BodyText"/>
            </w:pPr>
            <w:r>
              <w:t>Q. Will there be observers at the Citizens’ Jury? It would add faith to the process if people can see what’s going on and know it’s fair, giving people a feel for the conversations and building external confidence in the process.</w:t>
            </w:r>
          </w:p>
          <w:p w14:paraId="2C87B99B" w14:textId="77777777" w:rsidR="00D6533A" w:rsidRPr="00CA7855" w:rsidRDefault="00E11134" w:rsidP="00E11134">
            <w:pPr>
              <w:pStyle w:val="BodyText"/>
            </w:pPr>
            <w:r>
              <w:t>A. Yes we’re not sure where we’re landing on this but I will take that feedback away and consider. We know people will have the chance to look at some of what’s going on via our website. Our governance framework considers technical and engagement elements to check our process.</w:t>
            </w:r>
          </w:p>
        </w:tc>
      </w:tr>
    </w:tbl>
    <w:p w14:paraId="00514AC1" w14:textId="77777777" w:rsidR="00E924F3" w:rsidRDefault="002E56F7" w:rsidP="002E56F7">
      <w:pPr>
        <w:pStyle w:val="Heading1"/>
      </w:pPr>
      <w:bookmarkStart w:id="24" w:name="_Toc25308967"/>
      <w:r>
        <w:t>Conclusion</w:t>
      </w:r>
      <w:bookmarkEnd w:id="24"/>
    </w:p>
    <w:p w14:paraId="49AD6CC2" w14:textId="77777777" w:rsidR="00777458" w:rsidRDefault="00777458" w:rsidP="00606518">
      <w:pPr>
        <w:pStyle w:val="BodyText"/>
      </w:pPr>
      <w:r>
        <w:t>The GN21 Energy Consumer Advocacy Workshop was well received by participants</w:t>
      </w:r>
      <w:r w:rsidR="008D2516">
        <w:t xml:space="preserve"> and it highlighted the importance of </w:t>
      </w:r>
      <w:r w:rsidR="0089518E">
        <w:t xml:space="preserve">early, </w:t>
      </w:r>
      <w:r w:rsidR="008D2516">
        <w:t>direct, face-to-face engagement based on dialogue</w:t>
      </w:r>
      <w:r w:rsidR="00F4671D">
        <w:t xml:space="preserve"> with consumers and their representatives</w:t>
      </w:r>
      <w:r w:rsidR="008D2516">
        <w:t xml:space="preserve"> rather than</w:t>
      </w:r>
      <w:r w:rsidR="00CA29D0">
        <w:t xml:space="preserve"> one-way</w:t>
      </w:r>
      <w:r w:rsidR="0089518E">
        <w:t>, one-off</w:t>
      </w:r>
      <w:r w:rsidR="00CA29D0">
        <w:t xml:space="preserve"> communication. As one workshop participant said</w:t>
      </w:r>
      <w:r w:rsidR="00F4671D">
        <w:t xml:space="preserve"> during the World Café discussions</w:t>
      </w:r>
      <w:r w:rsidR="00CA29D0">
        <w:t>:</w:t>
      </w:r>
    </w:p>
    <w:p w14:paraId="1D32337C" w14:textId="77777777" w:rsidR="00CA29D0" w:rsidRDefault="00CA29D0" w:rsidP="00CA29D0">
      <w:pPr>
        <w:pStyle w:val="BlockText"/>
      </w:pPr>
      <w:r w:rsidRPr="00CA29D0">
        <w:t>I wasn’t sure why I was coming today at first and found the Evoenergy</w:t>
      </w:r>
      <w:r>
        <w:t xml:space="preserve"> consultation </w:t>
      </w:r>
      <w:r w:rsidRPr="00CA29D0">
        <w:t xml:space="preserve">paper really hard going. We’re people-people which is why we can tell you what they’re thinking and what they need. </w:t>
      </w:r>
      <w:r w:rsidR="003366E6">
        <w:t>So</w:t>
      </w:r>
      <w:r w:rsidRPr="00CA29D0">
        <w:t xml:space="preserve"> I’m glad I came along and enjoyed the talking!</w:t>
      </w:r>
    </w:p>
    <w:p w14:paraId="29EDD837" w14:textId="77777777" w:rsidR="003366E6" w:rsidRDefault="00BA581D" w:rsidP="003366E6">
      <w:pPr>
        <w:pStyle w:val="BodyText"/>
      </w:pPr>
      <w:r>
        <w:lastRenderedPageBreak/>
        <w:t xml:space="preserve">The workshop also highlighted the importance of </w:t>
      </w:r>
      <w:r w:rsidR="002D346A">
        <w:t xml:space="preserve">providing consumers and their representatives with </w:t>
      </w:r>
      <w:r w:rsidR="00AC0581">
        <w:t>access to</w:t>
      </w:r>
      <w:r w:rsidR="0042228C">
        <w:t xml:space="preserve"> Evoenergy representatives as well as</w:t>
      </w:r>
      <w:r w:rsidR="00AC0581">
        <w:t xml:space="preserve"> </w:t>
      </w:r>
      <w:r w:rsidR="00EE60B9">
        <w:t xml:space="preserve">independent </w:t>
      </w:r>
      <w:r w:rsidR="00AC0581">
        <w:t>expert energy consumer advocates</w:t>
      </w:r>
      <w:r w:rsidR="006B185A">
        <w:t>.</w:t>
      </w:r>
      <w:r w:rsidR="007A2349">
        <w:t xml:space="preserve"> </w:t>
      </w:r>
    </w:p>
    <w:p w14:paraId="248C8A5A" w14:textId="77777777" w:rsidR="00606518" w:rsidRDefault="005B66A9" w:rsidP="00606518">
      <w:pPr>
        <w:pStyle w:val="BodyText"/>
      </w:pPr>
      <w:r>
        <w:t>A</w:t>
      </w:r>
      <w:r w:rsidR="00A72491">
        <w:t xml:space="preserve">n important </w:t>
      </w:r>
      <w:r>
        <w:t xml:space="preserve">message from the </w:t>
      </w:r>
      <w:r w:rsidR="00DF27BC">
        <w:t>Energy Consumer Expert Panel</w:t>
      </w:r>
      <w:r>
        <w:t xml:space="preserve"> was that </w:t>
      </w:r>
      <w:r w:rsidR="002B0392">
        <w:t xml:space="preserve">there </w:t>
      </w:r>
      <w:r w:rsidR="00AB20B7">
        <w:t>is an opportunity for consumer</w:t>
      </w:r>
      <w:r w:rsidR="002B0392">
        <w:t xml:space="preserve">s and their </w:t>
      </w:r>
      <w:r w:rsidR="00AB20B7">
        <w:t>advocates to inf</w:t>
      </w:r>
      <w:r w:rsidR="00D76D33">
        <w:t>luence</w:t>
      </w:r>
      <w:r w:rsidR="00DF27BC">
        <w:t xml:space="preserve"> th</w:t>
      </w:r>
      <w:r w:rsidR="00CC0C3F">
        <w:t xml:space="preserve">e following </w:t>
      </w:r>
      <w:r w:rsidR="002B0392">
        <w:t>e</w:t>
      </w:r>
      <w:r w:rsidR="00CC0C3F">
        <w:t xml:space="preserve">lements of </w:t>
      </w:r>
      <w:r w:rsidR="00A72491">
        <w:t>Evoenergy’s GN21</w:t>
      </w:r>
      <w:r w:rsidR="00AB20B7">
        <w:t xml:space="preserve"> proposal</w:t>
      </w:r>
      <w:r w:rsidR="00D76D33">
        <w:t>:</w:t>
      </w:r>
    </w:p>
    <w:p w14:paraId="3EA46667" w14:textId="77777777" w:rsidR="00975C12" w:rsidRDefault="00975C12" w:rsidP="00975C12">
      <w:pPr>
        <w:pStyle w:val="ListBullet"/>
      </w:pPr>
      <w:r>
        <w:t>Network pricing/tariffs</w:t>
      </w:r>
    </w:p>
    <w:p w14:paraId="43F950BD" w14:textId="77777777" w:rsidR="00D76D33" w:rsidRDefault="00D76D33" w:rsidP="00975C12">
      <w:pPr>
        <w:pStyle w:val="ListBullet"/>
      </w:pPr>
      <w:r>
        <w:t>Operating expenditure</w:t>
      </w:r>
    </w:p>
    <w:p w14:paraId="4E9B3BE6" w14:textId="77777777" w:rsidR="00D76D33" w:rsidRDefault="00D76D33" w:rsidP="00975C12">
      <w:pPr>
        <w:pStyle w:val="ListBullet"/>
      </w:pPr>
      <w:r>
        <w:t>Capital expenditure</w:t>
      </w:r>
    </w:p>
    <w:p w14:paraId="3455CD35" w14:textId="77777777" w:rsidR="00D76D33" w:rsidRDefault="00D76D33" w:rsidP="00975C12">
      <w:pPr>
        <w:pStyle w:val="ListBullet"/>
      </w:pPr>
      <w:r>
        <w:t>Incentive arrangements</w:t>
      </w:r>
    </w:p>
    <w:p w14:paraId="5AAE3E3F" w14:textId="77777777" w:rsidR="00D76D33" w:rsidRDefault="00D76D33" w:rsidP="00975C12">
      <w:pPr>
        <w:pStyle w:val="ListBullet"/>
      </w:pPr>
      <w:r>
        <w:t>Dem</w:t>
      </w:r>
      <w:r w:rsidR="00975C12">
        <w:t>and forecasts</w:t>
      </w:r>
    </w:p>
    <w:p w14:paraId="6996E87A" w14:textId="77777777" w:rsidR="00975C12" w:rsidRDefault="00975C12" w:rsidP="00975C12">
      <w:pPr>
        <w:pStyle w:val="ListBullet"/>
      </w:pPr>
      <w:r>
        <w:t>Stakeholder engagement.</w:t>
      </w:r>
    </w:p>
    <w:p w14:paraId="7F4EE040" w14:textId="7E61C137" w:rsidR="007403DA" w:rsidRDefault="000769C8" w:rsidP="007069F2">
      <w:pPr>
        <w:pStyle w:val="BodyText"/>
      </w:pPr>
      <w:r>
        <w:t>As documented in this report, the workshop</w:t>
      </w:r>
      <w:r w:rsidR="0042228C">
        <w:t xml:space="preserve"> participants have</w:t>
      </w:r>
      <w:r>
        <w:t xml:space="preserve"> provided </w:t>
      </w:r>
      <w:r w:rsidR="0042228C">
        <w:t>valuable</w:t>
      </w:r>
      <w:r>
        <w:t xml:space="preserve"> initial </w:t>
      </w:r>
      <w:r w:rsidR="003E492B">
        <w:t xml:space="preserve">guidance for Evoenergy on the information and </w:t>
      </w:r>
      <w:r w:rsidR="001A4E85">
        <w:t>engagement</w:t>
      </w:r>
      <w:r w:rsidR="003E492B">
        <w:t xml:space="preserve"> needs of </w:t>
      </w:r>
      <w:r w:rsidR="00AF21C9">
        <w:t xml:space="preserve">vulnerable </w:t>
      </w:r>
      <w:r w:rsidR="0031651D">
        <w:t xml:space="preserve">energy </w:t>
      </w:r>
      <w:r w:rsidR="003E492B">
        <w:t>consumers and their representatives</w:t>
      </w:r>
      <w:r w:rsidR="001A4E85">
        <w:t xml:space="preserve"> </w:t>
      </w:r>
      <w:r w:rsidR="00A72491">
        <w:t>to</w:t>
      </w:r>
      <w:r w:rsidR="001A4E85">
        <w:t xml:space="preserve"> enable them to actively contribute to the GN21 process.</w:t>
      </w:r>
      <w:r w:rsidR="00A72491">
        <w:t xml:space="preserve"> </w:t>
      </w:r>
    </w:p>
    <w:p w14:paraId="0FFDEF83" w14:textId="5599198A" w:rsidR="00084ADF" w:rsidRDefault="00DC0AA9" w:rsidP="007069F2">
      <w:pPr>
        <w:pStyle w:val="Heading1-Pagebreakbefore"/>
        <w:rPr>
          <w:rFonts w:eastAsia="MS Gothic"/>
          <w:lang w:val="en-US" w:eastAsia="en-US"/>
        </w:rPr>
      </w:pPr>
      <w:bookmarkStart w:id="25" w:name="_Toc25308968"/>
      <w:r>
        <w:rPr>
          <w:rFonts w:eastAsia="MS Gothic"/>
          <w:lang w:val="en-US" w:eastAsia="en-US"/>
        </w:rPr>
        <w:lastRenderedPageBreak/>
        <w:t xml:space="preserve">Attachment A: Workshop </w:t>
      </w:r>
      <w:r w:rsidR="003B5E1C">
        <w:rPr>
          <w:rFonts w:eastAsia="MS Gothic"/>
          <w:lang w:val="en-US" w:eastAsia="en-US"/>
        </w:rPr>
        <w:t>a</w:t>
      </w:r>
      <w:r>
        <w:rPr>
          <w:rFonts w:eastAsia="MS Gothic"/>
          <w:lang w:val="en-US" w:eastAsia="en-US"/>
        </w:rPr>
        <w:t>genda</w:t>
      </w:r>
      <w:bookmarkEnd w:id="25"/>
    </w:p>
    <w:p w14:paraId="1BDA3C99" w14:textId="77777777" w:rsidR="00084ADF" w:rsidRPr="00B91AAE" w:rsidRDefault="00C76176" w:rsidP="00391F37">
      <w:pPr>
        <w:pStyle w:val="BodyText"/>
        <w:rPr>
          <w:rFonts w:eastAsia="MS Gothic"/>
          <w:b/>
          <w:bCs/>
          <w:lang w:val="en-US" w:eastAsia="en-US"/>
        </w:rPr>
      </w:pPr>
      <w:r w:rsidRPr="00B91AAE">
        <w:rPr>
          <w:rFonts w:eastAsia="MS Gothic"/>
          <w:b/>
          <w:bCs/>
          <w:lang w:val="en-US" w:eastAsia="en-US"/>
        </w:rPr>
        <w:t>ENERGY CONSUMER ADVOCACY WORKSHOP: EVOENERGY GAS NETWORK 2021-2026 ACCESS ARRANGEMENT REVIEW (GN21)</w:t>
      </w:r>
    </w:p>
    <w:p w14:paraId="1E53826A" w14:textId="77777777" w:rsidR="00084ADF" w:rsidRPr="00391F37" w:rsidRDefault="00084ADF" w:rsidP="00391F37">
      <w:pPr>
        <w:pStyle w:val="BodyText"/>
      </w:pPr>
      <w:r w:rsidRPr="00391F37">
        <w:t>Tuesday 27th August 2019</w:t>
      </w:r>
    </w:p>
    <w:p w14:paraId="04BEE544" w14:textId="77777777" w:rsidR="00084ADF" w:rsidRPr="00391F37" w:rsidRDefault="00084ADF" w:rsidP="00391F37">
      <w:pPr>
        <w:pStyle w:val="BodyText"/>
      </w:pPr>
      <w:r w:rsidRPr="00391F37">
        <w:t>12:45pm for 1:00pm-4:00pm</w:t>
      </w:r>
    </w:p>
    <w:p w14:paraId="2A6E237E" w14:textId="77777777" w:rsidR="00084ADF" w:rsidRPr="00391F37" w:rsidRDefault="00532297" w:rsidP="00391F37">
      <w:pPr>
        <w:pStyle w:val="BodyText"/>
      </w:pPr>
      <w:r>
        <w:t>Venue</w:t>
      </w:r>
      <w:r w:rsidR="00084ADF" w:rsidRPr="00391F37">
        <w:t>: ACTCOSS Meeting Room, Weston Community Hub</w:t>
      </w:r>
    </w:p>
    <w:p w14:paraId="5E545EAE" w14:textId="77777777" w:rsidR="00084ADF" w:rsidRPr="00391F37" w:rsidRDefault="00084ADF" w:rsidP="00391F37">
      <w:pPr>
        <w:pStyle w:val="BodyText"/>
      </w:pPr>
      <w:r w:rsidRPr="00391F37">
        <w:t>1/6 Gritten St, Weston ACT 2611</w:t>
      </w:r>
    </w:p>
    <w:p w14:paraId="65C1251B" w14:textId="77777777" w:rsidR="00084ADF" w:rsidRPr="00532297" w:rsidRDefault="00532297" w:rsidP="00532297">
      <w:pPr>
        <w:pStyle w:val="BodyText"/>
        <w:rPr>
          <w:rFonts w:eastAsia="MS Gothic"/>
          <w:b/>
          <w:bCs/>
          <w:lang w:val="en-US" w:eastAsia="en-US"/>
        </w:rPr>
      </w:pPr>
      <w:r w:rsidRPr="00532297">
        <w:rPr>
          <w:rFonts w:eastAsia="MS Gothic"/>
          <w:b/>
          <w:bCs/>
          <w:lang w:val="en-US" w:eastAsia="en-US"/>
        </w:rPr>
        <w:t xml:space="preserve">ISSUE </w:t>
      </w:r>
    </w:p>
    <w:p w14:paraId="3DB96C3A" w14:textId="77777777" w:rsidR="00084ADF" w:rsidRPr="00084ADF" w:rsidRDefault="00084ADF" w:rsidP="00532297">
      <w:pPr>
        <w:pStyle w:val="BodyText"/>
        <w:rPr>
          <w:rFonts w:eastAsia="MS Gothic"/>
          <w:caps/>
          <w:lang w:val="en-US" w:eastAsia="en-US"/>
        </w:rPr>
      </w:pPr>
      <w:r w:rsidRPr="00084ADF">
        <w:rPr>
          <w:rFonts w:eastAsia="MS Gothic"/>
          <w:lang w:val="en-US" w:eastAsia="en-US"/>
        </w:rPr>
        <w:t>How do we ensure that the needs of energy (gas) consumers who are on low incomes, experiencing disadvantage, or at risk of hardship are addressed in the Evoenergy Gas Network 2021-2026 Access Arrangement review (GN21) for the ACT and Queanbeyan-Palerang region?</w:t>
      </w:r>
    </w:p>
    <w:p w14:paraId="0D79CABC" w14:textId="77777777" w:rsidR="00084ADF" w:rsidRPr="00532297" w:rsidRDefault="00532297" w:rsidP="00532297">
      <w:pPr>
        <w:pStyle w:val="BodyText"/>
        <w:rPr>
          <w:rFonts w:eastAsia="MS Gothic"/>
          <w:b/>
          <w:bCs/>
          <w:lang w:val="en-US" w:eastAsia="en-US"/>
        </w:rPr>
      </w:pPr>
      <w:r w:rsidRPr="00532297">
        <w:rPr>
          <w:rFonts w:eastAsia="MS Gothic"/>
          <w:b/>
          <w:bCs/>
          <w:lang w:val="en-US" w:eastAsia="en-US"/>
        </w:rPr>
        <w:t xml:space="preserve">OBJECTIVES OF THIS WORKSHOP </w:t>
      </w:r>
    </w:p>
    <w:p w14:paraId="146343B9" w14:textId="77777777" w:rsidR="00084ADF" w:rsidRPr="00084ADF" w:rsidRDefault="00084ADF" w:rsidP="00532297">
      <w:pPr>
        <w:pStyle w:val="ListBullet"/>
        <w:rPr>
          <w:rFonts w:eastAsia="MS Gothic"/>
          <w:caps/>
          <w:lang w:val="en-US" w:eastAsia="en-US"/>
        </w:rPr>
      </w:pPr>
      <w:r w:rsidRPr="00084ADF">
        <w:rPr>
          <w:rFonts w:eastAsia="MS Gothic"/>
          <w:lang w:val="en-US" w:eastAsia="en-US"/>
        </w:rPr>
        <w:t>Identify key issues that consumers and their representatives need to understand in order to actively contribute to the GN21 process</w:t>
      </w:r>
    </w:p>
    <w:p w14:paraId="3F29D73D" w14:textId="77777777" w:rsidR="00084ADF" w:rsidRPr="00084ADF" w:rsidRDefault="00084ADF" w:rsidP="00532297">
      <w:pPr>
        <w:pStyle w:val="ListBullet"/>
        <w:rPr>
          <w:rFonts w:eastAsia="MS Gothic"/>
          <w:caps/>
          <w:lang w:val="en-US" w:eastAsia="en-US"/>
        </w:rPr>
      </w:pPr>
      <w:r w:rsidRPr="00084ADF">
        <w:rPr>
          <w:rFonts w:eastAsia="MS Gothic"/>
          <w:lang w:val="en-US" w:eastAsia="en-US"/>
        </w:rPr>
        <w:t>Clarify what further information and/or opportunities will be needed for consumers and their representatives to actively contribute to the GN21 process</w:t>
      </w:r>
    </w:p>
    <w:p w14:paraId="4333207E" w14:textId="77777777" w:rsidR="00084ADF" w:rsidRPr="00084ADF" w:rsidRDefault="00084ADF" w:rsidP="00532297">
      <w:pPr>
        <w:pStyle w:val="ListBullet"/>
        <w:rPr>
          <w:rFonts w:eastAsia="MS Gothic"/>
          <w:caps/>
          <w:lang w:val="en-US" w:eastAsia="en-US"/>
        </w:rPr>
      </w:pPr>
      <w:r w:rsidRPr="00084ADF">
        <w:rPr>
          <w:rFonts w:eastAsia="MS Gothic"/>
          <w:lang w:val="en-US" w:eastAsia="en-US"/>
        </w:rPr>
        <w:t>Develop local consumer advocacy capacity to engage in the GN21 process.</w:t>
      </w:r>
    </w:p>
    <w:p w14:paraId="1B7259BE" w14:textId="77777777" w:rsidR="00084ADF" w:rsidRPr="00532297" w:rsidRDefault="00532297" w:rsidP="00532297">
      <w:pPr>
        <w:pStyle w:val="BodyText"/>
        <w:rPr>
          <w:rFonts w:eastAsia="MS Gothic"/>
          <w:b/>
          <w:bCs/>
          <w:lang w:val="en-US" w:eastAsia="en-US"/>
        </w:rPr>
      </w:pPr>
      <w:r w:rsidRPr="00532297">
        <w:rPr>
          <w:rFonts w:eastAsia="MS Gothic"/>
          <w:b/>
          <w:bCs/>
          <w:lang w:val="en-US" w:eastAsia="en-US"/>
        </w:rPr>
        <w:t>WORKSHOP OUTLINE</w:t>
      </w:r>
    </w:p>
    <w:p w14:paraId="0CE98AF2" w14:textId="77777777" w:rsidR="00084ADF" w:rsidRPr="00B91AAE" w:rsidRDefault="00084ADF" w:rsidP="00B91AAE">
      <w:pPr>
        <w:pStyle w:val="BodyText"/>
      </w:pPr>
      <w:r w:rsidRPr="00B91AAE">
        <w:t>12.45pm Participants to arrive</w:t>
      </w:r>
    </w:p>
    <w:p w14:paraId="76840CE0" w14:textId="77777777" w:rsidR="00084ADF" w:rsidRPr="00B91AAE" w:rsidRDefault="00084ADF" w:rsidP="00B91AAE">
      <w:pPr>
        <w:pStyle w:val="BodyText"/>
      </w:pPr>
      <w:r w:rsidRPr="00B91AAE">
        <w:t>1.00pm Welcome, Acknowledgement, and Introduction: Susan Helyar, ACT Council of Social Service (15 min)</w:t>
      </w:r>
    </w:p>
    <w:p w14:paraId="42EED899" w14:textId="77777777" w:rsidR="00084ADF" w:rsidRPr="00B91AAE" w:rsidRDefault="00084ADF" w:rsidP="00B91AAE">
      <w:pPr>
        <w:pStyle w:val="BodyText"/>
      </w:pPr>
      <w:r w:rsidRPr="00B91AAE">
        <w:t xml:space="preserve">1.15pm Presentations (60 min), followed by Q&amp;A (15 min) </w:t>
      </w:r>
    </w:p>
    <w:p w14:paraId="5FF83CB9" w14:textId="77777777" w:rsidR="00084ADF" w:rsidRPr="00B91AAE" w:rsidRDefault="00084ADF" w:rsidP="00B91AAE">
      <w:pPr>
        <w:pStyle w:val="ListBullet"/>
      </w:pPr>
      <w:r w:rsidRPr="00B91AAE">
        <w:t>Evoenergy Gas Network 2021-2026 Access Arrangement (GN21): purpose, process, and consumer engagement: Chris Bell, Evoenergy (15 min)</w:t>
      </w:r>
    </w:p>
    <w:p w14:paraId="513E6890" w14:textId="77777777" w:rsidR="00084ADF" w:rsidRPr="00B91AAE" w:rsidRDefault="00084ADF" w:rsidP="00B91AAE">
      <w:pPr>
        <w:pStyle w:val="ListBullet"/>
      </w:pPr>
      <w:r w:rsidRPr="00B91AAE">
        <w:t>What are the factors that most impact gas customers - Networks and Bills: Gavin Dufty, St Vincent de Paul (15 min)</w:t>
      </w:r>
    </w:p>
    <w:p w14:paraId="623E309B" w14:textId="77777777" w:rsidR="00084ADF" w:rsidRPr="00B91AAE" w:rsidRDefault="00084ADF" w:rsidP="00B91AAE">
      <w:pPr>
        <w:pStyle w:val="ListBullet"/>
      </w:pPr>
      <w:r w:rsidRPr="00B91AAE">
        <w:t>The Australian Energy Regulator Consumer Challenge Panel – role and recommendations: Robyn Robinson and Mark Henley, AER Consumer Challenge Panel (15 min)</w:t>
      </w:r>
    </w:p>
    <w:p w14:paraId="06DB916A" w14:textId="77777777" w:rsidR="00084ADF" w:rsidRPr="00B91AAE" w:rsidRDefault="00084ADF" w:rsidP="00B91AAE">
      <w:pPr>
        <w:pStyle w:val="ListBullet"/>
      </w:pPr>
      <w:r w:rsidRPr="00B91AAE">
        <w:t>Consumer engagement in network planning processes elsewhere – insights and recommendations: Shelley Ashe, Energy Consumers Australia and Miyuru Ediriweera, Public Interest Advocacy Centre (15 min)</w:t>
      </w:r>
    </w:p>
    <w:p w14:paraId="30664096" w14:textId="77777777" w:rsidR="00084ADF" w:rsidRPr="00B91AAE" w:rsidRDefault="00084ADF" w:rsidP="00B91AAE">
      <w:pPr>
        <w:pStyle w:val="ListBullet"/>
      </w:pPr>
      <w:r w:rsidRPr="00B91AAE">
        <w:t>Q&amp;A (15 min)</w:t>
      </w:r>
    </w:p>
    <w:p w14:paraId="5DC8935B" w14:textId="77777777" w:rsidR="00084ADF" w:rsidRPr="00084ADF" w:rsidRDefault="00084ADF" w:rsidP="00B91AAE">
      <w:pPr>
        <w:pStyle w:val="BodyText"/>
        <w:rPr>
          <w:rFonts w:eastAsia="MS Mincho"/>
          <w:lang w:eastAsia="ja-JP"/>
        </w:rPr>
      </w:pPr>
      <w:r w:rsidRPr="00084ADF">
        <w:rPr>
          <w:rFonts w:eastAsia="MS Mincho"/>
          <w:lang w:eastAsia="ja-JP"/>
        </w:rPr>
        <w:lastRenderedPageBreak/>
        <w:t>2.30pm Afternoon Tea (15 min)</w:t>
      </w:r>
    </w:p>
    <w:p w14:paraId="72C9F43B" w14:textId="77777777" w:rsidR="00084ADF" w:rsidRPr="00084ADF" w:rsidRDefault="00084ADF" w:rsidP="00B91AAE">
      <w:pPr>
        <w:pStyle w:val="BodyText"/>
        <w:rPr>
          <w:rFonts w:eastAsia="MS Mincho"/>
          <w:lang w:eastAsia="ja-JP"/>
        </w:rPr>
      </w:pPr>
      <w:r w:rsidRPr="00084ADF">
        <w:rPr>
          <w:rFonts w:eastAsia="MS Mincho"/>
          <w:lang w:eastAsia="ja-JP"/>
        </w:rPr>
        <w:t>2.45pm Workshop discussion (1 hr)</w:t>
      </w:r>
    </w:p>
    <w:p w14:paraId="48AB6409" w14:textId="77777777" w:rsidR="00084ADF" w:rsidRPr="00B91AAE" w:rsidRDefault="00084ADF" w:rsidP="00B91AAE">
      <w:pPr>
        <w:pStyle w:val="BodyText"/>
      </w:pPr>
      <w:r w:rsidRPr="00B91AAE">
        <w:t xml:space="preserve">This session will involve dialogue with the Energy Consumer Expert Panel, with the opportunity for workshop participants to ask questions, identify issues and questions, and develop recommendations for Evoenergy’s consumer engagement. </w:t>
      </w:r>
    </w:p>
    <w:p w14:paraId="7229769F" w14:textId="77777777" w:rsidR="00084ADF" w:rsidRPr="00B91AAE" w:rsidRDefault="00084ADF" w:rsidP="00B91AAE">
      <w:pPr>
        <w:pStyle w:val="BodyText"/>
      </w:pPr>
      <w:r w:rsidRPr="00B91AAE">
        <w:t>Topics for discussion include:</w:t>
      </w:r>
    </w:p>
    <w:p w14:paraId="3BB8AB4C" w14:textId="77777777" w:rsidR="00084ADF" w:rsidRPr="00B91AAE" w:rsidRDefault="00084ADF" w:rsidP="00B91AAE">
      <w:pPr>
        <w:pStyle w:val="ListBullet"/>
      </w:pPr>
      <w:r w:rsidRPr="00B91AAE">
        <w:t>What have consumer advocates been asking of industry and regulators in other jurisdictions as part of gas network planning processes?</w:t>
      </w:r>
    </w:p>
    <w:p w14:paraId="36904E10" w14:textId="77777777" w:rsidR="00084ADF" w:rsidRPr="00B91AAE" w:rsidRDefault="00084ADF" w:rsidP="00B91AAE">
      <w:pPr>
        <w:pStyle w:val="ListBullet"/>
      </w:pPr>
      <w:r w:rsidRPr="00B91AAE">
        <w:t>Are there any points raised in the Evoenergy consultation paper and presentation that need further clarification or raise further issues?</w:t>
      </w:r>
    </w:p>
    <w:p w14:paraId="590F9247" w14:textId="77777777" w:rsidR="00084ADF" w:rsidRPr="00B91AAE" w:rsidRDefault="00084ADF" w:rsidP="00B91AAE">
      <w:pPr>
        <w:pStyle w:val="ListBullet"/>
      </w:pPr>
      <w:r w:rsidRPr="00B91AAE">
        <w:t>What information should we seek from Evoenergy to further our understanding of the issues regarding the implications of gas network planning for consumers on low income, experiencing disadvantage, or at risk of hardship?</w:t>
      </w:r>
    </w:p>
    <w:p w14:paraId="456B9F29" w14:textId="77777777" w:rsidR="00084ADF" w:rsidRPr="00B91AAE" w:rsidRDefault="00084ADF" w:rsidP="00B91AAE">
      <w:pPr>
        <w:pStyle w:val="BodyText"/>
      </w:pPr>
      <w:r w:rsidRPr="00B91AAE">
        <w:t>ACTCOSS will document the discussion to prepare a workshop report to inform Evoenergy’s GN21 consumer engagement.</w:t>
      </w:r>
    </w:p>
    <w:p w14:paraId="4CC5BAEA" w14:textId="77777777" w:rsidR="00084ADF" w:rsidRPr="00B91AAE" w:rsidRDefault="00084ADF" w:rsidP="00B91AAE">
      <w:pPr>
        <w:pStyle w:val="BodyText"/>
      </w:pPr>
      <w:r w:rsidRPr="00B91AAE">
        <w:t>3.45pm Summary and Next Steps: Susan Helyar and Geoff Buchanan, ACTCOSS (15 min)</w:t>
      </w:r>
    </w:p>
    <w:p w14:paraId="215DD16F" w14:textId="4FFA1F8D" w:rsidR="00DC0AA9" w:rsidRDefault="00084ADF" w:rsidP="00B91AAE">
      <w:pPr>
        <w:pStyle w:val="BodyText"/>
      </w:pPr>
      <w:r w:rsidRPr="00B91AAE">
        <w:t>4.00pm Close</w:t>
      </w:r>
    </w:p>
    <w:p w14:paraId="273861D2" w14:textId="5149F9CF" w:rsidR="007403DA" w:rsidRDefault="00DC0AA9" w:rsidP="007069F2">
      <w:pPr>
        <w:pStyle w:val="Heading1-Pagebreakbefore"/>
      </w:pPr>
      <w:bookmarkStart w:id="26" w:name="_Toc25308969"/>
      <w:r>
        <w:lastRenderedPageBreak/>
        <w:t xml:space="preserve">Attachment B: Workshop </w:t>
      </w:r>
      <w:r w:rsidR="003B5E1C">
        <w:t>a</w:t>
      </w:r>
      <w:r>
        <w:t>ttendees</w:t>
      </w:r>
      <w:bookmarkEnd w:id="26"/>
    </w:p>
    <w:tbl>
      <w:tblPr>
        <w:tblStyle w:val="TableGrid"/>
        <w:tblW w:w="0" w:type="auto"/>
        <w:tblLook w:val="04A0" w:firstRow="1" w:lastRow="0" w:firstColumn="1" w:lastColumn="0" w:noHBand="0" w:noVBand="1"/>
      </w:tblPr>
      <w:tblGrid>
        <w:gridCol w:w="3517"/>
        <w:gridCol w:w="4977"/>
      </w:tblGrid>
      <w:tr w:rsidR="00657D25" w:rsidRPr="00657D25" w14:paraId="0ED7658D" w14:textId="77777777" w:rsidTr="007069F2">
        <w:trPr>
          <w:trHeight w:val="300"/>
        </w:trPr>
        <w:tc>
          <w:tcPr>
            <w:tcW w:w="3517" w:type="dxa"/>
            <w:noWrap/>
            <w:tcMar>
              <w:top w:w="51" w:type="dxa"/>
            </w:tcMar>
            <w:hideMark/>
          </w:tcPr>
          <w:p w14:paraId="390D8E9B" w14:textId="77777777" w:rsidR="00657D25" w:rsidRPr="00657D25" w:rsidRDefault="00657D25" w:rsidP="00657D25">
            <w:pPr>
              <w:pStyle w:val="Tableheading"/>
            </w:pPr>
            <w:r w:rsidRPr="00657D25">
              <w:t>Name</w:t>
            </w:r>
          </w:p>
        </w:tc>
        <w:tc>
          <w:tcPr>
            <w:tcW w:w="4977" w:type="dxa"/>
            <w:noWrap/>
            <w:tcMar>
              <w:top w:w="51" w:type="dxa"/>
            </w:tcMar>
            <w:hideMark/>
          </w:tcPr>
          <w:p w14:paraId="58249790" w14:textId="77777777" w:rsidR="00657D25" w:rsidRPr="00657D25" w:rsidRDefault="00657D25" w:rsidP="00657D25">
            <w:pPr>
              <w:pStyle w:val="Tableheading"/>
            </w:pPr>
            <w:r w:rsidRPr="00657D25">
              <w:t>Organisation</w:t>
            </w:r>
          </w:p>
        </w:tc>
      </w:tr>
      <w:tr w:rsidR="00657D25" w:rsidRPr="00657D25" w14:paraId="52A7DE36" w14:textId="77777777" w:rsidTr="007069F2">
        <w:trPr>
          <w:trHeight w:val="300"/>
        </w:trPr>
        <w:tc>
          <w:tcPr>
            <w:tcW w:w="3517" w:type="dxa"/>
            <w:noWrap/>
            <w:tcMar>
              <w:top w:w="51" w:type="dxa"/>
            </w:tcMar>
            <w:hideMark/>
          </w:tcPr>
          <w:p w14:paraId="785F9DD2" w14:textId="77777777" w:rsidR="00657D25" w:rsidRPr="00657D25" w:rsidRDefault="00657D25" w:rsidP="00657D25">
            <w:pPr>
              <w:pStyle w:val="TableBody"/>
            </w:pPr>
            <w:r w:rsidRPr="00657D25">
              <w:t>Paula McGrady</w:t>
            </w:r>
          </w:p>
        </w:tc>
        <w:tc>
          <w:tcPr>
            <w:tcW w:w="4977" w:type="dxa"/>
            <w:noWrap/>
            <w:tcMar>
              <w:top w:w="51" w:type="dxa"/>
            </w:tcMar>
            <w:hideMark/>
          </w:tcPr>
          <w:p w14:paraId="07368C0F" w14:textId="77777777" w:rsidR="00657D25" w:rsidRPr="00657D25" w:rsidRDefault="00657D25" w:rsidP="00657D25">
            <w:pPr>
              <w:pStyle w:val="TableBody"/>
            </w:pPr>
            <w:r w:rsidRPr="00657D25">
              <w:t>ACT Aboriginal and Torres Strait Islander Elected Body</w:t>
            </w:r>
          </w:p>
        </w:tc>
      </w:tr>
      <w:tr w:rsidR="00657D25" w:rsidRPr="00657D25" w14:paraId="57445798" w14:textId="77777777" w:rsidTr="007069F2">
        <w:trPr>
          <w:trHeight w:val="300"/>
        </w:trPr>
        <w:tc>
          <w:tcPr>
            <w:tcW w:w="3517" w:type="dxa"/>
            <w:noWrap/>
            <w:tcMar>
              <w:top w:w="51" w:type="dxa"/>
            </w:tcMar>
            <w:hideMark/>
          </w:tcPr>
          <w:p w14:paraId="0D049164" w14:textId="77777777" w:rsidR="00657D25" w:rsidRPr="00657D25" w:rsidRDefault="00657D25" w:rsidP="00657D25">
            <w:pPr>
              <w:pStyle w:val="TableBody"/>
            </w:pPr>
            <w:r w:rsidRPr="00657D25">
              <w:t>Joel Dignam</w:t>
            </w:r>
          </w:p>
        </w:tc>
        <w:tc>
          <w:tcPr>
            <w:tcW w:w="4977" w:type="dxa"/>
            <w:noWrap/>
            <w:tcMar>
              <w:top w:w="51" w:type="dxa"/>
            </w:tcMar>
            <w:hideMark/>
          </w:tcPr>
          <w:p w14:paraId="034A5FA8" w14:textId="77777777" w:rsidR="00657D25" w:rsidRPr="00657D25" w:rsidRDefault="00657D25" w:rsidP="00657D25">
            <w:pPr>
              <w:pStyle w:val="TableBody"/>
            </w:pPr>
            <w:r w:rsidRPr="00657D25">
              <w:t>Better Renting</w:t>
            </w:r>
          </w:p>
        </w:tc>
      </w:tr>
      <w:tr w:rsidR="00657D25" w:rsidRPr="00657D25" w14:paraId="0B736546" w14:textId="77777777" w:rsidTr="007069F2">
        <w:trPr>
          <w:trHeight w:val="300"/>
        </w:trPr>
        <w:tc>
          <w:tcPr>
            <w:tcW w:w="3517" w:type="dxa"/>
            <w:noWrap/>
            <w:tcMar>
              <w:top w:w="51" w:type="dxa"/>
            </w:tcMar>
            <w:hideMark/>
          </w:tcPr>
          <w:p w14:paraId="73E13876" w14:textId="77777777" w:rsidR="00657D25" w:rsidRPr="00657D25" w:rsidRDefault="00657D25" w:rsidP="00657D25">
            <w:pPr>
              <w:pStyle w:val="TableBody"/>
            </w:pPr>
            <w:r w:rsidRPr="00657D25">
              <w:t>Madhumita Iyengar</w:t>
            </w:r>
          </w:p>
        </w:tc>
        <w:tc>
          <w:tcPr>
            <w:tcW w:w="4977" w:type="dxa"/>
            <w:noWrap/>
            <w:tcMar>
              <w:top w:w="51" w:type="dxa"/>
            </w:tcMar>
            <w:hideMark/>
          </w:tcPr>
          <w:p w14:paraId="223FFA55" w14:textId="77777777" w:rsidR="00657D25" w:rsidRPr="00657D25" w:rsidRDefault="00657D25" w:rsidP="00657D25">
            <w:pPr>
              <w:pStyle w:val="TableBody"/>
            </w:pPr>
            <w:r w:rsidRPr="00657D25">
              <w:t>Canberra Multicultural Community Forum Inc.</w:t>
            </w:r>
          </w:p>
        </w:tc>
      </w:tr>
      <w:tr w:rsidR="00657D25" w:rsidRPr="00657D25" w14:paraId="112F9DDF" w14:textId="77777777" w:rsidTr="007069F2">
        <w:trPr>
          <w:trHeight w:val="300"/>
        </w:trPr>
        <w:tc>
          <w:tcPr>
            <w:tcW w:w="3517" w:type="dxa"/>
            <w:noWrap/>
            <w:tcMar>
              <w:top w:w="51" w:type="dxa"/>
            </w:tcMar>
            <w:hideMark/>
          </w:tcPr>
          <w:p w14:paraId="6500F276" w14:textId="77777777" w:rsidR="00657D25" w:rsidRPr="00657D25" w:rsidRDefault="00657D25" w:rsidP="00657D25">
            <w:pPr>
              <w:pStyle w:val="TableBody"/>
            </w:pPr>
            <w:r w:rsidRPr="00657D25">
              <w:t>Tina Dowse</w:t>
            </w:r>
          </w:p>
        </w:tc>
        <w:tc>
          <w:tcPr>
            <w:tcW w:w="4977" w:type="dxa"/>
            <w:noWrap/>
            <w:tcMar>
              <w:top w:w="51" w:type="dxa"/>
            </w:tcMar>
            <w:hideMark/>
          </w:tcPr>
          <w:p w14:paraId="7062965F" w14:textId="77777777" w:rsidR="00657D25" w:rsidRPr="00657D25" w:rsidRDefault="00657D25" w:rsidP="00657D25">
            <w:pPr>
              <w:pStyle w:val="TableBody"/>
            </w:pPr>
            <w:r w:rsidRPr="00657D25">
              <w:t>Care Financial Counselling Service</w:t>
            </w:r>
          </w:p>
        </w:tc>
      </w:tr>
      <w:tr w:rsidR="00657D25" w:rsidRPr="00657D25" w14:paraId="55980F0A" w14:textId="77777777" w:rsidTr="007069F2">
        <w:trPr>
          <w:trHeight w:val="300"/>
        </w:trPr>
        <w:tc>
          <w:tcPr>
            <w:tcW w:w="3517" w:type="dxa"/>
            <w:noWrap/>
            <w:tcMar>
              <w:top w:w="51" w:type="dxa"/>
            </w:tcMar>
            <w:hideMark/>
          </w:tcPr>
          <w:p w14:paraId="6AC82217" w14:textId="77777777" w:rsidR="00657D25" w:rsidRPr="00657D25" w:rsidRDefault="00657D25" w:rsidP="00657D25">
            <w:pPr>
              <w:pStyle w:val="TableBody"/>
            </w:pPr>
            <w:r w:rsidRPr="00657D25">
              <w:t>Louise Baker</w:t>
            </w:r>
          </w:p>
        </w:tc>
        <w:tc>
          <w:tcPr>
            <w:tcW w:w="4977" w:type="dxa"/>
            <w:noWrap/>
            <w:tcMar>
              <w:top w:w="51" w:type="dxa"/>
            </w:tcMar>
            <w:hideMark/>
          </w:tcPr>
          <w:p w14:paraId="1AD0C165" w14:textId="77777777" w:rsidR="00657D25" w:rsidRPr="00657D25" w:rsidRDefault="00657D25" w:rsidP="00657D25">
            <w:pPr>
              <w:pStyle w:val="TableBody"/>
            </w:pPr>
            <w:r w:rsidRPr="00657D25">
              <w:t>Community Services #1</w:t>
            </w:r>
          </w:p>
        </w:tc>
      </w:tr>
      <w:tr w:rsidR="00657D25" w:rsidRPr="00657D25" w14:paraId="73741EDE" w14:textId="77777777" w:rsidTr="007069F2">
        <w:trPr>
          <w:trHeight w:val="300"/>
        </w:trPr>
        <w:tc>
          <w:tcPr>
            <w:tcW w:w="3517" w:type="dxa"/>
            <w:noWrap/>
            <w:tcMar>
              <w:top w:w="51" w:type="dxa"/>
            </w:tcMar>
            <w:hideMark/>
          </w:tcPr>
          <w:p w14:paraId="4585DA2F" w14:textId="77777777" w:rsidR="00657D25" w:rsidRPr="00657D25" w:rsidRDefault="00657D25" w:rsidP="00657D25">
            <w:pPr>
              <w:pStyle w:val="TableBody"/>
            </w:pPr>
            <w:r w:rsidRPr="00657D25">
              <w:t>Helen Oakey</w:t>
            </w:r>
          </w:p>
        </w:tc>
        <w:tc>
          <w:tcPr>
            <w:tcW w:w="4977" w:type="dxa"/>
            <w:noWrap/>
            <w:tcMar>
              <w:top w:w="51" w:type="dxa"/>
            </w:tcMar>
            <w:hideMark/>
          </w:tcPr>
          <w:p w14:paraId="3B1017F6" w14:textId="77777777" w:rsidR="00657D25" w:rsidRPr="00657D25" w:rsidRDefault="00657D25" w:rsidP="00657D25">
            <w:pPr>
              <w:pStyle w:val="TableBody"/>
            </w:pPr>
            <w:r w:rsidRPr="00657D25">
              <w:t>Conservation Council ACT Region</w:t>
            </w:r>
          </w:p>
        </w:tc>
      </w:tr>
      <w:tr w:rsidR="00657D25" w:rsidRPr="00657D25" w14:paraId="70BDD0C5" w14:textId="77777777" w:rsidTr="007069F2">
        <w:trPr>
          <w:trHeight w:val="300"/>
        </w:trPr>
        <w:tc>
          <w:tcPr>
            <w:tcW w:w="3517" w:type="dxa"/>
            <w:noWrap/>
            <w:tcMar>
              <w:top w:w="51" w:type="dxa"/>
            </w:tcMar>
            <w:hideMark/>
          </w:tcPr>
          <w:p w14:paraId="48D11712" w14:textId="77777777" w:rsidR="00657D25" w:rsidRPr="00657D25" w:rsidRDefault="00657D25" w:rsidP="00657D25">
            <w:pPr>
              <w:pStyle w:val="TableBody"/>
            </w:pPr>
            <w:r w:rsidRPr="00657D25">
              <w:t>Jenny Mobbs</w:t>
            </w:r>
          </w:p>
        </w:tc>
        <w:tc>
          <w:tcPr>
            <w:tcW w:w="4977" w:type="dxa"/>
            <w:noWrap/>
            <w:tcMar>
              <w:top w:w="51" w:type="dxa"/>
            </w:tcMar>
            <w:hideMark/>
          </w:tcPr>
          <w:p w14:paraId="186EE116" w14:textId="77777777" w:rsidR="00657D25" w:rsidRPr="00657D25" w:rsidRDefault="00657D25" w:rsidP="00657D25">
            <w:pPr>
              <w:pStyle w:val="TableBody"/>
            </w:pPr>
            <w:r w:rsidRPr="00657D25">
              <w:t>Council on the Ageing (ACT)</w:t>
            </w:r>
          </w:p>
        </w:tc>
      </w:tr>
      <w:tr w:rsidR="009E5D66" w:rsidRPr="00657D25" w14:paraId="39D370C4" w14:textId="77777777" w:rsidTr="007069F2">
        <w:trPr>
          <w:trHeight w:val="300"/>
        </w:trPr>
        <w:tc>
          <w:tcPr>
            <w:tcW w:w="3517" w:type="dxa"/>
            <w:noWrap/>
            <w:tcMar>
              <w:top w:w="51" w:type="dxa"/>
            </w:tcMar>
            <w:hideMark/>
          </w:tcPr>
          <w:p w14:paraId="3CFF1638" w14:textId="77777777" w:rsidR="009E5D66" w:rsidRPr="00657D25" w:rsidRDefault="009E5D66" w:rsidP="009E5D66">
            <w:pPr>
              <w:pStyle w:val="TableBody"/>
            </w:pPr>
            <w:r w:rsidRPr="00657D25">
              <w:t xml:space="preserve">Cameron Pensini </w:t>
            </w:r>
          </w:p>
        </w:tc>
        <w:tc>
          <w:tcPr>
            <w:tcW w:w="4977" w:type="dxa"/>
            <w:noWrap/>
            <w:tcMar>
              <w:top w:w="51" w:type="dxa"/>
            </w:tcMar>
            <w:hideMark/>
          </w:tcPr>
          <w:p w14:paraId="2104378A" w14:textId="77777777" w:rsidR="009E5D66" w:rsidRPr="00657D25" w:rsidRDefault="009E5D66" w:rsidP="009E5D66">
            <w:pPr>
              <w:pStyle w:val="TableBody"/>
            </w:pPr>
            <w:r w:rsidRPr="00657D25">
              <w:t xml:space="preserve">Queanbeyan-Palerang Regional Council </w:t>
            </w:r>
          </w:p>
        </w:tc>
      </w:tr>
      <w:tr w:rsidR="009E5D66" w:rsidRPr="00657D25" w14:paraId="336C3158" w14:textId="77777777" w:rsidTr="007069F2">
        <w:trPr>
          <w:trHeight w:val="300"/>
        </w:trPr>
        <w:tc>
          <w:tcPr>
            <w:tcW w:w="3517" w:type="dxa"/>
            <w:noWrap/>
            <w:tcMar>
              <w:top w:w="51" w:type="dxa"/>
            </w:tcMar>
            <w:hideMark/>
          </w:tcPr>
          <w:p w14:paraId="7F99DB8D" w14:textId="77777777" w:rsidR="009E5D66" w:rsidRPr="00657D25" w:rsidRDefault="009E5D66" w:rsidP="009E5D66">
            <w:pPr>
              <w:pStyle w:val="TableBody"/>
            </w:pPr>
            <w:r w:rsidRPr="00657D25">
              <w:t xml:space="preserve">Megan Andrews </w:t>
            </w:r>
          </w:p>
        </w:tc>
        <w:tc>
          <w:tcPr>
            <w:tcW w:w="4977" w:type="dxa"/>
            <w:noWrap/>
            <w:tcMar>
              <w:top w:w="51" w:type="dxa"/>
            </w:tcMar>
            <w:hideMark/>
          </w:tcPr>
          <w:p w14:paraId="4C88B3F2" w14:textId="77777777" w:rsidR="009E5D66" w:rsidRPr="00657D25" w:rsidRDefault="009E5D66" w:rsidP="009E5D66">
            <w:pPr>
              <w:pStyle w:val="TableBody"/>
            </w:pPr>
            <w:r w:rsidRPr="00657D25">
              <w:t>St Vincent de Paul, Canberra-Goulburn</w:t>
            </w:r>
          </w:p>
        </w:tc>
      </w:tr>
      <w:tr w:rsidR="009E5D66" w:rsidRPr="00657D25" w14:paraId="55285D6F" w14:textId="77777777" w:rsidTr="007069F2">
        <w:trPr>
          <w:trHeight w:val="300"/>
        </w:trPr>
        <w:tc>
          <w:tcPr>
            <w:tcW w:w="3517" w:type="dxa"/>
            <w:noWrap/>
            <w:tcMar>
              <w:top w:w="51" w:type="dxa"/>
            </w:tcMar>
            <w:hideMark/>
          </w:tcPr>
          <w:p w14:paraId="58ADBC0F" w14:textId="77777777" w:rsidR="009E5D66" w:rsidRPr="00657D25" w:rsidRDefault="009E5D66" w:rsidP="009E5D66">
            <w:pPr>
              <w:pStyle w:val="TableBody"/>
            </w:pPr>
            <w:r w:rsidRPr="00657D25">
              <w:t>Toby Nicholls</w:t>
            </w:r>
          </w:p>
        </w:tc>
        <w:tc>
          <w:tcPr>
            <w:tcW w:w="4977" w:type="dxa"/>
            <w:noWrap/>
            <w:tcMar>
              <w:top w:w="51" w:type="dxa"/>
            </w:tcMar>
            <w:hideMark/>
          </w:tcPr>
          <w:p w14:paraId="1C14630B" w14:textId="77777777" w:rsidR="009E5D66" w:rsidRPr="00657D25" w:rsidRDefault="009E5D66" w:rsidP="009E5D66">
            <w:pPr>
              <w:pStyle w:val="TableBody"/>
            </w:pPr>
            <w:r w:rsidRPr="00657D25">
              <w:t>UnitingCare Kippax</w:t>
            </w:r>
          </w:p>
        </w:tc>
      </w:tr>
      <w:tr w:rsidR="009E5D66" w:rsidRPr="00657D25" w14:paraId="3922890B" w14:textId="77777777" w:rsidTr="007069F2">
        <w:trPr>
          <w:trHeight w:val="300"/>
        </w:trPr>
        <w:tc>
          <w:tcPr>
            <w:tcW w:w="3517" w:type="dxa"/>
            <w:noWrap/>
            <w:tcMar>
              <w:top w:w="51" w:type="dxa"/>
            </w:tcMar>
            <w:hideMark/>
          </w:tcPr>
          <w:p w14:paraId="08954D42" w14:textId="77777777" w:rsidR="009E5D66" w:rsidRPr="00657D25" w:rsidRDefault="009E5D66" w:rsidP="009E5D66">
            <w:pPr>
              <w:pStyle w:val="TableBody"/>
            </w:pPr>
            <w:r w:rsidRPr="00657D25">
              <w:t xml:space="preserve">Pip Kovacs </w:t>
            </w:r>
          </w:p>
        </w:tc>
        <w:tc>
          <w:tcPr>
            <w:tcW w:w="4977" w:type="dxa"/>
            <w:noWrap/>
            <w:tcMar>
              <w:top w:w="51" w:type="dxa"/>
            </w:tcMar>
            <w:hideMark/>
          </w:tcPr>
          <w:p w14:paraId="62C19FF6" w14:textId="77777777" w:rsidR="009E5D66" w:rsidRPr="00657D25" w:rsidRDefault="009E5D66" w:rsidP="009E5D66">
            <w:pPr>
              <w:pStyle w:val="TableBody"/>
            </w:pPr>
            <w:r w:rsidRPr="00657D25">
              <w:t>Woden Community Service</w:t>
            </w:r>
          </w:p>
        </w:tc>
      </w:tr>
      <w:tr w:rsidR="009E5D66" w:rsidRPr="00657D25" w14:paraId="26080EDC" w14:textId="77777777" w:rsidTr="007069F2">
        <w:trPr>
          <w:trHeight w:val="300"/>
        </w:trPr>
        <w:tc>
          <w:tcPr>
            <w:tcW w:w="3517" w:type="dxa"/>
            <w:noWrap/>
            <w:tcMar>
              <w:top w:w="51" w:type="dxa"/>
            </w:tcMar>
            <w:hideMark/>
          </w:tcPr>
          <w:p w14:paraId="7CF03B51" w14:textId="77777777" w:rsidR="009E5D66" w:rsidRPr="00657D25" w:rsidRDefault="009E5D66" w:rsidP="009E5D66">
            <w:pPr>
              <w:pStyle w:val="TableBody"/>
            </w:pPr>
            <w:r w:rsidRPr="00657D25">
              <w:t>Catherine Jones</w:t>
            </w:r>
          </w:p>
        </w:tc>
        <w:tc>
          <w:tcPr>
            <w:tcW w:w="4977" w:type="dxa"/>
            <w:noWrap/>
            <w:tcMar>
              <w:top w:w="51" w:type="dxa"/>
            </w:tcMar>
            <w:hideMark/>
          </w:tcPr>
          <w:p w14:paraId="272087D7" w14:textId="77777777" w:rsidR="009E5D66" w:rsidRPr="00657D25" w:rsidRDefault="009E5D66" w:rsidP="009E5D66">
            <w:pPr>
              <w:pStyle w:val="TableBody"/>
            </w:pPr>
            <w:r w:rsidRPr="00657D25">
              <w:t>YWCA Canberra</w:t>
            </w:r>
          </w:p>
        </w:tc>
      </w:tr>
      <w:tr w:rsidR="009E5D66" w:rsidRPr="00657D25" w14:paraId="325DF635" w14:textId="77777777" w:rsidTr="007069F2">
        <w:trPr>
          <w:trHeight w:val="300"/>
        </w:trPr>
        <w:tc>
          <w:tcPr>
            <w:tcW w:w="3517" w:type="dxa"/>
            <w:noWrap/>
            <w:tcMar>
              <w:top w:w="51" w:type="dxa"/>
            </w:tcMar>
            <w:hideMark/>
          </w:tcPr>
          <w:p w14:paraId="1E2ED9E7" w14:textId="77777777" w:rsidR="009E5D66" w:rsidRPr="00657D25" w:rsidRDefault="009E5D66" w:rsidP="009E5D66">
            <w:pPr>
              <w:pStyle w:val="TableBody"/>
            </w:pPr>
            <w:r w:rsidRPr="00657D25">
              <w:t>Katherine Higgins</w:t>
            </w:r>
          </w:p>
        </w:tc>
        <w:tc>
          <w:tcPr>
            <w:tcW w:w="4977" w:type="dxa"/>
            <w:noWrap/>
            <w:tcMar>
              <w:top w:w="51" w:type="dxa"/>
            </w:tcMar>
            <w:hideMark/>
          </w:tcPr>
          <w:p w14:paraId="066A2D71" w14:textId="77777777" w:rsidR="009E5D66" w:rsidRPr="00657D25" w:rsidRDefault="009E5D66" w:rsidP="009E5D66">
            <w:pPr>
              <w:pStyle w:val="TableBody"/>
            </w:pPr>
            <w:r w:rsidRPr="00657D25">
              <w:t>YWCA Canberra</w:t>
            </w:r>
          </w:p>
        </w:tc>
      </w:tr>
      <w:tr w:rsidR="009E5D66" w:rsidRPr="00657D25" w14:paraId="7B8356A1" w14:textId="77777777" w:rsidTr="007069F2">
        <w:trPr>
          <w:trHeight w:val="300"/>
        </w:trPr>
        <w:tc>
          <w:tcPr>
            <w:tcW w:w="8494" w:type="dxa"/>
            <w:gridSpan w:val="2"/>
            <w:noWrap/>
            <w:tcMar>
              <w:top w:w="51" w:type="dxa"/>
            </w:tcMar>
          </w:tcPr>
          <w:p w14:paraId="59BB24E5" w14:textId="77777777" w:rsidR="009E5D66" w:rsidRPr="009E5D66" w:rsidRDefault="009E5D66" w:rsidP="00683A1A">
            <w:pPr>
              <w:pStyle w:val="TableBody"/>
              <w:rPr>
                <w:b/>
                <w:bCs/>
              </w:rPr>
            </w:pPr>
            <w:r w:rsidRPr="009E5D66">
              <w:rPr>
                <w:b/>
                <w:bCs/>
              </w:rPr>
              <w:t>Energy Consumer Expert Panel Members</w:t>
            </w:r>
          </w:p>
        </w:tc>
      </w:tr>
      <w:tr w:rsidR="009E5D66" w:rsidRPr="00657D25" w14:paraId="2B7D4693" w14:textId="77777777" w:rsidTr="007069F2">
        <w:trPr>
          <w:trHeight w:val="300"/>
        </w:trPr>
        <w:tc>
          <w:tcPr>
            <w:tcW w:w="3517" w:type="dxa"/>
            <w:noWrap/>
            <w:tcMar>
              <w:top w:w="51" w:type="dxa"/>
            </w:tcMar>
          </w:tcPr>
          <w:p w14:paraId="789F5ED6" w14:textId="77777777" w:rsidR="009E5D66" w:rsidRDefault="009E5D66" w:rsidP="009E5D66">
            <w:pPr>
              <w:pStyle w:val="TableBody"/>
            </w:pPr>
            <w:r w:rsidRPr="00657D25">
              <w:t>Mark Henley</w:t>
            </w:r>
          </w:p>
        </w:tc>
        <w:tc>
          <w:tcPr>
            <w:tcW w:w="4977" w:type="dxa"/>
            <w:noWrap/>
            <w:tcMar>
              <w:top w:w="51" w:type="dxa"/>
            </w:tcMar>
          </w:tcPr>
          <w:p w14:paraId="15063DCB" w14:textId="77777777" w:rsidR="009E5D66" w:rsidRPr="00657D25" w:rsidRDefault="009E5D66" w:rsidP="009E5D66">
            <w:pPr>
              <w:pStyle w:val="TableBody"/>
            </w:pPr>
            <w:r w:rsidRPr="00657D25">
              <w:t>Australian Energy Regulator Consumer Challenge Panel</w:t>
            </w:r>
          </w:p>
        </w:tc>
      </w:tr>
      <w:tr w:rsidR="009E5D66" w:rsidRPr="00657D25" w14:paraId="7A784840" w14:textId="77777777" w:rsidTr="007069F2">
        <w:trPr>
          <w:trHeight w:val="300"/>
        </w:trPr>
        <w:tc>
          <w:tcPr>
            <w:tcW w:w="3517" w:type="dxa"/>
            <w:noWrap/>
            <w:tcMar>
              <w:top w:w="51" w:type="dxa"/>
            </w:tcMar>
          </w:tcPr>
          <w:p w14:paraId="0009473A" w14:textId="77777777" w:rsidR="009E5D66" w:rsidRPr="00657D25" w:rsidRDefault="009E5D66" w:rsidP="009E5D66">
            <w:pPr>
              <w:pStyle w:val="TableBody"/>
            </w:pPr>
            <w:r w:rsidRPr="00657D25">
              <w:t>Robyn Robinson</w:t>
            </w:r>
          </w:p>
        </w:tc>
        <w:tc>
          <w:tcPr>
            <w:tcW w:w="4977" w:type="dxa"/>
            <w:noWrap/>
            <w:tcMar>
              <w:top w:w="51" w:type="dxa"/>
            </w:tcMar>
          </w:tcPr>
          <w:p w14:paraId="7EFE3D08" w14:textId="77777777" w:rsidR="009E5D66" w:rsidRPr="00657D25" w:rsidRDefault="009E5D66" w:rsidP="009E5D66">
            <w:pPr>
              <w:pStyle w:val="TableBody"/>
            </w:pPr>
            <w:r w:rsidRPr="00657D25">
              <w:t>Australian Energy Regulator Consumer Challenge Panel</w:t>
            </w:r>
          </w:p>
        </w:tc>
      </w:tr>
      <w:tr w:rsidR="009E5D66" w:rsidRPr="00657D25" w14:paraId="5630DE3E" w14:textId="77777777" w:rsidTr="007069F2">
        <w:trPr>
          <w:trHeight w:val="300"/>
        </w:trPr>
        <w:tc>
          <w:tcPr>
            <w:tcW w:w="3517" w:type="dxa"/>
            <w:noWrap/>
            <w:tcMar>
              <w:top w:w="51" w:type="dxa"/>
            </w:tcMar>
          </w:tcPr>
          <w:p w14:paraId="7378BFE6" w14:textId="77777777" w:rsidR="009E5D66" w:rsidRPr="00657D25" w:rsidRDefault="009E5D66" w:rsidP="009E5D66">
            <w:pPr>
              <w:pStyle w:val="TableBody"/>
            </w:pPr>
            <w:r w:rsidRPr="00657D25">
              <w:t>Shelley Ashe</w:t>
            </w:r>
            <w:r>
              <w:t xml:space="preserve"> (Apology – notes provided by email)</w:t>
            </w:r>
          </w:p>
        </w:tc>
        <w:tc>
          <w:tcPr>
            <w:tcW w:w="4977" w:type="dxa"/>
            <w:noWrap/>
            <w:tcMar>
              <w:top w:w="51" w:type="dxa"/>
            </w:tcMar>
          </w:tcPr>
          <w:p w14:paraId="7A66D61C" w14:textId="77777777" w:rsidR="009E5D66" w:rsidRPr="00657D25" w:rsidRDefault="009E5D66" w:rsidP="009E5D66">
            <w:pPr>
              <w:pStyle w:val="TableBody"/>
            </w:pPr>
            <w:r w:rsidRPr="00657D25">
              <w:t>Energy Consumers Australia</w:t>
            </w:r>
          </w:p>
        </w:tc>
      </w:tr>
      <w:tr w:rsidR="009E5D66" w:rsidRPr="00657D25" w14:paraId="302F864C" w14:textId="77777777" w:rsidTr="007069F2">
        <w:trPr>
          <w:trHeight w:val="300"/>
        </w:trPr>
        <w:tc>
          <w:tcPr>
            <w:tcW w:w="3517" w:type="dxa"/>
            <w:noWrap/>
            <w:tcMar>
              <w:top w:w="51" w:type="dxa"/>
            </w:tcMar>
          </w:tcPr>
          <w:p w14:paraId="2BCAC3EC" w14:textId="77777777" w:rsidR="009E5D66" w:rsidRPr="00657D25" w:rsidRDefault="009E5D66" w:rsidP="009E5D66">
            <w:pPr>
              <w:pStyle w:val="TableBody"/>
            </w:pPr>
            <w:r w:rsidRPr="00657D25">
              <w:t>Miyuru Ediriweera</w:t>
            </w:r>
          </w:p>
        </w:tc>
        <w:tc>
          <w:tcPr>
            <w:tcW w:w="4977" w:type="dxa"/>
            <w:noWrap/>
            <w:tcMar>
              <w:top w:w="51" w:type="dxa"/>
            </w:tcMar>
          </w:tcPr>
          <w:p w14:paraId="1CCAEE95" w14:textId="77777777" w:rsidR="009E5D66" w:rsidRPr="00657D25" w:rsidRDefault="009E5D66" w:rsidP="009E5D66">
            <w:pPr>
              <w:pStyle w:val="TableBody"/>
            </w:pPr>
            <w:r w:rsidRPr="00657D25">
              <w:t>Public Interest Advocacy Centre Ltd</w:t>
            </w:r>
          </w:p>
        </w:tc>
      </w:tr>
      <w:tr w:rsidR="009E5D66" w:rsidRPr="00657D25" w14:paraId="2A911F26" w14:textId="77777777" w:rsidTr="007069F2">
        <w:trPr>
          <w:trHeight w:val="300"/>
        </w:trPr>
        <w:tc>
          <w:tcPr>
            <w:tcW w:w="3517" w:type="dxa"/>
            <w:noWrap/>
            <w:tcMar>
              <w:top w:w="51" w:type="dxa"/>
            </w:tcMar>
          </w:tcPr>
          <w:p w14:paraId="2A3FE5FB" w14:textId="77777777" w:rsidR="009E5D66" w:rsidRPr="00657D25" w:rsidRDefault="009E5D66" w:rsidP="009E5D66">
            <w:pPr>
              <w:pStyle w:val="TableBody"/>
            </w:pPr>
            <w:r w:rsidRPr="00657D25">
              <w:t>Gavin Dufty</w:t>
            </w:r>
          </w:p>
        </w:tc>
        <w:tc>
          <w:tcPr>
            <w:tcW w:w="4977" w:type="dxa"/>
            <w:noWrap/>
            <w:tcMar>
              <w:top w:w="51" w:type="dxa"/>
            </w:tcMar>
          </w:tcPr>
          <w:p w14:paraId="706695E3" w14:textId="77777777" w:rsidR="009E5D66" w:rsidRPr="00657D25" w:rsidRDefault="009E5D66" w:rsidP="009E5D66">
            <w:pPr>
              <w:pStyle w:val="TableBody"/>
            </w:pPr>
            <w:r w:rsidRPr="00657D25">
              <w:t>St Vincent de Paul Society </w:t>
            </w:r>
          </w:p>
        </w:tc>
      </w:tr>
      <w:tr w:rsidR="009E5D66" w:rsidRPr="00657D25" w14:paraId="624162A5" w14:textId="77777777" w:rsidTr="007069F2">
        <w:trPr>
          <w:trHeight w:val="300"/>
        </w:trPr>
        <w:tc>
          <w:tcPr>
            <w:tcW w:w="8494" w:type="dxa"/>
            <w:gridSpan w:val="2"/>
            <w:noWrap/>
            <w:tcMar>
              <w:top w:w="51" w:type="dxa"/>
            </w:tcMar>
          </w:tcPr>
          <w:p w14:paraId="1C64CE0C" w14:textId="77777777" w:rsidR="009E5D66" w:rsidRPr="009E5D66" w:rsidRDefault="009E5D66" w:rsidP="00683A1A">
            <w:pPr>
              <w:pStyle w:val="TableBody"/>
              <w:rPr>
                <w:b/>
                <w:bCs/>
              </w:rPr>
            </w:pPr>
            <w:r w:rsidRPr="009E5D66">
              <w:rPr>
                <w:b/>
                <w:bCs/>
              </w:rPr>
              <w:t>Evoenergy Representatives</w:t>
            </w:r>
          </w:p>
        </w:tc>
      </w:tr>
      <w:tr w:rsidR="009E5D66" w:rsidRPr="00657D25" w14:paraId="47DEAB74" w14:textId="77777777" w:rsidTr="007069F2">
        <w:trPr>
          <w:trHeight w:val="300"/>
        </w:trPr>
        <w:tc>
          <w:tcPr>
            <w:tcW w:w="3517" w:type="dxa"/>
            <w:noWrap/>
            <w:tcMar>
              <w:top w:w="51" w:type="dxa"/>
            </w:tcMar>
          </w:tcPr>
          <w:p w14:paraId="01724E4E" w14:textId="77777777" w:rsidR="009E5D66" w:rsidRDefault="009E5D66" w:rsidP="009E5D66">
            <w:pPr>
              <w:pStyle w:val="TableBody"/>
            </w:pPr>
            <w:r w:rsidRPr="00657D25">
              <w:t>Chris Bell</w:t>
            </w:r>
          </w:p>
        </w:tc>
        <w:tc>
          <w:tcPr>
            <w:tcW w:w="4977" w:type="dxa"/>
            <w:noWrap/>
            <w:tcMar>
              <w:top w:w="51" w:type="dxa"/>
            </w:tcMar>
          </w:tcPr>
          <w:p w14:paraId="1932AB34" w14:textId="77777777" w:rsidR="009E5D66" w:rsidRPr="00657D25" w:rsidRDefault="009E5D66" w:rsidP="009E5D66">
            <w:pPr>
              <w:pStyle w:val="TableBody"/>
            </w:pPr>
            <w:r w:rsidRPr="00657D25">
              <w:t>Evoenergy</w:t>
            </w:r>
          </w:p>
        </w:tc>
      </w:tr>
      <w:tr w:rsidR="009E5D66" w:rsidRPr="00657D25" w14:paraId="5033B2D6" w14:textId="77777777" w:rsidTr="007069F2">
        <w:trPr>
          <w:trHeight w:val="300"/>
        </w:trPr>
        <w:tc>
          <w:tcPr>
            <w:tcW w:w="3517" w:type="dxa"/>
            <w:noWrap/>
            <w:tcMar>
              <w:top w:w="51" w:type="dxa"/>
            </w:tcMar>
          </w:tcPr>
          <w:p w14:paraId="44646402" w14:textId="77777777" w:rsidR="009E5D66" w:rsidRDefault="009E5D66" w:rsidP="009E5D66">
            <w:pPr>
              <w:pStyle w:val="TableBody"/>
            </w:pPr>
            <w:r w:rsidRPr="00657D25">
              <w:t>Giuliana Baggoley</w:t>
            </w:r>
          </w:p>
        </w:tc>
        <w:tc>
          <w:tcPr>
            <w:tcW w:w="4977" w:type="dxa"/>
            <w:noWrap/>
            <w:tcMar>
              <w:top w:w="51" w:type="dxa"/>
            </w:tcMar>
          </w:tcPr>
          <w:p w14:paraId="5A5D813C" w14:textId="77777777" w:rsidR="009E5D66" w:rsidRPr="00657D25" w:rsidRDefault="009E5D66" w:rsidP="009E5D66">
            <w:pPr>
              <w:pStyle w:val="TableBody"/>
            </w:pPr>
            <w:r w:rsidRPr="00657D25">
              <w:t>Evoenergy</w:t>
            </w:r>
          </w:p>
        </w:tc>
      </w:tr>
      <w:tr w:rsidR="009E5D66" w:rsidRPr="00657D25" w14:paraId="18CCCA7B" w14:textId="77777777" w:rsidTr="007069F2">
        <w:trPr>
          <w:trHeight w:val="300"/>
        </w:trPr>
        <w:tc>
          <w:tcPr>
            <w:tcW w:w="8494" w:type="dxa"/>
            <w:gridSpan w:val="2"/>
            <w:noWrap/>
            <w:tcMar>
              <w:top w:w="51" w:type="dxa"/>
            </w:tcMar>
          </w:tcPr>
          <w:p w14:paraId="6A60A5FD" w14:textId="77777777" w:rsidR="009E5D66" w:rsidRPr="009E5D66" w:rsidRDefault="009E5D66" w:rsidP="00683A1A">
            <w:pPr>
              <w:pStyle w:val="TableBody"/>
              <w:rPr>
                <w:b/>
                <w:bCs/>
              </w:rPr>
            </w:pPr>
            <w:r w:rsidRPr="009E5D66">
              <w:rPr>
                <w:b/>
                <w:bCs/>
              </w:rPr>
              <w:t>Workshop Facilitators</w:t>
            </w:r>
          </w:p>
        </w:tc>
      </w:tr>
      <w:tr w:rsidR="009E5D66" w:rsidRPr="00657D25" w14:paraId="76159E26" w14:textId="77777777" w:rsidTr="007069F2">
        <w:trPr>
          <w:trHeight w:val="300"/>
        </w:trPr>
        <w:tc>
          <w:tcPr>
            <w:tcW w:w="3517" w:type="dxa"/>
            <w:noWrap/>
            <w:tcMar>
              <w:top w:w="51" w:type="dxa"/>
            </w:tcMar>
          </w:tcPr>
          <w:p w14:paraId="038095EC" w14:textId="77777777" w:rsidR="009E5D66" w:rsidRDefault="009E5D66" w:rsidP="009E5D66">
            <w:pPr>
              <w:pStyle w:val="TableBody"/>
            </w:pPr>
            <w:r w:rsidRPr="00657D25">
              <w:t>Geoff Buchanan</w:t>
            </w:r>
          </w:p>
        </w:tc>
        <w:tc>
          <w:tcPr>
            <w:tcW w:w="4977" w:type="dxa"/>
            <w:noWrap/>
            <w:tcMar>
              <w:top w:w="51" w:type="dxa"/>
            </w:tcMar>
          </w:tcPr>
          <w:p w14:paraId="77042BEA" w14:textId="77777777" w:rsidR="009E5D66" w:rsidRPr="00657D25" w:rsidRDefault="009E5D66" w:rsidP="009E5D66">
            <w:pPr>
              <w:pStyle w:val="TableBody"/>
            </w:pPr>
            <w:r w:rsidRPr="00657D25">
              <w:t>ACTCOSS</w:t>
            </w:r>
          </w:p>
        </w:tc>
      </w:tr>
      <w:tr w:rsidR="009E5D66" w:rsidRPr="00657D25" w14:paraId="1C7E0F71" w14:textId="77777777" w:rsidTr="007069F2">
        <w:trPr>
          <w:trHeight w:val="300"/>
        </w:trPr>
        <w:tc>
          <w:tcPr>
            <w:tcW w:w="3517" w:type="dxa"/>
            <w:noWrap/>
            <w:tcMar>
              <w:top w:w="51" w:type="dxa"/>
            </w:tcMar>
          </w:tcPr>
          <w:p w14:paraId="3661189B" w14:textId="77777777" w:rsidR="009E5D66" w:rsidRDefault="009E5D66" w:rsidP="009E5D66">
            <w:pPr>
              <w:pStyle w:val="TableBody"/>
            </w:pPr>
            <w:r w:rsidRPr="00657D25">
              <w:t>Susan Helyar</w:t>
            </w:r>
          </w:p>
        </w:tc>
        <w:tc>
          <w:tcPr>
            <w:tcW w:w="4977" w:type="dxa"/>
            <w:noWrap/>
            <w:tcMar>
              <w:top w:w="51" w:type="dxa"/>
            </w:tcMar>
          </w:tcPr>
          <w:p w14:paraId="45F9D570" w14:textId="77777777" w:rsidR="009E5D66" w:rsidRPr="00657D25" w:rsidRDefault="009E5D66" w:rsidP="009E5D66">
            <w:pPr>
              <w:pStyle w:val="TableBody"/>
            </w:pPr>
            <w:r w:rsidRPr="00657D25">
              <w:t>ACTCOSS</w:t>
            </w:r>
          </w:p>
        </w:tc>
      </w:tr>
    </w:tbl>
    <w:p w14:paraId="204BD2E1" w14:textId="77777777" w:rsidR="00112D70" w:rsidRPr="00683A1A" w:rsidRDefault="00112D70" w:rsidP="00683A1A">
      <w:pPr>
        <w:pStyle w:val="BodyText"/>
        <w:rPr>
          <w:sz w:val="16"/>
          <w:szCs w:val="16"/>
          <w:lang w:eastAsia="en-AU"/>
        </w:rPr>
      </w:pPr>
    </w:p>
    <w:sectPr w:rsidR="00112D70" w:rsidRPr="00683A1A" w:rsidSect="002C4E3A">
      <w:headerReference w:type="default" r:id="rId15"/>
      <w:footerReference w:type="even" r:id="rId16"/>
      <w:footerReference w:type="default" r:id="rId17"/>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F418D" w14:textId="77777777" w:rsidR="00C6262C" w:rsidRDefault="00C6262C">
      <w:r>
        <w:separator/>
      </w:r>
    </w:p>
  </w:endnote>
  <w:endnote w:type="continuationSeparator" w:id="0">
    <w:p w14:paraId="2DFE0197" w14:textId="77777777" w:rsidR="00C6262C" w:rsidRDefault="00C6262C">
      <w:r>
        <w:continuationSeparator/>
      </w:r>
    </w:p>
  </w:endnote>
  <w:endnote w:type="continuationNotice" w:id="1">
    <w:p w14:paraId="1D7AD787" w14:textId="77777777" w:rsidR="00C6262C" w:rsidRDefault="00C626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998ED" w14:textId="77777777" w:rsidR="00AD2106" w:rsidRDefault="00AD2106"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8C9D21" w14:textId="77777777" w:rsidR="00AD2106" w:rsidRDefault="00AD21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02BD1" w14:textId="42010B5A" w:rsidR="00AD2106" w:rsidRDefault="00AD2106"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17DBCC1" w14:textId="77777777" w:rsidR="00AD2106" w:rsidRDefault="00AD2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8C89B" w14:textId="77777777" w:rsidR="00C6262C" w:rsidRDefault="00C6262C">
      <w:r>
        <w:separator/>
      </w:r>
    </w:p>
  </w:footnote>
  <w:footnote w:type="continuationSeparator" w:id="0">
    <w:p w14:paraId="5C34405C" w14:textId="77777777" w:rsidR="00C6262C" w:rsidRDefault="00C6262C">
      <w:r>
        <w:continuationSeparator/>
      </w:r>
    </w:p>
  </w:footnote>
  <w:footnote w:type="continuationNotice" w:id="1">
    <w:p w14:paraId="23A62BB3" w14:textId="77777777" w:rsidR="00C6262C" w:rsidRDefault="00C6262C"/>
  </w:footnote>
  <w:footnote w:id="2">
    <w:p w14:paraId="079E62B7" w14:textId="779F2EA4" w:rsidR="00AD2106" w:rsidRPr="00EF18CD" w:rsidRDefault="00AD2106">
      <w:pPr>
        <w:pStyle w:val="FootnoteText"/>
        <w:rPr>
          <w:lang w:val="en-US"/>
        </w:rPr>
      </w:pPr>
      <w:r w:rsidRPr="008C1414">
        <w:footnoteRef/>
      </w:r>
      <w:r w:rsidRPr="008C1414">
        <w:t xml:space="preserve"> </w:t>
      </w:r>
      <w:r>
        <w:tab/>
      </w:r>
      <w:r>
        <w:rPr>
          <w:lang w:val="en-US"/>
        </w:rPr>
        <w:t xml:space="preserve">Evoenergy, </w:t>
      </w:r>
      <w:r w:rsidRPr="00883C30">
        <w:rPr>
          <w:i/>
          <w:iCs/>
          <w:lang w:val="en-US"/>
        </w:rPr>
        <w:t>A consumer guide to engaging on our 2021 gas plan – Evoenergy gas network 2021-26 access arrangement review</w:t>
      </w:r>
      <w:r>
        <w:rPr>
          <w:lang w:val="en-US"/>
        </w:rPr>
        <w:t>, Evoenergy, Canberra, August 2019, p. 7, viewed 31 October 2019, &lt;</w:t>
      </w:r>
      <w:hyperlink r:id="rId1" w:history="1">
        <w:r w:rsidRPr="008C1414">
          <w:rPr>
            <w:rStyle w:val="Hyperlink"/>
            <w:lang w:val="en-US"/>
          </w:rPr>
          <w:t>https://www.evoenergy.com.au/-/media/evoenergy/documents/gas/consumer-guide-to-engaging-on-our-2021-gas-plan.pdf?la=en&amp;hash=F250FC5AB3EE7654EC8153F7E7FE5D7A546D8373</w:t>
        </w:r>
      </w:hyperlink>
      <w:r>
        <w:rPr>
          <w:lang w:val="en-US"/>
        </w:rPr>
        <w:t xml:space="preserve">&gt;. </w:t>
      </w:r>
    </w:p>
  </w:footnote>
  <w:footnote w:id="3">
    <w:p w14:paraId="623DBCF4" w14:textId="3AFE7BAB" w:rsidR="00AD2106" w:rsidRPr="00DF0EC9" w:rsidRDefault="00AD2106">
      <w:pPr>
        <w:pStyle w:val="FootnoteText"/>
        <w:rPr>
          <w:lang w:val="en-US"/>
        </w:rPr>
      </w:pPr>
      <w:r w:rsidRPr="009249B0">
        <w:footnoteRef/>
      </w:r>
      <w:r w:rsidRPr="009249B0">
        <w:t xml:space="preserve"> </w:t>
      </w:r>
      <w:r w:rsidR="009249B0">
        <w:tab/>
      </w:r>
      <w:r w:rsidRPr="009249B0">
        <w:t>ibi</w:t>
      </w:r>
      <w:r>
        <w:rPr>
          <w:lang w:val="en-US"/>
        </w:rPr>
        <w:t>d, pp. 14-15.</w:t>
      </w:r>
    </w:p>
  </w:footnote>
  <w:footnote w:id="4">
    <w:p w14:paraId="4FB625A6" w14:textId="53AC031A" w:rsidR="00AD2106" w:rsidRPr="00BF64BE" w:rsidRDefault="00AD2106">
      <w:pPr>
        <w:pStyle w:val="FootnoteText"/>
        <w:rPr>
          <w:lang w:val="en-US"/>
        </w:rPr>
      </w:pPr>
      <w:r w:rsidRPr="00F81AC1">
        <w:footnoteRef/>
      </w:r>
      <w:r w:rsidRPr="00F81AC1">
        <w:t xml:space="preserve"> </w:t>
      </w:r>
      <w:r w:rsidR="00F81AC1">
        <w:tab/>
      </w:r>
      <w:r w:rsidRPr="00F81AC1">
        <w:t>A</w:t>
      </w:r>
      <w:r>
        <w:rPr>
          <w:lang w:val="en-US"/>
        </w:rPr>
        <w:t>EMC website, visited 31 October 2019, &lt;</w:t>
      </w:r>
      <w:hyperlink r:id="rId2" w:history="1">
        <w:r w:rsidRPr="00F81AC1">
          <w:rPr>
            <w:rStyle w:val="Hyperlink"/>
            <w:lang w:val="en-US"/>
          </w:rPr>
          <w:t>https://www.aemc.gov.au/regulation/regulation#ngo</w:t>
        </w:r>
      </w:hyperlink>
      <w:r>
        <w:rPr>
          <w:lang w:val="en-US"/>
        </w:rPr>
        <w:t xml:space="preserve">&gt;. </w:t>
      </w:r>
    </w:p>
  </w:footnote>
  <w:footnote w:id="5">
    <w:p w14:paraId="7586B880" w14:textId="57811435" w:rsidR="00AD2106" w:rsidRPr="00D14954" w:rsidRDefault="00AD2106">
      <w:pPr>
        <w:pStyle w:val="FootnoteText"/>
        <w:rPr>
          <w:lang w:val="en-US"/>
        </w:rPr>
      </w:pPr>
      <w:r w:rsidRPr="0027453F">
        <w:footnoteRef/>
      </w:r>
      <w:r w:rsidRPr="0027453F">
        <w:t xml:space="preserve"> </w:t>
      </w:r>
      <w:r w:rsidR="0027453F">
        <w:tab/>
      </w:r>
      <w:r>
        <w:t xml:space="preserve">AER, </w:t>
      </w:r>
      <w:r w:rsidRPr="00135921">
        <w:rPr>
          <w:i/>
          <w:iCs/>
        </w:rPr>
        <w:t>Better regulation: consumer engagement guideline for network service providers</w:t>
      </w:r>
      <w:r>
        <w:t>, AER, Melbourne, 2013.</w:t>
      </w:r>
    </w:p>
  </w:footnote>
  <w:footnote w:id="6">
    <w:p w14:paraId="4C60FADD" w14:textId="0DF12101" w:rsidR="00AD2106" w:rsidRPr="00747703" w:rsidRDefault="00AD2106">
      <w:pPr>
        <w:pStyle w:val="FootnoteText"/>
        <w:rPr>
          <w:lang w:val="en-US"/>
        </w:rPr>
      </w:pPr>
      <w:r w:rsidRPr="0027453F">
        <w:footnoteRef/>
      </w:r>
      <w:r w:rsidRPr="0027453F">
        <w:t xml:space="preserve"> </w:t>
      </w:r>
      <w:r w:rsidR="0027453F">
        <w:tab/>
      </w:r>
      <w:r>
        <w:rPr>
          <w:lang w:val="en-US"/>
        </w:rPr>
        <w:t xml:space="preserve">PIAC, </w:t>
      </w:r>
      <w:r w:rsidRPr="00EB6ED5">
        <w:rPr>
          <w:i/>
          <w:iCs/>
          <w:lang w:val="en-US"/>
        </w:rPr>
        <w:t>Attachment A: PIAC evaluation of consumer engagement by NSW DNSPs2017-18</w:t>
      </w:r>
      <w:r>
        <w:rPr>
          <w:lang w:val="en-US"/>
        </w:rPr>
        <w:t>, PIAC, Sydney, 2018.</w:t>
      </w:r>
    </w:p>
  </w:footnote>
  <w:footnote w:id="7">
    <w:p w14:paraId="3F84CD92" w14:textId="290DBBFE" w:rsidR="00AD2106" w:rsidRPr="00881981" w:rsidRDefault="00AD2106">
      <w:pPr>
        <w:pStyle w:val="FootnoteText"/>
        <w:rPr>
          <w:lang w:val="en-US"/>
        </w:rPr>
      </w:pPr>
      <w:r w:rsidRPr="007E356F">
        <w:footnoteRef/>
      </w:r>
      <w:r w:rsidRPr="007E356F">
        <w:t xml:space="preserve"> </w:t>
      </w:r>
      <w:r w:rsidR="007E356F">
        <w:tab/>
      </w:r>
      <w:r>
        <w:rPr>
          <w:lang w:val="en-US"/>
        </w:rPr>
        <w:t xml:space="preserve">M Ediriweera, </w:t>
      </w:r>
      <w:r w:rsidRPr="00526EE8">
        <w:rPr>
          <w:i/>
          <w:iCs/>
          <w:lang w:val="en-US"/>
        </w:rPr>
        <w:t>Giving the people what they want</w:t>
      </w:r>
      <w:r>
        <w:rPr>
          <w:lang w:val="en-US"/>
        </w:rPr>
        <w:t>, PIAC presentation to GN21 Energy Consumer Advocacy Workshop, ACTCOSS, Canberra, 27 August 2019.</w:t>
      </w:r>
    </w:p>
  </w:footnote>
  <w:footnote w:id="8">
    <w:p w14:paraId="64CF3959" w14:textId="27AF1297" w:rsidR="00AD2106" w:rsidRPr="00622FAF" w:rsidRDefault="00AD2106">
      <w:pPr>
        <w:pStyle w:val="FootnoteText"/>
        <w:rPr>
          <w:lang w:val="en-US"/>
        </w:rPr>
      </w:pPr>
      <w:r w:rsidRPr="005C1BF1">
        <w:footnoteRef/>
      </w:r>
      <w:r w:rsidRPr="005C1BF1">
        <w:t xml:space="preserve"> </w:t>
      </w:r>
      <w:r w:rsidR="005C1BF1">
        <w:tab/>
      </w:r>
      <w:r w:rsidRPr="005C1BF1">
        <w:t>i</w:t>
      </w:r>
      <w:r>
        <w:rPr>
          <w:lang w:val="en-US"/>
        </w:rPr>
        <w:t xml:space="preserve">bid. </w:t>
      </w:r>
    </w:p>
  </w:footnote>
  <w:footnote w:id="9">
    <w:p w14:paraId="7CD7E6F7" w14:textId="74D3B807" w:rsidR="00AD2106" w:rsidRPr="00A313B4" w:rsidRDefault="00AD2106">
      <w:pPr>
        <w:pStyle w:val="FootnoteText"/>
        <w:rPr>
          <w:lang w:val="en-US"/>
        </w:rPr>
      </w:pPr>
      <w:r w:rsidRPr="00C53E51">
        <w:footnoteRef/>
      </w:r>
      <w:r w:rsidRPr="00C53E51">
        <w:t xml:space="preserve"> </w:t>
      </w:r>
      <w:r w:rsidR="00C53E51">
        <w:tab/>
      </w:r>
      <w:r w:rsidRPr="00C53E51">
        <w:t xml:space="preserve">S </w:t>
      </w:r>
      <w:r>
        <w:rPr>
          <w:lang w:val="en-US"/>
        </w:rPr>
        <w:t>Ashe (Energy Consumers Australia), email, 27 August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C6113" w14:textId="72A6A749" w:rsidR="00AD2106" w:rsidRDefault="00AD2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4E48A18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339A296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7113BD3"/>
    <w:multiLevelType w:val="hybridMultilevel"/>
    <w:tmpl w:val="AEC4176C"/>
    <w:lvl w:ilvl="0" w:tplc="98AA18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09472074"/>
    <w:multiLevelType w:val="hybridMultilevel"/>
    <w:tmpl w:val="51300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5" w15:restartNumberingAfterBreak="0">
    <w:nsid w:val="16B43D10"/>
    <w:multiLevelType w:val="hybridMultilevel"/>
    <w:tmpl w:val="901C2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7D4190"/>
    <w:multiLevelType w:val="hybridMultilevel"/>
    <w:tmpl w:val="F02C80B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2557232D"/>
    <w:multiLevelType w:val="multilevel"/>
    <w:tmpl w:val="41CED7D2"/>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282C67C9"/>
    <w:multiLevelType w:val="hybridMultilevel"/>
    <w:tmpl w:val="DE20EE0E"/>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3"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5" w15:restartNumberingAfterBreak="0">
    <w:nsid w:val="451D2E9D"/>
    <w:multiLevelType w:val="hybridMultilevel"/>
    <w:tmpl w:val="106A18F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6"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8"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9"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0"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1"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32"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33"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12"/>
  </w:num>
  <w:num w:numId="3">
    <w:abstractNumId w:val="28"/>
  </w:num>
  <w:num w:numId="4">
    <w:abstractNumId w:val="26"/>
  </w:num>
  <w:num w:numId="5">
    <w:abstractNumId w:val="24"/>
  </w:num>
  <w:num w:numId="6">
    <w:abstractNumId w:val="27"/>
  </w:num>
  <w:num w:numId="7">
    <w:abstractNumId w:val="14"/>
  </w:num>
  <w:num w:numId="8">
    <w:abstractNumId w:val="31"/>
  </w:num>
  <w:num w:numId="9">
    <w:abstractNumId w:val="11"/>
  </w:num>
  <w:num w:numId="10">
    <w:abstractNumId w:val="30"/>
  </w:num>
  <w:num w:numId="11">
    <w:abstractNumId w:val="13"/>
  </w:num>
  <w:num w:numId="12">
    <w:abstractNumId w:val="6"/>
  </w:num>
  <w:num w:numId="13">
    <w:abstractNumId w:val="29"/>
  </w:num>
  <w:num w:numId="14">
    <w:abstractNumId w:val="17"/>
  </w:num>
  <w:num w:numId="15">
    <w:abstractNumId w:val="19"/>
  </w:num>
  <w:num w:numId="16">
    <w:abstractNumId w:val="7"/>
  </w:num>
  <w:num w:numId="17">
    <w:abstractNumId w:val="23"/>
  </w:num>
  <w:num w:numId="18">
    <w:abstractNumId w:val="4"/>
  </w:num>
  <w:num w:numId="19">
    <w:abstractNumId w:val="2"/>
  </w:num>
  <w:num w:numId="20">
    <w:abstractNumId w:val="1"/>
  </w:num>
  <w:num w:numId="21">
    <w:abstractNumId w:val="3"/>
  </w:num>
  <w:num w:numId="22">
    <w:abstractNumId w:val="0"/>
  </w:num>
  <w:num w:numId="23">
    <w:abstractNumId w:val="22"/>
  </w:num>
  <w:num w:numId="24">
    <w:abstractNumId w:val="33"/>
  </w:num>
  <w:num w:numId="25">
    <w:abstractNumId w:val="32"/>
  </w:num>
  <w:num w:numId="26">
    <w:abstractNumId w:val="21"/>
  </w:num>
  <w:num w:numId="27">
    <w:abstractNumId w:val="5"/>
  </w:num>
  <w:num w:numId="28">
    <w:abstractNumId w:val="18"/>
  </w:num>
  <w:num w:numId="29">
    <w:abstractNumId w:val="20"/>
  </w:num>
  <w:num w:numId="30">
    <w:abstractNumId w:val="8"/>
  </w:num>
  <w:num w:numId="31">
    <w:abstractNumId w:val="16"/>
  </w:num>
  <w:num w:numId="32">
    <w:abstractNumId w:val="15"/>
  </w:num>
  <w:num w:numId="33">
    <w:abstractNumId w:val="25"/>
  </w:num>
  <w:num w:numId="34">
    <w:abstractNumId w:val="10"/>
  </w:num>
  <w:num w:numId="35">
    <w:abstractNumId w:val="9"/>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A8"/>
    <w:rsid w:val="0000015B"/>
    <w:rsid w:val="00000585"/>
    <w:rsid w:val="00001157"/>
    <w:rsid w:val="00001CC1"/>
    <w:rsid w:val="0000255E"/>
    <w:rsid w:val="000027A8"/>
    <w:rsid w:val="00002C41"/>
    <w:rsid w:val="00003B11"/>
    <w:rsid w:val="000040BA"/>
    <w:rsid w:val="00004697"/>
    <w:rsid w:val="000046DD"/>
    <w:rsid w:val="00004C9A"/>
    <w:rsid w:val="0000517C"/>
    <w:rsid w:val="0000588C"/>
    <w:rsid w:val="00005A28"/>
    <w:rsid w:val="00005AF7"/>
    <w:rsid w:val="00005B30"/>
    <w:rsid w:val="00005FF4"/>
    <w:rsid w:val="000063D2"/>
    <w:rsid w:val="0000693D"/>
    <w:rsid w:val="00006B64"/>
    <w:rsid w:val="00007467"/>
    <w:rsid w:val="00007AF0"/>
    <w:rsid w:val="00010F14"/>
    <w:rsid w:val="000116AF"/>
    <w:rsid w:val="00011872"/>
    <w:rsid w:val="00011B78"/>
    <w:rsid w:val="000120D3"/>
    <w:rsid w:val="00012360"/>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0483"/>
    <w:rsid w:val="00020C5D"/>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26C"/>
    <w:rsid w:val="00026723"/>
    <w:rsid w:val="00026A30"/>
    <w:rsid w:val="0002726C"/>
    <w:rsid w:val="0002768E"/>
    <w:rsid w:val="00030229"/>
    <w:rsid w:val="000302A3"/>
    <w:rsid w:val="0003057E"/>
    <w:rsid w:val="00030AAE"/>
    <w:rsid w:val="0003165D"/>
    <w:rsid w:val="00031BCD"/>
    <w:rsid w:val="00031E30"/>
    <w:rsid w:val="00031E69"/>
    <w:rsid w:val="00031F38"/>
    <w:rsid w:val="00031FE2"/>
    <w:rsid w:val="000320C0"/>
    <w:rsid w:val="000321A5"/>
    <w:rsid w:val="000321B4"/>
    <w:rsid w:val="000321B7"/>
    <w:rsid w:val="00032F54"/>
    <w:rsid w:val="0003306C"/>
    <w:rsid w:val="0003344E"/>
    <w:rsid w:val="00033717"/>
    <w:rsid w:val="00033E4C"/>
    <w:rsid w:val="00033F0F"/>
    <w:rsid w:val="000340E0"/>
    <w:rsid w:val="000343C8"/>
    <w:rsid w:val="0003459F"/>
    <w:rsid w:val="00034610"/>
    <w:rsid w:val="00034E48"/>
    <w:rsid w:val="0003516D"/>
    <w:rsid w:val="000355EE"/>
    <w:rsid w:val="00035679"/>
    <w:rsid w:val="000358E8"/>
    <w:rsid w:val="00035ABC"/>
    <w:rsid w:val="00036236"/>
    <w:rsid w:val="00036701"/>
    <w:rsid w:val="00036EFE"/>
    <w:rsid w:val="000370FC"/>
    <w:rsid w:val="000372C0"/>
    <w:rsid w:val="00037427"/>
    <w:rsid w:val="00037BE6"/>
    <w:rsid w:val="00040A4C"/>
    <w:rsid w:val="00040CFB"/>
    <w:rsid w:val="00040DD7"/>
    <w:rsid w:val="00040F25"/>
    <w:rsid w:val="00041541"/>
    <w:rsid w:val="000418AF"/>
    <w:rsid w:val="00041985"/>
    <w:rsid w:val="00041995"/>
    <w:rsid w:val="00041BF1"/>
    <w:rsid w:val="00041F28"/>
    <w:rsid w:val="00042382"/>
    <w:rsid w:val="00042880"/>
    <w:rsid w:val="0004296C"/>
    <w:rsid w:val="00042D05"/>
    <w:rsid w:val="00042E96"/>
    <w:rsid w:val="00043919"/>
    <w:rsid w:val="00043CF4"/>
    <w:rsid w:val="00043D22"/>
    <w:rsid w:val="00043F97"/>
    <w:rsid w:val="00044716"/>
    <w:rsid w:val="000447F4"/>
    <w:rsid w:val="00044A07"/>
    <w:rsid w:val="00044D90"/>
    <w:rsid w:val="0004507D"/>
    <w:rsid w:val="0004539E"/>
    <w:rsid w:val="000454CC"/>
    <w:rsid w:val="00046C0E"/>
    <w:rsid w:val="00046F42"/>
    <w:rsid w:val="000471FF"/>
    <w:rsid w:val="00047B01"/>
    <w:rsid w:val="000503BF"/>
    <w:rsid w:val="00050620"/>
    <w:rsid w:val="000506CD"/>
    <w:rsid w:val="00050C3C"/>
    <w:rsid w:val="00050C8F"/>
    <w:rsid w:val="00050D10"/>
    <w:rsid w:val="00050E6A"/>
    <w:rsid w:val="00051602"/>
    <w:rsid w:val="00051FC1"/>
    <w:rsid w:val="0005220F"/>
    <w:rsid w:val="0005340A"/>
    <w:rsid w:val="00053BED"/>
    <w:rsid w:val="00054130"/>
    <w:rsid w:val="00054338"/>
    <w:rsid w:val="000546C5"/>
    <w:rsid w:val="00054AD4"/>
    <w:rsid w:val="00054B89"/>
    <w:rsid w:val="0005505B"/>
    <w:rsid w:val="000550EC"/>
    <w:rsid w:val="0005513A"/>
    <w:rsid w:val="000553B2"/>
    <w:rsid w:val="00055A5F"/>
    <w:rsid w:val="00055D5E"/>
    <w:rsid w:val="00056271"/>
    <w:rsid w:val="0005636F"/>
    <w:rsid w:val="0005637E"/>
    <w:rsid w:val="0005647A"/>
    <w:rsid w:val="00056819"/>
    <w:rsid w:val="00056969"/>
    <w:rsid w:val="00056D1F"/>
    <w:rsid w:val="000574A2"/>
    <w:rsid w:val="000576F3"/>
    <w:rsid w:val="00057763"/>
    <w:rsid w:val="00057869"/>
    <w:rsid w:val="00057BF2"/>
    <w:rsid w:val="00060934"/>
    <w:rsid w:val="00060E6E"/>
    <w:rsid w:val="00060F36"/>
    <w:rsid w:val="00060F8B"/>
    <w:rsid w:val="00060FF2"/>
    <w:rsid w:val="0006183F"/>
    <w:rsid w:val="00061BD0"/>
    <w:rsid w:val="00061DBB"/>
    <w:rsid w:val="00061F5A"/>
    <w:rsid w:val="000622B1"/>
    <w:rsid w:val="00062C33"/>
    <w:rsid w:val="00063064"/>
    <w:rsid w:val="000631D9"/>
    <w:rsid w:val="0006342A"/>
    <w:rsid w:val="0006399D"/>
    <w:rsid w:val="00063DF4"/>
    <w:rsid w:val="00063EE6"/>
    <w:rsid w:val="0006459D"/>
    <w:rsid w:val="000646B1"/>
    <w:rsid w:val="0006512C"/>
    <w:rsid w:val="000655EA"/>
    <w:rsid w:val="000659DC"/>
    <w:rsid w:val="000659F1"/>
    <w:rsid w:val="00065AF2"/>
    <w:rsid w:val="00066893"/>
    <w:rsid w:val="00066F37"/>
    <w:rsid w:val="00067018"/>
    <w:rsid w:val="00067248"/>
    <w:rsid w:val="00067529"/>
    <w:rsid w:val="000677B2"/>
    <w:rsid w:val="000677DE"/>
    <w:rsid w:val="00067900"/>
    <w:rsid w:val="00067A96"/>
    <w:rsid w:val="0007009E"/>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74E"/>
    <w:rsid w:val="00074F40"/>
    <w:rsid w:val="0007534D"/>
    <w:rsid w:val="00075471"/>
    <w:rsid w:val="000755E9"/>
    <w:rsid w:val="000762BD"/>
    <w:rsid w:val="000769C8"/>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4ADF"/>
    <w:rsid w:val="00084C86"/>
    <w:rsid w:val="0008599F"/>
    <w:rsid w:val="00085D47"/>
    <w:rsid w:val="00085EEB"/>
    <w:rsid w:val="00085F3A"/>
    <w:rsid w:val="00086280"/>
    <w:rsid w:val="0008672D"/>
    <w:rsid w:val="0008683F"/>
    <w:rsid w:val="00086BE3"/>
    <w:rsid w:val="00086DBE"/>
    <w:rsid w:val="00086E1B"/>
    <w:rsid w:val="00087011"/>
    <w:rsid w:val="0008705F"/>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2C6"/>
    <w:rsid w:val="00097534"/>
    <w:rsid w:val="00097786"/>
    <w:rsid w:val="000A0120"/>
    <w:rsid w:val="000A056E"/>
    <w:rsid w:val="000A1410"/>
    <w:rsid w:val="000A1539"/>
    <w:rsid w:val="000A161D"/>
    <w:rsid w:val="000A1709"/>
    <w:rsid w:val="000A1786"/>
    <w:rsid w:val="000A21CD"/>
    <w:rsid w:val="000A2225"/>
    <w:rsid w:val="000A2D6F"/>
    <w:rsid w:val="000A3386"/>
    <w:rsid w:val="000A34B6"/>
    <w:rsid w:val="000A34E1"/>
    <w:rsid w:val="000A3862"/>
    <w:rsid w:val="000A3ABE"/>
    <w:rsid w:val="000A3BFE"/>
    <w:rsid w:val="000A3DD1"/>
    <w:rsid w:val="000A435D"/>
    <w:rsid w:val="000A4B05"/>
    <w:rsid w:val="000A501C"/>
    <w:rsid w:val="000A5475"/>
    <w:rsid w:val="000A59FF"/>
    <w:rsid w:val="000A5C70"/>
    <w:rsid w:val="000A5F59"/>
    <w:rsid w:val="000A61ED"/>
    <w:rsid w:val="000A65BC"/>
    <w:rsid w:val="000A6756"/>
    <w:rsid w:val="000A762F"/>
    <w:rsid w:val="000A7647"/>
    <w:rsid w:val="000A76C9"/>
    <w:rsid w:val="000A7934"/>
    <w:rsid w:val="000A7A09"/>
    <w:rsid w:val="000A7F11"/>
    <w:rsid w:val="000B0144"/>
    <w:rsid w:val="000B0386"/>
    <w:rsid w:val="000B039C"/>
    <w:rsid w:val="000B07D4"/>
    <w:rsid w:val="000B0965"/>
    <w:rsid w:val="000B1357"/>
    <w:rsid w:val="000B16EF"/>
    <w:rsid w:val="000B1876"/>
    <w:rsid w:val="000B2114"/>
    <w:rsid w:val="000B2A20"/>
    <w:rsid w:val="000B2AF8"/>
    <w:rsid w:val="000B35E3"/>
    <w:rsid w:val="000B4051"/>
    <w:rsid w:val="000B4177"/>
    <w:rsid w:val="000B47E4"/>
    <w:rsid w:val="000B4866"/>
    <w:rsid w:val="000B4A23"/>
    <w:rsid w:val="000B54FC"/>
    <w:rsid w:val="000B58B6"/>
    <w:rsid w:val="000B5CDA"/>
    <w:rsid w:val="000B69F9"/>
    <w:rsid w:val="000B6A91"/>
    <w:rsid w:val="000B6F08"/>
    <w:rsid w:val="000B705F"/>
    <w:rsid w:val="000B7BA2"/>
    <w:rsid w:val="000C03B8"/>
    <w:rsid w:val="000C06D1"/>
    <w:rsid w:val="000C0C16"/>
    <w:rsid w:val="000C0D40"/>
    <w:rsid w:val="000C1329"/>
    <w:rsid w:val="000C13B0"/>
    <w:rsid w:val="000C1B6B"/>
    <w:rsid w:val="000C22A7"/>
    <w:rsid w:val="000C363D"/>
    <w:rsid w:val="000C37C8"/>
    <w:rsid w:val="000C52BB"/>
    <w:rsid w:val="000C5437"/>
    <w:rsid w:val="000C57A3"/>
    <w:rsid w:val="000C5B05"/>
    <w:rsid w:val="000C5BD7"/>
    <w:rsid w:val="000C5D11"/>
    <w:rsid w:val="000C60EE"/>
    <w:rsid w:val="000C662B"/>
    <w:rsid w:val="000C7B0F"/>
    <w:rsid w:val="000C7C48"/>
    <w:rsid w:val="000D0B03"/>
    <w:rsid w:val="000D0F69"/>
    <w:rsid w:val="000D108B"/>
    <w:rsid w:val="000D1282"/>
    <w:rsid w:val="000D18EB"/>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5F15"/>
    <w:rsid w:val="000D6BB1"/>
    <w:rsid w:val="000D71DB"/>
    <w:rsid w:val="000D7415"/>
    <w:rsid w:val="000D7E9E"/>
    <w:rsid w:val="000E0D39"/>
    <w:rsid w:val="000E0D95"/>
    <w:rsid w:val="000E1A65"/>
    <w:rsid w:val="000E1A74"/>
    <w:rsid w:val="000E1C2E"/>
    <w:rsid w:val="000E203E"/>
    <w:rsid w:val="000E208D"/>
    <w:rsid w:val="000E20E8"/>
    <w:rsid w:val="000E25AA"/>
    <w:rsid w:val="000E2C55"/>
    <w:rsid w:val="000E2FA3"/>
    <w:rsid w:val="000E31E8"/>
    <w:rsid w:val="000E3698"/>
    <w:rsid w:val="000E36BA"/>
    <w:rsid w:val="000E3D46"/>
    <w:rsid w:val="000E3E97"/>
    <w:rsid w:val="000E4798"/>
    <w:rsid w:val="000E4AAD"/>
    <w:rsid w:val="000E4F34"/>
    <w:rsid w:val="000E51B4"/>
    <w:rsid w:val="000E5AC7"/>
    <w:rsid w:val="000E5ED1"/>
    <w:rsid w:val="000E5F84"/>
    <w:rsid w:val="000E610D"/>
    <w:rsid w:val="000E6774"/>
    <w:rsid w:val="000E78F7"/>
    <w:rsid w:val="000F098E"/>
    <w:rsid w:val="000F0AA6"/>
    <w:rsid w:val="000F14F7"/>
    <w:rsid w:val="000F1A19"/>
    <w:rsid w:val="000F1CDC"/>
    <w:rsid w:val="000F262E"/>
    <w:rsid w:val="000F27FF"/>
    <w:rsid w:val="000F39F4"/>
    <w:rsid w:val="000F4692"/>
    <w:rsid w:val="000F4EDC"/>
    <w:rsid w:val="000F4F71"/>
    <w:rsid w:val="000F5085"/>
    <w:rsid w:val="000F56AC"/>
    <w:rsid w:val="000F5B27"/>
    <w:rsid w:val="000F5FDF"/>
    <w:rsid w:val="000F6BDC"/>
    <w:rsid w:val="000F6DC9"/>
    <w:rsid w:val="000F71B8"/>
    <w:rsid w:val="000F73C5"/>
    <w:rsid w:val="0010017B"/>
    <w:rsid w:val="00100494"/>
    <w:rsid w:val="0010082A"/>
    <w:rsid w:val="00100B87"/>
    <w:rsid w:val="00100C37"/>
    <w:rsid w:val="00100C86"/>
    <w:rsid w:val="00101373"/>
    <w:rsid w:val="00101589"/>
    <w:rsid w:val="001017B4"/>
    <w:rsid w:val="001027CF"/>
    <w:rsid w:val="00102A07"/>
    <w:rsid w:val="00102D95"/>
    <w:rsid w:val="00102D9C"/>
    <w:rsid w:val="00103BE9"/>
    <w:rsid w:val="00103FC7"/>
    <w:rsid w:val="001040E9"/>
    <w:rsid w:val="001040EC"/>
    <w:rsid w:val="00104C21"/>
    <w:rsid w:val="00104FBE"/>
    <w:rsid w:val="001052A2"/>
    <w:rsid w:val="001056BD"/>
    <w:rsid w:val="0010628C"/>
    <w:rsid w:val="00106F30"/>
    <w:rsid w:val="00107469"/>
    <w:rsid w:val="00107A8C"/>
    <w:rsid w:val="00111019"/>
    <w:rsid w:val="001112E3"/>
    <w:rsid w:val="00111608"/>
    <w:rsid w:val="0011178F"/>
    <w:rsid w:val="00111DEF"/>
    <w:rsid w:val="00112027"/>
    <w:rsid w:val="001120E4"/>
    <w:rsid w:val="00112C38"/>
    <w:rsid w:val="00112D44"/>
    <w:rsid w:val="00112D70"/>
    <w:rsid w:val="00113216"/>
    <w:rsid w:val="00113510"/>
    <w:rsid w:val="001135C2"/>
    <w:rsid w:val="00113866"/>
    <w:rsid w:val="00113BAA"/>
    <w:rsid w:val="00114787"/>
    <w:rsid w:val="001148A7"/>
    <w:rsid w:val="00114932"/>
    <w:rsid w:val="00114A59"/>
    <w:rsid w:val="00114D34"/>
    <w:rsid w:val="00115181"/>
    <w:rsid w:val="001151E6"/>
    <w:rsid w:val="00115270"/>
    <w:rsid w:val="001157D9"/>
    <w:rsid w:val="00115C21"/>
    <w:rsid w:val="00116097"/>
    <w:rsid w:val="0011629A"/>
    <w:rsid w:val="0011641A"/>
    <w:rsid w:val="0011643D"/>
    <w:rsid w:val="00116AB3"/>
    <w:rsid w:val="00116D55"/>
    <w:rsid w:val="00116F58"/>
    <w:rsid w:val="00117F25"/>
    <w:rsid w:val="001204E3"/>
    <w:rsid w:val="001205A1"/>
    <w:rsid w:val="001205A4"/>
    <w:rsid w:val="0012090C"/>
    <w:rsid w:val="00120DE1"/>
    <w:rsid w:val="001213A3"/>
    <w:rsid w:val="00121608"/>
    <w:rsid w:val="0012177B"/>
    <w:rsid w:val="00121AE3"/>
    <w:rsid w:val="00121D44"/>
    <w:rsid w:val="00122740"/>
    <w:rsid w:val="00122DF0"/>
    <w:rsid w:val="001232C5"/>
    <w:rsid w:val="00123B15"/>
    <w:rsid w:val="001244FA"/>
    <w:rsid w:val="0012505F"/>
    <w:rsid w:val="001250CD"/>
    <w:rsid w:val="001254E9"/>
    <w:rsid w:val="00125B92"/>
    <w:rsid w:val="00125C11"/>
    <w:rsid w:val="00125D2E"/>
    <w:rsid w:val="00126713"/>
    <w:rsid w:val="00126D22"/>
    <w:rsid w:val="001270EE"/>
    <w:rsid w:val="0012720B"/>
    <w:rsid w:val="0012759C"/>
    <w:rsid w:val="0012762E"/>
    <w:rsid w:val="00127766"/>
    <w:rsid w:val="0012790F"/>
    <w:rsid w:val="00127A0B"/>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7CA"/>
    <w:rsid w:val="00134B44"/>
    <w:rsid w:val="00134D46"/>
    <w:rsid w:val="00135921"/>
    <w:rsid w:val="00135A61"/>
    <w:rsid w:val="00135E66"/>
    <w:rsid w:val="0013637B"/>
    <w:rsid w:val="0013639C"/>
    <w:rsid w:val="0013698C"/>
    <w:rsid w:val="00136E81"/>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A41"/>
    <w:rsid w:val="00144FA2"/>
    <w:rsid w:val="001452BE"/>
    <w:rsid w:val="0014538A"/>
    <w:rsid w:val="001454B7"/>
    <w:rsid w:val="00145532"/>
    <w:rsid w:val="00145717"/>
    <w:rsid w:val="00146E81"/>
    <w:rsid w:val="001473CD"/>
    <w:rsid w:val="00147756"/>
    <w:rsid w:val="00147AB7"/>
    <w:rsid w:val="0015006B"/>
    <w:rsid w:val="001503A1"/>
    <w:rsid w:val="00150904"/>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900"/>
    <w:rsid w:val="00160947"/>
    <w:rsid w:val="00160AD9"/>
    <w:rsid w:val="001610FE"/>
    <w:rsid w:val="0016115D"/>
    <w:rsid w:val="0016197C"/>
    <w:rsid w:val="00161ABA"/>
    <w:rsid w:val="00161F07"/>
    <w:rsid w:val="0016245C"/>
    <w:rsid w:val="0016318D"/>
    <w:rsid w:val="00163482"/>
    <w:rsid w:val="0016363B"/>
    <w:rsid w:val="001647AD"/>
    <w:rsid w:val="00164895"/>
    <w:rsid w:val="001648A4"/>
    <w:rsid w:val="00164BD0"/>
    <w:rsid w:val="00164BE7"/>
    <w:rsid w:val="00165605"/>
    <w:rsid w:val="00165792"/>
    <w:rsid w:val="001659AB"/>
    <w:rsid w:val="00165ABE"/>
    <w:rsid w:val="00165F8F"/>
    <w:rsid w:val="0016628A"/>
    <w:rsid w:val="00166D83"/>
    <w:rsid w:val="00166F8E"/>
    <w:rsid w:val="00167200"/>
    <w:rsid w:val="001704BE"/>
    <w:rsid w:val="00170817"/>
    <w:rsid w:val="00170C02"/>
    <w:rsid w:val="00170CE5"/>
    <w:rsid w:val="00172183"/>
    <w:rsid w:val="00172874"/>
    <w:rsid w:val="001728CB"/>
    <w:rsid w:val="00172970"/>
    <w:rsid w:val="0017327A"/>
    <w:rsid w:val="001734E3"/>
    <w:rsid w:val="001734E5"/>
    <w:rsid w:val="00173CE1"/>
    <w:rsid w:val="00174751"/>
    <w:rsid w:val="001747DD"/>
    <w:rsid w:val="00174FC8"/>
    <w:rsid w:val="001751C7"/>
    <w:rsid w:val="001761B3"/>
    <w:rsid w:val="00176412"/>
    <w:rsid w:val="00176562"/>
    <w:rsid w:val="001774D8"/>
    <w:rsid w:val="00177588"/>
    <w:rsid w:val="001779C5"/>
    <w:rsid w:val="00177FC3"/>
    <w:rsid w:val="001800E6"/>
    <w:rsid w:val="001800FA"/>
    <w:rsid w:val="001809B3"/>
    <w:rsid w:val="00180A90"/>
    <w:rsid w:val="0018115D"/>
    <w:rsid w:val="00181C54"/>
    <w:rsid w:val="001822D7"/>
    <w:rsid w:val="0018260E"/>
    <w:rsid w:val="00182F1F"/>
    <w:rsid w:val="00182FE7"/>
    <w:rsid w:val="00183229"/>
    <w:rsid w:val="00183456"/>
    <w:rsid w:val="00183779"/>
    <w:rsid w:val="00183F6B"/>
    <w:rsid w:val="001845B2"/>
    <w:rsid w:val="00185011"/>
    <w:rsid w:val="001852B7"/>
    <w:rsid w:val="00185509"/>
    <w:rsid w:val="0018574B"/>
    <w:rsid w:val="00186CFD"/>
    <w:rsid w:val="001870E5"/>
    <w:rsid w:val="0018739F"/>
    <w:rsid w:val="001875F8"/>
    <w:rsid w:val="00187A6C"/>
    <w:rsid w:val="00187BBF"/>
    <w:rsid w:val="00187CBC"/>
    <w:rsid w:val="0019036A"/>
    <w:rsid w:val="00190D7B"/>
    <w:rsid w:val="0019104D"/>
    <w:rsid w:val="00191DCE"/>
    <w:rsid w:val="00192451"/>
    <w:rsid w:val="0019257F"/>
    <w:rsid w:val="00192C79"/>
    <w:rsid w:val="001930AB"/>
    <w:rsid w:val="00193B91"/>
    <w:rsid w:val="00193ED3"/>
    <w:rsid w:val="00194097"/>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2F2"/>
    <w:rsid w:val="001A0305"/>
    <w:rsid w:val="001A0F4E"/>
    <w:rsid w:val="001A0FF4"/>
    <w:rsid w:val="001A120B"/>
    <w:rsid w:val="001A13C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734"/>
    <w:rsid w:val="001A47A1"/>
    <w:rsid w:val="001A4E85"/>
    <w:rsid w:val="001A4EF6"/>
    <w:rsid w:val="001A52A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E2F"/>
    <w:rsid w:val="001B2F70"/>
    <w:rsid w:val="001B2FCD"/>
    <w:rsid w:val="001B3723"/>
    <w:rsid w:val="001B3BDD"/>
    <w:rsid w:val="001B3D3F"/>
    <w:rsid w:val="001B3DA9"/>
    <w:rsid w:val="001B4908"/>
    <w:rsid w:val="001B4A5C"/>
    <w:rsid w:val="001B5035"/>
    <w:rsid w:val="001B5137"/>
    <w:rsid w:val="001B5490"/>
    <w:rsid w:val="001B55E6"/>
    <w:rsid w:val="001B5DBF"/>
    <w:rsid w:val="001B707A"/>
    <w:rsid w:val="001B74C0"/>
    <w:rsid w:val="001B76ED"/>
    <w:rsid w:val="001B7AC6"/>
    <w:rsid w:val="001B7C0E"/>
    <w:rsid w:val="001C017E"/>
    <w:rsid w:val="001C01A5"/>
    <w:rsid w:val="001C061C"/>
    <w:rsid w:val="001C0DCF"/>
    <w:rsid w:val="001C177B"/>
    <w:rsid w:val="001C1796"/>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5D0B"/>
    <w:rsid w:val="001C69F0"/>
    <w:rsid w:val="001C6AF4"/>
    <w:rsid w:val="001C75E9"/>
    <w:rsid w:val="001C7C79"/>
    <w:rsid w:val="001C7CBE"/>
    <w:rsid w:val="001C7D84"/>
    <w:rsid w:val="001D01D4"/>
    <w:rsid w:val="001D08F7"/>
    <w:rsid w:val="001D0975"/>
    <w:rsid w:val="001D0ADC"/>
    <w:rsid w:val="001D0FDD"/>
    <w:rsid w:val="001D17FD"/>
    <w:rsid w:val="001D1843"/>
    <w:rsid w:val="001D1E2C"/>
    <w:rsid w:val="001D1E89"/>
    <w:rsid w:val="001D2019"/>
    <w:rsid w:val="001D2123"/>
    <w:rsid w:val="001D25AB"/>
    <w:rsid w:val="001D2928"/>
    <w:rsid w:val="001D31C1"/>
    <w:rsid w:val="001D35F6"/>
    <w:rsid w:val="001D3902"/>
    <w:rsid w:val="001D3EEA"/>
    <w:rsid w:val="001D4272"/>
    <w:rsid w:val="001D4930"/>
    <w:rsid w:val="001D50B3"/>
    <w:rsid w:val="001D52A0"/>
    <w:rsid w:val="001D5767"/>
    <w:rsid w:val="001D58ED"/>
    <w:rsid w:val="001D5CCF"/>
    <w:rsid w:val="001D6D28"/>
    <w:rsid w:val="001D6EEF"/>
    <w:rsid w:val="001E05EA"/>
    <w:rsid w:val="001E1035"/>
    <w:rsid w:val="001E119E"/>
    <w:rsid w:val="001E186A"/>
    <w:rsid w:val="001E1990"/>
    <w:rsid w:val="001E1A2C"/>
    <w:rsid w:val="001E1F60"/>
    <w:rsid w:val="001E20E6"/>
    <w:rsid w:val="001E2886"/>
    <w:rsid w:val="001E3E0C"/>
    <w:rsid w:val="001E3FA1"/>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AF0"/>
    <w:rsid w:val="001E7E3C"/>
    <w:rsid w:val="001F0485"/>
    <w:rsid w:val="001F0CD7"/>
    <w:rsid w:val="001F0CE3"/>
    <w:rsid w:val="001F0D72"/>
    <w:rsid w:val="001F0DBC"/>
    <w:rsid w:val="001F1049"/>
    <w:rsid w:val="001F1192"/>
    <w:rsid w:val="001F15DF"/>
    <w:rsid w:val="001F16F2"/>
    <w:rsid w:val="001F1A50"/>
    <w:rsid w:val="001F1F59"/>
    <w:rsid w:val="001F2404"/>
    <w:rsid w:val="001F2C64"/>
    <w:rsid w:val="001F2CDD"/>
    <w:rsid w:val="001F3232"/>
    <w:rsid w:val="001F374E"/>
    <w:rsid w:val="001F3948"/>
    <w:rsid w:val="001F3B58"/>
    <w:rsid w:val="001F3F33"/>
    <w:rsid w:val="001F40D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480"/>
    <w:rsid w:val="0020072D"/>
    <w:rsid w:val="0020082D"/>
    <w:rsid w:val="00200D28"/>
    <w:rsid w:val="00201216"/>
    <w:rsid w:val="002013C2"/>
    <w:rsid w:val="0020160B"/>
    <w:rsid w:val="00201783"/>
    <w:rsid w:val="00201D57"/>
    <w:rsid w:val="00202337"/>
    <w:rsid w:val="002024C5"/>
    <w:rsid w:val="002025DA"/>
    <w:rsid w:val="00203060"/>
    <w:rsid w:val="0020314B"/>
    <w:rsid w:val="002035EC"/>
    <w:rsid w:val="002037E3"/>
    <w:rsid w:val="00203A60"/>
    <w:rsid w:val="00203D00"/>
    <w:rsid w:val="00204192"/>
    <w:rsid w:val="00204E4E"/>
    <w:rsid w:val="00205671"/>
    <w:rsid w:val="00205D80"/>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2674"/>
    <w:rsid w:val="00212CC0"/>
    <w:rsid w:val="0021378D"/>
    <w:rsid w:val="00213C36"/>
    <w:rsid w:val="00213D6A"/>
    <w:rsid w:val="00213EE7"/>
    <w:rsid w:val="00214B9A"/>
    <w:rsid w:val="00214ED9"/>
    <w:rsid w:val="00215534"/>
    <w:rsid w:val="002156C9"/>
    <w:rsid w:val="00215AE8"/>
    <w:rsid w:val="002179F6"/>
    <w:rsid w:val="00220240"/>
    <w:rsid w:val="002208BA"/>
    <w:rsid w:val="00220F80"/>
    <w:rsid w:val="002212FD"/>
    <w:rsid w:val="0022174A"/>
    <w:rsid w:val="002219CD"/>
    <w:rsid w:val="00221DC9"/>
    <w:rsid w:val="00222321"/>
    <w:rsid w:val="00222565"/>
    <w:rsid w:val="00222CE1"/>
    <w:rsid w:val="00222E88"/>
    <w:rsid w:val="002234C2"/>
    <w:rsid w:val="00223CC2"/>
    <w:rsid w:val="002243E1"/>
    <w:rsid w:val="002244B7"/>
    <w:rsid w:val="00224FB2"/>
    <w:rsid w:val="0022506C"/>
    <w:rsid w:val="00225085"/>
    <w:rsid w:val="002252EC"/>
    <w:rsid w:val="00225451"/>
    <w:rsid w:val="002254F6"/>
    <w:rsid w:val="002261C9"/>
    <w:rsid w:val="00226FEF"/>
    <w:rsid w:val="00227061"/>
    <w:rsid w:val="002272FA"/>
    <w:rsid w:val="00227626"/>
    <w:rsid w:val="00227630"/>
    <w:rsid w:val="00227D01"/>
    <w:rsid w:val="00230355"/>
    <w:rsid w:val="00230854"/>
    <w:rsid w:val="00231640"/>
    <w:rsid w:val="00231AF3"/>
    <w:rsid w:val="00231BCE"/>
    <w:rsid w:val="002329E2"/>
    <w:rsid w:val="00232AE3"/>
    <w:rsid w:val="00232B10"/>
    <w:rsid w:val="00232FF4"/>
    <w:rsid w:val="002330E4"/>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372A1"/>
    <w:rsid w:val="00240658"/>
    <w:rsid w:val="0024066C"/>
    <w:rsid w:val="00240EA7"/>
    <w:rsid w:val="00241283"/>
    <w:rsid w:val="002413BF"/>
    <w:rsid w:val="002418DA"/>
    <w:rsid w:val="00241CF7"/>
    <w:rsid w:val="00241D76"/>
    <w:rsid w:val="002427A4"/>
    <w:rsid w:val="00242F1F"/>
    <w:rsid w:val="002431A5"/>
    <w:rsid w:val="0024387E"/>
    <w:rsid w:val="00243E6D"/>
    <w:rsid w:val="00243EEF"/>
    <w:rsid w:val="0024420E"/>
    <w:rsid w:val="00245019"/>
    <w:rsid w:val="00245475"/>
    <w:rsid w:val="00245A7F"/>
    <w:rsid w:val="00245ADA"/>
    <w:rsid w:val="00246869"/>
    <w:rsid w:val="00246C9A"/>
    <w:rsid w:val="002478AE"/>
    <w:rsid w:val="002478E4"/>
    <w:rsid w:val="002479B4"/>
    <w:rsid w:val="00250702"/>
    <w:rsid w:val="002507B5"/>
    <w:rsid w:val="00250BC1"/>
    <w:rsid w:val="00250F34"/>
    <w:rsid w:val="0025148C"/>
    <w:rsid w:val="0025249C"/>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7376"/>
    <w:rsid w:val="00257752"/>
    <w:rsid w:val="002578C4"/>
    <w:rsid w:val="00257B7F"/>
    <w:rsid w:val="00260322"/>
    <w:rsid w:val="00260A32"/>
    <w:rsid w:val="00261092"/>
    <w:rsid w:val="00261161"/>
    <w:rsid w:val="00261B5A"/>
    <w:rsid w:val="00261CB9"/>
    <w:rsid w:val="0026237A"/>
    <w:rsid w:val="002623A2"/>
    <w:rsid w:val="002626D6"/>
    <w:rsid w:val="002629FD"/>
    <w:rsid w:val="00262C33"/>
    <w:rsid w:val="00262D87"/>
    <w:rsid w:val="00263134"/>
    <w:rsid w:val="00263252"/>
    <w:rsid w:val="00263929"/>
    <w:rsid w:val="0026396B"/>
    <w:rsid w:val="00263A0C"/>
    <w:rsid w:val="002642E2"/>
    <w:rsid w:val="0026498C"/>
    <w:rsid w:val="00264A36"/>
    <w:rsid w:val="002651E6"/>
    <w:rsid w:val="002660F6"/>
    <w:rsid w:val="00266CE7"/>
    <w:rsid w:val="002670F7"/>
    <w:rsid w:val="002670F9"/>
    <w:rsid w:val="00267612"/>
    <w:rsid w:val="00267DF2"/>
    <w:rsid w:val="002705D4"/>
    <w:rsid w:val="00270AFC"/>
    <w:rsid w:val="00270DFE"/>
    <w:rsid w:val="002714EE"/>
    <w:rsid w:val="002715E4"/>
    <w:rsid w:val="00271AE4"/>
    <w:rsid w:val="00271BDE"/>
    <w:rsid w:val="00271C59"/>
    <w:rsid w:val="00272130"/>
    <w:rsid w:val="002723FE"/>
    <w:rsid w:val="0027242A"/>
    <w:rsid w:val="002726DA"/>
    <w:rsid w:val="00272D0D"/>
    <w:rsid w:val="00272E49"/>
    <w:rsid w:val="00272FB9"/>
    <w:rsid w:val="0027301B"/>
    <w:rsid w:val="002740FD"/>
    <w:rsid w:val="0027453F"/>
    <w:rsid w:val="00274836"/>
    <w:rsid w:val="00274B0D"/>
    <w:rsid w:val="00274BA8"/>
    <w:rsid w:val="00274FE0"/>
    <w:rsid w:val="00275E45"/>
    <w:rsid w:val="002764CC"/>
    <w:rsid w:val="00276700"/>
    <w:rsid w:val="002769F1"/>
    <w:rsid w:val="00276A13"/>
    <w:rsid w:val="00276C2C"/>
    <w:rsid w:val="00276C4D"/>
    <w:rsid w:val="00277039"/>
    <w:rsid w:val="00277936"/>
    <w:rsid w:val="0027793C"/>
    <w:rsid w:val="00277F0C"/>
    <w:rsid w:val="0028016C"/>
    <w:rsid w:val="002806A9"/>
    <w:rsid w:val="00280DFA"/>
    <w:rsid w:val="00281791"/>
    <w:rsid w:val="002819E4"/>
    <w:rsid w:val="00281EA2"/>
    <w:rsid w:val="00281F49"/>
    <w:rsid w:val="00282041"/>
    <w:rsid w:val="00282838"/>
    <w:rsid w:val="00282854"/>
    <w:rsid w:val="00282A20"/>
    <w:rsid w:val="0028317F"/>
    <w:rsid w:val="00283514"/>
    <w:rsid w:val="002839B5"/>
    <w:rsid w:val="00283D06"/>
    <w:rsid w:val="00283E74"/>
    <w:rsid w:val="00285514"/>
    <w:rsid w:val="002859DA"/>
    <w:rsid w:val="00286057"/>
    <w:rsid w:val="00286203"/>
    <w:rsid w:val="002868A7"/>
    <w:rsid w:val="00286B3D"/>
    <w:rsid w:val="00287082"/>
    <w:rsid w:val="00287EE3"/>
    <w:rsid w:val="002900F3"/>
    <w:rsid w:val="00290414"/>
    <w:rsid w:val="00290564"/>
    <w:rsid w:val="00290911"/>
    <w:rsid w:val="002909C2"/>
    <w:rsid w:val="00290D0B"/>
    <w:rsid w:val="00291CEE"/>
    <w:rsid w:val="00291E9B"/>
    <w:rsid w:val="0029219A"/>
    <w:rsid w:val="00292FD6"/>
    <w:rsid w:val="002933B3"/>
    <w:rsid w:val="00293739"/>
    <w:rsid w:val="002938D4"/>
    <w:rsid w:val="00294DD4"/>
    <w:rsid w:val="0029564D"/>
    <w:rsid w:val="00295F5E"/>
    <w:rsid w:val="00295F60"/>
    <w:rsid w:val="00295F71"/>
    <w:rsid w:val="0029615B"/>
    <w:rsid w:val="00296F85"/>
    <w:rsid w:val="00297112"/>
    <w:rsid w:val="002973AB"/>
    <w:rsid w:val="0029770A"/>
    <w:rsid w:val="002977B2"/>
    <w:rsid w:val="0029781B"/>
    <w:rsid w:val="00297F31"/>
    <w:rsid w:val="002A045E"/>
    <w:rsid w:val="002A0F34"/>
    <w:rsid w:val="002A17D5"/>
    <w:rsid w:val="002A1B1B"/>
    <w:rsid w:val="002A202F"/>
    <w:rsid w:val="002A2339"/>
    <w:rsid w:val="002A2535"/>
    <w:rsid w:val="002A277B"/>
    <w:rsid w:val="002A2900"/>
    <w:rsid w:val="002A2901"/>
    <w:rsid w:val="002A2CA4"/>
    <w:rsid w:val="002A2F3E"/>
    <w:rsid w:val="002A2FA7"/>
    <w:rsid w:val="002A3342"/>
    <w:rsid w:val="002A3803"/>
    <w:rsid w:val="002A384A"/>
    <w:rsid w:val="002A4333"/>
    <w:rsid w:val="002A43BB"/>
    <w:rsid w:val="002A4618"/>
    <w:rsid w:val="002A503D"/>
    <w:rsid w:val="002A50C4"/>
    <w:rsid w:val="002A52C4"/>
    <w:rsid w:val="002A5554"/>
    <w:rsid w:val="002A6076"/>
    <w:rsid w:val="002A66E2"/>
    <w:rsid w:val="002A68A1"/>
    <w:rsid w:val="002A74CB"/>
    <w:rsid w:val="002A7776"/>
    <w:rsid w:val="002B0392"/>
    <w:rsid w:val="002B0A88"/>
    <w:rsid w:val="002B0B42"/>
    <w:rsid w:val="002B0C9D"/>
    <w:rsid w:val="002B176B"/>
    <w:rsid w:val="002B184E"/>
    <w:rsid w:val="002B1EC9"/>
    <w:rsid w:val="002B245E"/>
    <w:rsid w:val="002B2464"/>
    <w:rsid w:val="002B258B"/>
    <w:rsid w:val="002B27AB"/>
    <w:rsid w:val="002B2BF7"/>
    <w:rsid w:val="002B2C02"/>
    <w:rsid w:val="002B2DA8"/>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1FD"/>
    <w:rsid w:val="002C34EA"/>
    <w:rsid w:val="002C41F2"/>
    <w:rsid w:val="002C46D4"/>
    <w:rsid w:val="002C4E3A"/>
    <w:rsid w:val="002C4E96"/>
    <w:rsid w:val="002C5843"/>
    <w:rsid w:val="002C59C5"/>
    <w:rsid w:val="002C6425"/>
    <w:rsid w:val="002C6DB1"/>
    <w:rsid w:val="002C6FB8"/>
    <w:rsid w:val="002C72EF"/>
    <w:rsid w:val="002C750C"/>
    <w:rsid w:val="002C7811"/>
    <w:rsid w:val="002C787B"/>
    <w:rsid w:val="002C7F58"/>
    <w:rsid w:val="002D00FA"/>
    <w:rsid w:val="002D02C0"/>
    <w:rsid w:val="002D0595"/>
    <w:rsid w:val="002D078E"/>
    <w:rsid w:val="002D0B60"/>
    <w:rsid w:val="002D0B65"/>
    <w:rsid w:val="002D0E8C"/>
    <w:rsid w:val="002D1338"/>
    <w:rsid w:val="002D2363"/>
    <w:rsid w:val="002D346A"/>
    <w:rsid w:val="002D3697"/>
    <w:rsid w:val="002D387F"/>
    <w:rsid w:val="002D3F34"/>
    <w:rsid w:val="002D3FEF"/>
    <w:rsid w:val="002D4114"/>
    <w:rsid w:val="002D4412"/>
    <w:rsid w:val="002D4421"/>
    <w:rsid w:val="002D47AF"/>
    <w:rsid w:val="002D4CC6"/>
    <w:rsid w:val="002D532B"/>
    <w:rsid w:val="002D5A24"/>
    <w:rsid w:val="002D5AA3"/>
    <w:rsid w:val="002D5EC7"/>
    <w:rsid w:val="002D6294"/>
    <w:rsid w:val="002D6C7A"/>
    <w:rsid w:val="002D73AC"/>
    <w:rsid w:val="002D761B"/>
    <w:rsid w:val="002D7706"/>
    <w:rsid w:val="002D79D5"/>
    <w:rsid w:val="002E0255"/>
    <w:rsid w:val="002E0CC1"/>
    <w:rsid w:val="002E0D2E"/>
    <w:rsid w:val="002E0EBA"/>
    <w:rsid w:val="002E12CC"/>
    <w:rsid w:val="002E1BD6"/>
    <w:rsid w:val="002E26FD"/>
    <w:rsid w:val="002E2751"/>
    <w:rsid w:val="002E2779"/>
    <w:rsid w:val="002E27A1"/>
    <w:rsid w:val="002E38EA"/>
    <w:rsid w:val="002E3997"/>
    <w:rsid w:val="002E3B2B"/>
    <w:rsid w:val="002E3CC9"/>
    <w:rsid w:val="002E3D95"/>
    <w:rsid w:val="002E40DF"/>
    <w:rsid w:val="002E47F9"/>
    <w:rsid w:val="002E4902"/>
    <w:rsid w:val="002E4B5B"/>
    <w:rsid w:val="002E4D57"/>
    <w:rsid w:val="002E4FC9"/>
    <w:rsid w:val="002E55AA"/>
    <w:rsid w:val="002E56F7"/>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28B"/>
    <w:rsid w:val="002F4325"/>
    <w:rsid w:val="002F4ECA"/>
    <w:rsid w:val="002F4FBF"/>
    <w:rsid w:val="002F516E"/>
    <w:rsid w:val="002F5B91"/>
    <w:rsid w:val="002F5E04"/>
    <w:rsid w:val="002F63AC"/>
    <w:rsid w:val="002F67D0"/>
    <w:rsid w:val="002F7947"/>
    <w:rsid w:val="00300045"/>
    <w:rsid w:val="003006E1"/>
    <w:rsid w:val="00300F23"/>
    <w:rsid w:val="00301102"/>
    <w:rsid w:val="00301763"/>
    <w:rsid w:val="003019F2"/>
    <w:rsid w:val="00301B48"/>
    <w:rsid w:val="00301C6C"/>
    <w:rsid w:val="00301C76"/>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F01"/>
    <w:rsid w:val="00304F75"/>
    <w:rsid w:val="003054C3"/>
    <w:rsid w:val="0030586D"/>
    <w:rsid w:val="00305DD5"/>
    <w:rsid w:val="00306577"/>
    <w:rsid w:val="003067DC"/>
    <w:rsid w:val="00306809"/>
    <w:rsid w:val="003069D8"/>
    <w:rsid w:val="00310543"/>
    <w:rsid w:val="00310649"/>
    <w:rsid w:val="003107A9"/>
    <w:rsid w:val="0031175C"/>
    <w:rsid w:val="00311D17"/>
    <w:rsid w:val="0031221C"/>
    <w:rsid w:val="003122AA"/>
    <w:rsid w:val="00312D6B"/>
    <w:rsid w:val="00312DD3"/>
    <w:rsid w:val="00312FD5"/>
    <w:rsid w:val="00313593"/>
    <w:rsid w:val="003139E1"/>
    <w:rsid w:val="003151CA"/>
    <w:rsid w:val="003151D0"/>
    <w:rsid w:val="0031549A"/>
    <w:rsid w:val="00315C2C"/>
    <w:rsid w:val="00315E74"/>
    <w:rsid w:val="0031600C"/>
    <w:rsid w:val="0031605A"/>
    <w:rsid w:val="003161D0"/>
    <w:rsid w:val="0031629A"/>
    <w:rsid w:val="0031651D"/>
    <w:rsid w:val="0031676C"/>
    <w:rsid w:val="00316B24"/>
    <w:rsid w:val="0031737A"/>
    <w:rsid w:val="00320722"/>
    <w:rsid w:val="00320C74"/>
    <w:rsid w:val="003211A3"/>
    <w:rsid w:val="00321264"/>
    <w:rsid w:val="003212E7"/>
    <w:rsid w:val="003214B7"/>
    <w:rsid w:val="003215F3"/>
    <w:rsid w:val="00321F49"/>
    <w:rsid w:val="00322058"/>
    <w:rsid w:val="00322350"/>
    <w:rsid w:val="00322ACA"/>
    <w:rsid w:val="00322E6D"/>
    <w:rsid w:val="00322F70"/>
    <w:rsid w:val="003236E0"/>
    <w:rsid w:val="003236F2"/>
    <w:rsid w:val="0032393B"/>
    <w:rsid w:val="00323DBA"/>
    <w:rsid w:val="00324516"/>
    <w:rsid w:val="00324B57"/>
    <w:rsid w:val="00324BBE"/>
    <w:rsid w:val="00324C46"/>
    <w:rsid w:val="00325431"/>
    <w:rsid w:val="00325C26"/>
    <w:rsid w:val="00326FCE"/>
    <w:rsid w:val="003271A7"/>
    <w:rsid w:val="00327244"/>
    <w:rsid w:val="00327A3B"/>
    <w:rsid w:val="00327A96"/>
    <w:rsid w:val="00327C3F"/>
    <w:rsid w:val="00327FB0"/>
    <w:rsid w:val="00330021"/>
    <w:rsid w:val="00330266"/>
    <w:rsid w:val="00330300"/>
    <w:rsid w:val="003308F2"/>
    <w:rsid w:val="00330F22"/>
    <w:rsid w:val="00332647"/>
    <w:rsid w:val="0033271E"/>
    <w:rsid w:val="0033277D"/>
    <w:rsid w:val="00332781"/>
    <w:rsid w:val="0033284B"/>
    <w:rsid w:val="00332BBB"/>
    <w:rsid w:val="00333131"/>
    <w:rsid w:val="00333145"/>
    <w:rsid w:val="0033392C"/>
    <w:rsid w:val="00334558"/>
    <w:rsid w:val="003348F4"/>
    <w:rsid w:val="003353E7"/>
    <w:rsid w:val="003355C3"/>
    <w:rsid w:val="003359CA"/>
    <w:rsid w:val="00335DBA"/>
    <w:rsid w:val="00335E48"/>
    <w:rsid w:val="00336038"/>
    <w:rsid w:val="003366E6"/>
    <w:rsid w:val="00336934"/>
    <w:rsid w:val="00336974"/>
    <w:rsid w:val="00336AFC"/>
    <w:rsid w:val="00336D8D"/>
    <w:rsid w:val="003375C6"/>
    <w:rsid w:val="00337E92"/>
    <w:rsid w:val="003402F1"/>
    <w:rsid w:val="003402FF"/>
    <w:rsid w:val="003405E1"/>
    <w:rsid w:val="0034088E"/>
    <w:rsid w:val="00340990"/>
    <w:rsid w:val="00340B17"/>
    <w:rsid w:val="00340C76"/>
    <w:rsid w:val="00341006"/>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DA5"/>
    <w:rsid w:val="00344FBD"/>
    <w:rsid w:val="00345462"/>
    <w:rsid w:val="003459BF"/>
    <w:rsid w:val="00345A01"/>
    <w:rsid w:val="00345A0D"/>
    <w:rsid w:val="00346190"/>
    <w:rsid w:val="003461A1"/>
    <w:rsid w:val="003468B6"/>
    <w:rsid w:val="00347105"/>
    <w:rsid w:val="00347283"/>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2CA9"/>
    <w:rsid w:val="00353455"/>
    <w:rsid w:val="003537B8"/>
    <w:rsid w:val="00353906"/>
    <w:rsid w:val="0035476E"/>
    <w:rsid w:val="0035497B"/>
    <w:rsid w:val="00354B4F"/>
    <w:rsid w:val="00354F32"/>
    <w:rsid w:val="00355582"/>
    <w:rsid w:val="0035565A"/>
    <w:rsid w:val="00355727"/>
    <w:rsid w:val="00355B5C"/>
    <w:rsid w:val="00355E87"/>
    <w:rsid w:val="00355FA3"/>
    <w:rsid w:val="003563E1"/>
    <w:rsid w:val="00357248"/>
    <w:rsid w:val="003577AB"/>
    <w:rsid w:val="0035782E"/>
    <w:rsid w:val="00357D2F"/>
    <w:rsid w:val="00360728"/>
    <w:rsid w:val="00360A0C"/>
    <w:rsid w:val="00360A52"/>
    <w:rsid w:val="0036104C"/>
    <w:rsid w:val="003617F5"/>
    <w:rsid w:val="00361BA7"/>
    <w:rsid w:val="003628F9"/>
    <w:rsid w:val="00363F8E"/>
    <w:rsid w:val="00364470"/>
    <w:rsid w:val="00364548"/>
    <w:rsid w:val="003645C4"/>
    <w:rsid w:val="003648DB"/>
    <w:rsid w:val="003649C7"/>
    <w:rsid w:val="00365073"/>
    <w:rsid w:val="0036579C"/>
    <w:rsid w:val="00365899"/>
    <w:rsid w:val="00365BB7"/>
    <w:rsid w:val="00365D44"/>
    <w:rsid w:val="00365DBE"/>
    <w:rsid w:val="00366020"/>
    <w:rsid w:val="0036617F"/>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9F6"/>
    <w:rsid w:val="00372F8A"/>
    <w:rsid w:val="00373754"/>
    <w:rsid w:val="0037387B"/>
    <w:rsid w:val="003738C5"/>
    <w:rsid w:val="00374349"/>
    <w:rsid w:val="00374A72"/>
    <w:rsid w:val="003763BA"/>
    <w:rsid w:val="0037678B"/>
    <w:rsid w:val="00376C3B"/>
    <w:rsid w:val="00376E2D"/>
    <w:rsid w:val="00377AEA"/>
    <w:rsid w:val="003805DC"/>
    <w:rsid w:val="003809CA"/>
    <w:rsid w:val="00380D94"/>
    <w:rsid w:val="003812E6"/>
    <w:rsid w:val="00381763"/>
    <w:rsid w:val="00381EDF"/>
    <w:rsid w:val="00381F19"/>
    <w:rsid w:val="003820FB"/>
    <w:rsid w:val="00382568"/>
    <w:rsid w:val="0038304E"/>
    <w:rsid w:val="0038323C"/>
    <w:rsid w:val="003833FF"/>
    <w:rsid w:val="00383981"/>
    <w:rsid w:val="003839DF"/>
    <w:rsid w:val="00383F23"/>
    <w:rsid w:val="003846CE"/>
    <w:rsid w:val="00385819"/>
    <w:rsid w:val="003859D4"/>
    <w:rsid w:val="00386216"/>
    <w:rsid w:val="00386482"/>
    <w:rsid w:val="003868FA"/>
    <w:rsid w:val="00386BA9"/>
    <w:rsid w:val="00387462"/>
    <w:rsid w:val="00387698"/>
    <w:rsid w:val="0038793B"/>
    <w:rsid w:val="00387AD9"/>
    <w:rsid w:val="00387AEF"/>
    <w:rsid w:val="00387B48"/>
    <w:rsid w:val="00387E8D"/>
    <w:rsid w:val="003905A8"/>
    <w:rsid w:val="003908AA"/>
    <w:rsid w:val="00391380"/>
    <w:rsid w:val="00391629"/>
    <w:rsid w:val="00391A05"/>
    <w:rsid w:val="00391F37"/>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00"/>
    <w:rsid w:val="0039775F"/>
    <w:rsid w:val="00397974"/>
    <w:rsid w:val="003A0150"/>
    <w:rsid w:val="003A0B98"/>
    <w:rsid w:val="003A1130"/>
    <w:rsid w:val="003A12A6"/>
    <w:rsid w:val="003A1600"/>
    <w:rsid w:val="003A17A7"/>
    <w:rsid w:val="003A2167"/>
    <w:rsid w:val="003A23EC"/>
    <w:rsid w:val="003A25C2"/>
    <w:rsid w:val="003A26CC"/>
    <w:rsid w:val="003A2A3E"/>
    <w:rsid w:val="003A2BF3"/>
    <w:rsid w:val="003A34C5"/>
    <w:rsid w:val="003A3897"/>
    <w:rsid w:val="003A3985"/>
    <w:rsid w:val="003A3E0E"/>
    <w:rsid w:val="003A3F59"/>
    <w:rsid w:val="003A4077"/>
    <w:rsid w:val="003A436A"/>
    <w:rsid w:val="003A4840"/>
    <w:rsid w:val="003A521B"/>
    <w:rsid w:val="003A528A"/>
    <w:rsid w:val="003A53B0"/>
    <w:rsid w:val="003A5998"/>
    <w:rsid w:val="003A5B77"/>
    <w:rsid w:val="003A62B0"/>
    <w:rsid w:val="003A6566"/>
    <w:rsid w:val="003A7014"/>
    <w:rsid w:val="003A79AA"/>
    <w:rsid w:val="003A7C4B"/>
    <w:rsid w:val="003B006B"/>
    <w:rsid w:val="003B0651"/>
    <w:rsid w:val="003B079F"/>
    <w:rsid w:val="003B0C6A"/>
    <w:rsid w:val="003B0EC3"/>
    <w:rsid w:val="003B12E6"/>
    <w:rsid w:val="003B1BDE"/>
    <w:rsid w:val="003B1DA8"/>
    <w:rsid w:val="003B1DEF"/>
    <w:rsid w:val="003B1E25"/>
    <w:rsid w:val="003B1F0B"/>
    <w:rsid w:val="003B1F8C"/>
    <w:rsid w:val="003B23D0"/>
    <w:rsid w:val="003B251C"/>
    <w:rsid w:val="003B265D"/>
    <w:rsid w:val="003B2EF6"/>
    <w:rsid w:val="003B34D9"/>
    <w:rsid w:val="003B3622"/>
    <w:rsid w:val="003B3992"/>
    <w:rsid w:val="003B3BBF"/>
    <w:rsid w:val="003B4118"/>
    <w:rsid w:val="003B45BF"/>
    <w:rsid w:val="003B4765"/>
    <w:rsid w:val="003B487D"/>
    <w:rsid w:val="003B4D7F"/>
    <w:rsid w:val="003B534D"/>
    <w:rsid w:val="003B5B06"/>
    <w:rsid w:val="003B5E1C"/>
    <w:rsid w:val="003B5F20"/>
    <w:rsid w:val="003B60A7"/>
    <w:rsid w:val="003B6261"/>
    <w:rsid w:val="003B6799"/>
    <w:rsid w:val="003B6A83"/>
    <w:rsid w:val="003B7170"/>
    <w:rsid w:val="003B73D3"/>
    <w:rsid w:val="003B76F5"/>
    <w:rsid w:val="003B7927"/>
    <w:rsid w:val="003B7A61"/>
    <w:rsid w:val="003B7A9F"/>
    <w:rsid w:val="003B7D9C"/>
    <w:rsid w:val="003C14D2"/>
    <w:rsid w:val="003C153A"/>
    <w:rsid w:val="003C1793"/>
    <w:rsid w:val="003C2013"/>
    <w:rsid w:val="003C2158"/>
    <w:rsid w:val="003C26DE"/>
    <w:rsid w:val="003C27CE"/>
    <w:rsid w:val="003C296F"/>
    <w:rsid w:val="003C2E5F"/>
    <w:rsid w:val="003C2EF0"/>
    <w:rsid w:val="003C3155"/>
    <w:rsid w:val="003C3468"/>
    <w:rsid w:val="003C375F"/>
    <w:rsid w:val="003C3C21"/>
    <w:rsid w:val="003C3C83"/>
    <w:rsid w:val="003C3E24"/>
    <w:rsid w:val="003C427E"/>
    <w:rsid w:val="003C5319"/>
    <w:rsid w:val="003C5AFB"/>
    <w:rsid w:val="003C67E9"/>
    <w:rsid w:val="003C6BEB"/>
    <w:rsid w:val="003C6FCD"/>
    <w:rsid w:val="003C79DA"/>
    <w:rsid w:val="003D0071"/>
    <w:rsid w:val="003D0130"/>
    <w:rsid w:val="003D0558"/>
    <w:rsid w:val="003D05CA"/>
    <w:rsid w:val="003D0921"/>
    <w:rsid w:val="003D0CBD"/>
    <w:rsid w:val="003D158F"/>
    <w:rsid w:val="003D1B7F"/>
    <w:rsid w:val="003D1EF8"/>
    <w:rsid w:val="003D200E"/>
    <w:rsid w:val="003D21FE"/>
    <w:rsid w:val="003D304D"/>
    <w:rsid w:val="003D320D"/>
    <w:rsid w:val="003D3237"/>
    <w:rsid w:val="003D3636"/>
    <w:rsid w:val="003D3638"/>
    <w:rsid w:val="003D3772"/>
    <w:rsid w:val="003D47D8"/>
    <w:rsid w:val="003D4946"/>
    <w:rsid w:val="003D4F4E"/>
    <w:rsid w:val="003D5E16"/>
    <w:rsid w:val="003D62C3"/>
    <w:rsid w:val="003D6C69"/>
    <w:rsid w:val="003D6ED2"/>
    <w:rsid w:val="003D6F08"/>
    <w:rsid w:val="003D7038"/>
    <w:rsid w:val="003D75D4"/>
    <w:rsid w:val="003D7AFC"/>
    <w:rsid w:val="003D7BC9"/>
    <w:rsid w:val="003D7DFA"/>
    <w:rsid w:val="003E0417"/>
    <w:rsid w:val="003E0953"/>
    <w:rsid w:val="003E095C"/>
    <w:rsid w:val="003E0A7A"/>
    <w:rsid w:val="003E173D"/>
    <w:rsid w:val="003E178C"/>
    <w:rsid w:val="003E1EE7"/>
    <w:rsid w:val="003E1EFE"/>
    <w:rsid w:val="003E1F57"/>
    <w:rsid w:val="003E20BA"/>
    <w:rsid w:val="003E2694"/>
    <w:rsid w:val="003E288C"/>
    <w:rsid w:val="003E3429"/>
    <w:rsid w:val="003E361B"/>
    <w:rsid w:val="003E3926"/>
    <w:rsid w:val="003E4353"/>
    <w:rsid w:val="003E438A"/>
    <w:rsid w:val="003E47A9"/>
    <w:rsid w:val="003E492B"/>
    <w:rsid w:val="003E4BE5"/>
    <w:rsid w:val="003E4CF5"/>
    <w:rsid w:val="003E50EC"/>
    <w:rsid w:val="003E58AF"/>
    <w:rsid w:val="003E595A"/>
    <w:rsid w:val="003E5E45"/>
    <w:rsid w:val="003E62AF"/>
    <w:rsid w:val="003E6820"/>
    <w:rsid w:val="003E6EF5"/>
    <w:rsid w:val="003E71F6"/>
    <w:rsid w:val="003E7332"/>
    <w:rsid w:val="003E733F"/>
    <w:rsid w:val="003F003A"/>
    <w:rsid w:val="003F12D4"/>
    <w:rsid w:val="003F1990"/>
    <w:rsid w:val="003F2D20"/>
    <w:rsid w:val="003F301A"/>
    <w:rsid w:val="003F32F7"/>
    <w:rsid w:val="003F3564"/>
    <w:rsid w:val="003F3832"/>
    <w:rsid w:val="003F393B"/>
    <w:rsid w:val="003F3AC3"/>
    <w:rsid w:val="003F489E"/>
    <w:rsid w:val="003F4B3E"/>
    <w:rsid w:val="003F4CB4"/>
    <w:rsid w:val="003F4DBF"/>
    <w:rsid w:val="003F5BE7"/>
    <w:rsid w:val="003F5E43"/>
    <w:rsid w:val="003F5F43"/>
    <w:rsid w:val="003F6031"/>
    <w:rsid w:val="003F6410"/>
    <w:rsid w:val="003F657F"/>
    <w:rsid w:val="003F6C45"/>
    <w:rsid w:val="003F6DE4"/>
    <w:rsid w:val="0040019B"/>
    <w:rsid w:val="00400377"/>
    <w:rsid w:val="00400491"/>
    <w:rsid w:val="004007BB"/>
    <w:rsid w:val="00400CFD"/>
    <w:rsid w:val="00400ECE"/>
    <w:rsid w:val="00400F72"/>
    <w:rsid w:val="004013BC"/>
    <w:rsid w:val="00402B62"/>
    <w:rsid w:val="00402D20"/>
    <w:rsid w:val="0040311E"/>
    <w:rsid w:val="00403B06"/>
    <w:rsid w:val="00403B58"/>
    <w:rsid w:val="0040417E"/>
    <w:rsid w:val="004043C6"/>
    <w:rsid w:val="00404816"/>
    <w:rsid w:val="00404BBB"/>
    <w:rsid w:val="00405862"/>
    <w:rsid w:val="00405982"/>
    <w:rsid w:val="00405DE5"/>
    <w:rsid w:val="00405F16"/>
    <w:rsid w:val="004061CE"/>
    <w:rsid w:val="00406872"/>
    <w:rsid w:val="004068A5"/>
    <w:rsid w:val="004072EF"/>
    <w:rsid w:val="004075DA"/>
    <w:rsid w:val="004077E3"/>
    <w:rsid w:val="0040792B"/>
    <w:rsid w:val="00407D9B"/>
    <w:rsid w:val="00407DF6"/>
    <w:rsid w:val="00410671"/>
    <w:rsid w:val="00410784"/>
    <w:rsid w:val="00410B8E"/>
    <w:rsid w:val="00411A8C"/>
    <w:rsid w:val="00411E86"/>
    <w:rsid w:val="00411EBD"/>
    <w:rsid w:val="00412522"/>
    <w:rsid w:val="004125A1"/>
    <w:rsid w:val="00412881"/>
    <w:rsid w:val="00412A9B"/>
    <w:rsid w:val="00413062"/>
    <w:rsid w:val="0041312C"/>
    <w:rsid w:val="0041338B"/>
    <w:rsid w:val="00413A3A"/>
    <w:rsid w:val="0041464D"/>
    <w:rsid w:val="00414A4E"/>
    <w:rsid w:val="00414C53"/>
    <w:rsid w:val="00415279"/>
    <w:rsid w:val="0041530D"/>
    <w:rsid w:val="004154CD"/>
    <w:rsid w:val="00415E4B"/>
    <w:rsid w:val="00416059"/>
    <w:rsid w:val="004164A1"/>
    <w:rsid w:val="00420DBD"/>
    <w:rsid w:val="00421119"/>
    <w:rsid w:val="0042120F"/>
    <w:rsid w:val="004219A0"/>
    <w:rsid w:val="00421AE6"/>
    <w:rsid w:val="0042225A"/>
    <w:rsid w:val="0042228C"/>
    <w:rsid w:val="00422678"/>
    <w:rsid w:val="00422942"/>
    <w:rsid w:val="00422B55"/>
    <w:rsid w:val="004230BD"/>
    <w:rsid w:val="00423317"/>
    <w:rsid w:val="0042393D"/>
    <w:rsid w:val="00423C00"/>
    <w:rsid w:val="00423EAC"/>
    <w:rsid w:val="0042409B"/>
    <w:rsid w:val="0042461F"/>
    <w:rsid w:val="00424EE1"/>
    <w:rsid w:val="00425478"/>
    <w:rsid w:val="00425A29"/>
    <w:rsid w:val="00425AE2"/>
    <w:rsid w:val="00425C80"/>
    <w:rsid w:val="00425F2B"/>
    <w:rsid w:val="004260BB"/>
    <w:rsid w:val="004268CB"/>
    <w:rsid w:val="004269BA"/>
    <w:rsid w:val="004274EE"/>
    <w:rsid w:val="00427C27"/>
    <w:rsid w:val="00427CCC"/>
    <w:rsid w:val="004300CB"/>
    <w:rsid w:val="00430453"/>
    <w:rsid w:val="00430BCC"/>
    <w:rsid w:val="00430F00"/>
    <w:rsid w:val="0043295B"/>
    <w:rsid w:val="00432C2D"/>
    <w:rsid w:val="0043367B"/>
    <w:rsid w:val="004336E9"/>
    <w:rsid w:val="00433981"/>
    <w:rsid w:val="00433AAE"/>
    <w:rsid w:val="0043470C"/>
    <w:rsid w:val="00434C95"/>
    <w:rsid w:val="0043510A"/>
    <w:rsid w:val="0043628A"/>
    <w:rsid w:val="0043646E"/>
    <w:rsid w:val="004371D7"/>
    <w:rsid w:val="00437437"/>
    <w:rsid w:val="0043750A"/>
    <w:rsid w:val="004378BC"/>
    <w:rsid w:val="00437DAA"/>
    <w:rsid w:val="0044013B"/>
    <w:rsid w:val="00440C17"/>
    <w:rsid w:val="00440E91"/>
    <w:rsid w:val="00440F55"/>
    <w:rsid w:val="00441A68"/>
    <w:rsid w:val="00441E0E"/>
    <w:rsid w:val="00442EFE"/>
    <w:rsid w:val="004433C6"/>
    <w:rsid w:val="0044349D"/>
    <w:rsid w:val="00443D48"/>
    <w:rsid w:val="00444056"/>
    <w:rsid w:val="004440B5"/>
    <w:rsid w:val="00444C2D"/>
    <w:rsid w:val="00444F5C"/>
    <w:rsid w:val="0044599A"/>
    <w:rsid w:val="0044610F"/>
    <w:rsid w:val="00446316"/>
    <w:rsid w:val="00446833"/>
    <w:rsid w:val="004471D9"/>
    <w:rsid w:val="00450CA7"/>
    <w:rsid w:val="00450E29"/>
    <w:rsid w:val="00451082"/>
    <w:rsid w:val="00451C48"/>
    <w:rsid w:val="0045351A"/>
    <w:rsid w:val="004537B4"/>
    <w:rsid w:val="004539A1"/>
    <w:rsid w:val="004544BC"/>
    <w:rsid w:val="004546C3"/>
    <w:rsid w:val="00454A40"/>
    <w:rsid w:val="004551D5"/>
    <w:rsid w:val="00455E23"/>
    <w:rsid w:val="004564BE"/>
    <w:rsid w:val="00456D24"/>
    <w:rsid w:val="0045729F"/>
    <w:rsid w:val="004573F7"/>
    <w:rsid w:val="004574E2"/>
    <w:rsid w:val="00457880"/>
    <w:rsid w:val="00457A81"/>
    <w:rsid w:val="00457AAB"/>
    <w:rsid w:val="004601B2"/>
    <w:rsid w:val="00460281"/>
    <w:rsid w:val="0046032F"/>
    <w:rsid w:val="00460519"/>
    <w:rsid w:val="0046065B"/>
    <w:rsid w:val="00460F81"/>
    <w:rsid w:val="00460FD9"/>
    <w:rsid w:val="004610EC"/>
    <w:rsid w:val="00461268"/>
    <w:rsid w:val="00461327"/>
    <w:rsid w:val="004614CA"/>
    <w:rsid w:val="004621F8"/>
    <w:rsid w:val="004622A5"/>
    <w:rsid w:val="00462646"/>
    <w:rsid w:val="004626EB"/>
    <w:rsid w:val="00462C08"/>
    <w:rsid w:val="00462C40"/>
    <w:rsid w:val="00463E3B"/>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0E55"/>
    <w:rsid w:val="0047134A"/>
    <w:rsid w:val="0047195B"/>
    <w:rsid w:val="00471E03"/>
    <w:rsid w:val="004722CE"/>
    <w:rsid w:val="004723E6"/>
    <w:rsid w:val="00472D1F"/>
    <w:rsid w:val="004731B6"/>
    <w:rsid w:val="00473274"/>
    <w:rsid w:val="00473A5B"/>
    <w:rsid w:val="00473C32"/>
    <w:rsid w:val="004741C3"/>
    <w:rsid w:val="0047482D"/>
    <w:rsid w:val="00475940"/>
    <w:rsid w:val="004761A7"/>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58E"/>
    <w:rsid w:val="004867EE"/>
    <w:rsid w:val="00486DCC"/>
    <w:rsid w:val="00487036"/>
    <w:rsid w:val="00487243"/>
    <w:rsid w:val="004873A7"/>
    <w:rsid w:val="0048797C"/>
    <w:rsid w:val="00487EE1"/>
    <w:rsid w:val="00490467"/>
    <w:rsid w:val="00490DF6"/>
    <w:rsid w:val="0049184C"/>
    <w:rsid w:val="00491A12"/>
    <w:rsid w:val="0049217C"/>
    <w:rsid w:val="004924E6"/>
    <w:rsid w:val="004925DF"/>
    <w:rsid w:val="00492E27"/>
    <w:rsid w:val="00492E6E"/>
    <w:rsid w:val="004930B3"/>
    <w:rsid w:val="00493223"/>
    <w:rsid w:val="0049327D"/>
    <w:rsid w:val="004935F7"/>
    <w:rsid w:val="00493D53"/>
    <w:rsid w:val="00494996"/>
    <w:rsid w:val="00494B73"/>
    <w:rsid w:val="00495005"/>
    <w:rsid w:val="00495343"/>
    <w:rsid w:val="00495BC8"/>
    <w:rsid w:val="00496102"/>
    <w:rsid w:val="00496377"/>
    <w:rsid w:val="0049687E"/>
    <w:rsid w:val="004969C7"/>
    <w:rsid w:val="00496D13"/>
    <w:rsid w:val="00497C8E"/>
    <w:rsid w:val="00497CE6"/>
    <w:rsid w:val="00497F1E"/>
    <w:rsid w:val="004A0410"/>
    <w:rsid w:val="004A1197"/>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1AD"/>
    <w:rsid w:val="004B056E"/>
    <w:rsid w:val="004B0B81"/>
    <w:rsid w:val="004B1670"/>
    <w:rsid w:val="004B16A3"/>
    <w:rsid w:val="004B2234"/>
    <w:rsid w:val="004B265B"/>
    <w:rsid w:val="004B2A86"/>
    <w:rsid w:val="004B2CEA"/>
    <w:rsid w:val="004B317F"/>
    <w:rsid w:val="004B3509"/>
    <w:rsid w:val="004B3C3E"/>
    <w:rsid w:val="004B3C42"/>
    <w:rsid w:val="004B3F88"/>
    <w:rsid w:val="004B4166"/>
    <w:rsid w:val="004B430E"/>
    <w:rsid w:val="004B4D11"/>
    <w:rsid w:val="004B4E42"/>
    <w:rsid w:val="004B4E7C"/>
    <w:rsid w:val="004B4ECD"/>
    <w:rsid w:val="004B548C"/>
    <w:rsid w:val="004B54EA"/>
    <w:rsid w:val="004B5787"/>
    <w:rsid w:val="004B6062"/>
    <w:rsid w:val="004B6238"/>
    <w:rsid w:val="004B6510"/>
    <w:rsid w:val="004B6A79"/>
    <w:rsid w:val="004B6D08"/>
    <w:rsid w:val="004B6DD2"/>
    <w:rsid w:val="004B7093"/>
    <w:rsid w:val="004B7126"/>
    <w:rsid w:val="004B76A9"/>
    <w:rsid w:val="004C019A"/>
    <w:rsid w:val="004C01BF"/>
    <w:rsid w:val="004C06EF"/>
    <w:rsid w:val="004C0849"/>
    <w:rsid w:val="004C0E18"/>
    <w:rsid w:val="004C14C0"/>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99"/>
    <w:rsid w:val="004D0CE2"/>
    <w:rsid w:val="004D1330"/>
    <w:rsid w:val="004D1843"/>
    <w:rsid w:val="004D1B0D"/>
    <w:rsid w:val="004D259C"/>
    <w:rsid w:val="004D29F0"/>
    <w:rsid w:val="004D2A84"/>
    <w:rsid w:val="004D321A"/>
    <w:rsid w:val="004D32F6"/>
    <w:rsid w:val="004D335B"/>
    <w:rsid w:val="004D33E4"/>
    <w:rsid w:val="004D3F44"/>
    <w:rsid w:val="004D3FC2"/>
    <w:rsid w:val="004D4167"/>
    <w:rsid w:val="004D456C"/>
    <w:rsid w:val="004D485F"/>
    <w:rsid w:val="004D4FC2"/>
    <w:rsid w:val="004D55D2"/>
    <w:rsid w:val="004D59A0"/>
    <w:rsid w:val="004D6C40"/>
    <w:rsid w:val="004D6C99"/>
    <w:rsid w:val="004D734E"/>
    <w:rsid w:val="004D741D"/>
    <w:rsid w:val="004D783B"/>
    <w:rsid w:val="004D7962"/>
    <w:rsid w:val="004E0223"/>
    <w:rsid w:val="004E0242"/>
    <w:rsid w:val="004E0A75"/>
    <w:rsid w:val="004E0B3F"/>
    <w:rsid w:val="004E0D1D"/>
    <w:rsid w:val="004E138F"/>
    <w:rsid w:val="004E14B8"/>
    <w:rsid w:val="004E1DB4"/>
    <w:rsid w:val="004E1E35"/>
    <w:rsid w:val="004E2110"/>
    <w:rsid w:val="004E254A"/>
    <w:rsid w:val="004E3213"/>
    <w:rsid w:val="004E3255"/>
    <w:rsid w:val="004E3338"/>
    <w:rsid w:val="004E388D"/>
    <w:rsid w:val="004E3B7A"/>
    <w:rsid w:val="004E3CEB"/>
    <w:rsid w:val="004E4659"/>
    <w:rsid w:val="004E4B03"/>
    <w:rsid w:val="004E4E17"/>
    <w:rsid w:val="004E5872"/>
    <w:rsid w:val="004E58B1"/>
    <w:rsid w:val="004E5D63"/>
    <w:rsid w:val="004E6617"/>
    <w:rsid w:val="004E693B"/>
    <w:rsid w:val="004E6ED3"/>
    <w:rsid w:val="004E7459"/>
    <w:rsid w:val="004E76CE"/>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BD5"/>
    <w:rsid w:val="004F5EC1"/>
    <w:rsid w:val="004F6015"/>
    <w:rsid w:val="004F62FD"/>
    <w:rsid w:val="004F6332"/>
    <w:rsid w:val="004F67A2"/>
    <w:rsid w:val="004F68B0"/>
    <w:rsid w:val="004F7BDE"/>
    <w:rsid w:val="0050034B"/>
    <w:rsid w:val="005003E3"/>
    <w:rsid w:val="00503191"/>
    <w:rsid w:val="0050326D"/>
    <w:rsid w:val="005035DD"/>
    <w:rsid w:val="00503E32"/>
    <w:rsid w:val="005047CB"/>
    <w:rsid w:val="005047F1"/>
    <w:rsid w:val="00504B40"/>
    <w:rsid w:val="00505225"/>
    <w:rsid w:val="00505D84"/>
    <w:rsid w:val="0050601B"/>
    <w:rsid w:val="00506108"/>
    <w:rsid w:val="0050667D"/>
    <w:rsid w:val="005068F5"/>
    <w:rsid w:val="00506B4A"/>
    <w:rsid w:val="00506BB4"/>
    <w:rsid w:val="00506C38"/>
    <w:rsid w:val="00506C3E"/>
    <w:rsid w:val="00506E46"/>
    <w:rsid w:val="0050702C"/>
    <w:rsid w:val="00507E48"/>
    <w:rsid w:val="005101F9"/>
    <w:rsid w:val="005105DB"/>
    <w:rsid w:val="00510683"/>
    <w:rsid w:val="00510876"/>
    <w:rsid w:val="00510AAD"/>
    <w:rsid w:val="0051130C"/>
    <w:rsid w:val="00511429"/>
    <w:rsid w:val="00512111"/>
    <w:rsid w:val="005124E1"/>
    <w:rsid w:val="005129C7"/>
    <w:rsid w:val="005132AC"/>
    <w:rsid w:val="005139AB"/>
    <w:rsid w:val="005139B9"/>
    <w:rsid w:val="005143FD"/>
    <w:rsid w:val="00514F81"/>
    <w:rsid w:val="00515684"/>
    <w:rsid w:val="0051582F"/>
    <w:rsid w:val="00515CFA"/>
    <w:rsid w:val="0051632F"/>
    <w:rsid w:val="0051655C"/>
    <w:rsid w:val="005166BA"/>
    <w:rsid w:val="00516D97"/>
    <w:rsid w:val="00517731"/>
    <w:rsid w:val="00517788"/>
    <w:rsid w:val="005179F5"/>
    <w:rsid w:val="00517AFB"/>
    <w:rsid w:val="005207FB"/>
    <w:rsid w:val="00521139"/>
    <w:rsid w:val="00521725"/>
    <w:rsid w:val="0052175E"/>
    <w:rsid w:val="00522514"/>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6991"/>
    <w:rsid w:val="005269D9"/>
    <w:rsid w:val="00526BED"/>
    <w:rsid w:val="00526EE8"/>
    <w:rsid w:val="00526FBE"/>
    <w:rsid w:val="00527322"/>
    <w:rsid w:val="00527605"/>
    <w:rsid w:val="00527DD2"/>
    <w:rsid w:val="005304A4"/>
    <w:rsid w:val="00530B7B"/>
    <w:rsid w:val="00530C74"/>
    <w:rsid w:val="00530CA9"/>
    <w:rsid w:val="0053128D"/>
    <w:rsid w:val="005313FE"/>
    <w:rsid w:val="00531429"/>
    <w:rsid w:val="005314C7"/>
    <w:rsid w:val="0053157E"/>
    <w:rsid w:val="00531671"/>
    <w:rsid w:val="005318E2"/>
    <w:rsid w:val="00531D3A"/>
    <w:rsid w:val="00531E7F"/>
    <w:rsid w:val="005320F9"/>
    <w:rsid w:val="00532297"/>
    <w:rsid w:val="0053263B"/>
    <w:rsid w:val="0053263D"/>
    <w:rsid w:val="00532BA0"/>
    <w:rsid w:val="00533102"/>
    <w:rsid w:val="00533272"/>
    <w:rsid w:val="005337F3"/>
    <w:rsid w:val="00534056"/>
    <w:rsid w:val="005343A2"/>
    <w:rsid w:val="0053447F"/>
    <w:rsid w:val="00534C4A"/>
    <w:rsid w:val="00535625"/>
    <w:rsid w:val="00535754"/>
    <w:rsid w:val="00535D54"/>
    <w:rsid w:val="00535F5D"/>
    <w:rsid w:val="00536582"/>
    <w:rsid w:val="005365A8"/>
    <w:rsid w:val="00536855"/>
    <w:rsid w:val="00536A50"/>
    <w:rsid w:val="00536D53"/>
    <w:rsid w:val="00536EB7"/>
    <w:rsid w:val="005370DC"/>
    <w:rsid w:val="005376E4"/>
    <w:rsid w:val="00537BA6"/>
    <w:rsid w:val="00537CE9"/>
    <w:rsid w:val="0054035C"/>
    <w:rsid w:val="00540387"/>
    <w:rsid w:val="00540720"/>
    <w:rsid w:val="0054094E"/>
    <w:rsid w:val="00540AD1"/>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B39"/>
    <w:rsid w:val="00546D43"/>
    <w:rsid w:val="00546E3A"/>
    <w:rsid w:val="005474B0"/>
    <w:rsid w:val="005478D2"/>
    <w:rsid w:val="00547A54"/>
    <w:rsid w:val="00547F6E"/>
    <w:rsid w:val="005506A3"/>
    <w:rsid w:val="005508AA"/>
    <w:rsid w:val="005509AE"/>
    <w:rsid w:val="00550B28"/>
    <w:rsid w:val="00550C30"/>
    <w:rsid w:val="00551575"/>
    <w:rsid w:val="00551A99"/>
    <w:rsid w:val="00551B34"/>
    <w:rsid w:val="00551D50"/>
    <w:rsid w:val="00551F88"/>
    <w:rsid w:val="005525C4"/>
    <w:rsid w:val="00552759"/>
    <w:rsid w:val="0055280A"/>
    <w:rsid w:val="00552915"/>
    <w:rsid w:val="0055299B"/>
    <w:rsid w:val="00552ED2"/>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734"/>
    <w:rsid w:val="00560DE1"/>
    <w:rsid w:val="00560EB2"/>
    <w:rsid w:val="00561A9B"/>
    <w:rsid w:val="00561F48"/>
    <w:rsid w:val="00562138"/>
    <w:rsid w:val="005622AF"/>
    <w:rsid w:val="00562433"/>
    <w:rsid w:val="00562571"/>
    <w:rsid w:val="00562BF6"/>
    <w:rsid w:val="00562E87"/>
    <w:rsid w:val="00562F6F"/>
    <w:rsid w:val="005630AA"/>
    <w:rsid w:val="005638C1"/>
    <w:rsid w:val="00563A1C"/>
    <w:rsid w:val="0056479F"/>
    <w:rsid w:val="005648FF"/>
    <w:rsid w:val="00564D04"/>
    <w:rsid w:val="005651F6"/>
    <w:rsid w:val="0056540C"/>
    <w:rsid w:val="00566A41"/>
    <w:rsid w:val="00566DB5"/>
    <w:rsid w:val="0056720E"/>
    <w:rsid w:val="0056751A"/>
    <w:rsid w:val="00567BA4"/>
    <w:rsid w:val="00567ED0"/>
    <w:rsid w:val="00567F82"/>
    <w:rsid w:val="005701D9"/>
    <w:rsid w:val="00570538"/>
    <w:rsid w:val="00570A2C"/>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4AC2"/>
    <w:rsid w:val="0057515F"/>
    <w:rsid w:val="00575514"/>
    <w:rsid w:val="005755AD"/>
    <w:rsid w:val="00575D8C"/>
    <w:rsid w:val="00576318"/>
    <w:rsid w:val="005765A5"/>
    <w:rsid w:val="00576830"/>
    <w:rsid w:val="00577101"/>
    <w:rsid w:val="00577123"/>
    <w:rsid w:val="00577189"/>
    <w:rsid w:val="0057761F"/>
    <w:rsid w:val="005778F3"/>
    <w:rsid w:val="005779E6"/>
    <w:rsid w:val="00577C5B"/>
    <w:rsid w:val="005804A4"/>
    <w:rsid w:val="005808E8"/>
    <w:rsid w:val="00581542"/>
    <w:rsid w:val="00581671"/>
    <w:rsid w:val="0058288A"/>
    <w:rsid w:val="00582D17"/>
    <w:rsid w:val="00582F6E"/>
    <w:rsid w:val="005833C2"/>
    <w:rsid w:val="00583B0A"/>
    <w:rsid w:val="005841F9"/>
    <w:rsid w:val="00584C72"/>
    <w:rsid w:val="005859A4"/>
    <w:rsid w:val="00585A18"/>
    <w:rsid w:val="00585D00"/>
    <w:rsid w:val="00586039"/>
    <w:rsid w:val="0058672C"/>
    <w:rsid w:val="00586E5E"/>
    <w:rsid w:val="0058714C"/>
    <w:rsid w:val="005876FA"/>
    <w:rsid w:val="005903BB"/>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4D3B"/>
    <w:rsid w:val="00595057"/>
    <w:rsid w:val="005952EA"/>
    <w:rsid w:val="00595513"/>
    <w:rsid w:val="00595852"/>
    <w:rsid w:val="00595A38"/>
    <w:rsid w:val="00595D50"/>
    <w:rsid w:val="00595F6D"/>
    <w:rsid w:val="00596235"/>
    <w:rsid w:val="005964B7"/>
    <w:rsid w:val="005973F1"/>
    <w:rsid w:val="00597544"/>
    <w:rsid w:val="0059772C"/>
    <w:rsid w:val="00597852"/>
    <w:rsid w:val="0059792A"/>
    <w:rsid w:val="00597984"/>
    <w:rsid w:val="00597EA2"/>
    <w:rsid w:val="005A0112"/>
    <w:rsid w:val="005A05EF"/>
    <w:rsid w:val="005A068F"/>
    <w:rsid w:val="005A176F"/>
    <w:rsid w:val="005A17EA"/>
    <w:rsid w:val="005A1C6D"/>
    <w:rsid w:val="005A2481"/>
    <w:rsid w:val="005A26D9"/>
    <w:rsid w:val="005A27E4"/>
    <w:rsid w:val="005A286A"/>
    <w:rsid w:val="005A2D7F"/>
    <w:rsid w:val="005A38A1"/>
    <w:rsid w:val="005A44C3"/>
    <w:rsid w:val="005A4503"/>
    <w:rsid w:val="005A4603"/>
    <w:rsid w:val="005A5211"/>
    <w:rsid w:val="005A5555"/>
    <w:rsid w:val="005A55C0"/>
    <w:rsid w:val="005A6096"/>
    <w:rsid w:val="005A6AC5"/>
    <w:rsid w:val="005A6C10"/>
    <w:rsid w:val="005A6F15"/>
    <w:rsid w:val="005A737B"/>
    <w:rsid w:val="005A74ED"/>
    <w:rsid w:val="005A7844"/>
    <w:rsid w:val="005A7C48"/>
    <w:rsid w:val="005A7D71"/>
    <w:rsid w:val="005B0296"/>
    <w:rsid w:val="005B0E69"/>
    <w:rsid w:val="005B12CD"/>
    <w:rsid w:val="005B16B8"/>
    <w:rsid w:val="005B1A92"/>
    <w:rsid w:val="005B1B30"/>
    <w:rsid w:val="005B236B"/>
    <w:rsid w:val="005B2805"/>
    <w:rsid w:val="005B2859"/>
    <w:rsid w:val="005B2EA2"/>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0E2"/>
    <w:rsid w:val="005B650B"/>
    <w:rsid w:val="005B66A9"/>
    <w:rsid w:val="005B682C"/>
    <w:rsid w:val="005B6A11"/>
    <w:rsid w:val="005B7163"/>
    <w:rsid w:val="005B7306"/>
    <w:rsid w:val="005B7602"/>
    <w:rsid w:val="005B79E9"/>
    <w:rsid w:val="005B7DDB"/>
    <w:rsid w:val="005B7F53"/>
    <w:rsid w:val="005C00DE"/>
    <w:rsid w:val="005C0CF3"/>
    <w:rsid w:val="005C147E"/>
    <w:rsid w:val="005C1810"/>
    <w:rsid w:val="005C1BA5"/>
    <w:rsid w:val="005C1BF1"/>
    <w:rsid w:val="005C1C3F"/>
    <w:rsid w:val="005C1E9F"/>
    <w:rsid w:val="005C23A4"/>
    <w:rsid w:val="005C2C71"/>
    <w:rsid w:val="005C2DB6"/>
    <w:rsid w:val="005C2F2F"/>
    <w:rsid w:val="005C2F40"/>
    <w:rsid w:val="005C33FE"/>
    <w:rsid w:val="005C3AD0"/>
    <w:rsid w:val="005C3D13"/>
    <w:rsid w:val="005C3DE2"/>
    <w:rsid w:val="005C42E9"/>
    <w:rsid w:val="005C477A"/>
    <w:rsid w:val="005C47DE"/>
    <w:rsid w:val="005C48F5"/>
    <w:rsid w:val="005C4933"/>
    <w:rsid w:val="005C4B85"/>
    <w:rsid w:val="005C4B8B"/>
    <w:rsid w:val="005C4DE5"/>
    <w:rsid w:val="005C50A6"/>
    <w:rsid w:val="005C50FE"/>
    <w:rsid w:val="005C52AC"/>
    <w:rsid w:val="005C532D"/>
    <w:rsid w:val="005C702A"/>
    <w:rsid w:val="005C7131"/>
    <w:rsid w:val="005C7726"/>
    <w:rsid w:val="005C7E2F"/>
    <w:rsid w:val="005D00E9"/>
    <w:rsid w:val="005D0275"/>
    <w:rsid w:val="005D0D2D"/>
    <w:rsid w:val="005D117B"/>
    <w:rsid w:val="005D1596"/>
    <w:rsid w:val="005D1782"/>
    <w:rsid w:val="005D17B9"/>
    <w:rsid w:val="005D1E03"/>
    <w:rsid w:val="005D20D0"/>
    <w:rsid w:val="005D252A"/>
    <w:rsid w:val="005D27C0"/>
    <w:rsid w:val="005D2BE4"/>
    <w:rsid w:val="005D306F"/>
    <w:rsid w:val="005D3801"/>
    <w:rsid w:val="005D3984"/>
    <w:rsid w:val="005D502C"/>
    <w:rsid w:val="005D5636"/>
    <w:rsid w:val="005D5BB7"/>
    <w:rsid w:val="005D5CC3"/>
    <w:rsid w:val="005D5D49"/>
    <w:rsid w:val="005D6019"/>
    <w:rsid w:val="005D67F6"/>
    <w:rsid w:val="005D6ED3"/>
    <w:rsid w:val="005D6F67"/>
    <w:rsid w:val="005D6FE9"/>
    <w:rsid w:val="005D7896"/>
    <w:rsid w:val="005D7902"/>
    <w:rsid w:val="005E06BD"/>
    <w:rsid w:val="005E08BB"/>
    <w:rsid w:val="005E0CCE"/>
    <w:rsid w:val="005E0D7D"/>
    <w:rsid w:val="005E1841"/>
    <w:rsid w:val="005E1C14"/>
    <w:rsid w:val="005E1FF7"/>
    <w:rsid w:val="005E2653"/>
    <w:rsid w:val="005E2A08"/>
    <w:rsid w:val="005E2AFD"/>
    <w:rsid w:val="005E2F1A"/>
    <w:rsid w:val="005E304B"/>
    <w:rsid w:val="005E34B0"/>
    <w:rsid w:val="005E35FB"/>
    <w:rsid w:val="005E365E"/>
    <w:rsid w:val="005E3909"/>
    <w:rsid w:val="005E3D99"/>
    <w:rsid w:val="005E42E3"/>
    <w:rsid w:val="005E449E"/>
    <w:rsid w:val="005E4528"/>
    <w:rsid w:val="005E49E4"/>
    <w:rsid w:val="005E4B45"/>
    <w:rsid w:val="005E4D3D"/>
    <w:rsid w:val="005E4E72"/>
    <w:rsid w:val="005E70A5"/>
    <w:rsid w:val="005E7B4E"/>
    <w:rsid w:val="005F00DE"/>
    <w:rsid w:val="005F066A"/>
    <w:rsid w:val="005F0ADD"/>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5BAD"/>
    <w:rsid w:val="005F615D"/>
    <w:rsid w:val="005F644A"/>
    <w:rsid w:val="005F6726"/>
    <w:rsid w:val="005F6728"/>
    <w:rsid w:val="005F6886"/>
    <w:rsid w:val="005F6B3F"/>
    <w:rsid w:val="005F6B88"/>
    <w:rsid w:val="005F6BF9"/>
    <w:rsid w:val="005F76C0"/>
    <w:rsid w:val="005F7AC5"/>
    <w:rsid w:val="00600213"/>
    <w:rsid w:val="00600BDB"/>
    <w:rsid w:val="006018AA"/>
    <w:rsid w:val="00601978"/>
    <w:rsid w:val="00601BF3"/>
    <w:rsid w:val="00601C3A"/>
    <w:rsid w:val="00602059"/>
    <w:rsid w:val="006021D8"/>
    <w:rsid w:val="00602283"/>
    <w:rsid w:val="00603AA1"/>
    <w:rsid w:val="00603E9C"/>
    <w:rsid w:val="00603F4E"/>
    <w:rsid w:val="006040A7"/>
    <w:rsid w:val="00604687"/>
    <w:rsid w:val="0060484A"/>
    <w:rsid w:val="00605A01"/>
    <w:rsid w:val="00605CF6"/>
    <w:rsid w:val="00606518"/>
    <w:rsid w:val="006066D3"/>
    <w:rsid w:val="00606BAA"/>
    <w:rsid w:val="00606C10"/>
    <w:rsid w:val="0060745B"/>
    <w:rsid w:val="00607593"/>
    <w:rsid w:val="0061012C"/>
    <w:rsid w:val="00610C46"/>
    <w:rsid w:val="00610EB6"/>
    <w:rsid w:val="00610F08"/>
    <w:rsid w:val="006115A3"/>
    <w:rsid w:val="00611729"/>
    <w:rsid w:val="00611AD5"/>
    <w:rsid w:val="00611B39"/>
    <w:rsid w:val="00612C40"/>
    <w:rsid w:val="00612FBE"/>
    <w:rsid w:val="006139D4"/>
    <w:rsid w:val="00614446"/>
    <w:rsid w:val="00614D59"/>
    <w:rsid w:val="00614FE8"/>
    <w:rsid w:val="0061580D"/>
    <w:rsid w:val="00615A74"/>
    <w:rsid w:val="00615EFD"/>
    <w:rsid w:val="00616D1F"/>
    <w:rsid w:val="00616D71"/>
    <w:rsid w:val="00617041"/>
    <w:rsid w:val="00617644"/>
    <w:rsid w:val="00617769"/>
    <w:rsid w:val="006177A2"/>
    <w:rsid w:val="0062026C"/>
    <w:rsid w:val="006202C4"/>
    <w:rsid w:val="00620364"/>
    <w:rsid w:val="0062059D"/>
    <w:rsid w:val="00620994"/>
    <w:rsid w:val="006212ED"/>
    <w:rsid w:val="00622604"/>
    <w:rsid w:val="006227DD"/>
    <w:rsid w:val="00622F82"/>
    <w:rsid w:val="00622FAF"/>
    <w:rsid w:val="0062336D"/>
    <w:rsid w:val="00623DA3"/>
    <w:rsid w:val="00623F4C"/>
    <w:rsid w:val="006245DC"/>
    <w:rsid w:val="0062522C"/>
    <w:rsid w:val="0062536F"/>
    <w:rsid w:val="00625492"/>
    <w:rsid w:val="00625A21"/>
    <w:rsid w:val="0062605B"/>
    <w:rsid w:val="0062623D"/>
    <w:rsid w:val="00626355"/>
    <w:rsid w:val="0062691E"/>
    <w:rsid w:val="006270C7"/>
    <w:rsid w:val="006275F5"/>
    <w:rsid w:val="0062793F"/>
    <w:rsid w:val="006279E3"/>
    <w:rsid w:val="00630012"/>
    <w:rsid w:val="006306F2"/>
    <w:rsid w:val="00630E5A"/>
    <w:rsid w:val="00630F45"/>
    <w:rsid w:val="0063109E"/>
    <w:rsid w:val="00631B2D"/>
    <w:rsid w:val="0063286A"/>
    <w:rsid w:val="00632E65"/>
    <w:rsid w:val="00632EFF"/>
    <w:rsid w:val="006330CE"/>
    <w:rsid w:val="0063331F"/>
    <w:rsid w:val="006338CA"/>
    <w:rsid w:val="006342FF"/>
    <w:rsid w:val="006344E8"/>
    <w:rsid w:val="0063456E"/>
    <w:rsid w:val="006348E3"/>
    <w:rsid w:val="00634D3E"/>
    <w:rsid w:val="00634E51"/>
    <w:rsid w:val="0063539D"/>
    <w:rsid w:val="00635E24"/>
    <w:rsid w:val="006368BF"/>
    <w:rsid w:val="00636949"/>
    <w:rsid w:val="00636AAA"/>
    <w:rsid w:val="00636B6B"/>
    <w:rsid w:val="00636CB0"/>
    <w:rsid w:val="00637310"/>
    <w:rsid w:val="00637572"/>
    <w:rsid w:val="0063766D"/>
    <w:rsid w:val="00637673"/>
    <w:rsid w:val="00637DDD"/>
    <w:rsid w:val="00637F03"/>
    <w:rsid w:val="006408E8"/>
    <w:rsid w:val="006409BD"/>
    <w:rsid w:val="00640FB2"/>
    <w:rsid w:val="00640FF1"/>
    <w:rsid w:val="00641156"/>
    <w:rsid w:val="00641B60"/>
    <w:rsid w:val="0064266E"/>
    <w:rsid w:val="006428AB"/>
    <w:rsid w:val="00643008"/>
    <w:rsid w:val="00643809"/>
    <w:rsid w:val="00643C58"/>
    <w:rsid w:val="00644558"/>
    <w:rsid w:val="00644768"/>
    <w:rsid w:val="00644847"/>
    <w:rsid w:val="006454A0"/>
    <w:rsid w:val="006461AC"/>
    <w:rsid w:val="006462B7"/>
    <w:rsid w:val="00646435"/>
    <w:rsid w:val="0064648F"/>
    <w:rsid w:val="00646966"/>
    <w:rsid w:val="00646AD8"/>
    <w:rsid w:val="00646B49"/>
    <w:rsid w:val="006470CB"/>
    <w:rsid w:val="00647756"/>
    <w:rsid w:val="00647CA5"/>
    <w:rsid w:val="00650286"/>
    <w:rsid w:val="006507D6"/>
    <w:rsid w:val="0065103A"/>
    <w:rsid w:val="006511F1"/>
    <w:rsid w:val="0065137F"/>
    <w:rsid w:val="0065143C"/>
    <w:rsid w:val="00651487"/>
    <w:rsid w:val="00651A30"/>
    <w:rsid w:val="00651B12"/>
    <w:rsid w:val="0065282D"/>
    <w:rsid w:val="00652AF6"/>
    <w:rsid w:val="00652C4A"/>
    <w:rsid w:val="00652E8D"/>
    <w:rsid w:val="006535BE"/>
    <w:rsid w:val="00653B20"/>
    <w:rsid w:val="00654944"/>
    <w:rsid w:val="00654964"/>
    <w:rsid w:val="00654D0C"/>
    <w:rsid w:val="00654FED"/>
    <w:rsid w:val="0065506E"/>
    <w:rsid w:val="00655168"/>
    <w:rsid w:val="006552D8"/>
    <w:rsid w:val="0065572F"/>
    <w:rsid w:val="00655928"/>
    <w:rsid w:val="00657055"/>
    <w:rsid w:val="006572E7"/>
    <w:rsid w:val="00657663"/>
    <w:rsid w:val="00657B4E"/>
    <w:rsid w:val="00657D25"/>
    <w:rsid w:val="00660890"/>
    <w:rsid w:val="0066143C"/>
    <w:rsid w:val="00661508"/>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290C"/>
    <w:rsid w:val="00672B6C"/>
    <w:rsid w:val="00673D54"/>
    <w:rsid w:val="00673EB3"/>
    <w:rsid w:val="006743A3"/>
    <w:rsid w:val="00675105"/>
    <w:rsid w:val="0067525D"/>
    <w:rsid w:val="00675C04"/>
    <w:rsid w:val="00675C6E"/>
    <w:rsid w:val="00675E0B"/>
    <w:rsid w:val="006766BA"/>
    <w:rsid w:val="00676AE5"/>
    <w:rsid w:val="00676EDF"/>
    <w:rsid w:val="00677B69"/>
    <w:rsid w:val="00677BA6"/>
    <w:rsid w:val="00677E60"/>
    <w:rsid w:val="0068001E"/>
    <w:rsid w:val="00680DBD"/>
    <w:rsid w:val="006810AB"/>
    <w:rsid w:val="00681808"/>
    <w:rsid w:val="00681A80"/>
    <w:rsid w:val="00681E07"/>
    <w:rsid w:val="00681E39"/>
    <w:rsid w:val="0068234B"/>
    <w:rsid w:val="00682864"/>
    <w:rsid w:val="006828FA"/>
    <w:rsid w:val="006831FB"/>
    <w:rsid w:val="0068377F"/>
    <w:rsid w:val="00683A1A"/>
    <w:rsid w:val="00683A74"/>
    <w:rsid w:val="00683AEB"/>
    <w:rsid w:val="00683CD7"/>
    <w:rsid w:val="00683E93"/>
    <w:rsid w:val="00683FA7"/>
    <w:rsid w:val="0068432B"/>
    <w:rsid w:val="006844F6"/>
    <w:rsid w:val="006845B4"/>
    <w:rsid w:val="00684E25"/>
    <w:rsid w:val="00684E55"/>
    <w:rsid w:val="00685DDA"/>
    <w:rsid w:val="00686418"/>
    <w:rsid w:val="00686C68"/>
    <w:rsid w:val="006870A3"/>
    <w:rsid w:val="006875BD"/>
    <w:rsid w:val="00687852"/>
    <w:rsid w:val="00687CD8"/>
    <w:rsid w:val="00690440"/>
    <w:rsid w:val="00690508"/>
    <w:rsid w:val="0069088E"/>
    <w:rsid w:val="006909F0"/>
    <w:rsid w:val="00690D0F"/>
    <w:rsid w:val="00690F90"/>
    <w:rsid w:val="00691402"/>
    <w:rsid w:val="00691B7F"/>
    <w:rsid w:val="00691FEB"/>
    <w:rsid w:val="00692849"/>
    <w:rsid w:val="00692CEB"/>
    <w:rsid w:val="00692DC8"/>
    <w:rsid w:val="006934DC"/>
    <w:rsid w:val="006936A6"/>
    <w:rsid w:val="0069418D"/>
    <w:rsid w:val="00694492"/>
    <w:rsid w:val="006950D2"/>
    <w:rsid w:val="006958A4"/>
    <w:rsid w:val="00695920"/>
    <w:rsid w:val="006959FD"/>
    <w:rsid w:val="00695D9E"/>
    <w:rsid w:val="006967C8"/>
    <w:rsid w:val="006968D1"/>
    <w:rsid w:val="006970A0"/>
    <w:rsid w:val="00697628"/>
    <w:rsid w:val="00697CB2"/>
    <w:rsid w:val="006A0020"/>
    <w:rsid w:val="006A04ED"/>
    <w:rsid w:val="006A0727"/>
    <w:rsid w:val="006A093E"/>
    <w:rsid w:val="006A0D25"/>
    <w:rsid w:val="006A0D68"/>
    <w:rsid w:val="006A0EDA"/>
    <w:rsid w:val="006A140C"/>
    <w:rsid w:val="006A1568"/>
    <w:rsid w:val="006A1C3F"/>
    <w:rsid w:val="006A2469"/>
    <w:rsid w:val="006A24A0"/>
    <w:rsid w:val="006A2827"/>
    <w:rsid w:val="006A2C2E"/>
    <w:rsid w:val="006A33AA"/>
    <w:rsid w:val="006A37CE"/>
    <w:rsid w:val="006A40E4"/>
    <w:rsid w:val="006A4531"/>
    <w:rsid w:val="006A4D4D"/>
    <w:rsid w:val="006A4F9C"/>
    <w:rsid w:val="006A5806"/>
    <w:rsid w:val="006A67BD"/>
    <w:rsid w:val="006A6FE5"/>
    <w:rsid w:val="006A7484"/>
    <w:rsid w:val="006A74BD"/>
    <w:rsid w:val="006A7554"/>
    <w:rsid w:val="006A7588"/>
    <w:rsid w:val="006B0991"/>
    <w:rsid w:val="006B0EFA"/>
    <w:rsid w:val="006B0F0D"/>
    <w:rsid w:val="006B1587"/>
    <w:rsid w:val="006B185A"/>
    <w:rsid w:val="006B1CEB"/>
    <w:rsid w:val="006B1D20"/>
    <w:rsid w:val="006B22DD"/>
    <w:rsid w:val="006B2AB8"/>
    <w:rsid w:val="006B2AC2"/>
    <w:rsid w:val="006B2C89"/>
    <w:rsid w:val="006B2D23"/>
    <w:rsid w:val="006B2E2F"/>
    <w:rsid w:val="006B311C"/>
    <w:rsid w:val="006B333E"/>
    <w:rsid w:val="006B37B8"/>
    <w:rsid w:val="006B38A8"/>
    <w:rsid w:val="006B39FB"/>
    <w:rsid w:val="006B3E41"/>
    <w:rsid w:val="006B409A"/>
    <w:rsid w:val="006B46B5"/>
    <w:rsid w:val="006B48D3"/>
    <w:rsid w:val="006B4F91"/>
    <w:rsid w:val="006B51C1"/>
    <w:rsid w:val="006B533D"/>
    <w:rsid w:val="006B545F"/>
    <w:rsid w:val="006B5598"/>
    <w:rsid w:val="006B6C77"/>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D0CDD"/>
    <w:rsid w:val="006D0E9D"/>
    <w:rsid w:val="006D10F4"/>
    <w:rsid w:val="006D1586"/>
    <w:rsid w:val="006D1BDB"/>
    <w:rsid w:val="006D1DB6"/>
    <w:rsid w:val="006D1E75"/>
    <w:rsid w:val="006D1EA6"/>
    <w:rsid w:val="006D2177"/>
    <w:rsid w:val="006D33EB"/>
    <w:rsid w:val="006D349E"/>
    <w:rsid w:val="006D37E6"/>
    <w:rsid w:val="006D3A28"/>
    <w:rsid w:val="006D466B"/>
    <w:rsid w:val="006D5700"/>
    <w:rsid w:val="006D58A0"/>
    <w:rsid w:val="006D5D14"/>
    <w:rsid w:val="006D6742"/>
    <w:rsid w:val="006D6A56"/>
    <w:rsid w:val="006D6E79"/>
    <w:rsid w:val="006D702C"/>
    <w:rsid w:val="006D7526"/>
    <w:rsid w:val="006D7575"/>
    <w:rsid w:val="006D7C2A"/>
    <w:rsid w:val="006E041C"/>
    <w:rsid w:val="006E0884"/>
    <w:rsid w:val="006E0F37"/>
    <w:rsid w:val="006E1825"/>
    <w:rsid w:val="006E21AE"/>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443"/>
    <w:rsid w:val="006F55BD"/>
    <w:rsid w:val="006F5926"/>
    <w:rsid w:val="006F5DF7"/>
    <w:rsid w:val="006F61C3"/>
    <w:rsid w:val="006F6489"/>
    <w:rsid w:val="006F648C"/>
    <w:rsid w:val="006F690B"/>
    <w:rsid w:val="006F69E8"/>
    <w:rsid w:val="006F6C23"/>
    <w:rsid w:val="006F7845"/>
    <w:rsid w:val="006F7B86"/>
    <w:rsid w:val="006F7BC7"/>
    <w:rsid w:val="006F7F84"/>
    <w:rsid w:val="007001D5"/>
    <w:rsid w:val="00700C49"/>
    <w:rsid w:val="007013C3"/>
    <w:rsid w:val="00701783"/>
    <w:rsid w:val="00701DD2"/>
    <w:rsid w:val="0070284D"/>
    <w:rsid w:val="00702938"/>
    <w:rsid w:val="00703089"/>
    <w:rsid w:val="007035F3"/>
    <w:rsid w:val="00703974"/>
    <w:rsid w:val="00703B06"/>
    <w:rsid w:val="00703B68"/>
    <w:rsid w:val="00703E35"/>
    <w:rsid w:val="007048B5"/>
    <w:rsid w:val="00704C54"/>
    <w:rsid w:val="00704DBE"/>
    <w:rsid w:val="0070512A"/>
    <w:rsid w:val="007054B3"/>
    <w:rsid w:val="00705B4B"/>
    <w:rsid w:val="007069F2"/>
    <w:rsid w:val="00706C8F"/>
    <w:rsid w:val="00706EE5"/>
    <w:rsid w:val="00707089"/>
    <w:rsid w:val="007070B2"/>
    <w:rsid w:val="00707781"/>
    <w:rsid w:val="007077C5"/>
    <w:rsid w:val="00707CC2"/>
    <w:rsid w:val="00707F84"/>
    <w:rsid w:val="00710C17"/>
    <w:rsid w:val="00710E3E"/>
    <w:rsid w:val="00710EE1"/>
    <w:rsid w:val="0071122E"/>
    <w:rsid w:val="0071177A"/>
    <w:rsid w:val="00711B92"/>
    <w:rsid w:val="00711F91"/>
    <w:rsid w:val="00712967"/>
    <w:rsid w:val="00712EA0"/>
    <w:rsid w:val="007132D3"/>
    <w:rsid w:val="007134D5"/>
    <w:rsid w:val="0071415C"/>
    <w:rsid w:val="00714686"/>
    <w:rsid w:val="007146CE"/>
    <w:rsid w:val="0071471F"/>
    <w:rsid w:val="00714865"/>
    <w:rsid w:val="00714E19"/>
    <w:rsid w:val="00715050"/>
    <w:rsid w:val="007155CF"/>
    <w:rsid w:val="007157C1"/>
    <w:rsid w:val="00715A31"/>
    <w:rsid w:val="00715C40"/>
    <w:rsid w:val="00715D51"/>
    <w:rsid w:val="0071615B"/>
    <w:rsid w:val="00716D69"/>
    <w:rsid w:val="00716D70"/>
    <w:rsid w:val="00717113"/>
    <w:rsid w:val="00717184"/>
    <w:rsid w:val="00717AC9"/>
    <w:rsid w:val="00717B73"/>
    <w:rsid w:val="0072053A"/>
    <w:rsid w:val="0072084C"/>
    <w:rsid w:val="00720F26"/>
    <w:rsid w:val="00720F95"/>
    <w:rsid w:val="007211DA"/>
    <w:rsid w:val="007211E8"/>
    <w:rsid w:val="00721ACE"/>
    <w:rsid w:val="00721DE8"/>
    <w:rsid w:val="007223C2"/>
    <w:rsid w:val="0072272C"/>
    <w:rsid w:val="00722998"/>
    <w:rsid w:val="007239E0"/>
    <w:rsid w:val="0072479C"/>
    <w:rsid w:val="00724E6B"/>
    <w:rsid w:val="00724FA7"/>
    <w:rsid w:val="0072513C"/>
    <w:rsid w:val="007254C6"/>
    <w:rsid w:val="00725783"/>
    <w:rsid w:val="00725E2E"/>
    <w:rsid w:val="007262F0"/>
    <w:rsid w:val="0072645E"/>
    <w:rsid w:val="007266A0"/>
    <w:rsid w:val="007269B3"/>
    <w:rsid w:val="007277F8"/>
    <w:rsid w:val="0072785B"/>
    <w:rsid w:val="00727ECC"/>
    <w:rsid w:val="00727FD8"/>
    <w:rsid w:val="0073003E"/>
    <w:rsid w:val="00730601"/>
    <w:rsid w:val="007309C0"/>
    <w:rsid w:val="00730D41"/>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5754"/>
    <w:rsid w:val="007362E3"/>
    <w:rsid w:val="007364F1"/>
    <w:rsid w:val="007365D6"/>
    <w:rsid w:val="00736CDF"/>
    <w:rsid w:val="00736EDD"/>
    <w:rsid w:val="007372C2"/>
    <w:rsid w:val="00737B55"/>
    <w:rsid w:val="00737C41"/>
    <w:rsid w:val="0074001E"/>
    <w:rsid w:val="007400ED"/>
    <w:rsid w:val="007403DA"/>
    <w:rsid w:val="0074112C"/>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61F"/>
    <w:rsid w:val="00746785"/>
    <w:rsid w:val="00746958"/>
    <w:rsid w:val="00746E4A"/>
    <w:rsid w:val="00747299"/>
    <w:rsid w:val="00747417"/>
    <w:rsid w:val="0074748F"/>
    <w:rsid w:val="00747703"/>
    <w:rsid w:val="00747A66"/>
    <w:rsid w:val="00747CD7"/>
    <w:rsid w:val="00750154"/>
    <w:rsid w:val="00750FE0"/>
    <w:rsid w:val="00751837"/>
    <w:rsid w:val="00751868"/>
    <w:rsid w:val="00751B16"/>
    <w:rsid w:val="007522EA"/>
    <w:rsid w:val="0075278F"/>
    <w:rsid w:val="00753890"/>
    <w:rsid w:val="00753A8E"/>
    <w:rsid w:val="00753B90"/>
    <w:rsid w:val="00754142"/>
    <w:rsid w:val="00754335"/>
    <w:rsid w:val="00754671"/>
    <w:rsid w:val="0075484F"/>
    <w:rsid w:val="0075590B"/>
    <w:rsid w:val="00755C38"/>
    <w:rsid w:val="00755DE8"/>
    <w:rsid w:val="0075606C"/>
    <w:rsid w:val="007566BB"/>
    <w:rsid w:val="0075674F"/>
    <w:rsid w:val="00756E93"/>
    <w:rsid w:val="00756F1C"/>
    <w:rsid w:val="0075770C"/>
    <w:rsid w:val="00757A80"/>
    <w:rsid w:val="007604BC"/>
    <w:rsid w:val="00760895"/>
    <w:rsid w:val="00760AFB"/>
    <w:rsid w:val="00760EE2"/>
    <w:rsid w:val="00761A45"/>
    <w:rsid w:val="00762335"/>
    <w:rsid w:val="0076283A"/>
    <w:rsid w:val="00762CCA"/>
    <w:rsid w:val="00762E8E"/>
    <w:rsid w:val="00763B3D"/>
    <w:rsid w:val="00763BFD"/>
    <w:rsid w:val="00763DD9"/>
    <w:rsid w:val="00763DF7"/>
    <w:rsid w:val="00764A66"/>
    <w:rsid w:val="00765092"/>
    <w:rsid w:val="00765238"/>
    <w:rsid w:val="00765D40"/>
    <w:rsid w:val="00766546"/>
    <w:rsid w:val="007667C7"/>
    <w:rsid w:val="00766BA7"/>
    <w:rsid w:val="00766CCF"/>
    <w:rsid w:val="00766F41"/>
    <w:rsid w:val="00766F73"/>
    <w:rsid w:val="007671EE"/>
    <w:rsid w:val="007677DA"/>
    <w:rsid w:val="00767D6E"/>
    <w:rsid w:val="00770486"/>
    <w:rsid w:val="0077106A"/>
    <w:rsid w:val="00771699"/>
    <w:rsid w:val="00772161"/>
    <w:rsid w:val="007724E6"/>
    <w:rsid w:val="0077286D"/>
    <w:rsid w:val="007730E5"/>
    <w:rsid w:val="007736D7"/>
    <w:rsid w:val="007740D6"/>
    <w:rsid w:val="00774281"/>
    <w:rsid w:val="007743B0"/>
    <w:rsid w:val="007755F8"/>
    <w:rsid w:val="00775C01"/>
    <w:rsid w:val="007762F6"/>
    <w:rsid w:val="00776737"/>
    <w:rsid w:val="00776BAC"/>
    <w:rsid w:val="00776BE8"/>
    <w:rsid w:val="00777458"/>
    <w:rsid w:val="00777D64"/>
    <w:rsid w:val="00780760"/>
    <w:rsid w:val="00780A48"/>
    <w:rsid w:val="00781112"/>
    <w:rsid w:val="00781277"/>
    <w:rsid w:val="00781DC1"/>
    <w:rsid w:val="00781F4B"/>
    <w:rsid w:val="007823A8"/>
    <w:rsid w:val="00782818"/>
    <w:rsid w:val="007829C5"/>
    <w:rsid w:val="00782F2D"/>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C4B"/>
    <w:rsid w:val="00792DFE"/>
    <w:rsid w:val="00793116"/>
    <w:rsid w:val="00793831"/>
    <w:rsid w:val="00793B73"/>
    <w:rsid w:val="00793D5B"/>
    <w:rsid w:val="007943BF"/>
    <w:rsid w:val="007944CC"/>
    <w:rsid w:val="00794B59"/>
    <w:rsid w:val="00795136"/>
    <w:rsid w:val="00795838"/>
    <w:rsid w:val="007959ED"/>
    <w:rsid w:val="007969AA"/>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49"/>
    <w:rsid w:val="007A23C9"/>
    <w:rsid w:val="007A2479"/>
    <w:rsid w:val="007A2551"/>
    <w:rsid w:val="007A4A59"/>
    <w:rsid w:val="007A53F3"/>
    <w:rsid w:val="007A54FE"/>
    <w:rsid w:val="007A6823"/>
    <w:rsid w:val="007A6989"/>
    <w:rsid w:val="007A73D1"/>
    <w:rsid w:val="007A75F8"/>
    <w:rsid w:val="007B027E"/>
    <w:rsid w:val="007B02F5"/>
    <w:rsid w:val="007B039E"/>
    <w:rsid w:val="007B0A90"/>
    <w:rsid w:val="007B106B"/>
    <w:rsid w:val="007B1133"/>
    <w:rsid w:val="007B1493"/>
    <w:rsid w:val="007B1F0B"/>
    <w:rsid w:val="007B23B1"/>
    <w:rsid w:val="007B25B4"/>
    <w:rsid w:val="007B2C6A"/>
    <w:rsid w:val="007B317A"/>
    <w:rsid w:val="007B3A87"/>
    <w:rsid w:val="007B3E2A"/>
    <w:rsid w:val="007B3F96"/>
    <w:rsid w:val="007B4042"/>
    <w:rsid w:val="007B433F"/>
    <w:rsid w:val="007B4484"/>
    <w:rsid w:val="007B4AB0"/>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B79F4"/>
    <w:rsid w:val="007C0B63"/>
    <w:rsid w:val="007C11F7"/>
    <w:rsid w:val="007C1C54"/>
    <w:rsid w:val="007C1E7F"/>
    <w:rsid w:val="007C2290"/>
    <w:rsid w:val="007C2447"/>
    <w:rsid w:val="007C2A95"/>
    <w:rsid w:val="007C2D2F"/>
    <w:rsid w:val="007C2F1E"/>
    <w:rsid w:val="007C340C"/>
    <w:rsid w:val="007C5390"/>
    <w:rsid w:val="007C5A00"/>
    <w:rsid w:val="007C5E18"/>
    <w:rsid w:val="007C6241"/>
    <w:rsid w:val="007C68BD"/>
    <w:rsid w:val="007C6983"/>
    <w:rsid w:val="007C6B95"/>
    <w:rsid w:val="007C6C85"/>
    <w:rsid w:val="007C7547"/>
    <w:rsid w:val="007C76B6"/>
    <w:rsid w:val="007C76EB"/>
    <w:rsid w:val="007C7733"/>
    <w:rsid w:val="007D0307"/>
    <w:rsid w:val="007D0900"/>
    <w:rsid w:val="007D0C05"/>
    <w:rsid w:val="007D0F06"/>
    <w:rsid w:val="007D1537"/>
    <w:rsid w:val="007D219A"/>
    <w:rsid w:val="007D229C"/>
    <w:rsid w:val="007D2385"/>
    <w:rsid w:val="007D2591"/>
    <w:rsid w:val="007D274F"/>
    <w:rsid w:val="007D27B0"/>
    <w:rsid w:val="007D3010"/>
    <w:rsid w:val="007D3188"/>
    <w:rsid w:val="007D33A3"/>
    <w:rsid w:val="007D34D9"/>
    <w:rsid w:val="007D35EE"/>
    <w:rsid w:val="007D373B"/>
    <w:rsid w:val="007D3A2C"/>
    <w:rsid w:val="007D3D83"/>
    <w:rsid w:val="007D3FEF"/>
    <w:rsid w:val="007D4691"/>
    <w:rsid w:val="007D4CCD"/>
    <w:rsid w:val="007D5762"/>
    <w:rsid w:val="007E02E8"/>
    <w:rsid w:val="007E0618"/>
    <w:rsid w:val="007E0689"/>
    <w:rsid w:val="007E0BF8"/>
    <w:rsid w:val="007E12E8"/>
    <w:rsid w:val="007E1650"/>
    <w:rsid w:val="007E1B64"/>
    <w:rsid w:val="007E1BBB"/>
    <w:rsid w:val="007E262C"/>
    <w:rsid w:val="007E265A"/>
    <w:rsid w:val="007E353D"/>
    <w:rsid w:val="007E356F"/>
    <w:rsid w:val="007E3D54"/>
    <w:rsid w:val="007E4679"/>
    <w:rsid w:val="007E467A"/>
    <w:rsid w:val="007E486A"/>
    <w:rsid w:val="007E4F58"/>
    <w:rsid w:val="007E5101"/>
    <w:rsid w:val="007E517C"/>
    <w:rsid w:val="007E62B1"/>
    <w:rsid w:val="007E62ED"/>
    <w:rsid w:val="007E680E"/>
    <w:rsid w:val="007E6CF7"/>
    <w:rsid w:val="007E71CE"/>
    <w:rsid w:val="007E7993"/>
    <w:rsid w:val="007E7A41"/>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AEC"/>
    <w:rsid w:val="007F2B1C"/>
    <w:rsid w:val="007F2EB1"/>
    <w:rsid w:val="007F2FBE"/>
    <w:rsid w:val="007F3723"/>
    <w:rsid w:val="007F3851"/>
    <w:rsid w:val="007F3ACD"/>
    <w:rsid w:val="007F3CF3"/>
    <w:rsid w:val="007F3F37"/>
    <w:rsid w:val="007F45C5"/>
    <w:rsid w:val="007F57F3"/>
    <w:rsid w:val="007F5E02"/>
    <w:rsid w:val="007F62AE"/>
    <w:rsid w:val="007F6922"/>
    <w:rsid w:val="007F70FA"/>
    <w:rsid w:val="007F71C9"/>
    <w:rsid w:val="007F7634"/>
    <w:rsid w:val="007F7B12"/>
    <w:rsid w:val="007F7CAC"/>
    <w:rsid w:val="007F7E8D"/>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BF"/>
    <w:rsid w:val="008047E8"/>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919"/>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17E9E"/>
    <w:rsid w:val="00820524"/>
    <w:rsid w:val="00820BCD"/>
    <w:rsid w:val="00820D7A"/>
    <w:rsid w:val="00820E2F"/>
    <w:rsid w:val="00820F7E"/>
    <w:rsid w:val="0082177C"/>
    <w:rsid w:val="008218A2"/>
    <w:rsid w:val="0082194B"/>
    <w:rsid w:val="0082195A"/>
    <w:rsid w:val="008226B0"/>
    <w:rsid w:val="00822A82"/>
    <w:rsid w:val="0082315F"/>
    <w:rsid w:val="00823568"/>
    <w:rsid w:val="0082397E"/>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AF0"/>
    <w:rsid w:val="00834EC7"/>
    <w:rsid w:val="00835022"/>
    <w:rsid w:val="00835ACC"/>
    <w:rsid w:val="00835BBB"/>
    <w:rsid w:val="00836301"/>
    <w:rsid w:val="00836A41"/>
    <w:rsid w:val="00836DBF"/>
    <w:rsid w:val="008375FB"/>
    <w:rsid w:val="00837BB4"/>
    <w:rsid w:val="00837C40"/>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82F"/>
    <w:rsid w:val="00844B6B"/>
    <w:rsid w:val="00844DBD"/>
    <w:rsid w:val="00844F03"/>
    <w:rsid w:val="00844F4E"/>
    <w:rsid w:val="0084533F"/>
    <w:rsid w:val="008457EB"/>
    <w:rsid w:val="00845F98"/>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0E2"/>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4F29"/>
    <w:rsid w:val="0085526D"/>
    <w:rsid w:val="00855706"/>
    <w:rsid w:val="008563EE"/>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CF4"/>
    <w:rsid w:val="00861D77"/>
    <w:rsid w:val="00862223"/>
    <w:rsid w:val="0086247F"/>
    <w:rsid w:val="008624A3"/>
    <w:rsid w:val="008628AF"/>
    <w:rsid w:val="008629C6"/>
    <w:rsid w:val="00862BDD"/>
    <w:rsid w:val="00862E5D"/>
    <w:rsid w:val="0086313F"/>
    <w:rsid w:val="00863448"/>
    <w:rsid w:val="0086364C"/>
    <w:rsid w:val="00864385"/>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FF"/>
    <w:rsid w:val="008761B1"/>
    <w:rsid w:val="00876243"/>
    <w:rsid w:val="0087624D"/>
    <w:rsid w:val="00876527"/>
    <w:rsid w:val="00876A0E"/>
    <w:rsid w:val="00876DD9"/>
    <w:rsid w:val="00876EA8"/>
    <w:rsid w:val="008774CB"/>
    <w:rsid w:val="0087755A"/>
    <w:rsid w:val="0087757A"/>
    <w:rsid w:val="0087768C"/>
    <w:rsid w:val="008779E9"/>
    <w:rsid w:val="00877B84"/>
    <w:rsid w:val="00880111"/>
    <w:rsid w:val="00880D36"/>
    <w:rsid w:val="008810B3"/>
    <w:rsid w:val="008815E0"/>
    <w:rsid w:val="00881981"/>
    <w:rsid w:val="00881B0F"/>
    <w:rsid w:val="00881E7D"/>
    <w:rsid w:val="0088248D"/>
    <w:rsid w:val="00882B64"/>
    <w:rsid w:val="00882DB7"/>
    <w:rsid w:val="00882F95"/>
    <w:rsid w:val="008838D6"/>
    <w:rsid w:val="00883C30"/>
    <w:rsid w:val="0088405E"/>
    <w:rsid w:val="00884D3F"/>
    <w:rsid w:val="00884FED"/>
    <w:rsid w:val="00885237"/>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476"/>
    <w:rsid w:val="008917F7"/>
    <w:rsid w:val="008917FC"/>
    <w:rsid w:val="00892395"/>
    <w:rsid w:val="00892FA1"/>
    <w:rsid w:val="00892FF0"/>
    <w:rsid w:val="00893511"/>
    <w:rsid w:val="00893806"/>
    <w:rsid w:val="00893AD1"/>
    <w:rsid w:val="00893D4A"/>
    <w:rsid w:val="00893D56"/>
    <w:rsid w:val="00893F01"/>
    <w:rsid w:val="008946A3"/>
    <w:rsid w:val="0089489B"/>
    <w:rsid w:val="00894EEC"/>
    <w:rsid w:val="00894FAF"/>
    <w:rsid w:val="0089518E"/>
    <w:rsid w:val="0089597A"/>
    <w:rsid w:val="008959C9"/>
    <w:rsid w:val="00895B8B"/>
    <w:rsid w:val="00895C0A"/>
    <w:rsid w:val="00895CEA"/>
    <w:rsid w:val="00896123"/>
    <w:rsid w:val="0089654A"/>
    <w:rsid w:val="00896561"/>
    <w:rsid w:val="00896729"/>
    <w:rsid w:val="00896F33"/>
    <w:rsid w:val="00897228"/>
    <w:rsid w:val="0089758A"/>
    <w:rsid w:val="00897A59"/>
    <w:rsid w:val="00897A9E"/>
    <w:rsid w:val="008A0013"/>
    <w:rsid w:val="008A00BF"/>
    <w:rsid w:val="008A024F"/>
    <w:rsid w:val="008A0F2B"/>
    <w:rsid w:val="008A112A"/>
    <w:rsid w:val="008A1E2D"/>
    <w:rsid w:val="008A23AD"/>
    <w:rsid w:val="008A24AA"/>
    <w:rsid w:val="008A2786"/>
    <w:rsid w:val="008A2C4E"/>
    <w:rsid w:val="008A2F58"/>
    <w:rsid w:val="008A3120"/>
    <w:rsid w:val="008A3238"/>
    <w:rsid w:val="008A32FF"/>
    <w:rsid w:val="008A3996"/>
    <w:rsid w:val="008A3E59"/>
    <w:rsid w:val="008A4377"/>
    <w:rsid w:val="008A4A6E"/>
    <w:rsid w:val="008A4A7D"/>
    <w:rsid w:val="008A4CDA"/>
    <w:rsid w:val="008A58B9"/>
    <w:rsid w:val="008A59AD"/>
    <w:rsid w:val="008A6033"/>
    <w:rsid w:val="008A6CB4"/>
    <w:rsid w:val="008A6D74"/>
    <w:rsid w:val="008A7BCE"/>
    <w:rsid w:val="008B0293"/>
    <w:rsid w:val="008B085F"/>
    <w:rsid w:val="008B0B45"/>
    <w:rsid w:val="008B116B"/>
    <w:rsid w:val="008B13EA"/>
    <w:rsid w:val="008B1403"/>
    <w:rsid w:val="008B14E4"/>
    <w:rsid w:val="008B1597"/>
    <w:rsid w:val="008B168E"/>
    <w:rsid w:val="008B1881"/>
    <w:rsid w:val="008B1D1A"/>
    <w:rsid w:val="008B1FFA"/>
    <w:rsid w:val="008B200D"/>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6EF0"/>
    <w:rsid w:val="008B7971"/>
    <w:rsid w:val="008B7C5C"/>
    <w:rsid w:val="008B7FCD"/>
    <w:rsid w:val="008C0549"/>
    <w:rsid w:val="008C1414"/>
    <w:rsid w:val="008C1C73"/>
    <w:rsid w:val="008C1FAE"/>
    <w:rsid w:val="008C237D"/>
    <w:rsid w:val="008C295E"/>
    <w:rsid w:val="008C3084"/>
    <w:rsid w:val="008C3299"/>
    <w:rsid w:val="008C34A4"/>
    <w:rsid w:val="008C3517"/>
    <w:rsid w:val="008C38DD"/>
    <w:rsid w:val="008C3958"/>
    <w:rsid w:val="008C3A1C"/>
    <w:rsid w:val="008C4308"/>
    <w:rsid w:val="008C4399"/>
    <w:rsid w:val="008C4417"/>
    <w:rsid w:val="008C4AF7"/>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516"/>
    <w:rsid w:val="008D27A4"/>
    <w:rsid w:val="008D29BD"/>
    <w:rsid w:val="008D2F64"/>
    <w:rsid w:val="008D2FBD"/>
    <w:rsid w:val="008D314E"/>
    <w:rsid w:val="008D34C4"/>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1938"/>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601"/>
    <w:rsid w:val="008F0938"/>
    <w:rsid w:val="008F1320"/>
    <w:rsid w:val="008F14A5"/>
    <w:rsid w:val="008F28A9"/>
    <w:rsid w:val="008F2C18"/>
    <w:rsid w:val="008F2CA6"/>
    <w:rsid w:val="008F2E52"/>
    <w:rsid w:val="008F2F1D"/>
    <w:rsid w:val="008F3633"/>
    <w:rsid w:val="008F3897"/>
    <w:rsid w:val="008F3A21"/>
    <w:rsid w:val="008F3E22"/>
    <w:rsid w:val="008F467D"/>
    <w:rsid w:val="008F4744"/>
    <w:rsid w:val="008F4C99"/>
    <w:rsid w:val="008F5229"/>
    <w:rsid w:val="008F5BEF"/>
    <w:rsid w:val="008F6843"/>
    <w:rsid w:val="008F68CF"/>
    <w:rsid w:val="008F6EEB"/>
    <w:rsid w:val="008F754B"/>
    <w:rsid w:val="00900414"/>
    <w:rsid w:val="00900756"/>
    <w:rsid w:val="0090101F"/>
    <w:rsid w:val="00901440"/>
    <w:rsid w:val="009017A9"/>
    <w:rsid w:val="009019D8"/>
    <w:rsid w:val="00901D9C"/>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5D29"/>
    <w:rsid w:val="0090669D"/>
    <w:rsid w:val="00906E0B"/>
    <w:rsid w:val="0090742B"/>
    <w:rsid w:val="00907D7D"/>
    <w:rsid w:val="00907F45"/>
    <w:rsid w:val="00907FEB"/>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3F8B"/>
    <w:rsid w:val="00914013"/>
    <w:rsid w:val="009149A3"/>
    <w:rsid w:val="009152E2"/>
    <w:rsid w:val="00915698"/>
    <w:rsid w:val="00915B11"/>
    <w:rsid w:val="0091605A"/>
    <w:rsid w:val="00916372"/>
    <w:rsid w:val="0091687A"/>
    <w:rsid w:val="0091729A"/>
    <w:rsid w:val="00917826"/>
    <w:rsid w:val="00917913"/>
    <w:rsid w:val="00917A26"/>
    <w:rsid w:val="00917A7D"/>
    <w:rsid w:val="00917C4A"/>
    <w:rsid w:val="00917E93"/>
    <w:rsid w:val="00920477"/>
    <w:rsid w:val="0092053F"/>
    <w:rsid w:val="00920615"/>
    <w:rsid w:val="00920F06"/>
    <w:rsid w:val="0092112C"/>
    <w:rsid w:val="0092188C"/>
    <w:rsid w:val="00922136"/>
    <w:rsid w:val="0092248E"/>
    <w:rsid w:val="00922B2C"/>
    <w:rsid w:val="00922BB0"/>
    <w:rsid w:val="00922C38"/>
    <w:rsid w:val="00922E91"/>
    <w:rsid w:val="00923891"/>
    <w:rsid w:val="00923BCC"/>
    <w:rsid w:val="0092412C"/>
    <w:rsid w:val="009249B0"/>
    <w:rsid w:val="009249F9"/>
    <w:rsid w:val="00924CF7"/>
    <w:rsid w:val="00924E41"/>
    <w:rsid w:val="009250FD"/>
    <w:rsid w:val="0092547A"/>
    <w:rsid w:val="00925F78"/>
    <w:rsid w:val="00926166"/>
    <w:rsid w:val="00926518"/>
    <w:rsid w:val="00926820"/>
    <w:rsid w:val="00926A54"/>
    <w:rsid w:val="00926C5F"/>
    <w:rsid w:val="00926F44"/>
    <w:rsid w:val="009275EC"/>
    <w:rsid w:val="00927DCD"/>
    <w:rsid w:val="0093044F"/>
    <w:rsid w:val="0093080E"/>
    <w:rsid w:val="00930A85"/>
    <w:rsid w:val="00930ABD"/>
    <w:rsid w:val="00930CE4"/>
    <w:rsid w:val="0093160C"/>
    <w:rsid w:val="009316C0"/>
    <w:rsid w:val="009317AC"/>
    <w:rsid w:val="00931DCD"/>
    <w:rsid w:val="00931E44"/>
    <w:rsid w:val="00932446"/>
    <w:rsid w:val="00932947"/>
    <w:rsid w:val="00932D18"/>
    <w:rsid w:val="00932DD8"/>
    <w:rsid w:val="00932EB2"/>
    <w:rsid w:val="00933081"/>
    <w:rsid w:val="0093355E"/>
    <w:rsid w:val="00933F7E"/>
    <w:rsid w:val="00934462"/>
    <w:rsid w:val="009347B0"/>
    <w:rsid w:val="00934860"/>
    <w:rsid w:val="00934ADF"/>
    <w:rsid w:val="00934B10"/>
    <w:rsid w:val="00935218"/>
    <w:rsid w:val="009354E8"/>
    <w:rsid w:val="0093555C"/>
    <w:rsid w:val="00935FCD"/>
    <w:rsid w:val="0093638E"/>
    <w:rsid w:val="0093664F"/>
    <w:rsid w:val="00936A66"/>
    <w:rsid w:val="00936ECE"/>
    <w:rsid w:val="0093729E"/>
    <w:rsid w:val="009376B2"/>
    <w:rsid w:val="00937880"/>
    <w:rsid w:val="00937BEB"/>
    <w:rsid w:val="00937C5B"/>
    <w:rsid w:val="00937E2C"/>
    <w:rsid w:val="00940111"/>
    <w:rsid w:val="009401A9"/>
    <w:rsid w:val="00940AAA"/>
    <w:rsid w:val="00940C01"/>
    <w:rsid w:val="00940CD5"/>
    <w:rsid w:val="00940DD4"/>
    <w:rsid w:val="0094114A"/>
    <w:rsid w:val="00941B66"/>
    <w:rsid w:val="00942392"/>
    <w:rsid w:val="00942524"/>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664"/>
    <w:rsid w:val="00947B8C"/>
    <w:rsid w:val="009501AE"/>
    <w:rsid w:val="009501BB"/>
    <w:rsid w:val="009505BA"/>
    <w:rsid w:val="0095074E"/>
    <w:rsid w:val="00950A9F"/>
    <w:rsid w:val="009511A1"/>
    <w:rsid w:val="00951A04"/>
    <w:rsid w:val="00951C06"/>
    <w:rsid w:val="00951EA3"/>
    <w:rsid w:val="009522F6"/>
    <w:rsid w:val="00953040"/>
    <w:rsid w:val="00953864"/>
    <w:rsid w:val="00953BF0"/>
    <w:rsid w:val="00953E2B"/>
    <w:rsid w:val="009540DD"/>
    <w:rsid w:val="0095418E"/>
    <w:rsid w:val="009543E8"/>
    <w:rsid w:val="0095519B"/>
    <w:rsid w:val="00955B2B"/>
    <w:rsid w:val="00955BBD"/>
    <w:rsid w:val="009561C0"/>
    <w:rsid w:val="009561DB"/>
    <w:rsid w:val="009569E7"/>
    <w:rsid w:val="00956E0A"/>
    <w:rsid w:val="00957317"/>
    <w:rsid w:val="009576AF"/>
    <w:rsid w:val="009578A6"/>
    <w:rsid w:val="00957C7F"/>
    <w:rsid w:val="00957D83"/>
    <w:rsid w:val="00960124"/>
    <w:rsid w:val="009602CB"/>
    <w:rsid w:val="00960BAD"/>
    <w:rsid w:val="00960E07"/>
    <w:rsid w:val="009611B8"/>
    <w:rsid w:val="00961D8A"/>
    <w:rsid w:val="00961E9B"/>
    <w:rsid w:val="00961FF6"/>
    <w:rsid w:val="00962CDC"/>
    <w:rsid w:val="00962F09"/>
    <w:rsid w:val="009633CD"/>
    <w:rsid w:val="00963C13"/>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C12"/>
    <w:rsid w:val="00975EAB"/>
    <w:rsid w:val="00975F21"/>
    <w:rsid w:val="0097617E"/>
    <w:rsid w:val="0097652C"/>
    <w:rsid w:val="00976B65"/>
    <w:rsid w:val="0097757E"/>
    <w:rsid w:val="00977614"/>
    <w:rsid w:val="009777C4"/>
    <w:rsid w:val="0098004F"/>
    <w:rsid w:val="00980307"/>
    <w:rsid w:val="00980C61"/>
    <w:rsid w:val="009811B4"/>
    <w:rsid w:val="00981325"/>
    <w:rsid w:val="00981748"/>
    <w:rsid w:val="009819D2"/>
    <w:rsid w:val="00981AE9"/>
    <w:rsid w:val="00981E4C"/>
    <w:rsid w:val="0098216F"/>
    <w:rsid w:val="009821D3"/>
    <w:rsid w:val="00982331"/>
    <w:rsid w:val="00982C36"/>
    <w:rsid w:val="00983824"/>
    <w:rsid w:val="00984092"/>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31"/>
    <w:rsid w:val="009863B8"/>
    <w:rsid w:val="00986435"/>
    <w:rsid w:val="009866FB"/>
    <w:rsid w:val="00986730"/>
    <w:rsid w:val="0098674E"/>
    <w:rsid w:val="00986BC6"/>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1E5B"/>
    <w:rsid w:val="00992489"/>
    <w:rsid w:val="00992575"/>
    <w:rsid w:val="00992ADB"/>
    <w:rsid w:val="00993002"/>
    <w:rsid w:val="00993A62"/>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0F24"/>
    <w:rsid w:val="009A1A97"/>
    <w:rsid w:val="009A1E16"/>
    <w:rsid w:val="009A1F50"/>
    <w:rsid w:val="009A22E4"/>
    <w:rsid w:val="009A2662"/>
    <w:rsid w:val="009A2922"/>
    <w:rsid w:val="009A3056"/>
    <w:rsid w:val="009A3985"/>
    <w:rsid w:val="009A416A"/>
    <w:rsid w:val="009A454A"/>
    <w:rsid w:val="009A4AB7"/>
    <w:rsid w:val="009A5AE8"/>
    <w:rsid w:val="009A5B44"/>
    <w:rsid w:val="009A5C09"/>
    <w:rsid w:val="009A5C2F"/>
    <w:rsid w:val="009A606F"/>
    <w:rsid w:val="009A65A5"/>
    <w:rsid w:val="009A6B1B"/>
    <w:rsid w:val="009A6BE8"/>
    <w:rsid w:val="009A6FAF"/>
    <w:rsid w:val="009A76C5"/>
    <w:rsid w:val="009A7E09"/>
    <w:rsid w:val="009A7E16"/>
    <w:rsid w:val="009B00CD"/>
    <w:rsid w:val="009B11AC"/>
    <w:rsid w:val="009B147B"/>
    <w:rsid w:val="009B18C3"/>
    <w:rsid w:val="009B2D01"/>
    <w:rsid w:val="009B3DD5"/>
    <w:rsid w:val="009B42E8"/>
    <w:rsid w:val="009B4401"/>
    <w:rsid w:val="009B4649"/>
    <w:rsid w:val="009B4FC2"/>
    <w:rsid w:val="009B507C"/>
    <w:rsid w:val="009B5339"/>
    <w:rsid w:val="009B53A4"/>
    <w:rsid w:val="009B54AB"/>
    <w:rsid w:val="009B5ECA"/>
    <w:rsid w:val="009B66C4"/>
    <w:rsid w:val="009B6709"/>
    <w:rsid w:val="009B673C"/>
    <w:rsid w:val="009B69DB"/>
    <w:rsid w:val="009B6BB1"/>
    <w:rsid w:val="009B6E6E"/>
    <w:rsid w:val="009B7C76"/>
    <w:rsid w:val="009C04A7"/>
    <w:rsid w:val="009C07AF"/>
    <w:rsid w:val="009C0845"/>
    <w:rsid w:val="009C087B"/>
    <w:rsid w:val="009C13A2"/>
    <w:rsid w:val="009C141D"/>
    <w:rsid w:val="009C297B"/>
    <w:rsid w:val="009C2CF6"/>
    <w:rsid w:val="009C30D3"/>
    <w:rsid w:val="009C368C"/>
    <w:rsid w:val="009C3824"/>
    <w:rsid w:val="009C409F"/>
    <w:rsid w:val="009C49D8"/>
    <w:rsid w:val="009C505F"/>
    <w:rsid w:val="009C5323"/>
    <w:rsid w:val="009C57A6"/>
    <w:rsid w:val="009C59DA"/>
    <w:rsid w:val="009C5EA3"/>
    <w:rsid w:val="009C6520"/>
    <w:rsid w:val="009C6CD9"/>
    <w:rsid w:val="009C6E3D"/>
    <w:rsid w:val="009C6F2F"/>
    <w:rsid w:val="009C713C"/>
    <w:rsid w:val="009C7AD0"/>
    <w:rsid w:val="009C7C11"/>
    <w:rsid w:val="009C7CB6"/>
    <w:rsid w:val="009C7F51"/>
    <w:rsid w:val="009D0666"/>
    <w:rsid w:val="009D0774"/>
    <w:rsid w:val="009D1896"/>
    <w:rsid w:val="009D1CD7"/>
    <w:rsid w:val="009D1DFB"/>
    <w:rsid w:val="009D23F4"/>
    <w:rsid w:val="009D258B"/>
    <w:rsid w:val="009D2820"/>
    <w:rsid w:val="009D2862"/>
    <w:rsid w:val="009D2BE0"/>
    <w:rsid w:val="009D2DEC"/>
    <w:rsid w:val="009D3401"/>
    <w:rsid w:val="009D41F4"/>
    <w:rsid w:val="009D423C"/>
    <w:rsid w:val="009D42EB"/>
    <w:rsid w:val="009D484B"/>
    <w:rsid w:val="009D4C13"/>
    <w:rsid w:val="009D51DC"/>
    <w:rsid w:val="009D534F"/>
    <w:rsid w:val="009D57E5"/>
    <w:rsid w:val="009D5FFA"/>
    <w:rsid w:val="009D70E1"/>
    <w:rsid w:val="009D7411"/>
    <w:rsid w:val="009D7469"/>
    <w:rsid w:val="009D7489"/>
    <w:rsid w:val="009D77CF"/>
    <w:rsid w:val="009E0506"/>
    <w:rsid w:val="009E1F58"/>
    <w:rsid w:val="009E2A7B"/>
    <w:rsid w:val="009E309C"/>
    <w:rsid w:val="009E36AA"/>
    <w:rsid w:val="009E38C0"/>
    <w:rsid w:val="009E4115"/>
    <w:rsid w:val="009E4152"/>
    <w:rsid w:val="009E449B"/>
    <w:rsid w:val="009E44BA"/>
    <w:rsid w:val="009E47BE"/>
    <w:rsid w:val="009E4F1B"/>
    <w:rsid w:val="009E510E"/>
    <w:rsid w:val="009E5D66"/>
    <w:rsid w:val="009E6485"/>
    <w:rsid w:val="009E747F"/>
    <w:rsid w:val="009E74A3"/>
    <w:rsid w:val="009E7C13"/>
    <w:rsid w:val="009E7E77"/>
    <w:rsid w:val="009F0607"/>
    <w:rsid w:val="009F09A0"/>
    <w:rsid w:val="009F11D7"/>
    <w:rsid w:val="009F1427"/>
    <w:rsid w:val="009F1717"/>
    <w:rsid w:val="009F1C43"/>
    <w:rsid w:val="009F2037"/>
    <w:rsid w:val="009F22FF"/>
    <w:rsid w:val="009F241C"/>
    <w:rsid w:val="009F275E"/>
    <w:rsid w:val="009F27C8"/>
    <w:rsid w:val="009F2A16"/>
    <w:rsid w:val="009F3192"/>
    <w:rsid w:val="009F3288"/>
    <w:rsid w:val="009F3783"/>
    <w:rsid w:val="009F39F1"/>
    <w:rsid w:val="009F3FC5"/>
    <w:rsid w:val="009F40CE"/>
    <w:rsid w:val="009F5F47"/>
    <w:rsid w:val="009F6377"/>
    <w:rsid w:val="009F6D30"/>
    <w:rsid w:val="009F7044"/>
    <w:rsid w:val="009F7184"/>
    <w:rsid w:val="009F720D"/>
    <w:rsid w:val="009F7B90"/>
    <w:rsid w:val="00A00731"/>
    <w:rsid w:val="00A00800"/>
    <w:rsid w:val="00A00A1B"/>
    <w:rsid w:val="00A00ACD"/>
    <w:rsid w:val="00A00D8E"/>
    <w:rsid w:val="00A011A4"/>
    <w:rsid w:val="00A018E2"/>
    <w:rsid w:val="00A01BF5"/>
    <w:rsid w:val="00A020EB"/>
    <w:rsid w:val="00A0261B"/>
    <w:rsid w:val="00A028D5"/>
    <w:rsid w:val="00A02982"/>
    <w:rsid w:val="00A02AB8"/>
    <w:rsid w:val="00A02B9C"/>
    <w:rsid w:val="00A03364"/>
    <w:rsid w:val="00A043A8"/>
    <w:rsid w:val="00A04607"/>
    <w:rsid w:val="00A0488A"/>
    <w:rsid w:val="00A049EF"/>
    <w:rsid w:val="00A05327"/>
    <w:rsid w:val="00A05B14"/>
    <w:rsid w:val="00A06050"/>
    <w:rsid w:val="00A070AB"/>
    <w:rsid w:val="00A0714D"/>
    <w:rsid w:val="00A07C30"/>
    <w:rsid w:val="00A101BC"/>
    <w:rsid w:val="00A10268"/>
    <w:rsid w:val="00A10529"/>
    <w:rsid w:val="00A10639"/>
    <w:rsid w:val="00A10674"/>
    <w:rsid w:val="00A10907"/>
    <w:rsid w:val="00A10A1C"/>
    <w:rsid w:val="00A11620"/>
    <w:rsid w:val="00A11BB9"/>
    <w:rsid w:val="00A11F48"/>
    <w:rsid w:val="00A12920"/>
    <w:rsid w:val="00A12A6A"/>
    <w:rsid w:val="00A134CC"/>
    <w:rsid w:val="00A13B86"/>
    <w:rsid w:val="00A140F0"/>
    <w:rsid w:val="00A1449B"/>
    <w:rsid w:val="00A14F81"/>
    <w:rsid w:val="00A156B6"/>
    <w:rsid w:val="00A15A12"/>
    <w:rsid w:val="00A163B6"/>
    <w:rsid w:val="00A16B49"/>
    <w:rsid w:val="00A174BB"/>
    <w:rsid w:val="00A175C0"/>
    <w:rsid w:val="00A17DE4"/>
    <w:rsid w:val="00A20056"/>
    <w:rsid w:val="00A204A1"/>
    <w:rsid w:val="00A2053E"/>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79D"/>
    <w:rsid w:val="00A27B6D"/>
    <w:rsid w:val="00A30D0F"/>
    <w:rsid w:val="00A30D59"/>
    <w:rsid w:val="00A310E7"/>
    <w:rsid w:val="00A3110A"/>
    <w:rsid w:val="00A311F9"/>
    <w:rsid w:val="00A313B4"/>
    <w:rsid w:val="00A31B59"/>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14F"/>
    <w:rsid w:val="00A36DF6"/>
    <w:rsid w:val="00A37809"/>
    <w:rsid w:val="00A37AC1"/>
    <w:rsid w:val="00A37C94"/>
    <w:rsid w:val="00A37CEB"/>
    <w:rsid w:val="00A40523"/>
    <w:rsid w:val="00A4054C"/>
    <w:rsid w:val="00A40569"/>
    <w:rsid w:val="00A40B5F"/>
    <w:rsid w:val="00A40B66"/>
    <w:rsid w:val="00A4171C"/>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505A9"/>
    <w:rsid w:val="00A50895"/>
    <w:rsid w:val="00A50EF7"/>
    <w:rsid w:val="00A51219"/>
    <w:rsid w:val="00A52327"/>
    <w:rsid w:val="00A52342"/>
    <w:rsid w:val="00A525B4"/>
    <w:rsid w:val="00A52DDB"/>
    <w:rsid w:val="00A52E32"/>
    <w:rsid w:val="00A52F6A"/>
    <w:rsid w:val="00A537C1"/>
    <w:rsid w:val="00A53AD4"/>
    <w:rsid w:val="00A54666"/>
    <w:rsid w:val="00A548AD"/>
    <w:rsid w:val="00A54F7A"/>
    <w:rsid w:val="00A55557"/>
    <w:rsid w:val="00A55B0F"/>
    <w:rsid w:val="00A55ED6"/>
    <w:rsid w:val="00A55F0F"/>
    <w:rsid w:val="00A55F75"/>
    <w:rsid w:val="00A562A2"/>
    <w:rsid w:val="00A564D6"/>
    <w:rsid w:val="00A56A11"/>
    <w:rsid w:val="00A56B9F"/>
    <w:rsid w:val="00A575AE"/>
    <w:rsid w:val="00A57623"/>
    <w:rsid w:val="00A57676"/>
    <w:rsid w:val="00A57677"/>
    <w:rsid w:val="00A57702"/>
    <w:rsid w:val="00A57D4E"/>
    <w:rsid w:val="00A57F34"/>
    <w:rsid w:val="00A603C5"/>
    <w:rsid w:val="00A60442"/>
    <w:rsid w:val="00A60E8C"/>
    <w:rsid w:val="00A60F6F"/>
    <w:rsid w:val="00A60F78"/>
    <w:rsid w:val="00A615DA"/>
    <w:rsid w:val="00A61D71"/>
    <w:rsid w:val="00A62036"/>
    <w:rsid w:val="00A62A21"/>
    <w:rsid w:val="00A62FA1"/>
    <w:rsid w:val="00A63372"/>
    <w:rsid w:val="00A63685"/>
    <w:rsid w:val="00A6391F"/>
    <w:rsid w:val="00A63AD5"/>
    <w:rsid w:val="00A64CC8"/>
    <w:rsid w:val="00A65045"/>
    <w:rsid w:val="00A65274"/>
    <w:rsid w:val="00A654BD"/>
    <w:rsid w:val="00A65CE8"/>
    <w:rsid w:val="00A66068"/>
    <w:rsid w:val="00A664CE"/>
    <w:rsid w:val="00A66E1A"/>
    <w:rsid w:val="00A66EEA"/>
    <w:rsid w:val="00A672A0"/>
    <w:rsid w:val="00A701D8"/>
    <w:rsid w:val="00A702DD"/>
    <w:rsid w:val="00A7053C"/>
    <w:rsid w:val="00A71829"/>
    <w:rsid w:val="00A71F28"/>
    <w:rsid w:val="00A72484"/>
    <w:rsid w:val="00A72491"/>
    <w:rsid w:val="00A72A31"/>
    <w:rsid w:val="00A72E60"/>
    <w:rsid w:val="00A72E7F"/>
    <w:rsid w:val="00A7350B"/>
    <w:rsid w:val="00A73704"/>
    <w:rsid w:val="00A73A0E"/>
    <w:rsid w:val="00A73E04"/>
    <w:rsid w:val="00A73E82"/>
    <w:rsid w:val="00A7431A"/>
    <w:rsid w:val="00A74467"/>
    <w:rsid w:val="00A747CE"/>
    <w:rsid w:val="00A7489D"/>
    <w:rsid w:val="00A74F3B"/>
    <w:rsid w:val="00A75020"/>
    <w:rsid w:val="00A76153"/>
    <w:rsid w:val="00A76946"/>
    <w:rsid w:val="00A76960"/>
    <w:rsid w:val="00A77953"/>
    <w:rsid w:val="00A804BB"/>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363"/>
    <w:rsid w:val="00A9146A"/>
    <w:rsid w:val="00A91475"/>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1DC"/>
    <w:rsid w:val="00A95832"/>
    <w:rsid w:val="00A95EFD"/>
    <w:rsid w:val="00A96435"/>
    <w:rsid w:val="00A967F3"/>
    <w:rsid w:val="00A969BA"/>
    <w:rsid w:val="00A96B79"/>
    <w:rsid w:val="00A96F85"/>
    <w:rsid w:val="00A9799E"/>
    <w:rsid w:val="00A97D16"/>
    <w:rsid w:val="00A97FDE"/>
    <w:rsid w:val="00AA0689"/>
    <w:rsid w:val="00AA07FA"/>
    <w:rsid w:val="00AA08D3"/>
    <w:rsid w:val="00AA13FE"/>
    <w:rsid w:val="00AA18E4"/>
    <w:rsid w:val="00AA1B8D"/>
    <w:rsid w:val="00AA22A4"/>
    <w:rsid w:val="00AA29C6"/>
    <w:rsid w:val="00AA2FF2"/>
    <w:rsid w:val="00AA3B6C"/>
    <w:rsid w:val="00AA3E9A"/>
    <w:rsid w:val="00AA444C"/>
    <w:rsid w:val="00AA46AF"/>
    <w:rsid w:val="00AA4AA7"/>
    <w:rsid w:val="00AA4B5D"/>
    <w:rsid w:val="00AA548F"/>
    <w:rsid w:val="00AA5729"/>
    <w:rsid w:val="00AA6CA0"/>
    <w:rsid w:val="00AA737C"/>
    <w:rsid w:val="00AA746A"/>
    <w:rsid w:val="00AA7CB8"/>
    <w:rsid w:val="00AA7E88"/>
    <w:rsid w:val="00AB151E"/>
    <w:rsid w:val="00AB1A4A"/>
    <w:rsid w:val="00AB20B7"/>
    <w:rsid w:val="00AB255D"/>
    <w:rsid w:val="00AB26E0"/>
    <w:rsid w:val="00AB2814"/>
    <w:rsid w:val="00AB285F"/>
    <w:rsid w:val="00AB2DA8"/>
    <w:rsid w:val="00AB30AB"/>
    <w:rsid w:val="00AB3B09"/>
    <w:rsid w:val="00AB3B58"/>
    <w:rsid w:val="00AB3C14"/>
    <w:rsid w:val="00AB3F7E"/>
    <w:rsid w:val="00AB487F"/>
    <w:rsid w:val="00AB49E3"/>
    <w:rsid w:val="00AB4AC0"/>
    <w:rsid w:val="00AB4B31"/>
    <w:rsid w:val="00AB4B90"/>
    <w:rsid w:val="00AB54AE"/>
    <w:rsid w:val="00AB5811"/>
    <w:rsid w:val="00AB5B17"/>
    <w:rsid w:val="00AB5B73"/>
    <w:rsid w:val="00AB5C2F"/>
    <w:rsid w:val="00AB6141"/>
    <w:rsid w:val="00AB61F3"/>
    <w:rsid w:val="00AB6A73"/>
    <w:rsid w:val="00AB6AB5"/>
    <w:rsid w:val="00AB6CE2"/>
    <w:rsid w:val="00AB796F"/>
    <w:rsid w:val="00AB79D2"/>
    <w:rsid w:val="00AC0581"/>
    <w:rsid w:val="00AC0708"/>
    <w:rsid w:val="00AC1596"/>
    <w:rsid w:val="00AC1A41"/>
    <w:rsid w:val="00AC1EAB"/>
    <w:rsid w:val="00AC1FF7"/>
    <w:rsid w:val="00AC256D"/>
    <w:rsid w:val="00AC2B3E"/>
    <w:rsid w:val="00AC2CC0"/>
    <w:rsid w:val="00AC35BC"/>
    <w:rsid w:val="00AC3C76"/>
    <w:rsid w:val="00AC484A"/>
    <w:rsid w:val="00AC49C1"/>
    <w:rsid w:val="00AC4C87"/>
    <w:rsid w:val="00AC51AC"/>
    <w:rsid w:val="00AC5246"/>
    <w:rsid w:val="00AC5298"/>
    <w:rsid w:val="00AC60D4"/>
    <w:rsid w:val="00AC620A"/>
    <w:rsid w:val="00AC6C80"/>
    <w:rsid w:val="00AC76D1"/>
    <w:rsid w:val="00AC7ABF"/>
    <w:rsid w:val="00AD03F0"/>
    <w:rsid w:val="00AD07C9"/>
    <w:rsid w:val="00AD0D35"/>
    <w:rsid w:val="00AD1986"/>
    <w:rsid w:val="00AD1E31"/>
    <w:rsid w:val="00AD1EA4"/>
    <w:rsid w:val="00AD20A6"/>
    <w:rsid w:val="00AD2106"/>
    <w:rsid w:val="00AD2B5B"/>
    <w:rsid w:val="00AD2D8E"/>
    <w:rsid w:val="00AD2E0E"/>
    <w:rsid w:val="00AD3DC4"/>
    <w:rsid w:val="00AD4025"/>
    <w:rsid w:val="00AD4216"/>
    <w:rsid w:val="00AD4F66"/>
    <w:rsid w:val="00AD55B9"/>
    <w:rsid w:val="00AD577F"/>
    <w:rsid w:val="00AD5A65"/>
    <w:rsid w:val="00AD5D61"/>
    <w:rsid w:val="00AD5EA7"/>
    <w:rsid w:val="00AD626B"/>
    <w:rsid w:val="00AD6C78"/>
    <w:rsid w:val="00AD703F"/>
    <w:rsid w:val="00AD7377"/>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0C7"/>
    <w:rsid w:val="00AE662C"/>
    <w:rsid w:val="00AE68CA"/>
    <w:rsid w:val="00AE6B3C"/>
    <w:rsid w:val="00AE7542"/>
    <w:rsid w:val="00AE7D04"/>
    <w:rsid w:val="00AE7E51"/>
    <w:rsid w:val="00AF02E3"/>
    <w:rsid w:val="00AF0350"/>
    <w:rsid w:val="00AF0CEA"/>
    <w:rsid w:val="00AF0EBD"/>
    <w:rsid w:val="00AF0ED2"/>
    <w:rsid w:val="00AF0F1D"/>
    <w:rsid w:val="00AF1315"/>
    <w:rsid w:val="00AF18FE"/>
    <w:rsid w:val="00AF1D67"/>
    <w:rsid w:val="00AF21C9"/>
    <w:rsid w:val="00AF2AC5"/>
    <w:rsid w:val="00AF3238"/>
    <w:rsid w:val="00AF393D"/>
    <w:rsid w:val="00AF3AE1"/>
    <w:rsid w:val="00AF3F88"/>
    <w:rsid w:val="00AF4021"/>
    <w:rsid w:val="00AF4033"/>
    <w:rsid w:val="00AF469C"/>
    <w:rsid w:val="00AF4AC9"/>
    <w:rsid w:val="00AF4C00"/>
    <w:rsid w:val="00AF4E6B"/>
    <w:rsid w:val="00AF4F29"/>
    <w:rsid w:val="00AF5625"/>
    <w:rsid w:val="00AF5D5B"/>
    <w:rsid w:val="00AF5DFE"/>
    <w:rsid w:val="00AF6046"/>
    <w:rsid w:val="00AF630E"/>
    <w:rsid w:val="00AF6612"/>
    <w:rsid w:val="00AF6701"/>
    <w:rsid w:val="00AF6783"/>
    <w:rsid w:val="00AF7979"/>
    <w:rsid w:val="00B007C3"/>
    <w:rsid w:val="00B00C28"/>
    <w:rsid w:val="00B01253"/>
    <w:rsid w:val="00B014FF"/>
    <w:rsid w:val="00B015AC"/>
    <w:rsid w:val="00B01BF4"/>
    <w:rsid w:val="00B01D33"/>
    <w:rsid w:val="00B0219F"/>
    <w:rsid w:val="00B02F69"/>
    <w:rsid w:val="00B03021"/>
    <w:rsid w:val="00B03A44"/>
    <w:rsid w:val="00B041EC"/>
    <w:rsid w:val="00B042A5"/>
    <w:rsid w:val="00B04384"/>
    <w:rsid w:val="00B051C4"/>
    <w:rsid w:val="00B05705"/>
    <w:rsid w:val="00B058C0"/>
    <w:rsid w:val="00B06E43"/>
    <w:rsid w:val="00B075B6"/>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271D"/>
    <w:rsid w:val="00B13393"/>
    <w:rsid w:val="00B133ED"/>
    <w:rsid w:val="00B13469"/>
    <w:rsid w:val="00B13A39"/>
    <w:rsid w:val="00B13AED"/>
    <w:rsid w:val="00B13F83"/>
    <w:rsid w:val="00B143D6"/>
    <w:rsid w:val="00B14B56"/>
    <w:rsid w:val="00B14C39"/>
    <w:rsid w:val="00B1524D"/>
    <w:rsid w:val="00B1589A"/>
    <w:rsid w:val="00B15956"/>
    <w:rsid w:val="00B15E83"/>
    <w:rsid w:val="00B1646C"/>
    <w:rsid w:val="00B165E2"/>
    <w:rsid w:val="00B16800"/>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56"/>
    <w:rsid w:val="00B2316F"/>
    <w:rsid w:val="00B2370E"/>
    <w:rsid w:val="00B239D6"/>
    <w:rsid w:val="00B23ABD"/>
    <w:rsid w:val="00B23B3E"/>
    <w:rsid w:val="00B23B68"/>
    <w:rsid w:val="00B23FF9"/>
    <w:rsid w:val="00B2405C"/>
    <w:rsid w:val="00B248FB"/>
    <w:rsid w:val="00B24B8B"/>
    <w:rsid w:val="00B25192"/>
    <w:rsid w:val="00B25589"/>
    <w:rsid w:val="00B25592"/>
    <w:rsid w:val="00B2572C"/>
    <w:rsid w:val="00B25AD2"/>
    <w:rsid w:val="00B268A2"/>
    <w:rsid w:val="00B269B3"/>
    <w:rsid w:val="00B26EFF"/>
    <w:rsid w:val="00B271B4"/>
    <w:rsid w:val="00B2789A"/>
    <w:rsid w:val="00B27F73"/>
    <w:rsid w:val="00B30963"/>
    <w:rsid w:val="00B30A99"/>
    <w:rsid w:val="00B30AE1"/>
    <w:rsid w:val="00B30C4C"/>
    <w:rsid w:val="00B31149"/>
    <w:rsid w:val="00B31621"/>
    <w:rsid w:val="00B316A1"/>
    <w:rsid w:val="00B31805"/>
    <w:rsid w:val="00B31A62"/>
    <w:rsid w:val="00B31B87"/>
    <w:rsid w:val="00B31F11"/>
    <w:rsid w:val="00B321FA"/>
    <w:rsid w:val="00B32968"/>
    <w:rsid w:val="00B33B04"/>
    <w:rsid w:val="00B33B7C"/>
    <w:rsid w:val="00B33C07"/>
    <w:rsid w:val="00B33E4D"/>
    <w:rsid w:val="00B33EF1"/>
    <w:rsid w:val="00B34020"/>
    <w:rsid w:val="00B340CF"/>
    <w:rsid w:val="00B345EA"/>
    <w:rsid w:val="00B34939"/>
    <w:rsid w:val="00B359A7"/>
    <w:rsid w:val="00B35A65"/>
    <w:rsid w:val="00B35BAE"/>
    <w:rsid w:val="00B36122"/>
    <w:rsid w:val="00B36358"/>
    <w:rsid w:val="00B367B2"/>
    <w:rsid w:val="00B368CF"/>
    <w:rsid w:val="00B36FC8"/>
    <w:rsid w:val="00B36FCC"/>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03"/>
    <w:rsid w:val="00B42D76"/>
    <w:rsid w:val="00B431EB"/>
    <w:rsid w:val="00B432C9"/>
    <w:rsid w:val="00B433DD"/>
    <w:rsid w:val="00B43AF3"/>
    <w:rsid w:val="00B43BDF"/>
    <w:rsid w:val="00B44C63"/>
    <w:rsid w:val="00B4516C"/>
    <w:rsid w:val="00B45A3C"/>
    <w:rsid w:val="00B45BF9"/>
    <w:rsid w:val="00B4601E"/>
    <w:rsid w:val="00B46B56"/>
    <w:rsid w:val="00B46BBD"/>
    <w:rsid w:val="00B471F9"/>
    <w:rsid w:val="00B476E0"/>
    <w:rsid w:val="00B50992"/>
    <w:rsid w:val="00B50DD7"/>
    <w:rsid w:val="00B51142"/>
    <w:rsid w:val="00B51173"/>
    <w:rsid w:val="00B51849"/>
    <w:rsid w:val="00B526E6"/>
    <w:rsid w:val="00B52958"/>
    <w:rsid w:val="00B52993"/>
    <w:rsid w:val="00B52B86"/>
    <w:rsid w:val="00B52D18"/>
    <w:rsid w:val="00B53204"/>
    <w:rsid w:val="00B53649"/>
    <w:rsid w:val="00B53680"/>
    <w:rsid w:val="00B53A19"/>
    <w:rsid w:val="00B53BB5"/>
    <w:rsid w:val="00B53CAD"/>
    <w:rsid w:val="00B53D90"/>
    <w:rsid w:val="00B543BF"/>
    <w:rsid w:val="00B545DD"/>
    <w:rsid w:val="00B54727"/>
    <w:rsid w:val="00B55050"/>
    <w:rsid w:val="00B557AA"/>
    <w:rsid w:val="00B55FDA"/>
    <w:rsid w:val="00B5649B"/>
    <w:rsid w:val="00B56B58"/>
    <w:rsid w:val="00B56BC3"/>
    <w:rsid w:val="00B56E2C"/>
    <w:rsid w:val="00B56EEF"/>
    <w:rsid w:val="00B571BD"/>
    <w:rsid w:val="00B572E8"/>
    <w:rsid w:val="00B575EA"/>
    <w:rsid w:val="00B577FC"/>
    <w:rsid w:val="00B57EDB"/>
    <w:rsid w:val="00B60770"/>
    <w:rsid w:val="00B61358"/>
    <w:rsid w:val="00B613CF"/>
    <w:rsid w:val="00B614D7"/>
    <w:rsid w:val="00B61C8B"/>
    <w:rsid w:val="00B61E59"/>
    <w:rsid w:val="00B628F3"/>
    <w:rsid w:val="00B6331C"/>
    <w:rsid w:val="00B63368"/>
    <w:rsid w:val="00B63E81"/>
    <w:rsid w:val="00B6414F"/>
    <w:rsid w:val="00B643E6"/>
    <w:rsid w:val="00B6443F"/>
    <w:rsid w:val="00B6469C"/>
    <w:rsid w:val="00B6486C"/>
    <w:rsid w:val="00B648B7"/>
    <w:rsid w:val="00B64CF3"/>
    <w:rsid w:val="00B65324"/>
    <w:rsid w:val="00B65C17"/>
    <w:rsid w:val="00B65FC5"/>
    <w:rsid w:val="00B66202"/>
    <w:rsid w:val="00B663C8"/>
    <w:rsid w:val="00B66F90"/>
    <w:rsid w:val="00B6736F"/>
    <w:rsid w:val="00B6737E"/>
    <w:rsid w:val="00B674D9"/>
    <w:rsid w:val="00B67963"/>
    <w:rsid w:val="00B67E5F"/>
    <w:rsid w:val="00B67E6E"/>
    <w:rsid w:val="00B70666"/>
    <w:rsid w:val="00B7189C"/>
    <w:rsid w:val="00B7196C"/>
    <w:rsid w:val="00B71BBB"/>
    <w:rsid w:val="00B72033"/>
    <w:rsid w:val="00B722F8"/>
    <w:rsid w:val="00B724DA"/>
    <w:rsid w:val="00B72649"/>
    <w:rsid w:val="00B72774"/>
    <w:rsid w:val="00B72CAD"/>
    <w:rsid w:val="00B72DF7"/>
    <w:rsid w:val="00B731E0"/>
    <w:rsid w:val="00B73622"/>
    <w:rsid w:val="00B73838"/>
    <w:rsid w:val="00B73A44"/>
    <w:rsid w:val="00B73F04"/>
    <w:rsid w:val="00B747A7"/>
    <w:rsid w:val="00B747F4"/>
    <w:rsid w:val="00B74D1A"/>
    <w:rsid w:val="00B756E7"/>
    <w:rsid w:val="00B7579D"/>
    <w:rsid w:val="00B75C96"/>
    <w:rsid w:val="00B76640"/>
    <w:rsid w:val="00B772A1"/>
    <w:rsid w:val="00B7797F"/>
    <w:rsid w:val="00B77B72"/>
    <w:rsid w:val="00B80BB7"/>
    <w:rsid w:val="00B80D75"/>
    <w:rsid w:val="00B80E8D"/>
    <w:rsid w:val="00B80ECE"/>
    <w:rsid w:val="00B80F06"/>
    <w:rsid w:val="00B8118D"/>
    <w:rsid w:val="00B816FC"/>
    <w:rsid w:val="00B82071"/>
    <w:rsid w:val="00B8355D"/>
    <w:rsid w:val="00B835A3"/>
    <w:rsid w:val="00B842A7"/>
    <w:rsid w:val="00B84A18"/>
    <w:rsid w:val="00B84D24"/>
    <w:rsid w:val="00B85977"/>
    <w:rsid w:val="00B85EC8"/>
    <w:rsid w:val="00B86DFA"/>
    <w:rsid w:val="00B87267"/>
    <w:rsid w:val="00B873E4"/>
    <w:rsid w:val="00B87DD0"/>
    <w:rsid w:val="00B91324"/>
    <w:rsid w:val="00B91957"/>
    <w:rsid w:val="00B91AAE"/>
    <w:rsid w:val="00B91BF3"/>
    <w:rsid w:val="00B91E79"/>
    <w:rsid w:val="00B91F11"/>
    <w:rsid w:val="00B92236"/>
    <w:rsid w:val="00B92996"/>
    <w:rsid w:val="00B930E3"/>
    <w:rsid w:val="00B934F0"/>
    <w:rsid w:val="00B936B3"/>
    <w:rsid w:val="00B9396E"/>
    <w:rsid w:val="00B93C51"/>
    <w:rsid w:val="00B93D5A"/>
    <w:rsid w:val="00B93E3E"/>
    <w:rsid w:val="00B93EC0"/>
    <w:rsid w:val="00B951CA"/>
    <w:rsid w:val="00B961E7"/>
    <w:rsid w:val="00B962D7"/>
    <w:rsid w:val="00B96C6A"/>
    <w:rsid w:val="00B96DFC"/>
    <w:rsid w:val="00B9738E"/>
    <w:rsid w:val="00B97C4A"/>
    <w:rsid w:val="00BA01EC"/>
    <w:rsid w:val="00BA0DE8"/>
    <w:rsid w:val="00BA13CA"/>
    <w:rsid w:val="00BA1729"/>
    <w:rsid w:val="00BA173D"/>
    <w:rsid w:val="00BA1D60"/>
    <w:rsid w:val="00BA1F09"/>
    <w:rsid w:val="00BA2650"/>
    <w:rsid w:val="00BA26D3"/>
    <w:rsid w:val="00BA287F"/>
    <w:rsid w:val="00BA2975"/>
    <w:rsid w:val="00BA2F53"/>
    <w:rsid w:val="00BA2F8D"/>
    <w:rsid w:val="00BA3229"/>
    <w:rsid w:val="00BA4091"/>
    <w:rsid w:val="00BA4390"/>
    <w:rsid w:val="00BA4619"/>
    <w:rsid w:val="00BA47E8"/>
    <w:rsid w:val="00BA486D"/>
    <w:rsid w:val="00BA5763"/>
    <w:rsid w:val="00BA581D"/>
    <w:rsid w:val="00BA5B17"/>
    <w:rsid w:val="00BA5DD9"/>
    <w:rsid w:val="00BA6C87"/>
    <w:rsid w:val="00BA710A"/>
    <w:rsid w:val="00BA7538"/>
    <w:rsid w:val="00BA7556"/>
    <w:rsid w:val="00BA766E"/>
    <w:rsid w:val="00BA7CBE"/>
    <w:rsid w:val="00BA7EEB"/>
    <w:rsid w:val="00BA7F0E"/>
    <w:rsid w:val="00BA7F8F"/>
    <w:rsid w:val="00BB05CA"/>
    <w:rsid w:val="00BB0798"/>
    <w:rsid w:val="00BB0930"/>
    <w:rsid w:val="00BB10E1"/>
    <w:rsid w:val="00BB1349"/>
    <w:rsid w:val="00BB135B"/>
    <w:rsid w:val="00BB140D"/>
    <w:rsid w:val="00BB1425"/>
    <w:rsid w:val="00BB1675"/>
    <w:rsid w:val="00BB2032"/>
    <w:rsid w:val="00BB2208"/>
    <w:rsid w:val="00BB277E"/>
    <w:rsid w:val="00BB2EE5"/>
    <w:rsid w:val="00BB2F5D"/>
    <w:rsid w:val="00BB3173"/>
    <w:rsid w:val="00BB31E0"/>
    <w:rsid w:val="00BB3CDA"/>
    <w:rsid w:val="00BB4FA6"/>
    <w:rsid w:val="00BB510A"/>
    <w:rsid w:val="00BB5243"/>
    <w:rsid w:val="00BB5D24"/>
    <w:rsid w:val="00BB6424"/>
    <w:rsid w:val="00BB64B7"/>
    <w:rsid w:val="00BB65D9"/>
    <w:rsid w:val="00BB6D92"/>
    <w:rsid w:val="00BB6ED6"/>
    <w:rsid w:val="00BB70B9"/>
    <w:rsid w:val="00BB7979"/>
    <w:rsid w:val="00BB7D87"/>
    <w:rsid w:val="00BC06B9"/>
    <w:rsid w:val="00BC07FE"/>
    <w:rsid w:val="00BC0AD0"/>
    <w:rsid w:val="00BC0E35"/>
    <w:rsid w:val="00BC1BB0"/>
    <w:rsid w:val="00BC2409"/>
    <w:rsid w:val="00BC24C9"/>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A4E"/>
    <w:rsid w:val="00BD0769"/>
    <w:rsid w:val="00BD0887"/>
    <w:rsid w:val="00BD0AB1"/>
    <w:rsid w:val="00BD10EC"/>
    <w:rsid w:val="00BD214B"/>
    <w:rsid w:val="00BD21AB"/>
    <w:rsid w:val="00BD378A"/>
    <w:rsid w:val="00BD43D6"/>
    <w:rsid w:val="00BD4538"/>
    <w:rsid w:val="00BD4965"/>
    <w:rsid w:val="00BD4B75"/>
    <w:rsid w:val="00BD5521"/>
    <w:rsid w:val="00BD5A84"/>
    <w:rsid w:val="00BD6089"/>
    <w:rsid w:val="00BD6597"/>
    <w:rsid w:val="00BD68FF"/>
    <w:rsid w:val="00BD7056"/>
    <w:rsid w:val="00BD71D7"/>
    <w:rsid w:val="00BD7214"/>
    <w:rsid w:val="00BD7B25"/>
    <w:rsid w:val="00BD7DCB"/>
    <w:rsid w:val="00BE02AB"/>
    <w:rsid w:val="00BE0354"/>
    <w:rsid w:val="00BE037A"/>
    <w:rsid w:val="00BE052B"/>
    <w:rsid w:val="00BE0827"/>
    <w:rsid w:val="00BE0A0D"/>
    <w:rsid w:val="00BE112F"/>
    <w:rsid w:val="00BE15EB"/>
    <w:rsid w:val="00BE186B"/>
    <w:rsid w:val="00BE1890"/>
    <w:rsid w:val="00BE18DF"/>
    <w:rsid w:val="00BE1AD8"/>
    <w:rsid w:val="00BE1AFA"/>
    <w:rsid w:val="00BE27ED"/>
    <w:rsid w:val="00BE2DEA"/>
    <w:rsid w:val="00BE2F1B"/>
    <w:rsid w:val="00BE37DD"/>
    <w:rsid w:val="00BE3FDB"/>
    <w:rsid w:val="00BE478E"/>
    <w:rsid w:val="00BE47E1"/>
    <w:rsid w:val="00BE4FAB"/>
    <w:rsid w:val="00BE55B0"/>
    <w:rsid w:val="00BE5604"/>
    <w:rsid w:val="00BE5633"/>
    <w:rsid w:val="00BE65CE"/>
    <w:rsid w:val="00BE690B"/>
    <w:rsid w:val="00BE7226"/>
    <w:rsid w:val="00BE739E"/>
    <w:rsid w:val="00BE743B"/>
    <w:rsid w:val="00BE76B0"/>
    <w:rsid w:val="00BE76E4"/>
    <w:rsid w:val="00BE7873"/>
    <w:rsid w:val="00BE7D09"/>
    <w:rsid w:val="00BE7D4F"/>
    <w:rsid w:val="00BF0E47"/>
    <w:rsid w:val="00BF146E"/>
    <w:rsid w:val="00BF1962"/>
    <w:rsid w:val="00BF1B58"/>
    <w:rsid w:val="00BF2143"/>
    <w:rsid w:val="00BF2496"/>
    <w:rsid w:val="00BF2913"/>
    <w:rsid w:val="00BF3311"/>
    <w:rsid w:val="00BF3739"/>
    <w:rsid w:val="00BF42AF"/>
    <w:rsid w:val="00BF44B0"/>
    <w:rsid w:val="00BF45A5"/>
    <w:rsid w:val="00BF4DDC"/>
    <w:rsid w:val="00BF4ED6"/>
    <w:rsid w:val="00BF4F01"/>
    <w:rsid w:val="00BF527A"/>
    <w:rsid w:val="00BF5578"/>
    <w:rsid w:val="00BF568A"/>
    <w:rsid w:val="00BF5B5A"/>
    <w:rsid w:val="00BF61B6"/>
    <w:rsid w:val="00BF64BE"/>
    <w:rsid w:val="00BF6988"/>
    <w:rsid w:val="00BF6A3C"/>
    <w:rsid w:val="00BF6FCD"/>
    <w:rsid w:val="00BF70BC"/>
    <w:rsid w:val="00BF734E"/>
    <w:rsid w:val="00BF7587"/>
    <w:rsid w:val="00BF7800"/>
    <w:rsid w:val="00BF78AE"/>
    <w:rsid w:val="00BF7D15"/>
    <w:rsid w:val="00C00002"/>
    <w:rsid w:val="00C002CE"/>
    <w:rsid w:val="00C00396"/>
    <w:rsid w:val="00C0049C"/>
    <w:rsid w:val="00C00972"/>
    <w:rsid w:val="00C00CC1"/>
    <w:rsid w:val="00C01DFC"/>
    <w:rsid w:val="00C01F56"/>
    <w:rsid w:val="00C023E3"/>
    <w:rsid w:val="00C02ADC"/>
    <w:rsid w:val="00C02EA8"/>
    <w:rsid w:val="00C02F48"/>
    <w:rsid w:val="00C02FBA"/>
    <w:rsid w:val="00C034FA"/>
    <w:rsid w:val="00C03877"/>
    <w:rsid w:val="00C038A1"/>
    <w:rsid w:val="00C03A74"/>
    <w:rsid w:val="00C03B25"/>
    <w:rsid w:val="00C03DEB"/>
    <w:rsid w:val="00C03DFD"/>
    <w:rsid w:val="00C03E8F"/>
    <w:rsid w:val="00C04493"/>
    <w:rsid w:val="00C048AD"/>
    <w:rsid w:val="00C04BE4"/>
    <w:rsid w:val="00C04D3F"/>
    <w:rsid w:val="00C04E3E"/>
    <w:rsid w:val="00C0501C"/>
    <w:rsid w:val="00C055FB"/>
    <w:rsid w:val="00C057CC"/>
    <w:rsid w:val="00C05803"/>
    <w:rsid w:val="00C0584B"/>
    <w:rsid w:val="00C059EE"/>
    <w:rsid w:val="00C05A3B"/>
    <w:rsid w:val="00C06025"/>
    <w:rsid w:val="00C0608C"/>
    <w:rsid w:val="00C06333"/>
    <w:rsid w:val="00C0687D"/>
    <w:rsid w:val="00C06A1A"/>
    <w:rsid w:val="00C06FDD"/>
    <w:rsid w:val="00C07DF9"/>
    <w:rsid w:val="00C103CB"/>
    <w:rsid w:val="00C10621"/>
    <w:rsid w:val="00C1091A"/>
    <w:rsid w:val="00C10C3D"/>
    <w:rsid w:val="00C11047"/>
    <w:rsid w:val="00C11815"/>
    <w:rsid w:val="00C11A34"/>
    <w:rsid w:val="00C11F12"/>
    <w:rsid w:val="00C1213F"/>
    <w:rsid w:val="00C12226"/>
    <w:rsid w:val="00C125EC"/>
    <w:rsid w:val="00C12872"/>
    <w:rsid w:val="00C12951"/>
    <w:rsid w:val="00C133F3"/>
    <w:rsid w:val="00C136F1"/>
    <w:rsid w:val="00C13F79"/>
    <w:rsid w:val="00C14129"/>
    <w:rsid w:val="00C146F2"/>
    <w:rsid w:val="00C14DFB"/>
    <w:rsid w:val="00C14FBF"/>
    <w:rsid w:val="00C152D0"/>
    <w:rsid w:val="00C15838"/>
    <w:rsid w:val="00C15C5A"/>
    <w:rsid w:val="00C15F6A"/>
    <w:rsid w:val="00C1640F"/>
    <w:rsid w:val="00C16CC2"/>
    <w:rsid w:val="00C16D04"/>
    <w:rsid w:val="00C16D7E"/>
    <w:rsid w:val="00C16E75"/>
    <w:rsid w:val="00C17185"/>
    <w:rsid w:val="00C177A7"/>
    <w:rsid w:val="00C17C60"/>
    <w:rsid w:val="00C17D64"/>
    <w:rsid w:val="00C20242"/>
    <w:rsid w:val="00C204F0"/>
    <w:rsid w:val="00C205F7"/>
    <w:rsid w:val="00C2078F"/>
    <w:rsid w:val="00C207CF"/>
    <w:rsid w:val="00C2097E"/>
    <w:rsid w:val="00C212AE"/>
    <w:rsid w:val="00C214F1"/>
    <w:rsid w:val="00C21B13"/>
    <w:rsid w:val="00C21E89"/>
    <w:rsid w:val="00C221EE"/>
    <w:rsid w:val="00C221FA"/>
    <w:rsid w:val="00C22916"/>
    <w:rsid w:val="00C22BCF"/>
    <w:rsid w:val="00C22DA9"/>
    <w:rsid w:val="00C236C0"/>
    <w:rsid w:val="00C23822"/>
    <w:rsid w:val="00C23D34"/>
    <w:rsid w:val="00C23E0D"/>
    <w:rsid w:val="00C23F89"/>
    <w:rsid w:val="00C24B00"/>
    <w:rsid w:val="00C24CD0"/>
    <w:rsid w:val="00C24D58"/>
    <w:rsid w:val="00C2538E"/>
    <w:rsid w:val="00C2552C"/>
    <w:rsid w:val="00C2555B"/>
    <w:rsid w:val="00C256E6"/>
    <w:rsid w:val="00C25FE7"/>
    <w:rsid w:val="00C26212"/>
    <w:rsid w:val="00C2681F"/>
    <w:rsid w:val="00C2687C"/>
    <w:rsid w:val="00C2695A"/>
    <w:rsid w:val="00C269CE"/>
    <w:rsid w:val="00C26CFB"/>
    <w:rsid w:val="00C26FBD"/>
    <w:rsid w:val="00C2736D"/>
    <w:rsid w:val="00C27772"/>
    <w:rsid w:val="00C277BD"/>
    <w:rsid w:val="00C303A6"/>
    <w:rsid w:val="00C30745"/>
    <w:rsid w:val="00C30E76"/>
    <w:rsid w:val="00C30FA6"/>
    <w:rsid w:val="00C315F7"/>
    <w:rsid w:val="00C31987"/>
    <w:rsid w:val="00C31ED0"/>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5BB"/>
    <w:rsid w:val="00C4375F"/>
    <w:rsid w:val="00C43969"/>
    <w:rsid w:val="00C439A8"/>
    <w:rsid w:val="00C43FA6"/>
    <w:rsid w:val="00C442F2"/>
    <w:rsid w:val="00C443B7"/>
    <w:rsid w:val="00C44C83"/>
    <w:rsid w:val="00C44D8F"/>
    <w:rsid w:val="00C4556A"/>
    <w:rsid w:val="00C46320"/>
    <w:rsid w:val="00C463D0"/>
    <w:rsid w:val="00C465B7"/>
    <w:rsid w:val="00C467E5"/>
    <w:rsid w:val="00C46B64"/>
    <w:rsid w:val="00C4775A"/>
    <w:rsid w:val="00C4781E"/>
    <w:rsid w:val="00C47C4F"/>
    <w:rsid w:val="00C50752"/>
    <w:rsid w:val="00C50958"/>
    <w:rsid w:val="00C50E1A"/>
    <w:rsid w:val="00C51068"/>
    <w:rsid w:val="00C511B3"/>
    <w:rsid w:val="00C51205"/>
    <w:rsid w:val="00C51637"/>
    <w:rsid w:val="00C51861"/>
    <w:rsid w:val="00C51939"/>
    <w:rsid w:val="00C51A88"/>
    <w:rsid w:val="00C51C0D"/>
    <w:rsid w:val="00C51EFE"/>
    <w:rsid w:val="00C5259E"/>
    <w:rsid w:val="00C525D8"/>
    <w:rsid w:val="00C52DD6"/>
    <w:rsid w:val="00C53302"/>
    <w:rsid w:val="00C53628"/>
    <w:rsid w:val="00C53E51"/>
    <w:rsid w:val="00C53FBA"/>
    <w:rsid w:val="00C53FD0"/>
    <w:rsid w:val="00C5515B"/>
    <w:rsid w:val="00C55559"/>
    <w:rsid w:val="00C558C1"/>
    <w:rsid w:val="00C55AA6"/>
    <w:rsid w:val="00C55C8F"/>
    <w:rsid w:val="00C55DC3"/>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62C"/>
    <w:rsid w:val="00C62909"/>
    <w:rsid w:val="00C6296C"/>
    <w:rsid w:val="00C6338D"/>
    <w:rsid w:val="00C635BB"/>
    <w:rsid w:val="00C6368F"/>
    <w:rsid w:val="00C63882"/>
    <w:rsid w:val="00C649EE"/>
    <w:rsid w:val="00C64D86"/>
    <w:rsid w:val="00C65700"/>
    <w:rsid w:val="00C65A9B"/>
    <w:rsid w:val="00C65EE3"/>
    <w:rsid w:val="00C663C1"/>
    <w:rsid w:val="00C667DE"/>
    <w:rsid w:val="00C66859"/>
    <w:rsid w:val="00C66B4C"/>
    <w:rsid w:val="00C66C76"/>
    <w:rsid w:val="00C66DD3"/>
    <w:rsid w:val="00C6734F"/>
    <w:rsid w:val="00C67390"/>
    <w:rsid w:val="00C67D98"/>
    <w:rsid w:val="00C67D9E"/>
    <w:rsid w:val="00C67EC3"/>
    <w:rsid w:val="00C70434"/>
    <w:rsid w:val="00C70460"/>
    <w:rsid w:val="00C7053D"/>
    <w:rsid w:val="00C71146"/>
    <w:rsid w:val="00C7137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176"/>
    <w:rsid w:val="00C7641B"/>
    <w:rsid w:val="00C7762C"/>
    <w:rsid w:val="00C77660"/>
    <w:rsid w:val="00C80000"/>
    <w:rsid w:val="00C8018E"/>
    <w:rsid w:val="00C8019E"/>
    <w:rsid w:val="00C802A4"/>
    <w:rsid w:val="00C80862"/>
    <w:rsid w:val="00C80C99"/>
    <w:rsid w:val="00C81091"/>
    <w:rsid w:val="00C8199D"/>
    <w:rsid w:val="00C81BE9"/>
    <w:rsid w:val="00C82184"/>
    <w:rsid w:val="00C82287"/>
    <w:rsid w:val="00C82489"/>
    <w:rsid w:val="00C82C69"/>
    <w:rsid w:val="00C83853"/>
    <w:rsid w:val="00C83B52"/>
    <w:rsid w:val="00C83FCB"/>
    <w:rsid w:val="00C83FCF"/>
    <w:rsid w:val="00C840A1"/>
    <w:rsid w:val="00C844EA"/>
    <w:rsid w:val="00C85061"/>
    <w:rsid w:val="00C854C3"/>
    <w:rsid w:val="00C8568D"/>
    <w:rsid w:val="00C8580C"/>
    <w:rsid w:val="00C859F1"/>
    <w:rsid w:val="00C85C3A"/>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6E10"/>
    <w:rsid w:val="00C97036"/>
    <w:rsid w:val="00C973BA"/>
    <w:rsid w:val="00C97B38"/>
    <w:rsid w:val="00C97ED5"/>
    <w:rsid w:val="00CA0056"/>
    <w:rsid w:val="00CA04CC"/>
    <w:rsid w:val="00CA0599"/>
    <w:rsid w:val="00CA0A47"/>
    <w:rsid w:val="00CA1333"/>
    <w:rsid w:val="00CA1DCB"/>
    <w:rsid w:val="00CA1E51"/>
    <w:rsid w:val="00CA2024"/>
    <w:rsid w:val="00CA25E2"/>
    <w:rsid w:val="00CA29D0"/>
    <w:rsid w:val="00CA2DC2"/>
    <w:rsid w:val="00CA33DC"/>
    <w:rsid w:val="00CA49B2"/>
    <w:rsid w:val="00CA4A15"/>
    <w:rsid w:val="00CA528B"/>
    <w:rsid w:val="00CA5E0D"/>
    <w:rsid w:val="00CA5E2B"/>
    <w:rsid w:val="00CA5E89"/>
    <w:rsid w:val="00CA6460"/>
    <w:rsid w:val="00CA65BF"/>
    <w:rsid w:val="00CA69BF"/>
    <w:rsid w:val="00CA6AA2"/>
    <w:rsid w:val="00CA6E93"/>
    <w:rsid w:val="00CA7855"/>
    <w:rsid w:val="00CA7937"/>
    <w:rsid w:val="00CA7A07"/>
    <w:rsid w:val="00CA7A30"/>
    <w:rsid w:val="00CA7E6C"/>
    <w:rsid w:val="00CB05B1"/>
    <w:rsid w:val="00CB0EAA"/>
    <w:rsid w:val="00CB1012"/>
    <w:rsid w:val="00CB1183"/>
    <w:rsid w:val="00CB1361"/>
    <w:rsid w:val="00CB148C"/>
    <w:rsid w:val="00CB14B3"/>
    <w:rsid w:val="00CB1550"/>
    <w:rsid w:val="00CB1626"/>
    <w:rsid w:val="00CB1D08"/>
    <w:rsid w:val="00CB1EB9"/>
    <w:rsid w:val="00CB25F1"/>
    <w:rsid w:val="00CB2739"/>
    <w:rsid w:val="00CB3780"/>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0C3F"/>
    <w:rsid w:val="00CC135F"/>
    <w:rsid w:val="00CC1E0F"/>
    <w:rsid w:val="00CC24FA"/>
    <w:rsid w:val="00CC26E8"/>
    <w:rsid w:val="00CC3074"/>
    <w:rsid w:val="00CC3078"/>
    <w:rsid w:val="00CC33E1"/>
    <w:rsid w:val="00CC3D03"/>
    <w:rsid w:val="00CC41FD"/>
    <w:rsid w:val="00CC51CA"/>
    <w:rsid w:val="00CC565C"/>
    <w:rsid w:val="00CC5770"/>
    <w:rsid w:val="00CC57E4"/>
    <w:rsid w:val="00CC5FDB"/>
    <w:rsid w:val="00CC6374"/>
    <w:rsid w:val="00CC6697"/>
    <w:rsid w:val="00CC675E"/>
    <w:rsid w:val="00CC6C60"/>
    <w:rsid w:val="00CC754C"/>
    <w:rsid w:val="00CC7BD1"/>
    <w:rsid w:val="00CC7C53"/>
    <w:rsid w:val="00CD07EA"/>
    <w:rsid w:val="00CD1020"/>
    <w:rsid w:val="00CD162D"/>
    <w:rsid w:val="00CD1C47"/>
    <w:rsid w:val="00CD1ECD"/>
    <w:rsid w:val="00CD2274"/>
    <w:rsid w:val="00CD227E"/>
    <w:rsid w:val="00CD2283"/>
    <w:rsid w:val="00CD28FF"/>
    <w:rsid w:val="00CD301A"/>
    <w:rsid w:val="00CD33F5"/>
    <w:rsid w:val="00CD34D3"/>
    <w:rsid w:val="00CD3CDC"/>
    <w:rsid w:val="00CD3DCB"/>
    <w:rsid w:val="00CD49B9"/>
    <w:rsid w:val="00CD4DEC"/>
    <w:rsid w:val="00CD4F24"/>
    <w:rsid w:val="00CD4F7C"/>
    <w:rsid w:val="00CD5324"/>
    <w:rsid w:val="00CD5A89"/>
    <w:rsid w:val="00CD6330"/>
    <w:rsid w:val="00CD6760"/>
    <w:rsid w:val="00CD7627"/>
    <w:rsid w:val="00CD7A03"/>
    <w:rsid w:val="00CE0496"/>
    <w:rsid w:val="00CE0A74"/>
    <w:rsid w:val="00CE1D33"/>
    <w:rsid w:val="00CE22EF"/>
    <w:rsid w:val="00CE24A4"/>
    <w:rsid w:val="00CE25FE"/>
    <w:rsid w:val="00CE31D2"/>
    <w:rsid w:val="00CE33DC"/>
    <w:rsid w:val="00CE36EE"/>
    <w:rsid w:val="00CE39DE"/>
    <w:rsid w:val="00CE42D1"/>
    <w:rsid w:val="00CE4428"/>
    <w:rsid w:val="00CE4833"/>
    <w:rsid w:val="00CE5044"/>
    <w:rsid w:val="00CE51C0"/>
    <w:rsid w:val="00CE58A6"/>
    <w:rsid w:val="00CE592D"/>
    <w:rsid w:val="00CE59EF"/>
    <w:rsid w:val="00CE5C93"/>
    <w:rsid w:val="00CE67B6"/>
    <w:rsid w:val="00CE6D68"/>
    <w:rsid w:val="00CE733B"/>
    <w:rsid w:val="00CE7CCF"/>
    <w:rsid w:val="00CE7EBD"/>
    <w:rsid w:val="00CF00A2"/>
    <w:rsid w:val="00CF0463"/>
    <w:rsid w:val="00CF08A8"/>
    <w:rsid w:val="00CF0F66"/>
    <w:rsid w:val="00CF1097"/>
    <w:rsid w:val="00CF12FC"/>
    <w:rsid w:val="00CF157D"/>
    <w:rsid w:val="00CF1FFD"/>
    <w:rsid w:val="00CF2660"/>
    <w:rsid w:val="00CF31E1"/>
    <w:rsid w:val="00CF3879"/>
    <w:rsid w:val="00CF3F4A"/>
    <w:rsid w:val="00CF43A4"/>
    <w:rsid w:val="00CF4AF8"/>
    <w:rsid w:val="00CF4E9C"/>
    <w:rsid w:val="00CF4FF3"/>
    <w:rsid w:val="00CF5208"/>
    <w:rsid w:val="00CF5218"/>
    <w:rsid w:val="00CF5911"/>
    <w:rsid w:val="00CF5B1B"/>
    <w:rsid w:val="00CF601A"/>
    <w:rsid w:val="00CF61ED"/>
    <w:rsid w:val="00CF6263"/>
    <w:rsid w:val="00CF70F3"/>
    <w:rsid w:val="00CF72C8"/>
    <w:rsid w:val="00CF72F2"/>
    <w:rsid w:val="00CF7716"/>
    <w:rsid w:val="00CF7815"/>
    <w:rsid w:val="00CF781E"/>
    <w:rsid w:val="00CF7AB8"/>
    <w:rsid w:val="00CF7D51"/>
    <w:rsid w:val="00D0000D"/>
    <w:rsid w:val="00D018AA"/>
    <w:rsid w:val="00D01B14"/>
    <w:rsid w:val="00D01F21"/>
    <w:rsid w:val="00D02299"/>
    <w:rsid w:val="00D02370"/>
    <w:rsid w:val="00D02462"/>
    <w:rsid w:val="00D03B9F"/>
    <w:rsid w:val="00D04354"/>
    <w:rsid w:val="00D04594"/>
    <w:rsid w:val="00D0474D"/>
    <w:rsid w:val="00D0496B"/>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327"/>
    <w:rsid w:val="00D10511"/>
    <w:rsid w:val="00D107D3"/>
    <w:rsid w:val="00D10AFB"/>
    <w:rsid w:val="00D10B6F"/>
    <w:rsid w:val="00D1192C"/>
    <w:rsid w:val="00D12C19"/>
    <w:rsid w:val="00D12F06"/>
    <w:rsid w:val="00D130E3"/>
    <w:rsid w:val="00D13588"/>
    <w:rsid w:val="00D13C85"/>
    <w:rsid w:val="00D13F3D"/>
    <w:rsid w:val="00D14954"/>
    <w:rsid w:val="00D14FEE"/>
    <w:rsid w:val="00D153E7"/>
    <w:rsid w:val="00D16091"/>
    <w:rsid w:val="00D16412"/>
    <w:rsid w:val="00D164B2"/>
    <w:rsid w:val="00D168F4"/>
    <w:rsid w:val="00D16D35"/>
    <w:rsid w:val="00D170E0"/>
    <w:rsid w:val="00D172BA"/>
    <w:rsid w:val="00D179CB"/>
    <w:rsid w:val="00D17B7D"/>
    <w:rsid w:val="00D17DFF"/>
    <w:rsid w:val="00D20AA3"/>
    <w:rsid w:val="00D20C8A"/>
    <w:rsid w:val="00D2109D"/>
    <w:rsid w:val="00D216BE"/>
    <w:rsid w:val="00D21E02"/>
    <w:rsid w:val="00D226BB"/>
    <w:rsid w:val="00D227ED"/>
    <w:rsid w:val="00D22A26"/>
    <w:rsid w:val="00D22EFE"/>
    <w:rsid w:val="00D24427"/>
    <w:rsid w:val="00D24C72"/>
    <w:rsid w:val="00D26235"/>
    <w:rsid w:val="00D26C68"/>
    <w:rsid w:val="00D26D82"/>
    <w:rsid w:val="00D27058"/>
    <w:rsid w:val="00D27C49"/>
    <w:rsid w:val="00D27C95"/>
    <w:rsid w:val="00D3092A"/>
    <w:rsid w:val="00D30950"/>
    <w:rsid w:val="00D316DF"/>
    <w:rsid w:val="00D31B32"/>
    <w:rsid w:val="00D32286"/>
    <w:rsid w:val="00D325CF"/>
    <w:rsid w:val="00D328F1"/>
    <w:rsid w:val="00D32B4A"/>
    <w:rsid w:val="00D32FA8"/>
    <w:rsid w:val="00D33234"/>
    <w:rsid w:val="00D33432"/>
    <w:rsid w:val="00D33ECF"/>
    <w:rsid w:val="00D33FA4"/>
    <w:rsid w:val="00D33FD9"/>
    <w:rsid w:val="00D34413"/>
    <w:rsid w:val="00D34552"/>
    <w:rsid w:val="00D346A7"/>
    <w:rsid w:val="00D34946"/>
    <w:rsid w:val="00D34969"/>
    <w:rsid w:val="00D34C7B"/>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111"/>
    <w:rsid w:val="00D373E6"/>
    <w:rsid w:val="00D37612"/>
    <w:rsid w:val="00D4001F"/>
    <w:rsid w:val="00D40039"/>
    <w:rsid w:val="00D40127"/>
    <w:rsid w:val="00D401BC"/>
    <w:rsid w:val="00D40355"/>
    <w:rsid w:val="00D40508"/>
    <w:rsid w:val="00D40634"/>
    <w:rsid w:val="00D40666"/>
    <w:rsid w:val="00D408B4"/>
    <w:rsid w:val="00D408D2"/>
    <w:rsid w:val="00D40DA7"/>
    <w:rsid w:val="00D40F05"/>
    <w:rsid w:val="00D410CB"/>
    <w:rsid w:val="00D41D7C"/>
    <w:rsid w:val="00D420A9"/>
    <w:rsid w:val="00D42B3B"/>
    <w:rsid w:val="00D42EE0"/>
    <w:rsid w:val="00D437CB"/>
    <w:rsid w:val="00D43F20"/>
    <w:rsid w:val="00D43F30"/>
    <w:rsid w:val="00D446FF"/>
    <w:rsid w:val="00D4499D"/>
    <w:rsid w:val="00D449D0"/>
    <w:rsid w:val="00D4503C"/>
    <w:rsid w:val="00D454F9"/>
    <w:rsid w:val="00D45870"/>
    <w:rsid w:val="00D45BBA"/>
    <w:rsid w:val="00D45CC4"/>
    <w:rsid w:val="00D46BD4"/>
    <w:rsid w:val="00D46DB3"/>
    <w:rsid w:val="00D46E2B"/>
    <w:rsid w:val="00D470DD"/>
    <w:rsid w:val="00D47944"/>
    <w:rsid w:val="00D50580"/>
    <w:rsid w:val="00D50827"/>
    <w:rsid w:val="00D509D9"/>
    <w:rsid w:val="00D50B24"/>
    <w:rsid w:val="00D5127E"/>
    <w:rsid w:val="00D5186D"/>
    <w:rsid w:val="00D522A0"/>
    <w:rsid w:val="00D5243F"/>
    <w:rsid w:val="00D525B8"/>
    <w:rsid w:val="00D5340C"/>
    <w:rsid w:val="00D53A5C"/>
    <w:rsid w:val="00D53AA9"/>
    <w:rsid w:val="00D53AB2"/>
    <w:rsid w:val="00D53D7E"/>
    <w:rsid w:val="00D54091"/>
    <w:rsid w:val="00D54841"/>
    <w:rsid w:val="00D54C0B"/>
    <w:rsid w:val="00D54F43"/>
    <w:rsid w:val="00D5523A"/>
    <w:rsid w:val="00D555DB"/>
    <w:rsid w:val="00D5570A"/>
    <w:rsid w:val="00D55FF9"/>
    <w:rsid w:val="00D560F1"/>
    <w:rsid w:val="00D56975"/>
    <w:rsid w:val="00D56A6A"/>
    <w:rsid w:val="00D5749B"/>
    <w:rsid w:val="00D574AF"/>
    <w:rsid w:val="00D6008F"/>
    <w:rsid w:val="00D604E1"/>
    <w:rsid w:val="00D6075D"/>
    <w:rsid w:val="00D60BCE"/>
    <w:rsid w:val="00D614A0"/>
    <w:rsid w:val="00D61B08"/>
    <w:rsid w:val="00D62B27"/>
    <w:rsid w:val="00D62B70"/>
    <w:rsid w:val="00D62CE1"/>
    <w:rsid w:val="00D62F29"/>
    <w:rsid w:val="00D63412"/>
    <w:rsid w:val="00D6389C"/>
    <w:rsid w:val="00D63B33"/>
    <w:rsid w:val="00D63CDD"/>
    <w:rsid w:val="00D6439C"/>
    <w:rsid w:val="00D64AAF"/>
    <w:rsid w:val="00D650DD"/>
    <w:rsid w:val="00D6533A"/>
    <w:rsid w:val="00D653F7"/>
    <w:rsid w:val="00D661FD"/>
    <w:rsid w:val="00D665D3"/>
    <w:rsid w:val="00D66CBB"/>
    <w:rsid w:val="00D67550"/>
    <w:rsid w:val="00D7139E"/>
    <w:rsid w:val="00D71CCA"/>
    <w:rsid w:val="00D7232B"/>
    <w:rsid w:val="00D724D3"/>
    <w:rsid w:val="00D731E5"/>
    <w:rsid w:val="00D73B5B"/>
    <w:rsid w:val="00D73E68"/>
    <w:rsid w:val="00D74EA5"/>
    <w:rsid w:val="00D74F17"/>
    <w:rsid w:val="00D752EB"/>
    <w:rsid w:val="00D75333"/>
    <w:rsid w:val="00D755C2"/>
    <w:rsid w:val="00D757AC"/>
    <w:rsid w:val="00D759D5"/>
    <w:rsid w:val="00D764D4"/>
    <w:rsid w:val="00D76532"/>
    <w:rsid w:val="00D765D5"/>
    <w:rsid w:val="00D76791"/>
    <w:rsid w:val="00D76B50"/>
    <w:rsid w:val="00D76D33"/>
    <w:rsid w:val="00D76D46"/>
    <w:rsid w:val="00D76F1A"/>
    <w:rsid w:val="00D77071"/>
    <w:rsid w:val="00D7731F"/>
    <w:rsid w:val="00D77771"/>
    <w:rsid w:val="00D77A4E"/>
    <w:rsid w:val="00D77A8B"/>
    <w:rsid w:val="00D77BA1"/>
    <w:rsid w:val="00D77F89"/>
    <w:rsid w:val="00D8051A"/>
    <w:rsid w:val="00D80DC5"/>
    <w:rsid w:val="00D80EDD"/>
    <w:rsid w:val="00D80FE3"/>
    <w:rsid w:val="00D80FF8"/>
    <w:rsid w:val="00D81708"/>
    <w:rsid w:val="00D8190F"/>
    <w:rsid w:val="00D81C01"/>
    <w:rsid w:val="00D81D48"/>
    <w:rsid w:val="00D81E13"/>
    <w:rsid w:val="00D82064"/>
    <w:rsid w:val="00D8343F"/>
    <w:rsid w:val="00D844B7"/>
    <w:rsid w:val="00D845E7"/>
    <w:rsid w:val="00D849B9"/>
    <w:rsid w:val="00D84A1B"/>
    <w:rsid w:val="00D84B95"/>
    <w:rsid w:val="00D84CF4"/>
    <w:rsid w:val="00D85184"/>
    <w:rsid w:val="00D8566E"/>
    <w:rsid w:val="00D85CE5"/>
    <w:rsid w:val="00D860B8"/>
    <w:rsid w:val="00D864F0"/>
    <w:rsid w:val="00D867AB"/>
    <w:rsid w:val="00D86B96"/>
    <w:rsid w:val="00D86F5F"/>
    <w:rsid w:val="00D8731E"/>
    <w:rsid w:val="00D878B3"/>
    <w:rsid w:val="00D900E5"/>
    <w:rsid w:val="00D909B2"/>
    <w:rsid w:val="00D90C29"/>
    <w:rsid w:val="00D90DB1"/>
    <w:rsid w:val="00D914E7"/>
    <w:rsid w:val="00D92129"/>
    <w:rsid w:val="00D92340"/>
    <w:rsid w:val="00D9257D"/>
    <w:rsid w:val="00D93626"/>
    <w:rsid w:val="00D93A24"/>
    <w:rsid w:val="00D94574"/>
    <w:rsid w:val="00D946DB"/>
    <w:rsid w:val="00D94805"/>
    <w:rsid w:val="00D94BCE"/>
    <w:rsid w:val="00D94C4D"/>
    <w:rsid w:val="00D95160"/>
    <w:rsid w:val="00D95240"/>
    <w:rsid w:val="00D956BC"/>
    <w:rsid w:val="00D95C61"/>
    <w:rsid w:val="00D96282"/>
    <w:rsid w:val="00D96781"/>
    <w:rsid w:val="00D97874"/>
    <w:rsid w:val="00D979AE"/>
    <w:rsid w:val="00DA0870"/>
    <w:rsid w:val="00DA0B11"/>
    <w:rsid w:val="00DA0EF4"/>
    <w:rsid w:val="00DA1229"/>
    <w:rsid w:val="00DA1B84"/>
    <w:rsid w:val="00DA2445"/>
    <w:rsid w:val="00DA254C"/>
    <w:rsid w:val="00DA2E7A"/>
    <w:rsid w:val="00DA3127"/>
    <w:rsid w:val="00DA3860"/>
    <w:rsid w:val="00DA393F"/>
    <w:rsid w:val="00DA3DE7"/>
    <w:rsid w:val="00DA41BE"/>
    <w:rsid w:val="00DA42B9"/>
    <w:rsid w:val="00DA52EE"/>
    <w:rsid w:val="00DA58A5"/>
    <w:rsid w:val="00DA5E70"/>
    <w:rsid w:val="00DA6252"/>
    <w:rsid w:val="00DA6859"/>
    <w:rsid w:val="00DA699F"/>
    <w:rsid w:val="00DA6F41"/>
    <w:rsid w:val="00DA72A8"/>
    <w:rsid w:val="00DA7763"/>
    <w:rsid w:val="00DB0065"/>
    <w:rsid w:val="00DB0345"/>
    <w:rsid w:val="00DB04D7"/>
    <w:rsid w:val="00DB09D3"/>
    <w:rsid w:val="00DB11C8"/>
    <w:rsid w:val="00DB11E0"/>
    <w:rsid w:val="00DB158F"/>
    <w:rsid w:val="00DB1858"/>
    <w:rsid w:val="00DB1A2F"/>
    <w:rsid w:val="00DB1F1F"/>
    <w:rsid w:val="00DB1F80"/>
    <w:rsid w:val="00DB2405"/>
    <w:rsid w:val="00DB27DF"/>
    <w:rsid w:val="00DB2B9F"/>
    <w:rsid w:val="00DB2CF0"/>
    <w:rsid w:val="00DB2EEF"/>
    <w:rsid w:val="00DB34D5"/>
    <w:rsid w:val="00DB3659"/>
    <w:rsid w:val="00DB3A2F"/>
    <w:rsid w:val="00DB4EB2"/>
    <w:rsid w:val="00DB4FA3"/>
    <w:rsid w:val="00DB5745"/>
    <w:rsid w:val="00DB5A79"/>
    <w:rsid w:val="00DB5AFA"/>
    <w:rsid w:val="00DB6067"/>
    <w:rsid w:val="00DB63DB"/>
    <w:rsid w:val="00DB6CFD"/>
    <w:rsid w:val="00DB6D3C"/>
    <w:rsid w:val="00DB75EB"/>
    <w:rsid w:val="00DB7784"/>
    <w:rsid w:val="00DC06C1"/>
    <w:rsid w:val="00DC08EF"/>
    <w:rsid w:val="00DC095E"/>
    <w:rsid w:val="00DC0AA9"/>
    <w:rsid w:val="00DC0E97"/>
    <w:rsid w:val="00DC0F6B"/>
    <w:rsid w:val="00DC0FD3"/>
    <w:rsid w:val="00DC1307"/>
    <w:rsid w:val="00DC190C"/>
    <w:rsid w:val="00DC1912"/>
    <w:rsid w:val="00DC1ADD"/>
    <w:rsid w:val="00DC20A5"/>
    <w:rsid w:val="00DC21CA"/>
    <w:rsid w:val="00DC3C20"/>
    <w:rsid w:val="00DC4138"/>
    <w:rsid w:val="00DC43BD"/>
    <w:rsid w:val="00DC4AC6"/>
    <w:rsid w:val="00DC4BC5"/>
    <w:rsid w:val="00DC4D53"/>
    <w:rsid w:val="00DC4E77"/>
    <w:rsid w:val="00DC5153"/>
    <w:rsid w:val="00DC5289"/>
    <w:rsid w:val="00DC52E1"/>
    <w:rsid w:val="00DC56BF"/>
    <w:rsid w:val="00DC5D15"/>
    <w:rsid w:val="00DC6111"/>
    <w:rsid w:val="00DC61FF"/>
    <w:rsid w:val="00DC6213"/>
    <w:rsid w:val="00DC636A"/>
    <w:rsid w:val="00DC66BB"/>
    <w:rsid w:val="00DC6963"/>
    <w:rsid w:val="00DC7CE8"/>
    <w:rsid w:val="00DC7EB7"/>
    <w:rsid w:val="00DD0748"/>
    <w:rsid w:val="00DD0DCD"/>
    <w:rsid w:val="00DD1545"/>
    <w:rsid w:val="00DD1848"/>
    <w:rsid w:val="00DD1AFE"/>
    <w:rsid w:val="00DD2727"/>
    <w:rsid w:val="00DD27BB"/>
    <w:rsid w:val="00DD2BE3"/>
    <w:rsid w:val="00DD2FCF"/>
    <w:rsid w:val="00DD326E"/>
    <w:rsid w:val="00DD3314"/>
    <w:rsid w:val="00DD34E2"/>
    <w:rsid w:val="00DD388D"/>
    <w:rsid w:val="00DD3BAE"/>
    <w:rsid w:val="00DD3F2C"/>
    <w:rsid w:val="00DD45DE"/>
    <w:rsid w:val="00DD4881"/>
    <w:rsid w:val="00DD49CD"/>
    <w:rsid w:val="00DD5099"/>
    <w:rsid w:val="00DD52E0"/>
    <w:rsid w:val="00DD53EA"/>
    <w:rsid w:val="00DD5E3C"/>
    <w:rsid w:val="00DD61C2"/>
    <w:rsid w:val="00DD66A7"/>
    <w:rsid w:val="00DD66E7"/>
    <w:rsid w:val="00DD6987"/>
    <w:rsid w:val="00DD6C14"/>
    <w:rsid w:val="00DD6C98"/>
    <w:rsid w:val="00DD7025"/>
    <w:rsid w:val="00DD7316"/>
    <w:rsid w:val="00DD7912"/>
    <w:rsid w:val="00DE0B77"/>
    <w:rsid w:val="00DE101E"/>
    <w:rsid w:val="00DE2319"/>
    <w:rsid w:val="00DE24FC"/>
    <w:rsid w:val="00DE2596"/>
    <w:rsid w:val="00DE2DA9"/>
    <w:rsid w:val="00DE35EC"/>
    <w:rsid w:val="00DE3AD1"/>
    <w:rsid w:val="00DE4AA5"/>
    <w:rsid w:val="00DE4AAF"/>
    <w:rsid w:val="00DE5124"/>
    <w:rsid w:val="00DE57B0"/>
    <w:rsid w:val="00DE6DD3"/>
    <w:rsid w:val="00DE7A3E"/>
    <w:rsid w:val="00DE7E3E"/>
    <w:rsid w:val="00DF0A04"/>
    <w:rsid w:val="00DF0EC9"/>
    <w:rsid w:val="00DF1446"/>
    <w:rsid w:val="00DF1452"/>
    <w:rsid w:val="00DF1F5F"/>
    <w:rsid w:val="00DF2235"/>
    <w:rsid w:val="00DF2701"/>
    <w:rsid w:val="00DF27BC"/>
    <w:rsid w:val="00DF280E"/>
    <w:rsid w:val="00DF3ABE"/>
    <w:rsid w:val="00DF3CA9"/>
    <w:rsid w:val="00DF3D21"/>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9DD"/>
    <w:rsid w:val="00E03BCB"/>
    <w:rsid w:val="00E03F86"/>
    <w:rsid w:val="00E0471A"/>
    <w:rsid w:val="00E04825"/>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C60"/>
    <w:rsid w:val="00E10D0B"/>
    <w:rsid w:val="00E11134"/>
    <w:rsid w:val="00E11420"/>
    <w:rsid w:val="00E1183B"/>
    <w:rsid w:val="00E11AC0"/>
    <w:rsid w:val="00E11D2B"/>
    <w:rsid w:val="00E11F46"/>
    <w:rsid w:val="00E12AB2"/>
    <w:rsid w:val="00E130C3"/>
    <w:rsid w:val="00E1344D"/>
    <w:rsid w:val="00E136D2"/>
    <w:rsid w:val="00E13776"/>
    <w:rsid w:val="00E14713"/>
    <w:rsid w:val="00E15AF4"/>
    <w:rsid w:val="00E161C0"/>
    <w:rsid w:val="00E169D3"/>
    <w:rsid w:val="00E17458"/>
    <w:rsid w:val="00E17F4D"/>
    <w:rsid w:val="00E2019A"/>
    <w:rsid w:val="00E20BD2"/>
    <w:rsid w:val="00E21579"/>
    <w:rsid w:val="00E217D3"/>
    <w:rsid w:val="00E21BD9"/>
    <w:rsid w:val="00E22162"/>
    <w:rsid w:val="00E22365"/>
    <w:rsid w:val="00E22428"/>
    <w:rsid w:val="00E225A5"/>
    <w:rsid w:val="00E22E7B"/>
    <w:rsid w:val="00E2392B"/>
    <w:rsid w:val="00E23A54"/>
    <w:rsid w:val="00E23DE6"/>
    <w:rsid w:val="00E23E9D"/>
    <w:rsid w:val="00E23FCA"/>
    <w:rsid w:val="00E24537"/>
    <w:rsid w:val="00E249DB"/>
    <w:rsid w:val="00E24FDE"/>
    <w:rsid w:val="00E2504E"/>
    <w:rsid w:val="00E250B4"/>
    <w:rsid w:val="00E25326"/>
    <w:rsid w:val="00E254D8"/>
    <w:rsid w:val="00E25749"/>
    <w:rsid w:val="00E2576C"/>
    <w:rsid w:val="00E25963"/>
    <w:rsid w:val="00E25EC8"/>
    <w:rsid w:val="00E269AA"/>
    <w:rsid w:val="00E26C16"/>
    <w:rsid w:val="00E2724B"/>
    <w:rsid w:val="00E27F02"/>
    <w:rsid w:val="00E30607"/>
    <w:rsid w:val="00E30851"/>
    <w:rsid w:val="00E30BF0"/>
    <w:rsid w:val="00E31115"/>
    <w:rsid w:val="00E31485"/>
    <w:rsid w:val="00E31BCD"/>
    <w:rsid w:val="00E31C73"/>
    <w:rsid w:val="00E31ED6"/>
    <w:rsid w:val="00E327DD"/>
    <w:rsid w:val="00E332B5"/>
    <w:rsid w:val="00E3375B"/>
    <w:rsid w:val="00E33CCB"/>
    <w:rsid w:val="00E34669"/>
    <w:rsid w:val="00E34D32"/>
    <w:rsid w:val="00E3524F"/>
    <w:rsid w:val="00E35C45"/>
    <w:rsid w:val="00E35C9D"/>
    <w:rsid w:val="00E35DF7"/>
    <w:rsid w:val="00E36C52"/>
    <w:rsid w:val="00E36E6E"/>
    <w:rsid w:val="00E36E75"/>
    <w:rsid w:val="00E3720A"/>
    <w:rsid w:val="00E3739B"/>
    <w:rsid w:val="00E376BD"/>
    <w:rsid w:val="00E37B6F"/>
    <w:rsid w:val="00E37C2D"/>
    <w:rsid w:val="00E37DD8"/>
    <w:rsid w:val="00E37E68"/>
    <w:rsid w:val="00E400BA"/>
    <w:rsid w:val="00E407F2"/>
    <w:rsid w:val="00E40D1A"/>
    <w:rsid w:val="00E40F6A"/>
    <w:rsid w:val="00E41709"/>
    <w:rsid w:val="00E42121"/>
    <w:rsid w:val="00E42513"/>
    <w:rsid w:val="00E426E9"/>
    <w:rsid w:val="00E42E06"/>
    <w:rsid w:val="00E43012"/>
    <w:rsid w:val="00E43155"/>
    <w:rsid w:val="00E436F1"/>
    <w:rsid w:val="00E43F4D"/>
    <w:rsid w:val="00E44110"/>
    <w:rsid w:val="00E44623"/>
    <w:rsid w:val="00E44AD2"/>
    <w:rsid w:val="00E44CA0"/>
    <w:rsid w:val="00E44EFD"/>
    <w:rsid w:val="00E44FEB"/>
    <w:rsid w:val="00E452B0"/>
    <w:rsid w:val="00E4586E"/>
    <w:rsid w:val="00E4641C"/>
    <w:rsid w:val="00E46997"/>
    <w:rsid w:val="00E46C39"/>
    <w:rsid w:val="00E47A0D"/>
    <w:rsid w:val="00E5026F"/>
    <w:rsid w:val="00E50857"/>
    <w:rsid w:val="00E50E94"/>
    <w:rsid w:val="00E50F4B"/>
    <w:rsid w:val="00E513FE"/>
    <w:rsid w:val="00E51838"/>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865"/>
    <w:rsid w:val="00E548EA"/>
    <w:rsid w:val="00E549B3"/>
    <w:rsid w:val="00E549B4"/>
    <w:rsid w:val="00E549F0"/>
    <w:rsid w:val="00E54E00"/>
    <w:rsid w:val="00E55606"/>
    <w:rsid w:val="00E5564C"/>
    <w:rsid w:val="00E55910"/>
    <w:rsid w:val="00E55E4F"/>
    <w:rsid w:val="00E567AE"/>
    <w:rsid w:val="00E56C23"/>
    <w:rsid w:val="00E56DD3"/>
    <w:rsid w:val="00E57656"/>
    <w:rsid w:val="00E5782D"/>
    <w:rsid w:val="00E601F0"/>
    <w:rsid w:val="00E60A38"/>
    <w:rsid w:val="00E60FDD"/>
    <w:rsid w:val="00E610A6"/>
    <w:rsid w:val="00E614ED"/>
    <w:rsid w:val="00E61E00"/>
    <w:rsid w:val="00E625BC"/>
    <w:rsid w:val="00E628A5"/>
    <w:rsid w:val="00E63D36"/>
    <w:rsid w:val="00E640C9"/>
    <w:rsid w:val="00E642FC"/>
    <w:rsid w:val="00E64F16"/>
    <w:rsid w:val="00E64F3B"/>
    <w:rsid w:val="00E65F97"/>
    <w:rsid w:val="00E65FBB"/>
    <w:rsid w:val="00E6606F"/>
    <w:rsid w:val="00E661CA"/>
    <w:rsid w:val="00E6677D"/>
    <w:rsid w:val="00E66A48"/>
    <w:rsid w:val="00E677EF"/>
    <w:rsid w:val="00E67811"/>
    <w:rsid w:val="00E6798D"/>
    <w:rsid w:val="00E679E8"/>
    <w:rsid w:val="00E67D4D"/>
    <w:rsid w:val="00E70345"/>
    <w:rsid w:val="00E7191F"/>
    <w:rsid w:val="00E71DAD"/>
    <w:rsid w:val="00E71E15"/>
    <w:rsid w:val="00E71E52"/>
    <w:rsid w:val="00E72050"/>
    <w:rsid w:val="00E7216F"/>
    <w:rsid w:val="00E72287"/>
    <w:rsid w:val="00E723C3"/>
    <w:rsid w:val="00E7352A"/>
    <w:rsid w:val="00E739FC"/>
    <w:rsid w:val="00E73E86"/>
    <w:rsid w:val="00E74A69"/>
    <w:rsid w:val="00E74F6F"/>
    <w:rsid w:val="00E751ED"/>
    <w:rsid w:val="00E75A35"/>
    <w:rsid w:val="00E761BF"/>
    <w:rsid w:val="00E76296"/>
    <w:rsid w:val="00E774F2"/>
    <w:rsid w:val="00E77ACD"/>
    <w:rsid w:val="00E77F21"/>
    <w:rsid w:val="00E80A6F"/>
    <w:rsid w:val="00E81227"/>
    <w:rsid w:val="00E8185C"/>
    <w:rsid w:val="00E82328"/>
    <w:rsid w:val="00E8265A"/>
    <w:rsid w:val="00E826BE"/>
    <w:rsid w:val="00E828E2"/>
    <w:rsid w:val="00E8305A"/>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B8B"/>
    <w:rsid w:val="00E87623"/>
    <w:rsid w:val="00E87A0A"/>
    <w:rsid w:val="00E87D33"/>
    <w:rsid w:val="00E90205"/>
    <w:rsid w:val="00E904C0"/>
    <w:rsid w:val="00E906AF"/>
    <w:rsid w:val="00E918E7"/>
    <w:rsid w:val="00E91B49"/>
    <w:rsid w:val="00E91EC4"/>
    <w:rsid w:val="00E9231A"/>
    <w:rsid w:val="00E924C2"/>
    <w:rsid w:val="00E924F3"/>
    <w:rsid w:val="00E92D95"/>
    <w:rsid w:val="00E935F1"/>
    <w:rsid w:val="00E93902"/>
    <w:rsid w:val="00E93F0E"/>
    <w:rsid w:val="00E94A58"/>
    <w:rsid w:val="00E94BCF"/>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5B5"/>
    <w:rsid w:val="00EA263E"/>
    <w:rsid w:val="00EA2F2D"/>
    <w:rsid w:val="00EA33B5"/>
    <w:rsid w:val="00EA3E47"/>
    <w:rsid w:val="00EA3E86"/>
    <w:rsid w:val="00EA4263"/>
    <w:rsid w:val="00EA44EA"/>
    <w:rsid w:val="00EA490D"/>
    <w:rsid w:val="00EA5266"/>
    <w:rsid w:val="00EA5B8F"/>
    <w:rsid w:val="00EA67A4"/>
    <w:rsid w:val="00EA67B5"/>
    <w:rsid w:val="00EA6977"/>
    <w:rsid w:val="00EA6FA8"/>
    <w:rsid w:val="00EA7037"/>
    <w:rsid w:val="00EA7094"/>
    <w:rsid w:val="00EA7673"/>
    <w:rsid w:val="00EA7AA4"/>
    <w:rsid w:val="00EA7BF2"/>
    <w:rsid w:val="00EA7FD3"/>
    <w:rsid w:val="00EB03B4"/>
    <w:rsid w:val="00EB0881"/>
    <w:rsid w:val="00EB0D14"/>
    <w:rsid w:val="00EB140F"/>
    <w:rsid w:val="00EB1948"/>
    <w:rsid w:val="00EB1A7F"/>
    <w:rsid w:val="00EB1BD7"/>
    <w:rsid w:val="00EB22EE"/>
    <w:rsid w:val="00EB2566"/>
    <w:rsid w:val="00EB2BF4"/>
    <w:rsid w:val="00EB3453"/>
    <w:rsid w:val="00EB37BB"/>
    <w:rsid w:val="00EB38B9"/>
    <w:rsid w:val="00EB391C"/>
    <w:rsid w:val="00EB436C"/>
    <w:rsid w:val="00EB4630"/>
    <w:rsid w:val="00EB5287"/>
    <w:rsid w:val="00EB592F"/>
    <w:rsid w:val="00EB5998"/>
    <w:rsid w:val="00EB5A3F"/>
    <w:rsid w:val="00EB6043"/>
    <w:rsid w:val="00EB6076"/>
    <w:rsid w:val="00EB6423"/>
    <w:rsid w:val="00EB6685"/>
    <w:rsid w:val="00EB6947"/>
    <w:rsid w:val="00EB6ED5"/>
    <w:rsid w:val="00EB73D2"/>
    <w:rsid w:val="00EB765C"/>
    <w:rsid w:val="00EB773B"/>
    <w:rsid w:val="00EB7CDD"/>
    <w:rsid w:val="00EC12DC"/>
    <w:rsid w:val="00EC186C"/>
    <w:rsid w:val="00EC1905"/>
    <w:rsid w:val="00EC1BC2"/>
    <w:rsid w:val="00EC2878"/>
    <w:rsid w:val="00EC306F"/>
    <w:rsid w:val="00EC3088"/>
    <w:rsid w:val="00EC34BD"/>
    <w:rsid w:val="00EC354D"/>
    <w:rsid w:val="00EC37CE"/>
    <w:rsid w:val="00EC3BA1"/>
    <w:rsid w:val="00EC445F"/>
    <w:rsid w:val="00EC4A82"/>
    <w:rsid w:val="00EC5523"/>
    <w:rsid w:val="00EC5862"/>
    <w:rsid w:val="00EC5E12"/>
    <w:rsid w:val="00EC60CC"/>
    <w:rsid w:val="00EC60D3"/>
    <w:rsid w:val="00EC61E4"/>
    <w:rsid w:val="00EC6449"/>
    <w:rsid w:val="00EC77F9"/>
    <w:rsid w:val="00ED0217"/>
    <w:rsid w:val="00ED0A76"/>
    <w:rsid w:val="00ED0EDB"/>
    <w:rsid w:val="00ED10B6"/>
    <w:rsid w:val="00ED12ED"/>
    <w:rsid w:val="00ED2312"/>
    <w:rsid w:val="00ED2DA5"/>
    <w:rsid w:val="00ED2EB5"/>
    <w:rsid w:val="00ED3396"/>
    <w:rsid w:val="00ED34B4"/>
    <w:rsid w:val="00ED3C4A"/>
    <w:rsid w:val="00ED42AB"/>
    <w:rsid w:val="00ED4797"/>
    <w:rsid w:val="00ED5658"/>
    <w:rsid w:val="00ED5FE9"/>
    <w:rsid w:val="00ED60BB"/>
    <w:rsid w:val="00ED6145"/>
    <w:rsid w:val="00ED62B3"/>
    <w:rsid w:val="00ED6514"/>
    <w:rsid w:val="00ED6E77"/>
    <w:rsid w:val="00ED7211"/>
    <w:rsid w:val="00ED7316"/>
    <w:rsid w:val="00EE0D05"/>
    <w:rsid w:val="00EE12B8"/>
    <w:rsid w:val="00EE1AE2"/>
    <w:rsid w:val="00EE21B4"/>
    <w:rsid w:val="00EE323B"/>
    <w:rsid w:val="00EE363C"/>
    <w:rsid w:val="00EE414A"/>
    <w:rsid w:val="00EE5096"/>
    <w:rsid w:val="00EE5BBE"/>
    <w:rsid w:val="00EE60B9"/>
    <w:rsid w:val="00EE61C4"/>
    <w:rsid w:val="00EE69A6"/>
    <w:rsid w:val="00EE7265"/>
    <w:rsid w:val="00EE7A3D"/>
    <w:rsid w:val="00EE7C6E"/>
    <w:rsid w:val="00EE7E25"/>
    <w:rsid w:val="00EF0211"/>
    <w:rsid w:val="00EF02B4"/>
    <w:rsid w:val="00EF0D9F"/>
    <w:rsid w:val="00EF16CE"/>
    <w:rsid w:val="00EF18CD"/>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8A8"/>
    <w:rsid w:val="00F0199C"/>
    <w:rsid w:val="00F01B29"/>
    <w:rsid w:val="00F01F8D"/>
    <w:rsid w:val="00F01FA3"/>
    <w:rsid w:val="00F02146"/>
    <w:rsid w:val="00F0247B"/>
    <w:rsid w:val="00F02566"/>
    <w:rsid w:val="00F026F2"/>
    <w:rsid w:val="00F039EA"/>
    <w:rsid w:val="00F03A89"/>
    <w:rsid w:val="00F03ADE"/>
    <w:rsid w:val="00F03F19"/>
    <w:rsid w:val="00F041B1"/>
    <w:rsid w:val="00F0422A"/>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B"/>
    <w:rsid w:val="00F116CE"/>
    <w:rsid w:val="00F11DA7"/>
    <w:rsid w:val="00F11DAA"/>
    <w:rsid w:val="00F1245D"/>
    <w:rsid w:val="00F124F3"/>
    <w:rsid w:val="00F12C87"/>
    <w:rsid w:val="00F1330A"/>
    <w:rsid w:val="00F133BA"/>
    <w:rsid w:val="00F136BD"/>
    <w:rsid w:val="00F13D21"/>
    <w:rsid w:val="00F14B1E"/>
    <w:rsid w:val="00F14BBC"/>
    <w:rsid w:val="00F14C51"/>
    <w:rsid w:val="00F1525B"/>
    <w:rsid w:val="00F15AB5"/>
    <w:rsid w:val="00F15BF9"/>
    <w:rsid w:val="00F15EDE"/>
    <w:rsid w:val="00F16024"/>
    <w:rsid w:val="00F1626D"/>
    <w:rsid w:val="00F1638B"/>
    <w:rsid w:val="00F16615"/>
    <w:rsid w:val="00F1691A"/>
    <w:rsid w:val="00F16FC4"/>
    <w:rsid w:val="00F17052"/>
    <w:rsid w:val="00F17636"/>
    <w:rsid w:val="00F1764F"/>
    <w:rsid w:val="00F2009B"/>
    <w:rsid w:val="00F2037F"/>
    <w:rsid w:val="00F20895"/>
    <w:rsid w:val="00F20DF1"/>
    <w:rsid w:val="00F213AB"/>
    <w:rsid w:val="00F21593"/>
    <w:rsid w:val="00F21631"/>
    <w:rsid w:val="00F223CF"/>
    <w:rsid w:val="00F2265A"/>
    <w:rsid w:val="00F22978"/>
    <w:rsid w:val="00F22B94"/>
    <w:rsid w:val="00F22E58"/>
    <w:rsid w:val="00F230C3"/>
    <w:rsid w:val="00F231D7"/>
    <w:rsid w:val="00F23EB2"/>
    <w:rsid w:val="00F240ED"/>
    <w:rsid w:val="00F246F0"/>
    <w:rsid w:val="00F25192"/>
    <w:rsid w:val="00F25359"/>
    <w:rsid w:val="00F259A5"/>
    <w:rsid w:val="00F260BD"/>
    <w:rsid w:val="00F263EF"/>
    <w:rsid w:val="00F265C7"/>
    <w:rsid w:val="00F267D7"/>
    <w:rsid w:val="00F26B3C"/>
    <w:rsid w:val="00F26F95"/>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DEF"/>
    <w:rsid w:val="00F32EBB"/>
    <w:rsid w:val="00F32F3E"/>
    <w:rsid w:val="00F33D04"/>
    <w:rsid w:val="00F34537"/>
    <w:rsid w:val="00F34EEC"/>
    <w:rsid w:val="00F35185"/>
    <w:rsid w:val="00F36396"/>
    <w:rsid w:val="00F366E9"/>
    <w:rsid w:val="00F36A43"/>
    <w:rsid w:val="00F36E24"/>
    <w:rsid w:val="00F371E0"/>
    <w:rsid w:val="00F37714"/>
    <w:rsid w:val="00F3784A"/>
    <w:rsid w:val="00F402EC"/>
    <w:rsid w:val="00F403CE"/>
    <w:rsid w:val="00F4097A"/>
    <w:rsid w:val="00F40E9D"/>
    <w:rsid w:val="00F41370"/>
    <w:rsid w:val="00F4156E"/>
    <w:rsid w:val="00F415BC"/>
    <w:rsid w:val="00F41707"/>
    <w:rsid w:val="00F41E93"/>
    <w:rsid w:val="00F4231E"/>
    <w:rsid w:val="00F42484"/>
    <w:rsid w:val="00F4276F"/>
    <w:rsid w:val="00F42AFB"/>
    <w:rsid w:val="00F43A7E"/>
    <w:rsid w:val="00F43D4E"/>
    <w:rsid w:val="00F43E01"/>
    <w:rsid w:val="00F43F42"/>
    <w:rsid w:val="00F449C6"/>
    <w:rsid w:val="00F44A88"/>
    <w:rsid w:val="00F4520B"/>
    <w:rsid w:val="00F455E3"/>
    <w:rsid w:val="00F45775"/>
    <w:rsid w:val="00F45838"/>
    <w:rsid w:val="00F461B4"/>
    <w:rsid w:val="00F4625A"/>
    <w:rsid w:val="00F4631B"/>
    <w:rsid w:val="00F4671D"/>
    <w:rsid w:val="00F469C5"/>
    <w:rsid w:val="00F4737A"/>
    <w:rsid w:val="00F47780"/>
    <w:rsid w:val="00F47A33"/>
    <w:rsid w:val="00F47C11"/>
    <w:rsid w:val="00F47F93"/>
    <w:rsid w:val="00F47FFE"/>
    <w:rsid w:val="00F50592"/>
    <w:rsid w:val="00F5071A"/>
    <w:rsid w:val="00F507D4"/>
    <w:rsid w:val="00F50C29"/>
    <w:rsid w:val="00F50E35"/>
    <w:rsid w:val="00F50EFE"/>
    <w:rsid w:val="00F513AD"/>
    <w:rsid w:val="00F514D2"/>
    <w:rsid w:val="00F519CB"/>
    <w:rsid w:val="00F52261"/>
    <w:rsid w:val="00F524A6"/>
    <w:rsid w:val="00F524C7"/>
    <w:rsid w:val="00F5270A"/>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728F"/>
    <w:rsid w:val="00F57424"/>
    <w:rsid w:val="00F57801"/>
    <w:rsid w:val="00F579D3"/>
    <w:rsid w:val="00F57C1D"/>
    <w:rsid w:val="00F60015"/>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62FF"/>
    <w:rsid w:val="00F668DE"/>
    <w:rsid w:val="00F66C7C"/>
    <w:rsid w:val="00F66C9E"/>
    <w:rsid w:val="00F67189"/>
    <w:rsid w:val="00F6740A"/>
    <w:rsid w:val="00F67656"/>
    <w:rsid w:val="00F67731"/>
    <w:rsid w:val="00F67C20"/>
    <w:rsid w:val="00F707EF"/>
    <w:rsid w:val="00F70B92"/>
    <w:rsid w:val="00F70DA4"/>
    <w:rsid w:val="00F7139F"/>
    <w:rsid w:val="00F7140B"/>
    <w:rsid w:val="00F71D3F"/>
    <w:rsid w:val="00F71EB8"/>
    <w:rsid w:val="00F72A4E"/>
    <w:rsid w:val="00F731DD"/>
    <w:rsid w:val="00F73258"/>
    <w:rsid w:val="00F73369"/>
    <w:rsid w:val="00F733C9"/>
    <w:rsid w:val="00F73970"/>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56"/>
    <w:rsid w:val="00F805BD"/>
    <w:rsid w:val="00F805EE"/>
    <w:rsid w:val="00F80751"/>
    <w:rsid w:val="00F81AC1"/>
    <w:rsid w:val="00F81E7E"/>
    <w:rsid w:val="00F82170"/>
    <w:rsid w:val="00F82216"/>
    <w:rsid w:val="00F8228D"/>
    <w:rsid w:val="00F82735"/>
    <w:rsid w:val="00F82C2F"/>
    <w:rsid w:val="00F82D7F"/>
    <w:rsid w:val="00F82FFC"/>
    <w:rsid w:val="00F83119"/>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6C9E"/>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070"/>
    <w:rsid w:val="00F957DA"/>
    <w:rsid w:val="00F96408"/>
    <w:rsid w:val="00F96A8B"/>
    <w:rsid w:val="00F96F59"/>
    <w:rsid w:val="00F970BF"/>
    <w:rsid w:val="00F9746A"/>
    <w:rsid w:val="00F97B77"/>
    <w:rsid w:val="00FA0114"/>
    <w:rsid w:val="00FA0688"/>
    <w:rsid w:val="00FA070E"/>
    <w:rsid w:val="00FA07C2"/>
    <w:rsid w:val="00FA09AD"/>
    <w:rsid w:val="00FA208E"/>
    <w:rsid w:val="00FA20A2"/>
    <w:rsid w:val="00FA2305"/>
    <w:rsid w:val="00FA23AA"/>
    <w:rsid w:val="00FA303A"/>
    <w:rsid w:val="00FA364C"/>
    <w:rsid w:val="00FA37C3"/>
    <w:rsid w:val="00FA3FBE"/>
    <w:rsid w:val="00FA3FCB"/>
    <w:rsid w:val="00FA4124"/>
    <w:rsid w:val="00FA425D"/>
    <w:rsid w:val="00FA4B06"/>
    <w:rsid w:val="00FA4B17"/>
    <w:rsid w:val="00FA58C5"/>
    <w:rsid w:val="00FA596C"/>
    <w:rsid w:val="00FA5F3F"/>
    <w:rsid w:val="00FA6320"/>
    <w:rsid w:val="00FA6721"/>
    <w:rsid w:val="00FA6CA3"/>
    <w:rsid w:val="00FA7326"/>
    <w:rsid w:val="00FA7609"/>
    <w:rsid w:val="00FA7DB6"/>
    <w:rsid w:val="00FA7F2C"/>
    <w:rsid w:val="00FA7F57"/>
    <w:rsid w:val="00FA7FE0"/>
    <w:rsid w:val="00FB02B8"/>
    <w:rsid w:val="00FB035D"/>
    <w:rsid w:val="00FB05EA"/>
    <w:rsid w:val="00FB0701"/>
    <w:rsid w:val="00FB0740"/>
    <w:rsid w:val="00FB0B69"/>
    <w:rsid w:val="00FB1249"/>
    <w:rsid w:val="00FB1532"/>
    <w:rsid w:val="00FB222F"/>
    <w:rsid w:val="00FB22C6"/>
    <w:rsid w:val="00FB2385"/>
    <w:rsid w:val="00FB2918"/>
    <w:rsid w:val="00FB2C82"/>
    <w:rsid w:val="00FB43F9"/>
    <w:rsid w:val="00FB46D3"/>
    <w:rsid w:val="00FB48C8"/>
    <w:rsid w:val="00FB4911"/>
    <w:rsid w:val="00FB5190"/>
    <w:rsid w:val="00FB5A89"/>
    <w:rsid w:val="00FB5F7C"/>
    <w:rsid w:val="00FB60CB"/>
    <w:rsid w:val="00FB6671"/>
    <w:rsid w:val="00FB683B"/>
    <w:rsid w:val="00FB6EF6"/>
    <w:rsid w:val="00FB7FE8"/>
    <w:rsid w:val="00FC00AC"/>
    <w:rsid w:val="00FC0225"/>
    <w:rsid w:val="00FC0C2B"/>
    <w:rsid w:val="00FC0C63"/>
    <w:rsid w:val="00FC0C90"/>
    <w:rsid w:val="00FC0E07"/>
    <w:rsid w:val="00FC0EDE"/>
    <w:rsid w:val="00FC1327"/>
    <w:rsid w:val="00FC19D2"/>
    <w:rsid w:val="00FC1E70"/>
    <w:rsid w:val="00FC1FF0"/>
    <w:rsid w:val="00FC25EB"/>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D79AB"/>
    <w:rsid w:val="00FE1023"/>
    <w:rsid w:val="00FE16B2"/>
    <w:rsid w:val="00FE1B44"/>
    <w:rsid w:val="00FE213F"/>
    <w:rsid w:val="00FE23CB"/>
    <w:rsid w:val="00FE2D92"/>
    <w:rsid w:val="00FE3551"/>
    <w:rsid w:val="00FE364B"/>
    <w:rsid w:val="00FE367F"/>
    <w:rsid w:val="00FE50AF"/>
    <w:rsid w:val="00FE5AC5"/>
    <w:rsid w:val="00FE5B28"/>
    <w:rsid w:val="00FE5FAA"/>
    <w:rsid w:val="00FE60FA"/>
    <w:rsid w:val="00FE66EF"/>
    <w:rsid w:val="00FE6847"/>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43B"/>
    <w:rsid w:val="00FF4FEA"/>
    <w:rsid w:val="00FF5AD8"/>
    <w:rsid w:val="00FF628C"/>
    <w:rsid w:val="00FF660B"/>
    <w:rsid w:val="00FF69FD"/>
    <w:rsid w:val="00FF6A0A"/>
    <w:rsid w:val="00FF70DA"/>
    <w:rsid w:val="00FF75C6"/>
    <w:rsid w:val="00FF7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28F1D7"/>
  <w15:chartTrackingRefBased/>
  <w15:docId w15:val="{5B65B2CB-B81A-47FC-A815-68B774BF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caption" w:qFormat="1"/>
    <w:lsdException w:name="List Bullet" w:qFormat="1"/>
    <w:lsdException w:name="List Number" w:qFormat="1"/>
    <w:lsdException w:name="Title" w:qFormat="1"/>
    <w:lsdException w:name="Default Paragraph Font" w:uiPriority="1"/>
    <w:lsdException w:name="Body Text" w:qFormat="1"/>
    <w:lsdException w:name="List Continue" w:qFormat="1"/>
    <w:lsdException w:name="Subtitle" w:qFormat="1"/>
    <w:lsdException w:name="Block Text" w:qFormat="1"/>
    <w:lsdException w:name="Hyperlink" w:uiPriority="99"/>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17E9E"/>
    <w:rPr>
      <w:rFonts w:ascii="Arial" w:hAnsi="Arial"/>
      <w:sz w:val="24"/>
      <w:szCs w:val="22"/>
      <w:lang w:eastAsia="en-GB"/>
    </w:rPr>
  </w:style>
  <w:style w:type="paragraph" w:styleId="Heading1">
    <w:name w:val="heading 1"/>
    <w:next w:val="BodyText"/>
    <w:qFormat/>
    <w:rsid w:val="00094301"/>
    <w:pPr>
      <w:keepNext/>
      <w:keepLines/>
      <w:spacing w:before="720" w:after="200"/>
      <w:outlineLvl w:val="0"/>
    </w:pPr>
    <w:rPr>
      <w:rFonts w:ascii="Arial" w:hAnsi="Arial" w:cs="Arial"/>
      <w:b/>
      <w:bCs/>
      <w:color w:val="005984"/>
      <w:kern w:val="32"/>
      <w:sz w:val="37"/>
      <w:szCs w:val="32"/>
      <w:lang w:eastAsia="en-GB"/>
    </w:rPr>
  </w:style>
  <w:style w:type="paragraph" w:styleId="Heading2">
    <w:name w:val="heading 2"/>
    <w:basedOn w:val="Heading1"/>
    <w:next w:val="BodyText"/>
    <w:qFormat/>
    <w:rsid w:val="00094301"/>
    <w:pPr>
      <w:spacing w:before="640"/>
      <w:outlineLvl w:val="1"/>
    </w:pPr>
    <w:rPr>
      <w:bCs w:val="0"/>
      <w:iCs/>
      <w:sz w:val="31"/>
      <w:szCs w:val="28"/>
    </w:rPr>
  </w:style>
  <w:style w:type="paragraph" w:styleId="Heading3">
    <w:name w:val="heading 3"/>
    <w:basedOn w:val="Heading2"/>
    <w:next w:val="BodyText"/>
    <w:qFormat/>
    <w:rsid w:val="008438B6"/>
    <w:pPr>
      <w:spacing w:before="520"/>
      <w:outlineLvl w:val="2"/>
    </w:pPr>
    <w:rPr>
      <w:bCs/>
      <w:sz w:val="26"/>
      <w:szCs w:val="26"/>
    </w:rPr>
  </w:style>
  <w:style w:type="paragraph" w:styleId="Heading4">
    <w:name w:val="heading 4"/>
    <w:basedOn w:val="Heading3"/>
    <w:next w:val="BodyText"/>
    <w:qFormat/>
    <w:rsid w:val="006845B4"/>
    <w:pPr>
      <w:spacing w:before="240" w:after="180"/>
      <w:outlineLvl w:val="3"/>
    </w:pPr>
    <w:rPr>
      <w:bCs w:val="0"/>
      <w:i/>
      <w:sz w:val="23"/>
      <w:szCs w:val="28"/>
    </w:rPr>
  </w:style>
  <w:style w:type="paragraph" w:styleId="Heading5">
    <w:name w:val="heading 5"/>
    <w:basedOn w:val="Heading4"/>
    <w:next w:val="BodyText"/>
    <w:rsid w:val="00335E48"/>
    <w:pPr>
      <w:spacing w:before="0"/>
      <w:outlineLvl w:val="4"/>
    </w:pPr>
    <w:rPr>
      <w:rFonts w:cs="Times New Roman"/>
      <w:b w:val="0"/>
      <w:kern w:val="0"/>
      <w:sz w:val="22"/>
      <w:szCs w:val="26"/>
    </w:rPr>
  </w:style>
  <w:style w:type="paragraph" w:styleId="Heading6">
    <w:name w:val="heading 6"/>
    <w:basedOn w:val="Heading5"/>
    <w:next w:val="BodyText"/>
    <w:rsid w:val="00FC0C63"/>
    <w:pPr>
      <w:spacing w:before="240" w:after="60"/>
      <w:outlineLvl w:val="5"/>
    </w:pPr>
    <w:rPr>
      <w:bCs/>
      <w:sz w:val="18"/>
    </w:rPr>
  </w:style>
  <w:style w:type="paragraph" w:styleId="Heading7">
    <w:name w:val="heading 7"/>
    <w:basedOn w:val="Heading6"/>
    <w:next w:val="BodyText"/>
    <w:rsid w:val="00FC0C63"/>
    <w:pPr>
      <w:outlineLvl w:val="6"/>
    </w:pPr>
    <w:rPr>
      <w:sz w:val="16"/>
      <w:szCs w:val="24"/>
    </w:rPr>
  </w:style>
  <w:style w:type="paragraph" w:styleId="Heading8">
    <w:name w:val="heading 8"/>
    <w:basedOn w:val="Heading7"/>
    <w:next w:val="BodyText"/>
    <w:rsid w:val="00FC0C63"/>
    <w:pPr>
      <w:outlineLvl w:val="7"/>
    </w:pPr>
    <w:rPr>
      <w:iCs w:val="0"/>
      <w:sz w:val="14"/>
    </w:rPr>
  </w:style>
  <w:style w:type="paragraph" w:styleId="Heading9">
    <w:name w:val="heading 9"/>
    <w:basedOn w:val="Normal"/>
    <w:next w:val="Normal"/>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rFonts w:ascii="Arial" w:hAnsi="Arial"/>
      <w:sz w:val="24"/>
      <w:szCs w:val="22"/>
      <w:lang w:eastAsia="en-GB"/>
    </w:rPr>
  </w:style>
  <w:style w:type="paragraph" w:styleId="ListBullet">
    <w:name w:val="List Bullet"/>
    <w:basedOn w:val="BodyText"/>
    <w:qFormat/>
    <w:rsid w:val="00CB582D"/>
    <w:pPr>
      <w:numPr>
        <w:numId w:val="1"/>
      </w:numPr>
      <w:tabs>
        <w:tab w:val="clear" w:pos="567"/>
      </w:tabs>
    </w:pPr>
  </w:style>
  <w:style w:type="paragraph" w:styleId="ListBullet2">
    <w:name w:val="List Bullet 2"/>
    <w:basedOn w:val="ListBullet"/>
    <w:rsid w:val="00CB582D"/>
    <w:pPr>
      <w:numPr>
        <w:ilvl w:val="1"/>
      </w:numPr>
      <w:tabs>
        <w:tab w:val="clear" w:pos="1134"/>
      </w:tabs>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qForma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qForma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qForma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semiHidden/>
    <w:rsid w:val="00B82071"/>
    <w:pPr>
      <w:tabs>
        <w:tab w:val="center" w:pos="4153"/>
        <w:tab w:val="right" w:pos="8306"/>
      </w:tabs>
    </w:p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character" w:customStyle="1" w:styleId="Italic">
    <w:name w:val="Italic"/>
    <w:rsid w:val="00990ECE"/>
    <w:rPr>
      <w:i/>
      <w:iCs/>
    </w:rPr>
  </w:style>
  <w:style w:type="character" w:customStyle="1" w:styleId="Bold">
    <w:name w:val="Bold"/>
    <w:rsid w:val="006428AB"/>
    <w:rPr>
      <w:b/>
      <w:iCs/>
      <w:lang w:val="en-AU"/>
    </w:rPr>
  </w:style>
  <w:style w:type="character" w:styleId="FollowedHyperlink">
    <w:name w:val="FollowedHyperlink"/>
    <w:semiHidden/>
    <w:rsid w:val="00990ECE"/>
    <w:rPr>
      <w:color w:val="800080"/>
      <w:u w:val="single"/>
    </w:rPr>
  </w:style>
  <w:style w:type="character" w:styleId="Hyperlink">
    <w:name w:val="Hyperlink"/>
    <w:uiPriority w:val="99"/>
    <w:rsid w:val="00990ECE"/>
    <w:rPr>
      <w:color w:val="0000FF"/>
      <w:u w:val="single"/>
    </w:rPr>
  </w:style>
  <w:style w:type="paragraph" w:styleId="Title">
    <w:name w:val="Title"/>
    <w:qFormat/>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6428AB"/>
    <w:rPr>
      <w:sz w:val="24"/>
      <w:lang w:val="en-AU"/>
    </w:rPr>
  </w:style>
  <w:style w:type="character" w:customStyle="1" w:styleId="BodyTextChar">
    <w:name w:val="Body Text Char"/>
    <w:link w:val="BodyText"/>
    <w:rsid w:val="00506C38"/>
    <w:rPr>
      <w:rFonts w:ascii="Arial" w:hAnsi="Arial"/>
      <w:sz w:val="24"/>
      <w:szCs w:val="22"/>
      <w:lang w:val="en-AU" w:eastAsia="en-GB" w:bidi="ar-SA"/>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uiPriority w:val="39"/>
    <w:rsid w:val="00703089"/>
    <w:pPr>
      <w:tabs>
        <w:tab w:val="right" w:leader="dot" w:pos="8494"/>
      </w:tabs>
      <w:spacing w:before="180"/>
    </w:pPr>
    <w:rPr>
      <w:rFonts w:ascii="Arial" w:hAnsi="Arial"/>
      <w:b/>
      <w:sz w:val="24"/>
      <w:szCs w:val="22"/>
      <w:lang w:eastAsia="en-GB"/>
    </w:rPr>
  </w:style>
  <w:style w:type="paragraph" w:styleId="TOC2">
    <w:name w:val="toc 2"/>
    <w:basedOn w:val="TOC1"/>
    <w:next w:val="BodyText"/>
    <w:autoRedefine/>
    <w:uiPriority w:val="39"/>
    <w:rsid w:val="00422B55"/>
    <w:pPr>
      <w:spacing w:before="100"/>
      <w:ind w:left="567"/>
    </w:pPr>
    <w:rPr>
      <w:b w:val="0"/>
    </w:rPr>
  </w:style>
  <w:style w:type="paragraph" w:styleId="TOC3">
    <w:name w:val="toc 3"/>
    <w:basedOn w:val="TOC2"/>
    <w:next w:val="BodyText"/>
    <w:autoRedefine/>
    <w:uiPriority w:val="39"/>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qForma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character" w:customStyle="1" w:styleId="Bolditalic">
    <w:name w:val="Bold italic"/>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qForma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PseudoHeading1">
    <w:name w:val="Pseudo Heading 1"/>
    <w:rsid w:val="002A2F3E"/>
    <w:pPr>
      <w:pageBreakBefore/>
      <w:spacing w:after="360"/>
    </w:pPr>
    <w:rPr>
      <w:rFonts w:ascii="Arial" w:hAnsi="Arial" w:cs="Arial"/>
      <w:b/>
      <w:bCs/>
      <w:color w:val="005984"/>
      <w:kern w:val="32"/>
      <w:sz w:val="37"/>
      <w:szCs w:val="32"/>
      <w:lang w:eastAsia="en-GB"/>
    </w:rPr>
  </w:style>
  <w:style w:type="paragraph" w:styleId="EndnoteText">
    <w:name w:val="endnote text"/>
    <w:basedOn w:val="Normal"/>
    <w:link w:val="EndnoteTextChar"/>
    <w:rsid w:val="00844F4E"/>
    <w:rPr>
      <w:sz w:val="20"/>
      <w:szCs w:val="20"/>
    </w:rPr>
  </w:style>
  <w:style w:type="character" w:customStyle="1" w:styleId="EndnoteTextChar">
    <w:name w:val="Endnote Text Char"/>
    <w:basedOn w:val="DefaultParagraphFont"/>
    <w:link w:val="EndnoteText"/>
    <w:rsid w:val="00844F4E"/>
    <w:rPr>
      <w:rFonts w:ascii="Arial" w:hAnsi="Arial"/>
      <w:lang w:eastAsia="en-GB"/>
    </w:rPr>
  </w:style>
  <w:style w:type="paragraph" w:styleId="ListParagraph">
    <w:name w:val="List Paragraph"/>
    <w:basedOn w:val="Normal"/>
    <w:uiPriority w:val="34"/>
    <w:qFormat/>
    <w:rsid w:val="00B61358"/>
    <w:pPr>
      <w:spacing w:after="200" w:line="276" w:lineRule="auto"/>
      <w:ind w:left="720"/>
      <w:contextualSpacing/>
    </w:pPr>
    <w:rPr>
      <w:rFonts w:asciiTheme="minorHAnsi" w:eastAsiaTheme="minorHAnsi" w:hAnsiTheme="minorHAnsi" w:cstheme="minorBidi"/>
      <w:sz w:val="22"/>
      <w:lang w:eastAsia="en-US"/>
    </w:rPr>
  </w:style>
  <w:style w:type="character" w:styleId="UnresolvedMention">
    <w:name w:val="Unresolved Mention"/>
    <w:basedOn w:val="DefaultParagraphFont"/>
    <w:uiPriority w:val="99"/>
    <w:semiHidden/>
    <w:unhideWhenUsed/>
    <w:rsid w:val="00213C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540490">
      <w:bodyDiv w:val="1"/>
      <w:marLeft w:val="0"/>
      <w:marRight w:val="0"/>
      <w:marTop w:val="0"/>
      <w:marBottom w:val="0"/>
      <w:divBdr>
        <w:top w:val="none" w:sz="0" w:space="0" w:color="auto"/>
        <w:left w:val="none" w:sz="0" w:space="0" w:color="auto"/>
        <w:bottom w:val="none" w:sz="0" w:space="0" w:color="auto"/>
        <w:right w:val="none" w:sz="0" w:space="0" w:color="auto"/>
      </w:divBdr>
    </w:div>
    <w:div w:id="1098327896">
      <w:bodyDiv w:val="1"/>
      <w:marLeft w:val="0"/>
      <w:marRight w:val="0"/>
      <w:marTop w:val="0"/>
      <w:marBottom w:val="0"/>
      <w:divBdr>
        <w:top w:val="none" w:sz="0" w:space="0" w:color="auto"/>
        <w:left w:val="none" w:sz="0" w:space="0" w:color="auto"/>
        <w:bottom w:val="none" w:sz="0" w:space="0" w:color="auto"/>
        <w:right w:val="none" w:sz="0" w:space="0" w:color="auto"/>
      </w:divBdr>
    </w:div>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tcoss@actcoss.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tcoss.org.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emc.gov.au/regulation/regulation%23ngo" TargetMode="External"/><Relationship Id="rId1" Type="http://schemas.openxmlformats.org/officeDocument/2006/relationships/hyperlink" Target="https://www.evoenergy.com.au/-/media/evoenergy/documents/gas/consumer-guide-to-engaging-on-our-2021-gas-plan.pdf?la=en&amp;hash=F250FC5AB3EE7654EC8153F7E7FE5D7A546D837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20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0" ma:contentTypeDescription="Create a new document." ma:contentTypeScope="" ma:versionID="8162b117008f5f3fe9f0ab747966548e">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13fc71eb8f7d8e8089edaf306fcf8877"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121EC-95EE-43A9-B562-09C39FE95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C06235-2002-4A40-86E9-C8AE67EEB127}">
  <ds:schemaRefs>
    <ds:schemaRef ds:uri="http://schemas.microsoft.com/sharepoint/v3/contenttype/forms"/>
  </ds:schemaRefs>
</ds:datastoreItem>
</file>

<file path=customXml/itemProps3.xml><?xml version="1.0" encoding="utf-8"?>
<ds:datastoreItem xmlns:ds="http://schemas.openxmlformats.org/officeDocument/2006/customXml" ds:itemID="{4DFC22B7-250C-44DE-AF10-0ADFC904FF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1E0942-B301-4906-937D-324B9986A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TPL Submission.dot</Template>
  <TotalTime>87</TotalTime>
  <Pages>21</Pages>
  <Words>5630</Words>
  <Characters>32093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ACT Council of Social Service</Company>
  <LinksUpToDate>false</LinksUpToDate>
  <CharactersWithSpaces>37648</CharactersWithSpaces>
  <SharedDoc>false</SharedDoc>
  <HLinks>
    <vt:vector size="60" baseType="variant">
      <vt:variant>
        <vt:i4>1835056</vt:i4>
      </vt:variant>
      <vt:variant>
        <vt:i4>53</vt:i4>
      </vt:variant>
      <vt:variant>
        <vt:i4>0</vt:i4>
      </vt:variant>
      <vt:variant>
        <vt:i4>5</vt:i4>
      </vt:variant>
      <vt:variant>
        <vt:lpwstr/>
      </vt:variant>
      <vt:variant>
        <vt:lpwstr>_Toc324171091</vt:lpwstr>
      </vt:variant>
      <vt:variant>
        <vt:i4>1835056</vt:i4>
      </vt:variant>
      <vt:variant>
        <vt:i4>47</vt:i4>
      </vt:variant>
      <vt:variant>
        <vt:i4>0</vt:i4>
      </vt:variant>
      <vt:variant>
        <vt:i4>5</vt:i4>
      </vt:variant>
      <vt:variant>
        <vt:lpwstr/>
      </vt:variant>
      <vt:variant>
        <vt:lpwstr>_Toc324171090</vt:lpwstr>
      </vt:variant>
      <vt:variant>
        <vt:i4>1900592</vt:i4>
      </vt:variant>
      <vt:variant>
        <vt:i4>41</vt:i4>
      </vt:variant>
      <vt:variant>
        <vt:i4>0</vt:i4>
      </vt:variant>
      <vt:variant>
        <vt:i4>5</vt:i4>
      </vt:variant>
      <vt:variant>
        <vt:lpwstr/>
      </vt:variant>
      <vt:variant>
        <vt:lpwstr>_Toc324171089</vt:lpwstr>
      </vt:variant>
      <vt:variant>
        <vt:i4>1900592</vt:i4>
      </vt:variant>
      <vt:variant>
        <vt:i4>35</vt:i4>
      </vt:variant>
      <vt:variant>
        <vt:i4>0</vt:i4>
      </vt:variant>
      <vt:variant>
        <vt:i4>5</vt:i4>
      </vt:variant>
      <vt:variant>
        <vt:lpwstr/>
      </vt:variant>
      <vt:variant>
        <vt:lpwstr>_Toc324171088</vt:lpwstr>
      </vt:variant>
      <vt:variant>
        <vt:i4>1900592</vt:i4>
      </vt:variant>
      <vt:variant>
        <vt:i4>29</vt:i4>
      </vt:variant>
      <vt:variant>
        <vt:i4>0</vt:i4>
      </vt:variant>
      <vt:variant>
        <vt:i4>5</vt:i4>
      </vt:variant>
      <vt:variant>
        <vt:lpwstr/>
      </vt:variant>
      <vt:variant>
        <vt:lpwstr>_Toc324171087</vt:lpwstr>
      </vt:variant>
      <vt:variant>
        <vt:i4>1900592</vt:i4>
      </vt:variant>
      <vt:variant>
        <vt:i4>23</vt:i4>
      </vt:variant>
      <vt:variant>
        <vt:i4>0</vt:i4>
      </vt:variant>
      <vt:variant>
        <vt:i4>5</vt:i4>
      </vt:variant>
      <vt:variant>
        <vt:lpwstr/>
      </vt:variant>
      <vt:variant>
        <vt:lpwstr>_Toc324171086</vt:lpwstr>
      </vt:variant>
      <vt:variant>
        <vt:i4>6553636</vt:i4>
      </vt:variant>
      <vt:variant>
        <vt:i4>9</vt:i4>
      </vt:variant>
      <vt:variant>
        <vt:i4>0</vt:i4>
      </vt:variant>
      <vt:variant>
        <vt:i4>5</vt:i4>
      </vt:variant>
      <vt:variant>
        <vt:lpwstr>http://www.actcoss.org.au/</vt:lpwstr>
      </vt:variant>
      <vt:variant>
        <vt:lpwstr/>
      </vt:variant>
      <vt:variant>
        <vt:i4>721016</vt:i4>
      </vt:variant>
      <vt:variant>
        <vt:i4>6</vt:i4>
      </vt:variant>
      <vt:variant>
        <vt:i4>0</vt:i4>
      </vt:variant>
      <vt:variant>
        <vt:i4>5</vt:i4>
      </vt:variant>
      <vt:variant>
        <vt:lpwstr>mailto:actcoss@actcoss.org.au</vt:lpwstr>
      </vt:variant>
      <vt:variant>
        <vt:lpwstr/>
      </vt:variant>
      <vt:variant>
        <vt:i4>5832728</vt:i4>
      </vt:variant>
      <vt:variant>
        <vt:i4>0</vt:i4>
      </vt:variant>
      <vt:variant>
        <vt:i4>0</vt:i4>
      </vt:variant>
      <vt:variant>
        <vt:i4>5</vt:i4>
      </vt:variant>
      <vt:variant>
        <vt:lpwstr>http://staff.actcoss.org.au/wiki/doku.php</vt:lpwstr>
      </vt:variant>
      <vt:variant>
        <vt:lpwstr/>
      </vt:variant>
      <vt:variant>
        <vt:i4>5832728</vt:i4>
      </vt:variant>
      <vt:variant>
        <vt:i4>0</vt:i4>
      </vt:variant>
      <vt:variant>
        <vt:i4>0</vt:i4>
      </vt:variant>
      <vt:variant>
        <vt:i4>5</vt:i4>
      </vt:variant>
      <vt:variant>
        <vt:lpwstr>http://staff.actcoss.org.au/wiki/doku.php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GN21 Energy Consumer Advocacy Workshop Outcomes Report</dc:title>
  <dc:subject/>
  <dc:creator/>
  <cp:keywords/>
  <dc:description/>
  <cp:lastModifiedBy>Suzanne Richardson</cp:lastModifiedBy>
  <cp:revision>68</cp:revision>
  <cp:lastPrinted>2019-10-14T00:54:00Z</cp:lastPrinted>
  <dcterms:created xsi:type="dcterms:W3CDTF">2019-11-12T00:15:00Z</dcterms:created>
  <dcterms:modified xsi:type="dcterms:W3CDTF">2019-11-29T03:26:00Z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AuthorIds_UIVersion_512">
    <vt:lpwstr>6</vt:lpwstr>
  </property>
  <property fmtid="{D5CDD505-2E9C-101B-9397-08002B2CF9AE}" pid="5" name="AuthorIds_UIVersion_2560">
    <vt:lpwstr>6</vt:lpwstr>
  </property>
</Properties>
</file>