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B186E" w14:textId="4C0EEA81" w:rsidR="00F62238" w:rsidRPr="00E0328F" w:rsidRDefault="0089691C" w:rsidP="00E04808">
      <w:pPr>
        <w:pStyle w:val="Factsheet"/>
      </w:pPr>
      <w:r w:rsidRPr="00E76EE2">
        <w:rPr>
          <w:noProof/>
        </w:rPr>
        <w:drawing>
          <wp:anchor distT="0" distB="0" distL="114300" distR="114300" simplePos="0" relativeHeight="251658241" behindDoc="0" locked="0" layoutInCell="1" allowOverlap="1" wp14:anchorId="59F53400" wp14:editId="7347472E">
            <wp:simplePos x="0" y="0"/>
            <wp:positionH relativeFrom="margin">
              <wp:align>left</wp:align>
            </wp:positionH>
            <wp:positionV relativeFrom="paragraph">
              <wp:posOffset>218440</wp:posOffset>
            </wp:positionV>
            <wp:extent cx="1366520" cy="507365"/>
            <wp:effectExtent l="0" t="0" r="5080" b="6985"/>
            <wp:wrapNone/>
            <wp:docPr id="9" name="Picture 9"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6520" cy="507365"/>
                    </a:xfrm>
                    <a:prstGeom prst="rect">
                      <a:avLst/>
                    </a:prstGeom>
                    <a:noFill/>
                  </pic:spPr>
                </pic:pic>
              </a:graphicData>
            </a:graphic>
            <wp14:sizeRelH relativeFrom="page">
              <wp14:pctWidth>0</wp14:pctWidth>
            </wp14:sizeRelH>
            <wp14:sizeRelV relativeFrom="page">
              <wp14:pctHeight>0</wp14:pctHeight>
            </wp14:sizeRelV>
          </wp:anchor>
        </w:drawing>
      </w:r>
      <w:r w:rsidR="00EA246A">
        <w:rPr>
          <w:noProof/>
          <w:lang w:eastAsia="en-AU"/>
        </w:rPr>
        <w:drawing>
          <wp:anchor distT="0" distB="0" distL="114300" distR="114300" simplePos="0" relativeHeight="251658240" behindDoc="1" locked="0" layoutInCell="1" allowOverlap="1" wp14:anchorId="4E0218DF" wp14:editId="5C14C02D">
            <wp:simplePos x="0" y="0"/>
            <wp:positionH relativeFrom="column">
              <wp:posOffset>-1368425</wp:posOffset>
            </wp:positionH>
            <wp:positionV relativeFrom="page">
              <wp:posOffset>-14605</wp:posOffset>
            </wp:positionV>
            <wp:extent cx="7923530" cy="110172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3530" cy="1101725"/>
                    </a:xfrm>
                    <a:prstGeom prst="rect">
                      <a:avLst/>
                    </a:prstGeom>
                    <a:noFill/>
                  </pic:spPr>
                </pic:pic>
              </a:graphicData>
            </a:graphic>
            <wp14:sizeRelH relativeFrom="page">
              <wp14:pctWidth>0</wp14:pctWidth>
            </wp14:sizeRelH>
            <wp14:sizeRelV relativeFrom="page">
              <wp14:pctHeight>0</wp14:pctHeight>
            </wp14:sizeRelV>
          </wp:anchor>
        </w:drawing>
      </w:r>
      <w:r w:rsidR="005B4862">
        <w:t>Factsheet</w:t>
      </w:r>
    </w:p>
    <w:p w14:paraId="23B519A4" w14:textId="1D15B9D0" w:rsidR="00E0328F" w:rsidRPr="005726CC" w:rsidRDefault="008C65E9" w:rsidP="003F17B4">
      <w:pPr>
        <w:pStyle w:val="Factsheetdate"/>
      </w:pPr>
      <w:r>
        <w:t>October 2020</w:t>
      </w:r>
    </w:p>
    <w:p w14:paraId="75A56EC8" w14:textId="013B6C6E" w:rsidR="00F62238" w:rsidRDefault="005B4862" w:rsidP="00EB681F">
      <w:pPr>
        <w:pStyle w:val="Titleoffactsheet"/>
      </w:pPr>
      <w:r>
        <w:t>Poverty</w:t>
      </w:r>
      <w:r w:rsidR="006B6386">
        <w:t xml:space="preserve"> and COVID-19</w:t>
      </w:r>
      <w:r w:rsidR="008C65E9">
        <w:t xml:space="preserve"> </w:t>
      </w:r>
      <w:r>
        <w:t>in the ACT</w:t>
      </w:r>
    </w:p>
    <w:p w14:paraId="25C70448" w14:textId="77777777" w:rsidR="002E1B9B" w:rsidRDefault="002E1B9B" w:rsidP="00A36F37">
      <w:pPr>
        <w:pStyle w:val="BodyText"/>
      </w:pPr>
      <w:r w:rsidRPr="002E1B9B">
        <w:t xml:space="preserve">Disadvantage in the ACT tends to be hidden behind high averages across indicators such as income, education, and employment. Closer analysis reveals that a sizeable number of people in the ACT do experience poverty and disadvantage. </w:t>
      </w:r>
    </w:p>
    <w:p w14:paraId="60F4C125" w14:textId="5E9B8547" w:rsidR="002D3CD0" w:rsidRDefault="00C03980" w:rsidP="00A36F37">
      <w:pPr>
        <w:pStyle w:val="BodyText"/>
      </w:pPr>
      <w:r>
        <w:t>Cost of living</w:t>
      </w:r>
      <w:r w:rsidR="002B72E4">
        <w:t xml:space="preserve"> has</w:t>
      </w:r>
      <w:r w:rsidR="00A36F37" w:rsidRPr="00A36F37">
        <w:t xml:space="preserve"> a significant impact on </w:t>
      </w:r>
      <w:r w:rsidR="008F2832">
        <w:t>low-income</w:t>
      </w:r>
      <w:r w:rsidR="00A36F37" w:rsidRPr="00A36F37">
        <w:t xml:space="preserve"> households in the ACT </w:t>
      </w:r>
      <w:r w:rsidR="00B46874">
        <w:t>who spend a greater proportion of their income on essential goods and services such as housing, food, transport, and energy</w:t>
      </w:r>
      <w:r w:rsidR="00A36F37">
        <w:t>.</w:t>
      </w:r>
      <w:r w:rsidR="002D3CD0">
        <w:t xml:space="preserve"> </w:t>
      </w:r>
    </w:p>
    <w:p w14:paraId="35D56122" w14:textId="1A1F0BDA" w:rsidR="00A36F37" w:rsidRDefault="00A36F37" w:rsidP="00A36F37">
      <w:pPr>
        <w:pStyle w:val="BodyText"/>
      </w:pPr>
      <w:r w:rsidRPr="00A36F37">
        <w:t>The most recent estimates</w:t>
      </w:r>
      <w:r w:rsidR="007E1B54">
        <w:t xml:space="preserve"> for the ACT</w:t>
      </w:r>
      <w:r w:rsidRPr="00A36F37">
        <w:t xml:space="preserve"> indicate that: </w:t>
      </w:r>
    </w:p>
    <w:p w14:paraId="6DF15B75" w14:textId="3AD10C3C" w:rsidR="00C91522" w:rsidRDefault="007F3797" w:rsidP="00375E11">
      <w:pPr>
        <w:pStyle w:val="ListBullet"/>
        <w:spacing w:after="160"/>
      </w:pPr>
      <w:r>
        <w:t xml:space="preserve">Almost </w:t>
      </w:r>
      <w:r w:rsidRPr="00B04978">
        <w:rPr>
          <w:b/>
          <w:bCs/>
        </w:rPr>
        <w:t xml:space="preserve">40,000 </w:t>
      </w:r>
      <w:r w:rsidR="00002C7F" w:rsidRPr="00B04978">
        <w:rPr>
          <w:b/>
          <w:bCs/>
        </w:rPr>
        <w:t>Canberrans</w:t>
      </w:r>
      <w:r>
        <w:t xml:space="preserve"> </w:t>
      </w:r>
      <w:r w:rsidR="007604B5">
        <w:t xml:space="preserve">live </w:t>
      </w:r>
      <w:r w:rsidR="002A627F">
        <w:t>in</w:t>
      </w:r>
      <w:r w:rsidR="004938DA">
        <w:t xml:space="preserve"> households that are among</w:t>
      </w:r>
      <w:r w:rsidR="007604B5">
        <w:t xml:space="preserve"> </w:t>
      </w:r>
      <w:r w:rsidR="005E2351">
        <w:t xml:space="preserve">Australia’s </w:t>
      </w:r>
      <w:r w:rsidR="005E2351" w:rsidRPr="00B04978">
        <w:rPr>
          <w:b/>
          <w:bCs/>
        </w:rPr>
        <w:t>most disadvantage</w:t>
      </w:r>
      <w:r w:rsidR="004938DA" w:rsidRPr="00B04978">
        <w:rPr>
          <w:b/>
          <w:bCs/>
        </w:rPr>
        <w:t>d</w:t>
      </w:r>
      <w:r w:rsidR="00C91522">
        <w:rPr>
          <w:rStyle w:val="EndnoteReference"/>
        </w:rPr>
        <w:endnoteReference w:id="2"/>
      </w:r>
    </w:p>
    <w:p w14:paraId="21398F9E" w14:textId="2C2466B4" w:rsidR="00C91522" w:rsidRDefault="004964BD" w:rsidP="00375E11">
      <w:pPr>
        <w:pStyle w:val="ListBullet"/>
        <w:spacing w:after="160"/>
      </w:pPr>
      <w:r>
        <w:t xml:space="preserve">Since COVID-19, the number of people </w:t>
      </w:r>
      <w:r w:rsidRPr="00B04978">
        <w:rPr>
          <w:b/>
          <w:bCs/>
        </w:rPr>
        <w:t>living in poverty</w:t>
      </w:r>
      <w:r>
        <w:t xml:space="preserve"> has increased from just under 30,000 people to </w:t>
      </w:r>
      <w:r w:rsidR="00C91359">
        <w:t>just over</w:t>
      </w:r>
      <w:r w:rsidR="00262744">
        <w:t xml:space="preserve"> </w:t>
      </w:r>
      <w:r w:rsidR="00262744" w:rsidRPr="007B4FFB">
        <w:rPr>
          <w:b/>
          <w:bCs/>
        </w:rPr>
        <w:t>38,000</w:t>
      </w:r>
      <w:r w:rsidR="00C91522" w:rsidRPr="007B4FFB">
        <w:rPr>
          <w:b/>
          <w:bCs/>
        </w:rPr>
        <w:t xml:space="preserve"> people</w:t>
      </w:r>
      <w:r w:rsidR="00C91522">
        <w:rPr>
          <w:rStyle w:val="EndnoteReference"/>
        </w:rPr>
        <w:endnoteReference w:id="3"/>
      </w:r>
    </w:p>
    <w:p w14:paraId="7E939D8D" w14:textId="4764A879" w:rsidR="00C91522" w:rsidRDefault="00C91522" w:rsidP="00375E11">
      <w:pPr>
        <w:pStyle w:val="ListBullet"/>
        <w:spacing w:after="160"/>
      </w:pPr>
      <w:r>
        <w:t xml:space="preserve">Over </w:t>
      </w:r>
      <w:r w:rsidRPr="00B04978">
        <w:rPr>
          <w:b/>
          <w:bCs/>
        </w:rPr>
        <w:t>25,000 people</w:t>
      </w:r>
      <w:r>
        <w:t xml:space="preserve"> in low-income households are experiencing </w:t>
      </w:r>
      <w:r w:rsidRPr="00B04978">
        <w:rPr>
          <w:b/>
          <w:bCs/>
        </w:rPr>
        <w:t>food stress</w:t>
      </w:r>
      <w:r>
        <w:rPr>
          <w:rStyle w:val="EndnoteReference"/>
        </w:rPr>
        <w:endnoteReference w:id="4"/>
      </w:r>
      <w:r>
        <w:t xml:space="preserve"> </w:t>
      </w:r>
    </w:p>
    <w:p w14:paraId="7B9FFB70" w14:textId="170803B2" w:rsidR="009E1FFE" w:rsidRDefault="009E1FFE" w:rsidP="009E1FFE">
      <w:pPr>
        <w:pStyle w:val="ListBullet"/>
      </w:pPr>
      <w:r>
        <w:t xml:space="preserve">Almost </w:t>
      </w:r>
      <w:r w:rsidRPr="00B04978">
        <w:rPr>
          <w:b/>
          <w:bCs/>
        </w:rPr>
        <w:t>23,000 people</w:t>
      </w:r>
      <w:r>
        <w:t xml:space="preserve"> are living on </w:t>
      </w:r>
      <w:proofErr w:type="spellStart"/>
      <w:r>
        <w:t>JobSeeker</w:t>
      </w:r>
      <w:proofErr w:type="spellEnd"/>
      <w:r>
        <w:t>, Youth Allowance</w:t>
      </w:r>
      <w:r w:rsidR="005B7216">
        <w:t>,</w:t>
      </w:r>
      <w:r>
        <w:t xml:space="preserve"> or other working-age allowances </w:t>
      </w:r>
      <w:r w:rsidRPr="00B04978">
        <w:rPr>
          <w:b/>
          <w:bCs/>
        </w:rPr>
        <w:t>eligible for the Coronavirus Supplement</w:t>
      </w:r>
      <w:r>
        <w:rPr>
          <w:rStyle w:val="EndnoteReference"/>
        </w:rPr>
        <w:endnoteReference w:id="5"/>
      </w:r>
    </w:p>
    <w:p w14:paraId="5500CECA" w14:textId="01E53F01" w:rsidR="00C91522" w:rsidRDefault="00EE4D91" w:rsidP="00375E11">
      <w:pPr>
        <w:pStyle w:val="ListBullet"/>
        <w:spacing w:after="160"/>
      </w:pPr>
      <w:r>
        <w:t>A</w:t>
      </w:r>
      <w:r w:rsidR="00264F64">
        <w:t>lmost</w:t>
      </w:r>
      <w:r>
        <w:t xml:space="preserve"> </w:t>
      </w:r>
      <w:r w:rsidRPr="00B04978">
        <w:rPr>
          <w:b/>
          <w:bCs/>
        </w:rPr>
        <w:t>9,500</w:t>
      </w:r>
      <w:r w:rsidR="00C91522" w:rsidRPr="00B04978">
        <w:rPr>
          <w:b/>
          <w:bCs/>
        </w:rPr>
        <w:t xml:space="preserve"> low-income rental households</w:t>
      </w:r>
      <w:r w:rsidR="00C91522">
        <w:t xml:space="preserve"> are in </w:t>
      </w:r>
      <w:r w:rsidR="00C91522" w:rsidRPr="00B04978">
        <w:rPr>
          <w:b/>
          <w:bCs/>
        </w:rPr>
        <w:t>rental stress</w:t>
      </w:r>
      <w:r w:rsidR="00C91522">
        <w:rPr>
          <w:rStyle w:val="EndnoteReference"/>
        </w:rPr>
        <w:endnoteReference w:id="6"/>
      </w:r>
    </w:p>
    <w:p w14:paraId="78B5514D" w14:textId="3BE547EB" w:rsidR="00002C7F" w:rsidRDefault="00002C7F" w:rsidP="00002C7F">
      <w:pPr>
        <w:pStyle w:val="ListBullet"/>
        <w:spacing w:after="160"/>
      </w:pPr>
      <w:r>
        <w:t xml:space="preserve">Almost </w:t>
      </w:r>
      <w:r w:rsidRPr="00B04978">
        <w:rPr>
          <w:b/>
          <w:bCs/>
        </w:rPr>
        <w:t>8,000 children</w:t>
      </w:r>
      <w:r>
        <w:t xml:space="preserve"> </w:t>
      </w:r>
      <w:r w:rsidR="001A0CDA">
        <w:t xml:space="preserve">(12%) </w:t>
      </w:r>
      <w:r>
        <w:t xml:space="preserve">live in </w:t>
      </w:r>
      <w:r w:rsidRPr="00B04978">
        <w:rPr>
          <w:b/>
          <w:bCs/>
        </w:rPr>
        <w:t>low-income households</w:t>
      </w:r>
      <w:r>
        <w:t xml:space="preserve"> in the ACT.</w:t>
      </w:r>
      <w:r>
        <w:rPr>
          <w:rStyle w:val="EndnoteReference"/>
        </w:rPr>
        <w:endnoteReference w:id="7"/>
      </w:r>
    </w:p>
    <w:p w14:paraId="3BE6EE87" w14:textId="7643C39F" w:rsidR="00C91522" w:rsidRDefault="00C91522" w:rsidP="00DF59B1">
      <w:pPr>
        <w:pStyle w:val="BodyText"/>
      </w:pPr>
      <w:r>
        <w:t xml:space="preserve">The following groups face an elevated risk of experiencing poverty and/or socioeconomic disadvantage in the ACT: </w:t>
      </w:r>
    </w:p>
    <w:p w14:paraId="4799E918" w14:textId="65D5D6C5" w:rsidR="00C91522" w:rsidRDefault="00C91522" w:rsidP="00375E11">
      <w:pPr>
        <w:pStyle w:val="ListBullet"/>
        <w:spacing w:after="160"/>
      </w:pPr>
      <w:r>
        <w:t>Aboriginal and/or Torres Strait Islander people</w:t>
      </w:r>
    </w:p>
    <w:p w14:paraId="3DF5D759" w14:textId="5152BDC8" w:rsidR="00C91522" w:rsidRDefault="00C91522" w:rsidP="00375E11">
      <w:pPr>
        <w:pStyle w:val="ListBullet"/>
        <w:spacing w:after="160"/>
      </w:pPr>
      <w:r>
        <w:t>People from culturally and linguistically diverse backgrounds</w:t>
      </w:r>
    </w:p>
    <w:p w14:paraId="579D257F" w14:textId="1D616F41" w:rsidR="00C91522" w:rsidRDefault="00C91522" w:rsidP="00375E11">
      <w:pPr>
        <w:pStyle w:val="ListBullet"/>
        <w:spacing w:after="160"/>
      </w:pPr>
      <w:r>
        <w:t>People with disability</w:t>
      </w:r>
    </w:p>
    <w:p w14:paraId="2BB21E8C" w14:textId="43258CF0" w:rsidR="00C91522" w:rsidRDefault="00C91522" w:rsidP="00375E11">
      <w:pPr>
        <w:pStyle w:val="ListBullet"/>
        <w:spacing w:after="160"/>
      </w:pPr>
      <w:r>
        <w:t>Older people aged 65 years and older</w:t>
      </w:r>
    </w:p>
    <w:p w14:paraId="129CB80B" w14:textId="452791B4" w:rsidR="00C91522" w:rsidRDefault="00C91522" w:rsidP="00023BAD">
      <w:pPr>
        <w:pStyle w:val="ListBullet"/>
      </w:pPr>
      <w:r>
        <w:t>Women.</w:t>
      </w:r>
      <w:r>
        <w:rPr>
          <w:rStyle w:val="EndnoteReference"/>
        </w:rPr>
        <w:endnoteReference w:id="8"/>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504"/>
      </w:tblGrid>
      <w:tr w:rsidR="00C91522" w:rsidRPr="00872CC4" w14:paraId="096CF995" w14:textId="77777777" w:rsidTr="00854A88">
        <w:trPr>
          <w:trHeight w:val="675"/>
        </w:trPr>
        <w:tc>
          <w:tcPr>
            <w:tcW w:w="8720" w:type="dxa"/>
            <w:shd w:val="clear" w:color="auto" w:fill="DEEAF6" w:themeFill="accent1" w:themeFillTint="33"/>
            <w:tcMar>
              <w:top w:w="170" w:type="dxa"/>
              <w:bottom w:w="170" w:type="dxa"/>
            </w:tcMar>
          </w:tcPr>
          <w:p w14:paraId="34633861" w14:textId="1C35F817" w:rsidR="003D3D79" w:rsidRDefault="00C91522" w:rsidP="003D3D79">
            <w:pPr>
              <w:pStyle w:val="BodyText"/>
            </w:pPr>
            <w:r w:rsidRPr="00492898">
              <w:rPr>
                <w:rStyle w:val="Strong"/>
              </w:rPr>
              <w:lastRenderedPageBreak/>
              <w:t>Quote us</w:t>
            </w:r>
            <w:r w:rsidRPr="00492898">
              <w:t xml:space="preserve"> ►: </w:t>
            </w:r>
            <w:r w:rsidR="003D3D79">
              <w:t>“</w:t>
            </w:r>
            <w:r w:rsidR="00000840" w:rsidRPr="00000840">
              <w:t xml:space="preserve">For most of us, the ACT offers an excellent quality of life and supports a strong sense of wellbeing. </w:t>
            </w:r>
            <w:r w:rsidR="003D3D79">
              <w:t xml:space="preserve">Amidst the prosperity, significant poverty exists in the ACT. </w:t>
            </w:r>
            <w:r w:rsidR="004D5E86">
              <w:t>In the wake of COVID-19, t</w:t>
            </w:r>
            <w:r w:rsidR="00BD59ED">
              <w:t xml:space="preserve">here are now </w:t>
            </w:r>
            <w:r w:rsidR="003D3D79">
              <w:t>3</w:t>
            </w:r>
            <w:r w:rsidR="00BD59ED">
              <w:t>8</w:t>
            </w:r>
            <w:r w:rsidR="003D3D79">
              <w:t>,000 Canberrans liv</w:t>
            </w:r>
            <w:r w:rsidR="005020BB">
              <w:t>ing</w:t>
            </w:r>
            <w:r w:rsidR="003D3D79">
              <w:t xml:space="preserve"> below the poverty line.</w:t>
            </w:r>
          </w:p>
          <w:p w14:paraId="5D76A3B3" w14:textId="77777777" w:rsidR="003D3D79" w:rsidRDefault="003D3D79" w:rsidP="003D3D79">
            <w:pPr>
              <w:pStyle w:val="BodyText"/>
            </w:pPr>
            <w:r>
              <w:t>“The ACT has the highest average weekly earnings in Australia. However, for those on low incomes, the cost of living in Canberra means many cannot afford the fundamentals of a healthy life such as food, housing, health services, and energy.</w:t>
            </w:r>
          </w:p>
          <w:p w14:paraId="2B72E84A" w14:textId="372B6E4D" w:rsidR="003D3D79" w:rsidRDefault="003D3D79" w:rsidP="003D3D79">
            <w:pPr>
              <w:pStyle w:val="BodyText"/>
            </w:pPr>
            <w:r>
              <w:t xml:space="preserve">“Our </w:t>
            </w:r>
            <w:hyperlink r:id="rId13" w:history="1">
              <w:r w:rsidRPr="00BF7796">
                <w:rPr>
                  <w:rStyle w:val="Hyperlink"/>
                  <w:i/>
                  <w:iCs/>
                </w:rPr>
                <w:t>2020 ACT Cost of Living Report</w:t>
              </w:r>
            </w:hyperlink>
            <w:r>
              <w:t xml:space="preserve"> </w:t>
            </w:r>
            <w:r w:rsidR="00D60BD2">
              <w:t>found</w:t>
            </w:r>
            <w:r>
              <w:t xml:space="preserve"> that over the past five years changes in the cost of living have hit Canberra’s low-income households the hardest. These households spend a greater proportion of their income on essential goods and services. Over the last five years, prices for some of these essentials grew significantly in Canberra, with medical and hospital services increasing by 28%, electricity and gas prices rose by 25% and 31% respectively, and housing costs increased by 15%.</w:t>
            </w:r>
          </w:p>
          <w:p w14:paraId="724625B0" w14:textId="352171AD" w:rsidR="003D3D79" w:rsidRDefault="003D3D79" w:rsidP="003D3D79">
            <w:pPr>
              <w:pStyle w:val="BodyText"/>
            </w:pPr>
            <w:r>
              <w:t xml:space="preserve">“In August 2020, Anglicare found that out of 768 private rentals advertised in the ACT, only 17 properties could be considered affordable for people on low incomes. None were affordable for a single person on the Disability Support Pension and only one was affordable for a single person on </w:t>
            </w:r>
            <w:proofErr w:type="spellStart"/>
            <w:r>
              <w:t>JobSeeker</w:t>
            </w:r>
            <w:proofErr w:type="spellEnd"/>
            <w:r>
              <w:t xml:space="preserve"> receiving the $550 per fortnight Coronavirus Supplement. </w:t>
            </w:r>
          </w:p>
          <w:p w14:paraId="6C019AE6" w14:textId="5EB1F7AD" w:rsidR="003D3D79" w:rsidRDefault="003D3D79" w:rsidP="003D3D79">
            <w:pPr>
              <w:pStyle w:val="BodyText"/>
            </w:pPr>
            <w:r>
              <w:t>“Ensuring people have adequate incomes and affordable housing is fundamental to reducing poverty and inequality in the ACT. We need</w:t>
            </w:r>
            <w:r w:rsidR="00D60BD2">
              <w:t xml:space="preserve"> the Australian Government to provide</w:t>
            </w:r>
            <w:r>
              <w:t xml:space="preserve"> a permanent and adequate increase to </w:t>
            </w:r>
            <w:proofErr w:type="spellStart"/>
            <w:r>
              <w:t>JobSeeker</w:t>
            </w:r>
            <w:proofErr w:type="spellEnd"/>
            <w:r>
              <w:t xml:space="preserve"> and related income support payments</w:t>
            </w:r>
            <w:r w:rsidR="00D60BD2">
              <w:t xml:space="preserve"> to keep people out of poverty</w:t>
            </w:r>
            <w:r>
              <w:t>.</w:t>
            </w:r>
            <w:r w:rsidR="00B55AAD">
              <w:t xml:space="preserve"> </w:t>
            </w:r>
            <w:r w:rsidR="00D60BD2">
              <w:t>The</w:t>
            </w:r>
            <w:r>
              <w:t xml:space="preserve"> </w:t>
            </w:r>
            <w:r w:rsidR="00D60BD2">
              <w:t>Australian</w:t>
            </w:r>
            <w:r w:rsidR="00B55AAD">
              <w:t xml:space="preserve"> and </w:t>
            </w:r>
            <w:r>
              <w:t xml:space="preserve">ACT </w:t>
            </w:r>
            <w:r w:rsidR="00B55AAD">
              <w:t>g</w:t>
            </w:r>
            <w:r>
              <w:t>overnment</w:t>
            </w:r>
            <w:r w:rsidR="00B55AAD">
              <w:t>s</w:t>
            </w:r>
            <w:r>
              <w:t xml:space="preserve"> </w:t>
            </w:r>
            <w:r w:rsidR="00D60BD2">
              <w:t>must</w:t>
            </w:r>
            <w:r>
              <w:t xml:space="preserve"> urgently</w:t>
            </w:r>
            <w:r w:rsidR="00C1664C">
              <w:t xml:space="preserve"> work together to</w:t>
            </w:r>
            <w:r>
              <w:t xml:space="preserve"> address the shortfall of over 3,000 social housing dwellings in Canberra.</w:t>
            </w:r>
          </w:p>
          <w:p w14:paraId="30313192" w14:textId="01BAF970" w:rsidR="00B55AAD" w:rsidRDefault="00B31477" w:rsidP="003D3D79">
            <w:pPr>
              <w:pStyle w:val="BodyText"/>
            </w:pPr>
            <w:r>
              <w:t>“</w:t>
            </w:r>
            <w:r w:rsidR="00B55AAD" w:rsidRPr="00B55AAD">
              <w:t xml:space="preserve">A just and fair Canberra requires an inclusive economy. </w:t>
            </w:r>
            <w:r w:rsidR="00455AA6">
              <w:t>T</w:t>
            </w:r>
            <w:r w:rsidR="00B55AAD" w:rsidRPr="00B55AAD">
              <w:t xml:space="preserve">argeted measures that address cost of living for </w:t>
            </w:r>
            <w:r w:rsidR="00455AA6">
              <w:t>low-income</w:t>
            </w:r>
            <w:r w:rsidR="004B567C">
              <w:t xml:space="preserve"> households</w:t>
            </w:r>
            <w:r w:rsidR="00455AA6">
              <w:t xml:space="preserve"> are </w:t>
            </w:r>
            <w:r w:rsidR="00484174">
              <w:t xml:space="preserve">an </w:t>
            </w:r>
            <w:r w:rsidR="00455AA6">
              <w:t xml:space="preserve">essential </w:t>
            </w:r>
            <w:r w:rsidR="00484174">
              <w:t>part of</w:t>
            </w:r>
            <w:r w:rsidR="00F75490">
              <w:t xml:space="preserve"> this</w:t>
            </w:r>
            <w:r w:rsidR="00B55AAD" w:rsidRPr="00B55AAD">
              <w:t>.</w:t>
            </w:r>
            <w:r w:rsidR="00840ACF">
              <w:t xml:space="preserve"> </w:t>
            </w:r>
            <w:r w:rsidR="002B5374" w:rsidRPr="002B5374">
              <w:t>Targeted concessions, rebates and subsidies must be designed to relieve cost of living pressures for households with low incomes or experiencing other forms of hardship.</w:t>
            </w:r>
            <w:r w:rsidR="00484174">
              <w:t xml:space="preserve"> </w:t>
            </w:r>
            <w:r w:rsidR="00484174" w:rsidRPr="00484174">
              <w:t>By alleviating poverty and reducing inequality targeted measures benefit everyone.</w:t>
            </w:r>
          </w:p>
          <w:p w14:paraId="71206C34" w14:textId="35A48636" w:rsidR="00BD59ED" w:rsidRDefault="003D3D79" w:rsidP="003D3D79">
            <w:pPr>
              <w:pStyle w:val="BodyText"/>
            </w:pPr>
            <w:r>
              <w:t>“</w:t>
            </w:r>
            <w:r w:rsidR="004D5E86">
              <w:t>At the same time, t</w:t>
            </w:r>
            <w:r>
              <w:t xml:space="preserve">ax revenue must be sufficient to fund quality services, affordable housing, and community infrastructure that address the structural causes of poverty and disadvantage while benefiting all </w:t>
            </w:r>
            <w:r w:rsidR="002B5374">
              <w:t>Canberrans</w:t>
            </w:r>
            <w:r>
              <w:t>.”</w:t>
            </w:r>
          </w:p>
          <w:p w14:paraId="498188E1" w14:textId="131393F9" w:rsidR="00C91522" w:rsidRPr="00160F83" w:rsidRDefault="00001CD9" w:rsidP="003D3D79">
            <w:pPr>
              <w:pStyle w:val="BodyText"/>
            </w:pPr>
            <w:r>
              <w:t>Dr Emma Campbell</w:t>
            </w:r>
            <w:r w:rsidR="00C91522" w:rsidRPr="00872CC4">
              <w:t>,</w:t>
            </w:r>
            <w:r w:rsidR="00C91522">
              <w:t xml:space="preserve"> </w:t>
            </w:r>
            <w:r>
              <w:t>CEO</w:t>
            </w:r>
            <w:r w:rsidR="00C91522">
              <w:t xml:space="preserve">, </w:t>
            </w:r>
            <w:r w:rsidR="00C91522" w:rsidRPr="00872CC4">
              <w:t xml:space="preserve">ACTCOSS </w:t>
            </w:r>
          </w:p>
        </w:tc>
      </w:tr>
    </w:tbl>
    <w:p w14:paraId="12634A91" w14:textId="1A14F3ED" w:rsidR="00C91522" w:rsidRDefault="00C91522" w:rsidP="00A36F37">
      <w:pPr>
        <w:pStyle w:val="Heading1"/>
      </w:pPr>
      <w:r>
        <w:lastRenderedPageBreak/>
        <w:t>Poverty in</w:t>
      </w:r>
      <w:r w:rsidR="000A732B">
        <w:t xml:space="preserve"> the ACT </w:t>
      </w:r>
      <w:r w:rsidR="00544A34">
        <w:t>during</w:t>
      </w:r>
      <w:r>
        <w:t xml:space="preserve"> </w:t>
      </w:r>
      <w:r w:rsidR="006578EA">
        <w:t>COVID-19</w:t>
      </w:r>
    </w:p>
    <w:p w14:paraId="5BF8C72A" w14:textId="101809B3" w:rsidR="00E65A4B" w:rsidRDefault="00EB2AA9" w:rsidP="006717DC">
      <w:pPr>
        <w:pStyle w:val="BodyText"/>
      </w:pPr>
      <w:r>
        <w:t xml:space="preserve">Prior to the COVID-19 pandemic, </w:t>
      </w:r>
      <w:r w:rsidR="001253A5">
        <w:t>ACOSS and UNSW</w:t>
      </w:r>
      <w:r w:rsidR="004C2377">
        <w:t xml:space="preserve"> estimated that </w:t>
      </w:r>
      <w:r w:rsidR="00E33D6F">
        <w:t>almost 30,000 people in the ACT were living below the poverty line</w:t>
      </w:r>
      <w:r w:rsidR="00103E8F">
        <w:t>, representing 8.6% of the total population</w:t>
      </w:r>
      <w:r w:rsidR="00E33D6F">
        <w:t>.</w:t>
      </w:r>
      <w:r w:rsidR="002F1173">
        <w:rPr>
          <w:rStyle w:val="EndnoteReference"/>
        </w:rPr>
        <w:endnoteReference w:id="9"/>
      </w:r>
      <w:r w:rsidR="005218CF">
        <w:t xml:space="preserve"> </w:t>
      </w:r>
      <w:r w:rsidR="004D493C">
        <w:t xml:space="preserve">More recent </w:t>
      </w:r>
      <w:r w:rsidR="00D6062F">
        <w:t>ANU analysis</w:t>
      </w:r>
      <w:r w:rsidR="005218CF">
        <w:t xml:space="preserve"> </w:t>
      </w:r>
      <w:r w:rsidR="00D6062F">
        <w:t>indicates</w:t>
      </w:r>
      <w:r w:rsidR="005218CF">
        <w:t xml:space="preserve"> that </w:t>
      </w:r>
      <w:r w:rsidR="002A51E6">
        <w:t xml:space="preserve">the number of </w:t>
      </w:r>
      <w:r w:rsidR="00D6062F">
        <w:t>Canberrans</w:t>
      </w:r>
      <w:r w:rsidR="002A51E6">
        <w:t xml:space="preserve"> living in poverty has</w:t>
      </w:r>
      <w:r w:rsidR="006C44B7">
        <w:t xml:space="preserve"> increased to </w:t>
      </w:r>
      <w:r w:rsidR="0066410B">
        <w:t>approximately</w:t>
      </w:r>
      <w:r w:rsidR="006C44B7">
        <w:t xml:space="preserve"> 38,000 people</w:t>
      </w:r>
      <w:r w:rsidR="00D6062F">
        <w:t>,</w:t>
      </w:r>
      <w:r w:rsidR="00980F30">
        <w:t xml:space="preserve"> with poverty rates varying across Canberra regions</w:t>
      </w:r>
      <w:r w:rsidR="00015890">
        <w:t xml:space="preserve"> </w:t>
      </w:r>
      <w:r w:rsidR="002C576E">
        <w:t xml:space="preserve">– ranging from </w:t>
      </w:r>
      <w:r w:rsidR="00015890">
        <w:t xml:space="preserve">between </w:t>
      </w:r>
      <w:r w:rsidR="002C576E">
        <w:t>8% to 12%</w:t>
      </w:r>
      <w:r w:rsidR="00980F30">
        <w:t>.</w:t>
      </w:r>
      <w:r w:rsidR="00643027">
        <w:rPr>
          <w:rStyle w:val="EndnoteReference"/>
        </w:rPr>
        <w:endnoteReference w:id="10"/>
      </w:r>
    </w:p>
    <w:p w14:paraId="1C8DD5A1" w14:textId="5C3DD3CA" w:rsidR="00200338" w:rsidRDefault="00C2592B" w:rsidP="00044328">
      <w:pPr>
        <w:pStyle w:val="Figuretitle"/>
      </w:pPr>
      <w:r>
        <w:t>Poverty rates by SA3 region, ACT, March-October 2020</w:t>
      </w:r>
      <w:r w:rsidR="00337EAB">
        <w:rPr>
          <w:rStyle w:val="EndnoteReference"/>
        </w:rPr>
        <w:endnoteReference w:id="11"/>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248"/>
        <w:gridCol w:w="2110"/>
        <w:gridCol w:w="1763"/>
      </w:tblGrid>
      <w:tr w:rsidR="00EB4903" w14:paraId="46CA304A" w14:textId="138604E5" w:rsidTr="00CA3FA3">
        <w:tc>
          <w:tcPr>
            <w:tcW w:w="2373" w:type="dxa"/>
            <w:tcBorders>
              <w:top w:val="single" w:sz="4" w:space="0" w:color="auto"/>
            </w:tcBorders>
            <w:shd w:val="clear" w:color="auto" w:fill="DEEAF6" w:themeFill="accent1" w:themeFillTint="33"/>
          </w:tcPr>
          <w:p w14:paraId="6485EC07" w14:textId="65AD00EE" w:rsidR="00EB4903" w:rsidRDefault="00EB4903" w:rsidP="00103E8F">
            <w:pPr>
              <w:pStyle w:val="Tableheading"/>
            </w:pPr>
            <w:r>
              <w:t>Region</w:t>
            </w:r>
          </w:p>
        </w:tc>
        <w:tc>
          <w:tcPr>
            <w:tcW w:w="2248" w:type="dxa"/>
            <w:tcBorders>
              <w:top w:val="single" w:sz="4" w:space="0" w:color="auto"/>
            </w:tcBorders>
            <w:shd w:val="clear" w:color="auto" w:fill="DEEAF6" w:themeFill="accent1" w:themeFillTint="33"/>
          </w:tcPr>
          <w:p w14:paraId="6525D643" w14:textId="77777777" w:rsidR="00774789" w:rsidRDefault="000A57E1" w:rsidP="00CA3FA3">
            <w:pPr>
              <w:pStyle w:val="Tableheading"/>
              <w:jc w:val="right"/>
            </w:pPr>
            <w:r>
              <w:t xml:space="preserve">March 2020 </w:t>
            </w:r>
          </w:p>
          <w:p w14:paraId="00BCA36F" w14:textId="1F88FB85" w:rsidR="00EB4903" w:rsidRDefault="000A57E1" w:rsidP="00CA3FA3">
            <w:pPr>
              <w:pStyle w:val="Tableheading"/>
              <w:jc w:val="right"/>
            </w:pPr>
            <w:r>
              <w:t>Poverty Rate</w:t>
            </w:r>
          </w:p>
        </w:tc>
        <w:tc>
          <w:tcPr>
            <w:tcW w:w="2110" w:type="dxa"/>
            <w:tcBorders>
              <w:top w:val="single" w:sz="4" w:space="0" w:color="auto"/>
            </w:tcBorders>
            <w:shd w:val="clear" w:color="auto" w:fill="DEEAF6" w:themeFill="accent1" w:themeFillTint="33"/>
          </w:tcPr>
          <w:p w14:paraId="23BCDD78" w14:textId="77777777" w:rsidR="00774789" w:rsidRDefault="000A57E1" w:rsidP="00CA3FA3">
            <w:pPr>
              <w:pStyle w:val="Tableheading"/>
              <w:jc w:val="right"/>
            </w:pPr>
            <w:r>
              <w:t xml:space="preserve">June 2020 </w:t>
            </w:r>
          </w:p>
          <w:p w14:paraId="5FD69976" w14:textId="7A6F87E2" w:rsidR="00EB4903" w:rsidRDefault="000A57E1" w:rsidP="00CA3FA3">
            <w:pPr>
              <w:pStyle w:val="Tableheading"/>
              <w:jc w:val="right"/>
            </w:pPr>
            <w:r>
              <w:t>Poverty Rate</w:t>
            </w:r>
          </w:p>
        </w:tc>
        <w:tc>
          <w:tcPr>
            <w:tcW w:w="1763" w:type="dxa"/>
            <w:tcBorders>
              <w:top w:val="single" w:sz="4" w:space="0" w:color="auto"/>
            </w:tcBorders>
            <w:shd w:val="clear" w:color="auto" w:fill="DEEAF6" w:themeFill="accent1" w:themeFillTint="33"/>
          </w:tcPr>
          <w:p w14:paraId="5C348D47" w14:textId="77777777" w:rsidR="00774789" w:rsidRDefault="000A57E1" w:rsidP="00CA3FA3">
            <w:pPr>
              <w:pStyle w:val="Tableheading"/>
              <w:jc w:val="right"/>
            </w:pPr>
            <w:r>
              <w:t>Oct</w:t>
            </w:r>
            <w:r w:rsidR="00774789">
              <w:t>ober</w:t>
            </w:r>
            <w:r>
              <w:t xml:space="preserve"> 2020</w:t>
            </w:r>
          </w:p>
          <w:p w14:paraId="17768A34" w14:textId="671CC684" w:rsidR="00EB4903" w:rsidRDefault="000A57E1" w:rsidP="00CA3FA3">
            <w:pPr>
              <w:pStyle w:val="Tableheading"/>
              <w:jc w:val="right"/>
            </w:pPr>
            <w:r>
              <w:t>Poverty Rate</w:t>
            </w:r>
          </w:p>
        </w:tc>
      </w:tr>
      <w:tr w:rsidR="00103E8F" w14:paraId="2AD6F501" w14:textId="56757E63" w:rsidTr="00CA3FA3">
        <w:tc>
          <w:tcPr>
            <w:tcW w:w="2373" w:type="dxa"/>
          </w:tcPr>
          <w:p w14:paraId="55AB65D1" w14:textId="03D0319C" w:rsidR="00103E8F" w:rsidRDefault="00103E8F" w:rsidP="00103E8F">
            <w:pPr>
              <w:pStyle w:val="TableBody"/>
            </w:pPr>
            <w:r w:rsidRPr="00D62E3C">
              <w:t>Belconnen</w:t>
            </w:r>
          </w:p>
        </w:tc>
        <w:tc>
          <w:tcPr>
            <w:tcW w:w="2248" w:type="dxa"/>
          </w:tcPr>
          <w:p w14:paraId="2B6DE216" w14:textId="64A3F013" w:rsidR="00103E8F" w:rsidRDefault="00103E8F" w:rsidP="00103E8F">
            <w:pPr>
              <w:pStyle w:val="TableBody"/>
              <w:jc w:val="right"/>
            </w:pPr>
            <w:r w:rsidRPr="00992F70">
              <w:t>7.5%</w:t>
            </w:r>
          </w:p>
        </w:tc>
        <w:tc>
          <w:tcPr>
            <w:tcW w:w="2110" w:type="dxa"/>
          </w:tcPr>
          <w:p w14:paraId="318733B2" w14:textId="471E5F30" w:rsidR="00103E8F" w:rsidRDefault="00103E8F" w:rsidP="00103E8F">
            <w:pPr>
              <w:pStyle w:val="TableBody"/>
              <w:jc w:val="right"/>
            </w:pPr>
            <w:r w:rsidRPr="000807B5">
              <w:t>5.7%</w:t>
            </w:r>
          </w:p>
        </w:tc>
        <w:tc>
          <w:tcPr>
            <w:tcW w:w="1763" w:type="dxa"/>
          </w:tcPr>
          <w:p w14:paraId="747E7BA5" w14:textId="044A3984" w:rsidR="00103E8F" w:rsidRDefault="00103E8F" w:rsidP="00103E8F">
            <w:pPr>
              <w:pStyle w:val="TableBody"/>
              <w:jc w:val="right"/>
            </w:pPr>
            <w:r w:rsidRPr="0008036B">
              <w:t>10.5%</w:t>
            </w:r>
          </w:p>
        </w:tc>
      </w:tr>
      <w:tr w:rsidR="00103E8F" w14:paraId="3182226E" w14:textId="2AB8E871" w:rsidTr="00CA3FA3">
        <w:tc>
          <w:tcPr>
            <w:tcW w:w="2373" w:type="dxa"/>
            <w:shd w:val="clear" w:color="auto" w:fill="DEEAF6" w:themeFill="accent1" w:themeFillTint="33"/>
          </w:tcPr>
          <w:p w14:paraId="1381E9D4" w14:textId="650BD2FC" w:rsidR="00103E8F" w:rsidRDefault="00103E8F" w:rsidP="00103E8F">
            <w:pPr>
              <w:pStyle w:val="TableBody"/>
            </w:pPr>
            <w:r w:rsidRPr="00D62E3C">
              <w:t>Gungahlin</w:t>
            </w:r>
          </w:p>
        </w:tc>
        <w:tc>
          <w:tcPr>
            <w:tcW w:w="2248" w:type="dxa"/>
            <w:shd w:val="clear" w:color="auto" w:fill="DEEAF6" w:themeFill="accent1" w:themeFillTint="33"/>
          </w:tcPr>
          <w:p w14:paraId="79F421E9" w14:textId="003DFA0C" w:rsidR="00103E8F" w:rsidRDefault="00103E8F" w:rsidP="00103E8F">
            <w:pPr>
              <w:pStyle w:val="TableBody"/>
              <w:jc w:val="right"/>
            </w:pPr>
            <w:r w:rsidRPr="00992F70">
              <w:t>5.7%</w:t>
            </w:r>
          </w:p>
        </w:tc>
        <w:tc>
          <w:tcPr>
            <w:tcW w:w="2110" w:type="dxa"/>
            <w:shd w:val="clear" w:color="auto" w:fill="DEEAF6" w:themeFill="accent1" w:themeFillTint="33"/>
          </w:tcPr>
          <w:p w14:paraId="25C5D4D1" w14:textId="73368462" w:rsidR="00103E8F" w:rsidRDefault="00103E8F" w:rsidP="00103E8F">
            <w:pPr>
              <w:pStyle w:val="TableBody"/>
              <w:jc w:val="right"/>
            </w:pPr>
            <w:r w:rsidRPr="000807B5">
              <w:t>4.7%</w:t>
            </w:r>
          </w:p>
        </w:tc>
        <w:tc>
          <w:tcPr>
            <w:tcW w:w="1763" w:type="dxa"/>
            <w:shd w:val="clear" w:color="auto" w:fill="DEEAF6" w:themeFill="accent1" w:themeFillTint="33"/>
          </w:tcPr>
          <w:p w14:paraId="12B9FCAA" w14:textId="2E8D23EB" w:rsidR="00103E8F" w:rsidRDefault="00103E8F" w:rsidP="00103E8F">
            <w:pPr>
              <w:pStyle w:val="TableBody"/>
              <w:jc w:val="right"/>
            </w:pPr>
            <w:r w:rsidRPr="0008036B">
              <w:t>9.1%</w:t>
            </w:r>
          </w:p>
        </w:tc>
      </w:tr>
      <w:tr w:rsidR="00103E8F" w14:paraId="0B7F6A09" w14:textId="3271194F" w:rsidTr="00CA3FA3">
        <w:tc>
          <w:tcPr>
            <w:tcW w:w="2373" w:type="dxa"/>
          </w:tcPr>
          <w:p w14:paraId="686F9AE5" w14:textId="11A9F8EC" w:rsidR="00103E8F" w:rsidRDefault="00103E8F" w:rsidP="00103E8F">
            <w:pPr>
              <w:pStyle w:val="TableBody"/>
            </w:pPr>
            <w:r w:rsidRPr="00D62E3C">
              <w:t>North Canberra</w:t>
            </w:r>
          </w:p>
        </w:tc>
        <w:tc>
          <w:tcPr>
            <w:tcW w:w="2248" w:type="dxa"/>
          </w:tcPr>
          <w:p w14:paraId="1C96213B" w14:textId="64AE5C79" w:rsidR="00103E8F" w:rsidRDefault="00103E8F" w:rsidP="00103E8F">
            <w:pPr>
              <w:pStyle w:val="TableBody"/>
              <w:jc w:val="right"/>
            </w:pPr>
            <w:r w:rsidRPr="00992F70">
              <w:t>8.9%</w:t>
            </w:r>
          </w:p>
        </w:tc>
        <w:tc>
          <w:tcPr>
            <w:tcW w:w="2110" w:type="dxa"/>
          </w:tcPr>
          <w:p w14:paraId="46858656" w14:textId="0D819C8A" w:rsidR="00103E8F" w:rsidRDefault="00103E8F" w:rsidP="00103E8F">
            <w:pPr>
              <w:pStyle w:val="TableBody"/>
              <w:jc w:val="right"/>
            </w:pPr>
            <w:r w:rsidRPr="000807B5">
              <w:t>8.5%</w:t>
            </w:r>
          </w:p>
        </w:tc>
        <w:tc>
          <w:tcPr>
            <w:tcW w:w="1763" w:type="dxa"/>
          </w:tcPr>
          <w:p w14:paraId="37E4AF36" w14:textId="77A7B33A" w:rsidR="00103E8F" w:rsidRDefault="00103E8F" w:rsidP="00103E8F">
            <w:pPr>
              <w:pStyle w:val="TableBody"/>
              <w:jc w:val="right"/>
            </w:pPr>
            <w:r w:rsidRPr="0008036B">
              <w:t>11.9%</w:t>
            </w:r>
          </w:p>
        </w:tc>
      </w:tr>
      <w:tr w:rsidR="00103E8F" w14:paraId="4FC466AD" w14:textId="19E18AE0" w:rsidTr="00CA3FA3">
        <w:tc>
          <w:tcPr>
            <w:tcW w:w="2373" w:type="dxa"/>
            <w:shd w:val="clear" w:color="auto" w:fill="DEEAF6" w:themeFill="accent1" w:themeFillTint="33"/>
          </w:tcPr>
          <w:p w14:paraId="3213981D" w14:textId="40BF3460" w:rsidR="00103E8F" w:rsidRDefault="00103E8F" w:rsidP="00103E8F">
            <w:pPr>
              <w:pStyle w:val="TableBody"/>
            </w:pPr>
            <w:r w:rsidRPr="00D62E3C">
              <w:t>South Canberra</w:t>
            </w:r>
          </w:p>
        </w:tc>
        <w:tc>
          <w:tcPr>
            <w:tcW w:w="2248" w:type="dxa"/>
            <w:shd w:val="clear" w:color="auto" w:fill="DEEAF6" w:themeFill="accent1" w:themeFillTint="33"/>
          </w:tcPr>
          <w:p w14:paraId="34BF56E5" w14:textId="101E7E0E" w:rsidR="00103E8F" w:rsidRDefault="00103E8F" w:rsidP="00103E8F">
            <w:pPr>
              <w:pStyle w:val="TableBody"/>
              <w:jc w:val="right"/>
            </w:pPr>
            <w:r w:rsidRPr="00992F70">
              <w:t>5.3%</w:t>
            </w:r>
          </w:p>
        </w:tc>
        <w:tc>
          <w:tcPr>
            <w:tcW w:w="2110" w:type="dxa"/>
            <w:shd w:val="clear" w:color="auto" w:fill="DEEAF6" w:themeFill="accent1" w:themeFillTint="33"/>
          </w:tcPr>
          <w:p w14:paraId="2B75582C" w14:textId="405F1434" w:rsidR="00103E8F" w:rsidRDefault="00103E8F" w:rsidP="00103E8F">
            <w:pPr>
              <w:pStyle w:val="TableBody"/>
              <w:jc w:val="right"/>
            </w:pPr>
            <w:r w:rsidRPr="000807B5">
              <w:t>4.4%</w:t>
            </w:r>
          </w:p>
        </w:tc>
        <w:tc>
          <w:tcPr>
            <w:tcW w:w="1763" w:type="dxa"/>
            <w:shd w:val="clear" w:color="auto" w:fill="DEEAF6" w:themeFill="accent1" w:themeFillTint="33"/>
          </w:tcPr>
          <w:p w14:paraId="7C996666" w14:textId="7793B57F" w:rsidR="00103E8F" w:rsidRDefault="00103E8F" w:rsidP="00103E8F">
            <w:pPr>
              <w:pStyle w:val="TableBody"/>
              <w:jc w:val="right"/>
            </w:pPr>
            <w:r w:rsidRPr="0008036B">
              <w:t>7.5%</w:t>
            </w:r>
          </w:p>
        </w:tc>
      </w:tr>
      <w:tr w:rsidR="00103E8F" w14:paraId="1BBF439D" w14:textId="076AACA5" w:rsidTr="00CA3FA3">
        <w:tc>
          <w:tcPr>
            <w:tcW w:w="2373" w:type="dxa"/>
          </w:tcPr>
          <w:p w14:paraId="3CA3DAC2" w14:textId="02491B06" w:rsidR="00103E8F" w:rsidRDefault="00103E8F" w:rsidP="00103E8F">
            <w:pPr>
              <w:pStyle w:val="TableBody"/>
            </w:pPr>
            <w:r w:rsidRPr="00D62E3C">
              <w:t>Tuggeranong</w:t>
            </w:r>
          </w:p>
        </w:tc>
        <w:tc>
          <w:tcPr>
            <w:tcW w:w="2248" w:type="dxa"/>
          </w:tcPr>
          <w:p w14:paraId="750C0B22" w14:textId="7CD696C1" w:rsidR="00103E8F" w:rsidRDefault="00103E8F" w:rsidP="00103E8F">
            <w:pPr>
              <w:pStyle w:val="TableBody"/>
              <w:jc w:val="right"/>
            </w:pPr>
            <w:r w:rsidRPr="00992F70">
              <w:t>6.4%</w:t>
            </w:r>
          </w:p>
        </w:tc>
        <w:tc>
          <w:tcPr>
            <w:tcW w:w="2110" w:type="dxa"/>
          </w:tcPr>
          <w:p w14:paraId="6A13FC34" w14:textId="1A96DFF7" w:rsidR="00103E8F" w:rsidRDefault="00103E8F" w:rsidP="00103E8F">
            <w:pPr>
              <w:pStyle w:val="TableBody"/>
              <w:jc w:val="right"/>
            </w:pPr>
            <w:r w:rsidRPr="000807B5">
              <w:t>5.1%</w:t>
            </w:r>
          </w:p>
        </w:tc>
        <w:tc>
          <w:tcPr>
            <w:tcW w:w="1763" w:type="dxa"/>
          </w:tcPr>
          <w:p w14:paraId="226DF076" w14:textId="78A6CC09" w:rsidR="00103E8F" w:rsidRDefault="00103E8F" w:rsidP="00103E8F">
            <w:pPr>
              <w:pStyle w:val="TableBody"/>
              <w:jc w:val="right"/>
            </w:pPr>
            <w:r w:rsidRPr="0008036B">
              <w:t>10.1%</w:t>
            </w:r>
          </w:p>
        </w:tc>
      </w:tr>
      <w:tr w:rsidR="00103E8F" w14:paraId="373A555B" w14:textId="7DE4D5D2" w:rsidTr="00CA3FA3">
        <w:tc>
          <w:tcPr>
            <w:tcW w:w="2373" w:type="dxa"/>
            <w:shd w:val="clear" w:color="auto" w:fill="DEEAF6" w:themeFill="accent1" w:themeFillTint="33"/>
          </w:tcPr>
          <w:p w14:paraId="1391A705" w14:textId="499E67FB" w:rsidR="00103E8F" w:rsidRDefault="00103E8F" w:rsidP="00103E8F">
            <w:pPr>
              <w:pStyle w:val="TableBody"/>
            </w:pPr>
            <w:r w:rsidRPr="00D62E3C">
              <w:t>Weston Creek</w:t>
            </w:r>
          </w:p>
        </w:tc>
        <w:tc>
          <w:tcPr>
            <w:tcW w:w="2248" w:type="dxa"/>
            <w:shd w:val="clear" w:color="auto" w:fill="DEEAF6" w:themeFill="accent1" w:themeFillTint="33"/>
          </w:tcPr>
          <w:p w14:paraId="55C11B25" w14:textId="4F6268BE" w:rsidR="00103E8F" w:rsidRDefault="00103E8F" w:rsidP="00103E8F">
            <w:pPr>
              <w:pStyle w:val="TableBody"/>
              <w:jc w:val="right"/>
            </w:pPr>
            <w:r w:rsidRPr="00992F70">
              <w:t>5.6%</w:t>
            </w:r>
          </w:p>
        </w:tc>
        <w:tc>
          <w:tcPr>
            <w:tcW w:w="2110" w:type="dxa"/>
            <w:shd w:val="clear" w:color="auto" w:fill="DEEAF6" w:themeFill="accent1" w:themeFillTint="33"/>
          </w:tcPr>
          <w:p w14:paraId="6C3B3A59" w14:textId="291ACEBD" w:rsidR="00103E8F" w:rsidRDefault="00103E8F" w:rsidP="00103E8F">
            <w:pPr>
              <w:pStyle w:val="TableBody"/>
              <w:jc w:val="right"/>
            </w:pPr>
            <w:r w:rsidRPr="000807B5">
              <w:t>4.2%</w:t>
            </w:r>
          </w:p>
        </w:tc>
        <w:tc>
          <w:tcPr>
            <w:tcW w:w="1763" w:type="dxa"/>
            <w:shd w:val="clear" w:color="auto" w:fill="DEEAF6" w:themeFill="accent1" w:themeFillTint="33"/>
          </w:tcPr>
          <w:p w14:paraId="4EEBE09C" w14:textId="31EE5BB3" w:rsidR="00103E8F" w:rsidRDefault="00103E8F" w:rsidP="00103E8F">
            <w:pPr>
              <w:pStyle w:val="TableBody"/>
              <w:jc w:val="right"/>
            </w:pPr>
            <w:r w:rsidRPr="0008036B">
              <w:t>8.3%</w:t>
            </w:r>
          </w:p>
        </w:tc>
      </w:tr>
      <w:tr w:rsidR="00103E8F" w14:paraId="514C99B1" w14:textId="636B821A" w:rsidTr="00CA3FA3">
        <w:tc>
          <w:tcPr>
            <w:tcW w:w="2373" w:type="dxa"/>
            <w:tcBorders>
              <w:bottom w:val="single" w:sz="4" w:space="0" w:color="auto"/>
            </w:tcBorders>
          </w:tcPr>
          <w:p w14:paraId="172136AA" w14:textId="6A0CD40D" w:rsidR="00103E8F" w:rsidRPr="00D62E3C" w:rsidRDefault="00103E8F" w:rsidP="00103E8F">
            <w:pPr>
              <w:pStyle w:val="TableBody"/>
            </w:pPr>
            <w:r>
              <w:t>Woden</w:t>
            </w:r>
          </w:p>
        </w:tc>
        <w:tc>
          <w:tcPr>
            <w:tcW w:w="2248" w:type="dxa"/>
            <w:tcBorders>
              <w:bottom w:val="single" w:sz="4" w:space="0" w:color="auto"/>
            </w:tcBorders>
          </w:tcPr>
          <w:p w14:paraId="703AC6BC" w14:textId="0D5919F7" w:rsidR="00103E8F" w:rsidRDefault="00103E8F" w:rsidP="00103E8F">
            <w:pPr>
              <w:pStyle w:val="TableBody"/>
              <w:jc w:val="right"/>
            </w:pPr>
            <w:r w:rsidRPr="00992F70">
              <w:t>5.1%</w:t>
            </w:r>
          </w:p>
        </w:tc>
        <w:tc>
          <w:tcPr>
            <w:tcW w:w="2110" w:type="dxa"/>
            <w:tcBorders>
              <w:bottom w:val="single" w:sz="4" w:space="0" w:color="auto"/>
            </w:tcBorders>
          </w:tcPr>
          <w:p w14:paraId="19E7163B" w14:textId="0479F17F" w:rsidR="00103E8F" w:rsidRDefault="00103E8F" w:rsidP="00103E8F">
            <w:pPr>
              <w:pStyle w:val="TableBody"/>
              <w:jc w:val="right"/>
            </w:pPr>
            <w:r w:rsidRPr="000807B5">
              <w:t>4.0%</w:t>
            </w:r>
          </w:p>
        </w:tc>
        <w:tc>
          <w:tcPr>
            <w:tcW w:w="1763" w:type="dxa"/>
            <w:tcBorders>
              <w:bottom w:val="single" w:sz="4" w:space="0" w:color="auto"/>
            </w:tcBorders>
          </w:tcPr>
          <w:p w14:paraId="2E6B1D07" w14:textId="2040A132" w:rsidR="00103E8F" w:rsidRDefault="00103E8F" w:rsidP="00103E8F">
            <w:pPr>
              <w:pStyle w:val="TableBody"/>
              <w:jc w:val="right"/>
            </w:pPr>
            <w:r w:rsidRPr="0008036B">
              <w:t>7.6%</w:t>
            </w:r>
          </w:p>
        </w:tc>
      </w:tr>
    </w:tbl>
    <w:p w14:paraId="7A8E54F1" w14:textId="77777777" w:rsidR="007E7215" w:rsidRDefault="007E7215" w:rsidP="006717DC">
      <w:pPr>
        <w:pStyle w:val="BodyText"/>
      </w:pPr>
    </w:p>
    <w:p w14:paraId="3365B7EB" w14:textId="2376F5B2" w:rsidR="00A3384B" w:rsidRDefault="007144C2" w:rsidP="006717DC">
      <w:pPr>
        <w:pStyle w:val="BodyText"/>
      </w:pPr>
      <w:r>
        <w:t>Th</w:t>
      </w:r>
      <w:r w:rsidR="00D6062F">
        <w:t>is</w:t>
      </w:r>
      <w:r>
        <w:t xml:space="preserve"> data indicates that the increase</w:t>
      </w:r>
      <w:r w:rsidR="003257F5">
        <w:t xml:space="preserve"> in the rate</w:t>
      </w:r>
      <w:r w:rsidR="00FB755F">
        <w:t xml:space="preserve"> of </w:t>
      </w:r>
      <w:proofErr w:type="spellStart"/>
      <w:r w:rsidR="00FB755F">
        <w:t>JobSeeker</w:t>
      </w:r>
      <w:proofErr w:type="spellEnd"/>
      <w:r w:rsidR="00FB755F">
        <w:t xml:space="preserve"> and related </w:t>
      </w:r>
      <w:r w:rsidR="00635257">
        <w:t xml:space="preserve">working-age </w:t>
      </w:r>
      <w:r w:rsidR="00FB755F">
        <w:t>payments through the</w:t>
      </w:r>
      <w:r w:rsidR="002B3452">
        <w:t xml:space="preserve"> Coronavirus Supplement</w:t>
      </w:r>
      <w:r w:rsidR="003D05D0">
        <w:t xml:space="preserve"> of $550 per fortnight and</w:t>
      </w:r>
      <w:r w:rsidR="00FB755F">
        <w:t xml:space="preserve"> the</w:t>
      </w:r>
      <w:r w:rsidR="003D05D0">
        <w:t xml:space="preserve"> </w:t>
      </w:r>
      <w:r w:rsidR="00A44A53">
        <w:t xml:space="preserve">introduction of the </w:t>
      </w:r>
      <w:proofErr w:type="spellStart"/>
      <w:r w:rsidR="003D05D0">
        <w:t>JobKeeper</w:t>
      </w:r>
      <w:proofErr w:type="spellEnd"/>
      <w:r w:rsidR="003D05D0">
        <w:t xml:space="preserve"> </w:t>
      </w:r>
      <w:r w:rsidR="00AE1A91">
        <w:t>payment of $1,500 per fortnight</w:t>
      </w:r>
      <w:r w:rsidR="00763E71">
        <w:t xml:space="preserve"> </w:t>
      </w:r>
      <w:r w:rsidR="004A19FC">
        <w:t>per</w:t>
      </w:r>
      <w:r w:rsidR="00763E71">
        <w:t xml:space="preserve"> eligible employee</w:t>
      </w:r>
      <w:r>
        <w:t xml:space="preserve"> saw a significant reduction in poverty rates across the ACT. </w:t>
      </w:r>
      <w:r w:rsidR="00424CDD">
        <w:t xml:space="preserve">The </w:t>
      </w:r>
      <w:r w:rsidR="00A44A53">
        <w:t>reduction of</w:t>
      </w:r>
      <w:r w:rsidR="00424CDD">
        <w:t xml:space="preserve"> the Coronavirus Supplement and </w:t>
      </w:r>
      <w:proofErr w:type="spellStart"/>
      <w:r w:rsidR="00424CDD">
        <w:t>JobKeeper</w:t>
      </w:r>
      <w:proofErr w:type="spellEnd"/>
      <w:r w:rsidR="00424CDD">
        <w:t xml:space="preserve"> </w:t>
      </w:r>
      <w:r w:rsidR="00F06124">
        <w:t xml:space="preserve">payments </w:t>
      </w:r>
      <w:r w:rsidR="00424CDD">
        <w:t xml:space="preserve">from </w:t>
      </w:r>
      <w:r w:rsidR="00160B1B">
        <w:t>late September 2020 have seen a significant increase in ACT poverty rates</w:t>
      </w:r>
      <w:r w:rsidR="001D47E8">
        <w:t xml:space="preserve"> above pre-COVID levels</w:t>
      </w:r>
      <w:r w:rsidR="00160B1B">
        <w:t>.</w:t>
      </w:r>
      <w:r w:rsidR="00E35D65">
        <w:t xml:space="preserve"> Removing these supports </w:t>
      </w:r>
      <w:r w:rsidR="000B25B5">
        <w:t>completely would likely see poverty rates in the ACT increase even more.</w:t>
      </w:r>
    </w:p>
    <w:p w14:paraId="30B44EFF" w14:textId="4559AFBC" w:rsidR="008B3ACE" w:rsidRDefault="00C548F4" w:rsidP="006717DC">
      <w:pPr>
        <w:pStyle w:val="BodyText"/>
      </w:pPr>
      <w:r>
        <w:t xml:space="preserve">Analysis undertaken by ACTCOSS for our 2020 </w:t>
      </w:r>
      <w:r w:rsidRPr="00A84771">
        <w:rPr>
          <w:i/>
          <w:iCs/>
        </w:rPr>
        <w:t>ACT Cost of Living Report</w:t>
      </w:r>
      <w:r>
        <w:t xml:space="preserve"> shows how the </w:t>
      </w:r>
      <w:r w:rsidR="00B95C95">
        <w:t>introduction, reduction, and p</w:t>
      </w:r>
      <w:r w:rsidR="001D3A73">
        <w:t>ending</w:t>
      </w:r>
      <w:r w:rsidR="00B95C95">
        <w:t xml:space="preserve"> removal of the Coronavirus Supplement </w:t>
      </w:r>
      <w:r w:rsidR="007F0A14">
        <w:t>has seen income support payments rise above and fall</w:t>
      </w:r>
      <w:r w:rsidR="00953947">
        <w:t xml:space="preserve"> back below the poverty line</w:t>
      </w:r>
      <w:r w:rsidR="0097455D">
        <w:t>.</w:t>
      </w:r>
      <w:r w:rsidR="00916D13">
        <w:t xml:space="preserve"> As at June 2020, </w:t>
      </w:r>
      <w:r w:rsidR="00DA5610">
        <w:t>22,</w:t>
      </w:r>
      <w:r w:rsidR="007F0A62">
        <w:t xml:space="preserve">676 people in the ACT were receiving income support payments boosted by the </w:t>
      </w:r>
      <w:r w:rsidR="00A34D6F">
        <w:t xml:space="preserve">Coronavirus Supplement. Of these, almost 15,000 were looking for work while on </w:t>
      </w:r>
      <w:proofErr w:type="spellStart"/>
      <w:r w:rsidR="00A34D6F">
        <w:t>JobSeeker</w:t>
      </w:r>
      <w:proofErr w:type="spellEnd"/>
      <w:r w:rsidR="00A34D6F">
        <w:t xml:space="preserve"> or Youth Allowance (other)</w:t>
      </w:r>
      <w:r w:rsidR="00B85506">
        <w:t xml:space="preserve"> – this figure had more than doubled </w:t>
      </w:r>
      <w:r w:rsidR="00EA4EB5">
        <w:t>in the first six months of 2020.</w:t>
      </w:r>
    </w:p>
    <w:p w14:paraId="3489453C" w14:textId="611C9533" w:rsidR="002C34C5" w:rsidRDefault="002C34C5" w:rsidP="00545052">
      <w:pPr>
        <w:pStyle w:val="Heading1"/>
      </w:pPr>
      <w:r>
        <w:lastRenderedPageBreak/>
        <w:t xml:space="preserve">The rise and </w:t>
      </w:r>
      <w:r w:rsidR="00545052">
        <w:t xml:space="preserve">fall of </w:t>
      </w:r>
      <w:r w:rsidR="00F1317D">
        <w:t>income support</w:t>
      </w:r>
      <w:r w:rsidR="00545052">
        <w:t xml:space="preserve"> </w:t>
      </w:r>
      <w:r w:rsidR="00593B5B">
        <w:t>during</w:t>
      </w:r>
      <w:r w:rsidR="00072315">
        <w:t xml:space="preserve"> </w:t>
      </w:r>
      <w:r w:rsidR="00545052">
        <w:t>COVID-19</w:t>
      </w:r>
    </w:p>
    <w:p w14:paraId="2B274400" w14:textId="199642B1" w:rsidR="003C3EC1" w:rsidRDefault="003C3EC1" w:rsidP="003C3EC1">
      <w:pPr>
        <w:pStyle w:val="Figuretitle"/>
      </w:pPr>
      <w:r w:rsidRPr="003C3EC1">
        <w:t>Changes in income support payments due to the introduction, reduction, and removal of the Coronavirus Supplement (in relation to the poverty line)</w:t>
      </w:r>
      <w:r w:rsidR="00410031">
        <w:rPr>
          <w:rStyle w:val="EndnoteReference"/>
        </w:rPr>
        <w:endnoteReference w:id="12"/>
      </w:r>
    </w:p>
    <w:p w14:paraId="3BEF90D2" w14:textId="0D66A657" w:rsidR="00F06124" w:rsidRDefault="00D009C5" w:rsidP="006717DC">
      <w:pPr>
        <w:pStyle w:val="BodyText"/>
      </w:pPr>
      <w:r>
        <w:rPr>
          <w:noProof/>
        </w:rPr>
        <w:drawing>
          <wp:inline distT="0" distB="0" distL="0" distR="0" wp14:anchorId="48FD4A6D" wp14:editId="33FB364D">
            <wp:extent cx="6082030" cy="327630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0941" cy="3308035"/>
                    </a:xfrm>
                    <a:prstGeom prst="rect">
                      <a:avLst/>
                    </a:prstGeom>
                    <a:noFill/>
                  </pic:spPr>
                </pic:pic>
              </a:graphicData>
            </a:graphic>
          </wp:inline>
        </w:drawing>
      </w:r>
    </w:p>
    <w:p w14:paraId="40A564B6" w14:textId="69FC284C" w:rsidR="005D48C0" w:rsidRDefault="009037F7" w:rsidP="009037F7">
      <w:pPr>
        <w:pStyle w:val="Figuretitle"/>
      </w:pPr>
      <w:r w:rsidRPr="009037F7">
        <w:t xml:space="preserve">Poverty gap for </w:t>
      </w:r>
      <w:proofErr w:type="spellStart"/>
      <w:r w:rsidRPr="009037F7">
        <w:t>JobSeeker</w:t>
      </w:r>
      <w:proofErr w:type="spellEnd"/>
      <w:r w:rsidRPr="009037F7">
        <w:t xml:space="preserve"> and Youth Allowance recipients with the introduction, reduction, and removal of the Coronavirus Supplement</w:t>
      </w:r>
      <w:r w:rsidR="00D91580">
        <w:rPr>
          <w:rStyle w:val="EndnoteReference"/>
        </w:rPr>
        <w:endnoteReference w:id="13"/>
      </w:r>
    </w:p>
    <w:p w14:paraId="4804F5DB" w14:textId="0D31E699" w:rsidR="0097455D" w:rsidRDefault="008A0010" w:rsidP="006717DC">
      <w:pPr>
        <w:pStyle w:val="BodyText"/>
      </w:pPr>
      <w:r>
        <w:rPr>
          <w:noProof/>
        </w:rPr>
        <w:drawing>
          <wp:inline distT="0" distB="0" distL="0" distR="0" wp14:anchorId="5DC7AED5" wp14:editId="4BF10771">
            <wp:extent cx="6082030" cy="4307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1652" cy="4321854"/>
                    </a:xfrm>
                    <a:prstGeom prst="rect">
                      <a:avLst/>
                    </a:prstGeom>
                    <a:noFill/>
                  </pic:spPr>
                </pic:pic>
              </a:graphicData>
            </a:graphic>
          </wp:inline>
        </w:drawing>
      </w:r>
    </w:p>
    <w:p w14:paraId="0947756F" w14:textId="5C5FE307" w:rsidR="00C91522" w:rsidRDefault="00DD56AC" w:rsidP="00BB5DCF">
      <w:pPr>
        <w:pStyle w:val="Heading1"/>
      </w:pPr>
      <w:r>
        <w:lastRenderedPageBreak/>
        <w:t>Poverty in Australia, 2020: Who is affected?</w:t>
      </w:r>
      <w:r w:rsidR="00C91522">
        <w:t xml:space="preserve"> </w:t>
      </w:r>
    </w:p>
    <w:p w14:paraId="6595797A" w14:textId="1E1C08C3" w:rsidR="005851E1" w:rsidRPr="005851E1" w:rsidRDefault="005851E1" w:rsidP="005851E1">
      <w:pPr>
        <w:pStyle w:val="BodyText"/>
      </w:pPr>
      <w:r w:rsidRPr="005851E1">
        <w:t>Some groups of people are more at risk of poverty than others. Factors such as age, gender, family relationships, paid work and sources of income, disability and other characteristics can all have an impact on poverty risks.</w:t>
      </w:r>
      <w:r>
        <w:rPr>
          <w:rStyle w:val="EndnoteReference"/>
        </w:rPr>
        <w:endnoteReference w:id="14"/>
      </w:r>
    </w:p>
    <w:p w14:paraId="1452F265" w14:textId="25E1A6BE" w:rsidR="00BB5DCF" w:rsidRDefault="00BB5DCF" w:rsidP="006717DC">
      <w:pPr>
        <w:pStyle w:val="BodyText"/>
      </w:pPr>
      <w:r w:rsidRPr="00C766C3">
        <w:rPr>
          <w:b/>
          <w:bCs/>
        </w:rPr>
        <w:t>UNEMPLOYMENT</w:t>
      </w:r>
      <w:r w:rsidR="00C766C3">
        <w:rPr>
          <w:b/>
          <w:bCs/>
        </w:rPr>
        <w:t xml:space="preserve">: </w:t>
      </w:r>
      <w:r w:rsidRPr="0022357D">
        <w:rPr>
          <w:b/>
          <w:bCs/>
        </w:rPr>
        <w:t>People who are unemployed</w:t>
      </w:r>
      <w:r w:rsidRPr="0022357D">
        <w:t xml:space="preserve"> are at most risk of poverty. </w:t>
      </w:r>
      <w:r w:rsidRPr="0022357D">
        <w:rPr>
          <w:b/>
          <w:bCs/>
        </w:rPr>
        <w:t>66%</w:t>
      </w:r>
      <w:r w:rsidRPr="0022357D">
        <w:t xml:space="preserve"> of people in households where the main income earner is unemployed live in poverty.</w:t>
      </w:r>
    </w:p>
    <w:p w14:paraId="26FDFB3E" w14:textId="651E057E" w:rsidR="00BB5DCF" w:rsidRPr="0022357D" w:rsidRDefault="006645C1" w:rsidP="006717DC">
      <w:pPr>
        <w:pStyle w:val="BodyText"/>
      </w:pPr>
      <w:r w:rsidRPr="00C766C3">
        <w:rPr>
          <w:b/>
          <w:bCs/>
        </w:rPr>
        <w:t>INCOME SUPPORT</w:t>
      </w:r>
      <w:r w:rsidR="00C766C3">
        <w:rPr>
          <w:b/>
          <w:bCs/>
        </w:rPr>
        <w:t xml:space="preserve">: </w:t>
      </w:r>
      <w:r w:rsidRPr="0022357D">
        <w:rPr>
          <w:b/>
          <w:bCs/>
        </w:rPr>
        <w:t>People relying on income support payments</w:t>
      </w:r>
      <w:r w:rsidRPr="0022357D">
        <w:t xml:space="preserve"> rather than a wage are approximately </w:t>
      </w:r>
      <w:r w:rsidRPr="0022357D">
        <w:rPr>
          <w:b/>
          <w:bCs/>
        </w:rPr>
        <w:t>5 times more likely</w:t>
      </w:r>
      <w:r w:rsidRPr="0022357D">
        <w:t xml:space="preserve"> to live in poverty.</w:t>
      </w:r>
    </w:p>
    <w:p w14:paraId="2E639CA7" w14:textId="2F7C3FF1" w:rsidR="006645C1" w:rsidRPr="0022357D" w:rsidRDefault="006645C1" w:rsidP="006717DC">
      <w:pPr>
        <w:pStyle w:val="BodyText"/>
      </w:pPr>
      <w:r w:rsidRPr="00C766C3">
        <w:rPr>
          <w:b/>
          <w:bCs/>
        </w:rPr>
        <w:t>HOUSING</w:t>
      </w:r>
      <w:r w:rsidR="00C766C3">
        <w:rPr>
          <w:b/>
          <w:bCs/>
        </w:rPr>
        <w:t xml:space="preserve">: </w:t>
      </w:r>
      <w:r w:rsidRPr="0022357D">
        <w:rPr>
          <w:b/>
          <w:bCs/>
        </w:rPr>
        <w:t>People who rent</w:t>
      </w:r>
      <w:r w:rsidRPr="0022357D">
        <w:t xml:space="preserve"> their home are almost twice as likely to live in poverty (</w:t>
      </w:r>
      <w:r w:rsidRPr="0022357D">
        <w:rPr>
          <w:b/>
          <w:bCs/>
        </w:rPr>
        <w:t>19%</w:t>
      </w:r>
      <w:r w:rsidRPr="0022357D">
        <w:t>) as those who own their home (9%).</w:t>
      </w:r>
    </w:p>
    <w:p w14:paraId="01F1F819" w14:textId="3BEF0D42" w:rsidR="006645C1" w:rsidRPr="0022357D" w:rsidRDefault="00DB4CE5" w:rsidP="006717DC">
      <w:pPr>
        <w:pStyle w:val="BodyText"/>
      </w:pPr>
      <w:r w:rsidRPr="00C766C3">
        <w:rPr>
          <w:b/>
          <w:bCs/>
        </w:rPr>
        <w:t>PARENTAL STATUS &amp; GENDER</w:t>
      </w:r>
      <w:r w:rsidR="00C766C3">
        <w:rPr>
          <w:b/>
          <w:bCs/>
        </w:rPr>
        <w:t xml:space="preserve">: </w:t>
      </w:r>
      <w:r w:rsidRPr="0022357D">
        <w:rPr>
          <w:b/>
          <w:bCs/>
        </w:rPr>
        <w:t>Sole parent families</w:t>
      </w:r>
      <w:r w:rsidRPr="0022357D">
        <w:t xml:space="preserve"> are more likely to be in poverty (</w:t>
      </w:r>
      <w:r w:rsidRPr="0022357D">
        <w:rPr>
          <w:b/>
          <w:bCs/>
        </w:rPr>
        <w:t>35%</w:t>
      </w:r>
      <w:r w:rsidRPr="0022357D">
        <w:t xml:space="preserve">) than couple families (11%). </w:t>
      </w:r>
      <w:r w:rsidRPr="0022357D">
        <w:rPr>
          <w:b/>
          <w:bCs/>
        </w:rPr>
        <w:t>Families with children with a female main earner</w:t>
      </w:r>
      <w:r w:rsidRPr="0022357D">
        <w:t xml:space="preserve"> are more likely to be in poverty (</w:t>
      </w:r>
      <w:r w:rsidRPr="0022357D">
        <w:rPr>
          <w:b/>
          <w:bCs/>
        </w:rPr>
        <w:t>23%</w:t>
      </w:r>
      <w:r w:rsidRPr="0022357D">
        <w:t>) than families with children with a male main earner (10%).</w:t>
      </w:r>
    </w:p>
    <w:p w14:paraId="10436048" w14:textId="64F6F046" w:rsidR="00DB4CE5" w:rsidRDefault="00DB4CE5" w:rsidP="006717DC">
      <w:pPr>
        <w:pStyle w:val="BodyText"/>
      </w:pPr>
      <w:r w:rsidRPr="00C766C3">
        <w:rPr>
          <w:b/>
          <w:bCs/>
        </w:rPr>
        <w:t>AGE</w:t>
      </w:r>
      <w:r w:rsidR="00C766C3">
        <w:rPr>
          <w:b/>
          <w:bCs/>
        </w:rPr>
        <w:t xml:space="preserve">: </w:t>
      </w:r>
      <w:r w:rsidRPr="0022357D">
        <w:rPr>
          <w:b/>
          <w:bCs/>
        </w:rPr>
        <w:t>Children</w:t>
      </w:r>
      <w:r w:rsidRPr="00DB4CE5">
        <w:t xml:space="preserve"> are more likely to live in poverty (</w:t>
      </w:r>
      <w:r w:rsidRPr="0022357D">
        <w:rPr>
          <w:b/>
          <w:bCs/>
        </w:rPr>
        <w:t>18%</w:t>
      </w:r>
      <w:r w:rsidRPr="00DB4CE5">
        <w:t>) when compared with the whole population (14%). The risk of poverty for children in sole parent families is much higher, at 44%. The poverty rate for people aged over 65 is somewhat lower, at 10%, except for people aged 65+ who are renting (39%).</w:t>
      </w:r>
    </w:p>
    <w:p w14:paraId="57F942EC" w14:textId="3A94394A" w:rsidR="00DB4CE5" w:rsidRDefault="00395C00" w:rsidP="006717DC">
      <w:pPr>
        <w:pStyle w:val="BodyText"/>
      </w:pPr>
      <w:r w:rsidRPr="00C766C3">
        <w:rPr>
          <w:b/>
          <w:bCs/>
        </w:rPr>
        <w:t>LOW-PAID WORK</w:t>
      </w:r>
      <w:r w:rsidR="00C766C3">
        <w:rPr>
          <w:b/>
          <w:bCs/>
        </w:rPr>
        <w:t xml:space="preserve">: </w:t>
      </w:r>
      <w:r w:rsidRPr="000A672C">
        <w:rPr>
          <w:b/>
          <w:bCs/>
        </w:rPr>
        <w:t>38% of people in poverty are in wage</w:t>
      </w:r>
      <w:r w:rsidR="0022357D" w:rsidRPr="000A672C">
        <w:rPr>
          <w:b/>
          <w:bCs/>
        </w:rPr>
        <w:t>-</w:t>
      </w:r>
      <w:r w:rsidRPr="000A672C">
        <w:rPr>
          <w:b/>
          <w:bCs/>
        </w:rPr>
        <w:t>earning households</w:t>
      </w:r>
      <w:r w:rsidRPr="00395C00">
        <w:t>. The vast majority of these households (72%) are families with children, and a significant proportion are relying on part-time work (36%).</w:t>
      </w:r>
    </w:p>
    <w:p w14:paraId="0E588ACD" w14:textId="21B72C2E" w:rsidR="00A204F9" w:rsidRDefault="00A204F9" w:rsidP="00A204F9">
      <w:pPr>
        <w:pStyle w:val="Heading1"/>
      </w:pPr>
      <w:r>
        <w:t>Solutions to Poverty</w:t>
      </w:r>
    </w:p>
    <w:p w14:paraId="2EDAB197" w14:textId="77777777" w:rsidR="00A204F9" w:rsidRDefault="00395C00" w:rsidP="00A204F9">
      <w:pPr>
        <w:pStyle w:val="ListBullet"/>
      </w:pPr>
      <w:r w:rsidRPr="00395C00">
        <w:t xml:space="preserve">Set a serious goal of full employment. </w:t>
      </w:r>
    </w:p>
    <w:p w14:paraId="3624DA1C" w14:textId="77777777" w:rsidR="00A204F9" w:rsidRDefault="00395C00" w:rsidP="00A204F9">
      <w:pPr>
        <w:pStyle w:val="ListBullet"/>
      </w:pPr>
      <w:r w:rsidRPr="00395C00">
        <w:t xml:space="preserve">Commit to a flexible employment and training guarantee to improve the employment prospects of people unemployed long-term. </w:t>
      </w:r>
    </w:p>
    <w:p w14:paraId="0EF4619C" w14:textId="77777777" w:rsidR="00A204F9" w:rsidRDefault="00395C00" w:rsidP="00A204F9">
      <w:pPr>
        <w:pStyle w:val="ListBullet"/>
      </w:pPr>
      <w:r w:rsidRPr="00395C00">
        <w:t xml:space="preserve">Permanently lift social security payments above the poverty line. </w:t>
      </w:r>
    </w:p>
    <w:p w14:paraId="244FD78A" w14:textId="77777777" w:rsidR="00A204F9" w:rsidRDefault="00395C00" w:rsidP="00A204F9">
      <w:pPr>
        <w:pStyle w:val="ListBullet"/>
      </w:pPr>
      <w:r w:rsidRPr="00395C00">
        <w:t xml:space="preserve">Increase Rent Assistance so that everyone around the country receives enough rental support. </w:t>
      </w:r>
    </w:p>
    <w:p w14:paraId="54CC5B8F" w14:textId="5A3E5500" w:rsidR="00395C00" w:rsidRDefault="00395C00" w:rsidP="00A204F9">
      <w:pPr>
        <w:pStyle w:val="ListBullet"/>
      </w:pPr>
      <w:r w:rsidRPr="00395C00">
        <w:t>Build more social housing to improve the supply of secure and affordable homes.</w:t>
      </w:r>
    </w:p>
    <w:p w14:paraId="345B78D7" w14:textId="027EC367" w:rsidR="007343A7" w:rsidRDefault="007343A7" w:rsidP="007343A7">
      <w:pPr>
        <w:pStyle w:val="Heading1"/>
      </w:pPr>
      <w:r>
        <w:lastRenderedPageBreak/>
        <w:t>Raise the Rate campaign</w:t>
      </w:r>
    </w:p>
    <w:p w14:paraId="3437AE97" w14:textId="77777777" w:rsidR="007343A7" w:rsidRDefault="007343A7" w:rsidP="007343A7">
      <w:pPr>
        <w:pStyle w:val="BodyText"/>
      </w:pPr>
      <w:r>
        <w:t xml:space="preserve">ACOSS is running the </w:t>
      </w:r>
      <w:r w:rsidRPr="00DE1734">
        <w:rPr>
          <w:b/>
          <w:bCs/>
        </w:rPr>
        <w:t>Raise the Rate</w:t>
      </w:r>
      <w:r>
        <w:t xml:space="preserve"> campaign which is calling on the Australian Government to permanently and adequately raise the rate of the unemployment and related payments allowances so that they keep people out of poverty. </w:t>
      </w:r>
    </w:p>
    <w:p w14:paraId="5731B291" w14:textId="59B4FFBF" w:rsidR="007343A7" w:rsidRDefault="007343A7" w:rsidP="007343A7">
      <w:pPr>
        <w:pStyle w:val="BodyText"/>
      </w:pPr>
      <w:r>
        <w:t xml:space="preserve">Raise the Rate website: </w:t>
      </w:r>
      <w:hyperlink r:id="rId16" w:history="1">
        <w:r w:rsidRPr="00EA2F9D">
          <w:rPr>
            <w:rStyle w:val="Hyperlink"/>
          </w:rPr>
          <w:t>raisetherate</w:t>
        </w:r>
        <w:r w:rsidRPr="00EA2F9D">
          <w:rPr>
            <w:rStyle w:val="Hyperlink"/>
          </w:rPr>
          <w:t>.org.au</w:t>
        </w:r>
      </w:hyperlink>
      <w:r>
        <w:t xml:space="preserve"> </w:t>
      </w:r>
      <w:r w:rsidRPr="00D3642B">
        <w:t xml:space="preserve">| </w:t>
      </w:r>
      <w:r>
        <w:t>#RaiseTheRateForGood</w:t>
      </w:r>
    </w:p>
    <w:p w14:paraId="4E5E145D" w14:textId="075B96F2" w:rsidR="007343A7" w:rsidRDefault="007343A7" w:rsidP="00EE2C9F">
      <w:pPr>
        <w:pStyle w:val="Heading1"/>
      </w:pPr>
      <w:r>
        <w:t xml:space="preserve">Everybody’s Home </w:t>
      </w:r>
      <w:r w:rsidR="00EE2C9F">
        <w:t>campaign</w:t>
      </w:r>
    </w:p>
    <w:p w14:paraId="5FBA7251" w14:textId="02878EC6" w:rsidR="00EE2C9F" w:rsidRDefault="005959B0" w:rsidP="007343A7">
      <w:pPr>
        <w:pStyle w:val="BodyText"/>
      </w:pPr>
      <w:r>
        <w:t xml:space="preserve">The </w:t>
      </w:r>
      <w:r w:rsidRPr="00E23AB1">
        <w:rPr>
          <w:b/>
          <w:bCs/>
        </w:rPr>
        <w:t>Everybody’s Home</w:t>
      </w:r>
      <w:r>
        <w:t xml:space="preserve"> campaign is calling for</w:t>
      </w:r>
      <w:r w:rsidRPr="005959B0">
        <w:t xml:space="preserve"> a better, fairer housing system for everyone.</w:t>
      </w:r>
    </w:p>
    <w:p w14:paraId="257CE825" w14:textId="07A3088E" w:rsidR="005959B0" w:rsidRPr="00CE0136" w:rsidRDefault="005959B0" w:rsidP="007343A7">
      <w:pPr>
        <w:pStyle w:val="BodyText"/>
      </w:pPr>
      <w:r>
        <w:t xml:space="preserve">Everybody’s Home website: </w:t>
      </w:r>
      <w:hyperlink r:id="rId17" w:history="1">
        <w:r w:rsidR="00D36B54" w:rsidRPr="00603936">
          <w:rPr>
            <w:rStyle w:val="Hyperlink"/>
          </w:rPr>
          <w:t>every</w:t>
        </w:r>
        <w:r w:rsidR="00D36B54" w:rsidRPr="00603936">
          <w:rPr>
            <w:rStyle w:val="Hyperlink"/>
          </w:rPr>
          <w:t>bodyshome.com.au</w:t>
        </w:r>
      </w:hyperlink>
      <w:r w:rsidR="00D36B54">
        <w:t xml:space="preserve"> </w:t>
      </w:r>
    </w:p>
    <w:p w14:paraId="7E22698E" w14:textId="3B84988F" w:rsidR="00321CCC" w:rsidRDefault="00321CCC" w:rsidP="00321CCC">
      <w:pPr>
        <w:pStyle w:val="Heading1"/>
      </w:pPr>
      <w:r>
        <w:t xml:space="preserve">Further reading </w:t>
      </w:r>
    </w:p>
    <w:p w14:paraId="2AA8B17B" w14:textId="746F5215" w:rsidR="005418C2" w:rsidRPr="00FE7DC2" w:rsidRDefault="00321CCC" w:rsidP="00321CCC">
      <w:pPr>
        <w:pStyle w:val="BodyText"/>
        <w:rPr>
          <w:b/>
          <w:bCs/>
        </w:rPr>
      </w:pPr>
      <w:r w:rsidRPr="000108D9">
        <w:rPr>
          <w:b/>
          <w:bCs/>
        </w:rPr>
        <w:t>ACT Cost of Living Report, 20</w:t>
      </w:r>
      <w:r w:rsidR="009878FE">
        <w:rPr>
          <w:b/>
          <w:bCs/>
        </w:rPr>
        <w:t>20</w:t>
      </w:r>
      <w:r w:rsidR="00FE7DC2">
        <w:rPr>
          <w:b/>
          <w:bCs/>
        </w:rPr>
        <w:br/>
      </w:r>
      <w:hyperlink r:id="rId18" w:history="1">
        <w:r w:rsidR="00C55288" w:rsidRPr="009E363A">
          <w:rPr>
            <w:rStyle w:val="Hyperlink"/>
          </w:rPr>
          <w:t>https://www.actcoss.</w:t>
        </w:r>
        <w:r w:rsidR="00C55288" w:rsidRPr="009E363A">
          <w:rPr>
            <w:rStyle w:val="Hyperlink"/>
          </w:rPr>
          <w:t>org.au/publications/advocacy-publications/act-cost-living-report-2020</w:t>
        </w:r>
      </w:hyperlink>
      <w:r w:rsidR="00C55288">
        <w:t xml:space="preserve"> </w:t>
      </w:r>
    </w:p>
    <w:p w14:paraId="04BFA60B" w14:textId="3E28A2E2" w:rsidR="000108D9" w:rsidRDefault="00721661" w:rsidP="00321CCC">
      <w:pPr>
        <w:pStyle w:val="BodyText"/>
      </w:pPr>
      <w:r>
        <w:rPr>
          <w:b/>
          <w:bCs/>
        </w:rPr>
        <w:t xml:space="preserve">2020 ACT Election </w:t>
      </w:r>
      <w:r w:rsidR="00C9467A">
        <w:rPr>
          <w:b/>
          <w:bCs/>
        </w:rPr>
        <w:t>Issue Brief: Poverty, inequality, and the cost of living</w:t>
      </w:r>
      <w:r w:rsidR="00321CCC" w:rsidRPr="00C0384B">
        <w:rPr>
          <w:b/>
          <w:bCs/>
        </w:rPr>
        <w:t xml:space="preserve"> </w:t>
      </w:r>
      <w:r w:rsidR="00FE7DC2">
        <w:rPr>
          <w:b/>
          <w:bCs/>
        </w:rPr>
        <w:br/>
      </w:r>
      <w:hyperlink r:id="rId19" w:history="1">
        <w:r w:rsidR="00C9467A" w:rsidRPr="009E363A">
          <w:rPr>
            <w:rStyle w:val="Hyperlink"/>
          </w:rPr>
          <w:t>https://www.actcos</w:t>
        </w:r>
        <w:r w:rsidR="00C9467A" w:rsidRPr="009E363A">
          <w:rPr>
            <w:rStyle w:val="Hyperlink"/>
          </w:rPr>
          <w:t>s.org.au/publications/election-platform/cost-living-financial-hardship-and-poverty</w:t>
        </w:r>
      </w:hyperlink>
      <w:r w:rsidR="00C9467A">
        <w:t xml:space="preserve"> </w:t>
      </w:r>
    </w:p>
    <w:p w14:paraId="2641A570" w14:textId="77777777" w:rsidR="00C9467A" w:rsidRPr="00FE7DC2" w:rsidRDefault="00C9467A" w:rsidP="00C9467A">
      <w:pPr>
        <w:pStyle w:val="BodyText"/>
        <w:rPr>
          <w:b/>
          <w:bCs/>
        </w:rPr>
      </w:pPr>
      <w:r w:rsidRPr="005418C2">
        <w:rPr>
          <w:b/>
          <w:bCs/>
        </w:rPr>
        <w:t>Hidden disadvantage in the ACT: Report for ACT Anti-Poverty Week 2017</w:t>
      </w:r>
      <w:r>
        <w:rPr>
          <w:b/>
          <w:bCs/>
        </w:rPr>
        <w:br/>
      </w:r>
      <w:hyperlink r:id="rId20" w:history="1">
        <w:r w:rsidRPr="00C30F78">
          <w:rPr>
            <w:rStyle w:val="Hyperlink"/>
          </w:rPr>
          <w:t>https://www.actcoss.org.au/publica</w:t>
        </w:r>
        <w:r w:rsidRPr="00C30F78">
          <w:rPr>
            <w:rStyle w:val="Hyperlink"/>
          </w:rPr>
          <w:t>tions/advocacy-publications/hidden-disadvantage-act-report-anti-poverty-week-2017</w:t>
        </w:r>
      </w:hyperlink>
      <w:r>
        <w:t xml:space="preserve"> </w:t>
      </w:r>
    </w:p>
    <w:p w14:paraId="030479CD" w14:textId="0C1583E8" w:rsidR="00321CCC" w:rsidRDefault="00321CCC" w:rsidP="00321CCC">
      <w:pPr>
        <w:pStyle w:val="BodyText"/>
      </w:pPr>
      <w:r w:rsidRPr="003C4927">
        <w:rPr>
          <w:b/>
          <w:bCs/>
        </w:rPr>
        <w:t xml:space="preserve">ACOSS </w:t>
      </w:r>
      <w:r w:rsidR="00DA5DD6">
        <w:rPr>
          <w:b/>
          <w:bCs/>
        </w:rPr>
        <w:t>Briefing: Next steps for income support</w:t>
      </w:r>
      <w:r w:rsidR="008F31ED">
        <w:rPr>
          <w:b/>
          <w:bCs/>
        </w:rPr>
        <w:t>, July 2020</w:t>
      </w:r>
      <w:r w:rsidR="00FE7DC2">
        <w:rPr>
          <w:b/>
          <w:bCs/>
        </w:rPr>
        <w:br/>
      </w:r>
      <w:hyperlink r:id="rId21" w:history="1">
        <w:r w:rsidR="008F31ED" w:rsidRPr="009E363A">
          <w:rPr>
            <w:rStyle w:val="Hyperlink"/>
          </w:rPr>
          <w:t>https://www.acoss.org.au/wp-content/uploads/2020/09/Social-security-next-steps-JUL-UPDATED-2-9_.pdf</w:t>
        </w:r>
      </w:hyperlink>
      <w:r w:rsidR="008F31ED">
        <w:t xml:space="preserve"> </w:t>
      </w:r>
    </w:p>
    <w:p w14:paraId="39AB29D2" w14:textId="28619A59" w:rsidR="009519D0" w:rsidRDefault="00D267B9" w:rsidP="00321CCC">
      <w:pPr>
        <w:pStyle w:val="BodyText"/>
      </w:pPr>
      <w:r w:rsidRPr="008A536E">
        <w:rPr>
          <w:b/>
          <w:bCs/>
        </w:rPr>
        <w:t>ACOSS &amp; UNSW Poverty and Inequality</w:t>
      </w:r>
      <w:r w:rsidR="009519D0" w:rsidRPr="008A536E">
        <w:rPr>
          <w:b/>
          <w:bCs/>
        </w:rPr>
        <w:t xml:space="preserve"> in Australia website</w:t>
      </w:r>
      <w:r w:rsidR="009519D0">
        <w:br/>
      </w:r>
      <w:hyperlink r:id="rId22" w:history="1">
        <w:r w:rsidR="009519D0" w:rsidRPr="009E363A">
          <w:rPr>
            <w:rStyle w:val="Hyperlink"/>
          </w:rPr>
          <w:t>http://povertyandinequality.acoss.org.au</w:t>
        </w:r>
      </w:hyperlink>
      <w:r w:rsidR="009519D0">
        <w:t xml:space="preserve"> </w:t>
      </w:r>
    </w:p>
    <w:p w14:paraId="0BA4FEBF" w14:textId="4D777E92" w:rsidR="007C19A2" w:rsidRPr="00FE7DC2" w:rsidRDefault="00321CCC" w:rsidP="00321CCC">
      <w:pPr>
        <w:pStyle w:val="BodyText"/>
        <w:rPr>
          <w:b/>
          <w:bCs/>
        </w:rPr>
      </w:pPr>
      <w:r w:rsidRPr="007C19A2">
        <w:rPr>
          <w:b/>
          <w:bCs/>
        </w:rPr>
        <w:t>Poverty in Australia 20</w:t>
      </w:r>
      <w:r w:rsidR="00B236C9">
        <w:rPr>
          <w:b/>
          <w:bCs/>
        </w:rPr>
        <w:t>20</w:t>
      </w:r>
      <w:r w:rsidR="00FE7DC2">
        <w:rPr>
          <w:b/>
          <w:bCs/>
        </w:rPr>
        <w:br/>
      </w:r>
      <w:hyperlink r:id="rId23" w:history="1">
        <w:r w:rsidR="007B2439" w:rsidRPr="009E363A">
          <w:rPr>
            <w:rStyle w:val="Hyperlink"/>
          </w:rPr>
          <w:t>http://povertyand</w:t>
        </w:r>
        <w:r w:rsidR="007B2439" w:rsidRPr="009E363A">
          <w:rPr>
            <w:rStyle w:val="Hyperlink"/>
          </w:rPr>
          <w:t>inequality.acoss.org.au/publication/poverty-in-australia-2020-part-1-overview</w:t>
        </w:r>
      </w:hyperlink>
      <w:r w:rsidR="007B2439">
        <w:t xml:space="preserve"> </w:t>
      </w:r>
    </w:p>
    <w:p w14:paraId="60C12C7F" w14:textId="083546DD" w:rsidR="005D134E" w:rsidRPr="00FE7DC2" w:rsidRDefault="005D134E" w:rsidP="00321CCC">
      <w:pPr>
        <w:pStyle w:val="BodyText"/>
        <w:rPr>
          <w:b/>
          <w:bCs/>
        </w:rPr>
      </w:pPr>
      <w:r w:rsidRPr="005D134E">
        <w:rPr>
          <w:b/>
          <w:bCs/>
        </w:rPr>
        <w:t>Inequality in Australia 20</w:t>
      </w:r>
      <w:r w:rsidR="006837A4">
        <w:rPr>
          <w:b/>
          <w:bCs/>
        </w:rPr>
        <w:t>20</w:t>
      </w:r>
      <w:r w:rsidR="00FE7DC2">
        <w:rPr>
          <w:b/>
          <w:bCs/>
        </w:rPr>
        <w:br/>
      </w:r>
      <w:hyperlink r:id="rId24" w:history="1">
        <w:r w:rsidR="00D267B9" w:rsidRPr="009E363A">
          <w:rPr>
            <w:rStyle w:val="Hyperlink"/>
          </w:rPr>
          <w:t>http://povertya</w:t>
        </w:r>
        <w:r w:rsidR="00D267B9" w:rsidRPr="009E363A">
          <w:rPr>
            <w:rStyle w:val="Hyperlink"/>
          </w:rPr>
          <w:t>ndinequality.acoss.org.au/inequality/inequality-in-australia-2020-part-1-overview</w:t>
        </w:r>
      </w:hyperlink>
      <w:r w:rsidR="00D267B9">
        <w:t xml:space="preserve"> </w:t>
      </w:r>
    </w:p>
    <w:p w14:paraId="2B070B51" w14:textId="57EE3301" w:rsidR="00321CCC" w:rsidRPr="00FE7DC2" w:rsidRDefault="00321CCC" w:rsidP="00321CCC">
      <w:pPr>
        <w:pStyle w:val="BodyText"/>
        <w:rPr>
          <w:b/>
          <w:bCs/>
        </w:rPr>
      </w:pPr>
    </w:p>
    <w:p w14:paraId="4849F479" w14:textId="77777777" w:rsidR="00321CCC" w:rsidRDefault="00321CCC" w:rsidP="00760993">
      <w:pPr>
        <w:pStyle w:val="Heading1"/>
      </w:pPr>
      <w:r>
        <w:lastRenderedPageBreak/>
        <w:t xml:space="preserve">Connect </w:t>
      </w:r>
    </w:p>
    <w:p w14:paraId="5834A753" w14:textId="0D9F27A3" w:rsidR="00321CCC" w:rsidRDefault="00321CCC" w:rsidP="00321CCC">
      <w:pPr>
        <w:pStyle w:val="BodyText"/>
      </w:pPr>
      <w:r>
        <w:t xml:space="preserve">ACTCOSS website: </w:t>
      </w:r>
      <w:hyperlink r:id="rId25" w:history="1">
        <w:r w:rsidR="0076673F" w:rsidRPr="00970586">
          <w:rPr>
            <w:rStyle w:val="Hyperlink"/>
          </w:rPr>
          <w:t>www.actcoss.org.au</w:t>
        </w:r>
      </w:hyperlink>
      <w:r w:rsidR="004910C6">
        <w:t xml:space="preserve"> </w:t>
      </w:r>
      <w:r>
        <w:t xml:space="preserve">| Twitter: </w:t>
      </w:r>
      <w:hyperlink r:id="rId26" w:history="1">
        <w:r w:rsidRPr="00D03BD3">
          <w:rPr>
            <w:rStyle w:val="Hyperlink"/>
          </w:rPr>
          <w:t>@ACTCOSS</w:t>
        </w:r>
      </w:hyperlink>
      <w:r>
        <w:t xml:space="preserve"> </w:t>
      </w:r>
    </w:p>
    <w:p w14:paraId="770409BE" w14:textId="1FB249D1" w:rsidR="00321CCC" w:rsidRDefault="00321CCC" w:rsidP="00321CCC">
      <w:pPr>
        <w:pStyle w:val="BodyText"/>
      </w:pPr>
      <w:r>
        <w:t xml:space="preserve">ACOSS website: </w:t>
      </w:r>
      <w:hyperlink r:id="rId27" w:history="1">
        <w:r w:rsidR="0076673F" w:rsidRPr="00970586">
          <w:rPr>
            <w:rStyle w:val="Hyperlink"/>
          </w:rPr>
          <w:t>www.acoss.org.au</w:t>
        </w:r>
      </w:hyperlink>
      <w:r w:rsidR="004910C6">
        <w:t xml:space="preserve"> </w:t>
      </w:r>
      <w:bookmarkStart w:id="1" w:name="_Hlk53500543"/>
      <w:r>
        <w:t xml:space="preserve">| Twitter: </w:t>
      </w:r>
      <w:hyperlink r:id="rId28" w:history="1">
        <w:r w:rsidRPr="004910C6">
          <w:rPr>
            <w:rStyle w:val="Hyperlink"/>
          </w:rPr>
          <w:t>@ACOSS</w:t>
        </w:r>
      </w:hyperlink>
      <w:r>
        <w:t xml:space="preserve"> </w:t>
      </w:r>
      <w:bookmarkEnd w:id="1"/>
    </w:p>
    <w:p w14:paraId="453AE58F" w14:textId="2CBF804B" w:rsidR="00B167FC" w:rsidRPr="001E0977" w:rsidRDefault="00B167FC" w:rsidP="00987C94">
      <w:pPr>
        <w:pStyle w:val="Contactdetails"/>
        <w:jc w:val="left"/>
      </w:pPr>
    </w:p>
    <w:p w14:paraId="17D573DE" w14:textId="61492225" w:rsidR="006F515D" w:rsidRPr="001E0977" w:rsidRDefault="006F515D" w:rsidP="006F515D">
      <w:pPr>
        <w:pStyle w:val="Contactdetails"/>
      </w:pPr>
    </w:p>
    <w:sectPr w:rsidR="006F515D" w:rsidRPr="001E0977" w:rsidSect="001E0977">
      <w:footerReference w:type="even" r:id="rId29"/>
      <w:footerReference w:type="default" r:id="rId30"/>
      <w:footerReference w:type="first" r:id="rId31"/>
      <w:endnotePr>
        <w:numFmt w:val="decimal"/>
      </w:endnotePr>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66731" w14:textId="77777777" w:rsidR="00A034E3" w:rsidRDefault="00A034E3">
      <w:r>
        <w:separator/>
      </w:r>
    </w:p>
    <w:p w14:paraId="63617407" w14:textId="77777777" w:rsidR="00A034E3" w:rsidRDefault="00A034E3"/>
  </w:endnote>
  <w:endnote w:type="continuationSeparator" w:id="0">
    <w:p w14:paraId="07656CE7" w14:textId="77777777" w:rsidR="00A034E3" w:rsidRDefault="00A034E3">
      <w:r>
        <w:continuationSeparator/>
      </w:r>
    </w:p>
    <w:p w14:paraId="590F9CE7" w14:textId="77777777" w:rsidR="00A034E3" w:rsidRDefault="00A034E3"/>
  </w:endnote>
  <w:endnote w:type="continuationNotice" w:id="1">
    <w:p w14:paraId="361142D4" w14:textId="77777777" w:rsidR="008B54F7" w:rsidRDefault="008B54F7"/>
  </w:endnote>
  <w:endnote w:id="2">
    <w:p w14:paraId="284B9FED" w14:textId="58046881" w:rsidR="00C91522" w:rsidRPr="00725BD4" w:rsidRDefault="00C91522" w:rsidP="003B1128">
      <w:pPr>
        <w:pStyle w:val="FootnoteText"/>
        <w:ind w:right="-143"/>
        <w:rPr>
          <w:lang w:val="en-US"/>
        </w:rPr>
      </w:pPr>
      <w:r w:rsidRPr="007C15A0">
        <w:endnoteRef/>
      </w:r>
      <w:r w:rsidRPr="007C15A0">
        <w:t xml:space="preserve"> </w:t>
      </w:r>
      <w:r>
        <w:tab/>
      </w:r>
      <w:r>
        <w:rPr>
          <w:lang w:val="en-US"/>
        </w:rPr>
        <w:t xml:space="preserve">ABS, </w:t>
      </w:r>
      <w:r w:rsidRPr="00843D02">
        <w:rPr>
          <w:i/>
          <w:iCs/>
          <w:lang w:val="en-US"/>
        </w:rPr>
        <w:t>Experimental Index of Household Advantage and Disadvantage, 2016</w:t>
      </w:r>
      <w:r>
        <w:rPr>
          <w:lang w:val="en-US"/>
        </w:rPr>
        <w:t>, cat. no. 4198.0, ABS, Canberra, 2019, State and territory, percentage of persons, IHAD, 2016, Table 6, viewed 25 June 2019, &lt;</w:t>
      </w:r>
      <w:hyperlink r:id="rId1" w:history="1">
        <w:r w:rsidRPr="007C15A0">
          <w:rPr>
            <w:rStyle w:val="Hyperlink"/>
            <w:lang w:val="en-US"/>
          </w:rPr>
          <w:t>https://www.abs.gov.au/AUSSTATS/abs@.nsf/Lookup/4198.0Main+Features12016?OpenDocument</w:t>
        </w:r>
      </w:hyperlink>
      <w:r>
        <w:rPr>
          <w:lang w:val="en-US"/>
        </w:rPr>
        <w:t>&gt;.</w:t>
      </w:r>
    </w:p>
  </w:endnote>
  <w:endnote w:id="3">
    <w:p w14:paraId="6AD1AEC3" w14:textId="3E1A6578" w:rsidR="00C91522" w:rsidRPr="00DB15D4" w:rsidRDefault="00C91522" w:rsidP="00C91522">
      <w:pPr>
        <w:pStyle w:val="FootnoteText"/>
        <w:rPr>
          <w:lang w:val="en-US"/>
        </w:rPr>
      </w:pPr>
      <w:r w:rsidRPr="00AD2338">
        <w:endnoteRef/>
      </w:r>
      <w:r w:rsidRPr="00AD2338">
        <w:t xml:space="preserve"> </w:t>
      </w:r>
      <w:r>
        <w:tab/>
      </w:r>
      <w:r w:rsidR="00F91C6B" w:rsidRPr="00F91C6B">
        <w:rPr>
          <w:lang w:val="en-US"/>
        </w:rPr>
        <w:t xml:space="preserve">ACOSS </w:t>
      </w:r>
      <w:r w:rsidR="006B6386">
        <w:rPr>
          <w:lang w:val="en-US"/>
        </w:rPr>
        <w:t xml:space="preserve">&amp; </w:t>
      </w:r>
      <w:r w:rsidR="00F91C6B" w:rsidRPr="00F91C6B">
        <w:rPr>
          <w:lang w:val="en-US"/>
        </w:rPr>
        <w:t xml:space="preserve">UNSW, </w:t>
      </w:r>
      <w:r w:rsidR="00F91C6B" w:rsidRPr="00F91C6B">
        <w:rPr>
          <w:i/>
          <w:iCs/>
          <w:lang w:val="en-US"/>
        </w:rPr>
        <w:t>Poverty and Inequality website</w:t>
      </w:r>
      <w:r w:rsidR="00F91C6B" w:rsidRPr="00F91C6B">
        <w:rPr>
          <w:lang w:val="en-US"/>
        </w:rPr>
        <w:t xml:space="preserve">, Data and figures, Rate of poverty by state/territory of residence, 2020, </w:t>
      </w:r>
      <w:hyperlink r:id="rId2" w:history="1">
        <w:r w:rsidR="00F91C6B" w:rsidRPr="009E363A">
          <w:rPr>
            <w:rStyle w:val="Hyperlink"/>
            <w:lang w:val="en-US"/>
          </w:rPr>
          <w:t>http://povertyandinequality.acoss.org.au/poverty/rate-of-poverty-by-state-territory-of-residence-of-people/</w:t>
        </w:r>
      </w:hyperlink>
      <w:r w:rsidR="00F91C6B" w:rsidRPr="00F91C6B">
        <w:rPr>
          <w:lang w:val="en-US"/>
        </w:rPr>
        <w:t>; P Davidson, email, 18 May 2020</w:t>
      </w:r>
      <w:r w:rsidR="00607C1F">
        <w:rPr>
          <w:lang w:val="en-US"/>
        </w:rPr>
        <w:t xml:space="preserve">; </w:t>
      </w:r>
      <w:r w:rsidR="00AC3832" w:rsidRPr="00AC3832">
        <w:rPr>
          <w:lang w:val="en-US"/>
        </w:rPr>
        <w:t>B Phillips, unpublished data, ANU Centre for Social Research and Methods, Canberra, October 2020.</w:t>
      </w:r>
    </w:p>
  </w:endnote>
  <w:endnote w:id="4">
    <w:p w14:paraId="002A3647" w14:textId="599DAC2F" w:rsidR="00C91522" w:rsidRPr="002D3CD0" w:rsidRDefault="00C91522" w:rsidP="00C91522">
      <w:pPr>
        <w:pStyle w:val="FootnoteText"/>
        <w:rPr>
          <w:lang w:val="en-US"/>
        </w:rPr>
      </w:pPr>
      <w:r w:rsidRPr="00854A88">
        <w:endnoteRef/>
      </w:r>
      <w:r w:rsidRPr="00854A88">
        <w:t xml:space="preserve"> </w:t>
      </w:r>
      <w:r>
        <w:tab/>
      </w:r>
      <w:r>
        <w:rPr>
          <w:lang w:val="en-US"/>
        </w:rPr>
        <w:t>ACTCOSS</w:t>
      </w:r>
      <w:r w:rsidRPr="002411F2">
        <w:rPr>
          <w:i/>
          <w:iCs/>
          <w:lang w:val="en-US"/>
        </w:rPr>
        <w:t>, Food security, food assistance and the affordability of healthy food in Canberra</w:t>
      </w:r>
      <w:r>
        <w:rPr>
          <w:lang w:val="en-US"/>
        </w:rPr>
        <w:t>, ACTCOSS, Canberra, May 2019, p. 22, viewed 25 June 2019, &lt;</w:t>
      </w:r>
      <w:hyperlink r:id="rId3" w:history="1">
        <w:r w:rsidRPr="00854A88">
          <w:rPr>
            <w:rStyle w:val="Hyperlink"/>
            <w:lang w:val="en-US"/>
          </w:rPr>
          <w:t>https://www.actcoss.org.au/publications/advocacy-publications/report-food-security-food-assistance-and-affordability-healthy</w:t>
        </w:r>
      </w:hyperlink>
      <w:r>
        <w:rPr>
          <w:lang w:val="en-US"/>
        </w:rPr>
        <w:t xml:space="preserve">&gt;. </w:t>
      </w:r>
    </w:p>
  </w:endnote>
  <w:endnote w:id="5">
    <w:p w14:paraId="52CC954D" w14:textId="15DC63AB" w:rsidR="009E1FFE" w:rsidRPr="002411F2" w:rsidRDefault="009E1FFE" w:rsidP="009E1FFE">
      <w:pPr>
        <w:pStyle w:val="FootnoteText"/>
        <w:rPr>
          <w:lang w:val="en-US"/>
        </w:rPr>
      </w:pPr>
      <w:r w:rsidRPr="00854A88">
        <w:endnoteRef/>
      </w:r>
      <w:r w:rsidRPr="00854A88">
        <w:t xml:space="preserve"> </w:t>
      </w:r>
      <w:r>
        <w:tab/>
      </w:r>
      <w:r w:rsidRPr="002506C1">
        <w:t>Department of Social Services</w:t>
      </w:r>
      <w:r w:rsidRPr="002506C1">
        <w:rPr>
          <w:i/>
          <w:iCs/>
        </w:rPr>
        <w:t xml:space="preserve">, DSS </w:t>
      </w:r>
      <w:r w:rsidR="00FD5886">
        <w:rPr>
          <w:i/>
          <w:iCs/>
        </w:rPr>
        <w:t xml:space="preserve">Payment Demographic Data </w:t>
      </w:r>
      <w:r w:rsidR="00455362">
        <w:rPr>
          <w:i/>
          <w:iCs/>
        </w:rPr>
        <w:t>June 2020</w:t>
      </w:r>
      <w:r w:rsidRPr="002506C1">
        <w:t>, DSS, Canberra, 20</w:t>
      </w:r>
      <w:r w:rsidR="00455362">
        <w:t>20</w:t>
      </w:r>
      <w:r w:rsidRPr="002506C1">
        <w:t xml:space="preserve">, viewed </w:t>
      </w:r>
      <w:r w:rsidR="00455362">
        <w:t>12 October 2020</w:t>
      </w:r>
      <w:r w:rsidRPr="002506C1">
        <w:t>, &lt;</w:t>
      </w:r>
      <w:r w:rsidR="00F17124" w:rsidRPr="00F17124">
        <w:t xml:space="preserve"> </w:t>
      </w:r>
      <w:hyperlink r:id="rId4" w:history="1">
        <w:r w:rsidR="00F17124" w:rsidRPr="009E363A">
          <w:rPr>
            <w:rStyle w:val="Hyperlink"/>
          </w:rPr>
          <w:t>https://data.gov.au/data/dataset/dss-payment-demographic-data</w:t>
        </w:r>
      </w:hyperlink>
      <w:r w:rsidRPr="002506C1">
        <w:t>&gt;.</w:t>
      </w:r>
    </w:p>
  </w:endnote>
  <w:endnote w:id="6">
    <w:p w14:paraId="29C8A4F9" w14:textId="76A7166B" w:rsidR="00C91522" w:rsidRPr="009C1EB8" w:rsidRDefault="00C91522" w:rsidP="00C91522">
      <w:pPr>
        <w:pStyle w:val="FootnoteText"/>
        <w:rPr>
          <w:lang w:val="en-US"/>
        </w:rPr>
      </w:pPr>
      <w:r w:rsidRPr="00854A88">
        <w:endnoteRef/>
      </w:r>
      <w:r w:rsidRPr="00854A88">
        <w:t xml:space="preserve"> </w:t>
      </w:r>
      <w:r>
        <w:tab/>
      </w:r>
      <w:r w:rsidR="000C1C10" w:rsidRPr="000C1C10">
        <w:t xml:space="preserve">ABS, </w:t>
      </w:r>
      <w:r w:rsidR="000C1C10" w:rsidRPr="000C1C10">
        <w:rPr>
          <w:i/>
          <w:iCs/>
        </w:rPr>
        <w:t>4130.0 - Housing Occupancy and Costs, 2017-18</w:t>
      </w:r>
      <w:r w:rsidR="000C1C10" w:rsidRPr="000C1C10">
        <w:t>, ABS, Canberra, 2019, Table 21.1, viewed 5 September 2020, &lt;https://www.abs.gov.au/ausstats/abs@.nsf/mf/4130.0&gt;.</w:t>
      </w:r>
      <w:r w:rsidRPr="006C04D4">
        <w:t>&gt;.</w:t>
      </w:r>
      <w:r>
        <w:t xml:space="preserve"> </w:t>
      </w:r>
    </w:p>
  </w:endnote>
  <w:endnote w:id="7">
    <w:p w14:paraId="13BAE5B2" w14:textId="77777777" w:rsidR="00002C7F" w:rsidRPr="00BD6EDA" w:rsidRDefault="00002C7F" w:rsidP="00002C7F">
      <w:pPr>
        <w:pStyle w:val="FootnoteText"/>
        <w:rPr>
          <w:lang w:val="en-US"/>
        </w:rPr>
      </w:pPr>
      <w:r w:rsidRPr="00AD2338">
        <w:endnoteRef/>
      </w:r>
      <w:r w:rsidRPr="00AD2338">
        <w:t xml:space="preserve"> </w:t>
      </w:r>
      <w:r>
        <w:tab/>
      </w:r>
      <w:r>
        <w:rPr>
          <w:lang w:val="en-US"/>
        </w:rPr>
        <w:t xml:space="preserve">R Tanton, R Miranti &amp; Y Vidyattama, </w:t>
      </w:r>
      <w:r w:rsidRPr="00E86FC6">
        <w:rPr>
          <w:i/>
          <w:iCs/>
          <w:lang w:val="en-US"/>
        </w:rPr>
        <w:t>Hidden disadvantage in the ACT: Report for ACT Anti-Poverty Week</w:t>
      </w:r>
      <w:r>
        <w:rPr>
          <w:lang w:val="en-US"/>
        </w:rPr>
        <w:t>, NATSEM, Canberra, October 2017, viewed 25 June 2019, &lt;</w:t>
      </w:r>
      <w:hyperlink r:id="rId5" w:history="1">
        <w:r w:rsidRPr="00AD2338">
          <w:rPr>
            <w:rStyle w:val="Hyperlink"/>
            <w:lang w:val="en-US"/>
          </w:rPr>
          <w:t>https://www.actcoss.org.au/publications/advocacy-publications/hidden-disadvantage-act-report-anti-poverty-week-2017</w:t>
        </w:r>
      </w:hyperlink>
      <w:r>
        <w:rPr>
          <w:lang w:val="en-US"/>
        </w:rPr>
        <w:t xml:space="preserve">&gt;. </w:t>
      </w:r>
    </w:p>
  </w:endnote>
  <w:endnote w:id="8">
    <w:p w14:paraId="1A0D8DF2" w14:textId="27795237" w:rsidR="00C91522" w:rsidRPr="001623A9" w:rsidRDefault="00C91522" w:rsidP="00C91522">
      <w:pPr>
        <w:pStyle w:val="FootnoteText"/>
        <w:rPr>
          <w:lang w:val="en-US"/>
        </w:rPr>
      </w:pPr>
      <w:r w:rsidRPr="00854A88">
        <w:endnoteRef/>
      </w:r>
      <w:r w:rsidRPr="00854A88">
        <w:t xml:space="preserve"> </w:t>
      </w:r>
      <w:r>
        <w:tab/>
        <w:t xml:space="preserve">ABS, op. cit.; </w:t>
      </w:r>
      <w:r w:rsidRPr="001623A9">
        <w:t xml:space="preserve">E Davidson, </w:t>
      </w:r>
      <w:r w:rsidRPr="00435EF0">
        <w:rPr>
          <w:i/>
          <w:iCs/>
        </w:rPr>
        <w:t>Hidden disadvantage among women in the ACT</w:t>
      </w:r>
      <w:r w:rsidRPr="001623A9">
        <w:t>, Women’s Centre for Health Matters, Canberra, June 2018, viewed 1 April 2019, &lt;</w:t>
      </w:r>
      <w:hyperlink r:id="rId6" w:history="1">
        <w:r w:rsidRPr="00854A88">
          <w:rPr>
            <w:rStyle w:val="Hyperlink"/>
          </w:rPr>
          <w:t>http://www.wchm.org.au/wp-content/uploads/2018/06/Hidden-disadvantage-among-women-in-the-ACT-final.pdf</w:t>
        </w:r>
      </w:hyperlink>
      <w:r w:rsidRPr="001623A9">
        <w:t>&gt;; ACTCOSS unpublished analysis of ABS 2016 Census of Population and Housing using TableBuilder</w:t>
      </w:r>
      <w:r>
        <w:t>.</w:t>
      </w:r>
    </w:p>
  </w:endnote>
  <w:endnote w:id="9">
    <w:p w14:paraId="5E0666F6" w14:textId="41BB01BF" w:rsidR="002F1173" w:rsidRPr="002F1173" w:rsidRDefault="002F1173" w:rsidP="006B6386">
      <w:pPr>
        <w:pStyle w:val="FootnoteText"/>
        <w:rPr>
          <w:lang w:val="en-US"/>
        </w:rPr>
      </w:pPr>
      <w:r w:rsidRPr="000B7993">
        <w:endnoteRef/>
      </w:r>
      <w:r>
        <w:t xml:space="preserve"> </w:t>
      </w:r>
      <w:r w:rsidR="00B45C58">
        <w:tab/>
      </w:r>
      <w:r w:rsidRPr="000B7993">
        <w:t>ACOSS &amp; UNSW, op. cit.</w:t>
      </w:r>
    </w:p>
  </w:endnote>
  <w:endnote w:id="10">
    <w:p w14:paraId="0538E03A" w14:textId="07CB0437" w:rsidR="00643027" w:rsidRPr="00643027" w:rsidRDefault="00643027" w:rsidP="006B6386">
      <w:pPr>
        <w:pStyle w:val="FootnoteText"/>
        <w:rPr>
          <w:lang w:val="en-US"/>
        </w:rPr>
      </w:pPr>
      <w:r w:rsidRPr="006B6386">
        <w:endnoteRef/>
      </w:r>
      <w:r w:rsidRPr="006B6386">
        <w:t xml:space="preserve"> </w:t>
      </w:r>
      <w:r w:rsidR="00B45C58">
        <w:tab/>
      </w:r>
      <w:r w:rsidRPr="00AC3832">
        <w:t>B Phillips, unpublished data, ANU Centre for Social Research and Methods, Canberra, October 2020.</w:t>
      </w:r>
    </w:p>
  </w:endnote>
  <w:endnote w:id="11">
    <w:p w14:paraId="4AF2E026" w14:textId="4750A92D" w:rsidR="00337EAB" w:rsidRPr="00337EAB" w:rsidRDefault="00337EAB" w:rsidP="006B6386">
      <w:pPr>
        <w:pStyle w:val="FootnoteText"/>
        <w:rPr>
          <w:lang w:val="en-US"/>
        </w:rPr>
      </w:pPr>
      <w:r w:rsidRPr="006B6386">
        <w:endnoteRef/>
      </w:r>
      <w:r>
        <w:t xml:space="preserve"> </w:t>
      </w:r>
      <w:bookmarkStart w:id="0" w:name="_Hlk53492556"/>
      <w:r w:rsidR="00B45C58">
        <w:tab/>
      </w:r>
      <w:r w:rsidR="001E53C0" w:rsidRPr="00AC3832">
        <w:t xml:space="preserve">B Phillips, unpublished data, ANU Centre for Social Research and Methods, Canberra, </w:t>
      </w:r>
      <w:r w:rsidR="00D91580" w:rsidRPr="00AC3832">
        <w:t>October 2020.</w:t>
      </w:r>
    </w:p>
    <w:bookmarkEnd w:id="0"/>
  </w:endnote>
  <w:endnote w:id="12">
    <w:p w14:paraId="51B0F1AD" w14:textId="61925EEE" w:rsidR="00410031" w:rsidRPr="00410031" w:rsidRDefault="00410031" w:rsidP="006B6386">
      <w:pPr>
        <w:pStyle w:val="FootnoteText"/>
        <w:rPr>
          <w:lang w:val="en-US"/>
        </w:rPr>
      </w:pPr>
      <w:r w:rsidRPr="006B6386">
        <w:endnoteRef/>
      </w:r>
      <w:r>
        <w:t xml:space="preserve"> </w:t>
      </w:r>
      <w:r w:rsidR="00B45C58">
        <w:tab/>
      </w:r>
      <w:r w:rsidR="00206F95" w:rsidRPr="00337EAB">
        <w:t xml:space="preserve">ACTCOSS, </w:t>
      </w:r>
      <w:r w:rsidR="00206F95" w:rsidRPr="00337EAB">
        <w:rPr>
          <w:i/>
          <w:iCs/>
        </w:rPr>
        <w:t>ACT Cost of Living Report, 2020</w:t>
      </w:r>
      <w:r w:rsidR="00206F95" w:rsidRPr="00337EAB">
        <w:t xml:space="preserve">, ACTCOSS, Canberra, 2020, p. </w:t>
      </w:r>
      <w:r w:rsidR="00337EAB" w:rsidRPr="00337EAB">
        <w:t>37, viewed 13 October 2020, &lt;</w:t>
      </w:r>
      <w:hyperlink r:id="rId7" w:history="1">
        <w:r w:rsidR="00337EAB" w:rsidRPr="00F7483A">
          <w:rPr>
            <w:rStyle w:val="Hyperlink"/>
          </w:rPr>
          <w:t>https://www.actcoss.org.au/publications/advocacy-publications/act-cost-living-report-2020</w:t>
        </w:r>
      </w:hyperlink>
      <w:r w:rsidR="00337EAB" w:rsidRPr="00337EAB">
        <w:t>&gt;.</w:t>
      </w:r>
      <w:r w:rsidR="00337EAB">
        <w:t xml:space="preserve"> </w:t>
      </w:r>
    </w:p>
  </w:endnote>
  <w:endnote w:id="13">
    <w:p w14:paraId="09A2DCFB" w14:textId="75109C57" w:rsidR="00D91580" w:rsidRPr="00D91580" w:rsidRDefault="00D91580" w:rsidP="006B6386">
      <w:pPr>
        <w:pStyle w:val="FootnoteText"/>
        <w:rPr>
          <w:lang w:val="en-US"/>
        </w:rPr>
      </w:pPr>
      <w:r w:rsidRPr="006B6386">
        <w:endnoteRef/>
      </w:r>
      <w:r>
        <w:t xml:space="preserve"> </w:t>
      </w:r>
      <w:r w:rsidR="00B45C58">
        <w:tab/>
        <w:t>i</w:t>
      </w:r>
      <w:r w:rsidRPr="00D91580">
        <w:t>bid, p. 38.</w:t>
      </w:r>
    </w:p>
  </w:endnote>
  <w:endnote w:id="14">
    <w:p w14:paraId="3488F270" w14:textId="2DC51BC8" w:rsidR="005851E1" w:rsidRPr="005851E1" w:rsidRDefault="005851E1" w:rsidP="006B6386">
      <w:pPr>
        <w:pStyle w:val="FootnoteText"/>
        <w:rPr>
          <w:lang w:val="en-US"/>
        </w:rPr>
      </w:pPr>
      <w:r w:rsidRPr="006B6386">
        <w:endnoteRef/>
      </w:r>
      <w:r>
        <w:t xml:space="preserve"> </w:t>
      </w:r>
      <w:r w:rsidR="00B45C58">
        <w:tab/>
      </w:r>
      <w:r w:rsidR="004D6018">
        <w:rPr>
          <w:lang w:val="en-US"/>
        </w:rPr>
        <w:t xml:space="preserve">ACOSS &amp; UNSW, </w:t>
      </w:r>
      <w:r w:rsidR="004D6018" w:rsidRPr="009F49B0">
        <w:rPr>
          <w:i/>
          <w:iCs/>
          <w:lang w:val="en-US"/>
        </w:rPr>
        <w:t>Poverty in Australia 2020: Who is affected?</w:t>
      </w:r>
      <w:r w:rsidR="004D6018">
        <w:rPr>
          <w:lang w:val="en-US"/>
        </w:rPr>
        <w:t>, Factsheet, ACOSS, Sydney, 2020, viewed 13 October 2020, &lt;</w:t>
      </w:r>
      <w:hyperlink r:id="rId8" w:history="1">
        <w:r w:rsidR="009F49B0" w:rsidRPr="00603936">
          <w:rPr>
            <w:rStyle w:val="Hyperlink"/>
            <w:lang w:val="en-US"/>
          </w:rPr>
          <w:t>http://povertyandinequality.acoss.org.au/wp-content/uploads/2020/05/Poverty-in-Australia-2020-Part-2-–-Who-is-affected-factsheet-v6.pdf</w:t>
        </w:r>
      </w:hyperlink>
      <w:r w:rsidR="009F49B0">
        <w:rPr>
          <w:lang w:val="en-US"/>
        </w:rPr>
        <w:t xml:space="preserve">&gt;.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D27"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682D8" w14:textId="77777777" w:rsidR="005363F7" w:rsidRDefault="005363F7"/>
  <w:p w14:paraId="751682B7" w14:textId="77777777" w:rsidR="005363F7" w:rsidRDefault="005363F7"/>
  <w:p w14:paraId="7BA1960C" w14:textId="77777777" w:rsidR="005363F7" w:rsidRDefault="005363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AB7E"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5C2">
      <w:rPr>
        <w:rStyle w:val="PageNumber"/>
        <w:noProof/>
      </w:rPr>
      <w:t>2</w:t>
    </w:r>
    <w:r>
      <w:rPr>
        <w:rStyle w:val="PageNumber"/>
      </w:rPr>
      <w:fldChar w:fldCharType="end"/>
    </w:r>
  </w:p>
  <w:p w14:paraId="32E6F1C5" w14:textId="77777777" w:rsidR="005363F7" w:rsidRDefault="005363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B793" w14:textId="77777777" w:rsidR="005B28DA" w:rsidRDefault="005B28DA" w:rsidP="005B28DA">
    <w:pPr>
      <w:jc w:val="center"/>
    </w:pPr>
    <w:r>
      <w:fldChar w:fldCharType="begin"/>
    </w:r>
    <w:r>
      <w:instrText xml:space="preserve"> PAGE   \* MERGEFORMAT </w:instrText>
    </w:r>
    <w:r>
      <w:fldChar w:fldCharType="separate"/>
    </w:r>
    <w:r w:rsidR="001E0977">
      <w:rPr>
        <w:noProof/>
      </w:rPr>
      <w:t>1</w:t>
    </w:r>
    <w:r>
      <w:rPr>
        <w:noProof/>
      </w:rPr>
      <w:fldChar w:fldCharType="end"/>
    </w:r>
  </w:p>
  <w:p w14:paraId="1E134098" w14:textId="77777777" w:rsidR="00302FD8" w:rsidRDefault="00302FD8"/>
  <w:p w14:paraId="63A1D7EA" w14:textId="77777777" w:rsidR="00302FD8" w:rsidRDefault="00302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D8DD2" w14:textId="77777777" w:rsidR="00A034E3" w:rsidRDefault="00A034E3">
      <w:r>
        <w:separator/>
      </w:r>
    </w:p>
    <w:p w14:paraId="33568DD4" w14:textId="77777777" w:rsidR="00A034E3" w:rsidRDefault="00A034E3"/>
  </w:footnote>
  <w:footnote w:type="continuationSeparator" w:id="0">
    <w:p w14:paraId="7E050AD8" w14:textId="77777777" w:rsidR="00A034E3" w:rsidRDefault="00A034E3">
      <w:r>
        <w:continuationSeparator/>
      </w:r>
    </w:p>
    <w:p w14:paraId="227E028C" w14:textId="77777777" w:rsidR="00A034E3" w:rsidRDefault="00A034E3"/>
  </w:footnote>
  <w:footnote w:type="continuationNotice" w:id="1">
    <w:p w14:paraId="017E8D47" w14:textId="77777777" w:rsidR="008B54F7" w:rsidRDefault="008B54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4"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0"/>
  </w:num>
  <w:num w:numId="4">
    <w:abstractNumId w:val="18"/>
  </w:num>
  <w:num w:numId="5">
    <w:abstractNumId w:val="17"/>
  </w:num>
  <w:num w:numId="6">
    <w:abstractNumId w:val="19"/>
  </w:num>
  <w:num w:numId="7">
    <w:abstractNumId w:val="11"/>
  </w:num>
  <w:num w:numId="8">
    <w:abstractNumId w:val="23"/>
  </w:num>
  <w:num w:numId="9">
    <w:abstractNumId w:val="8"/>
  </w:num>
  <w:num w:numId="10">
    <w:abstractNumId w:val="22"/>
  </w:num>
  <w:num w:numId="11">
    <w:abstractNumId w:val="10"/>
  </w:num>
  <w:num w:numId="12">
    <w:abstractNumId w:val="5"/>
  </w:num>
  <w:num w:numId="13">
    <w:abstractNumId w:val="21"/>
  </w:num>
  <w:num w:numId="14">
    <w:abstractNumId w:val="12"/>
  </w:num>
  <w:num w:numId="15">
    <w:abstractNumId w:val="13"/>
  </w:num>
  <w:num w:numId="16">
    <w:abstractNumId w:val="6"/>
  </w:num>
  <w:num w:numId="17">
    <w:abstractNumId w:val="16"/>
  </w:num>
  <w:num w:numId="18">
    <w:abstractNumId w:val="4"/>
  </w:num>
  <w:num w:numId="19">
    <w:abstractNumId w:val="2"/>
  </w:num>
  <w:num w:numId="20">
    <w:abstractNumId w:val="1"/>
  </w:num>
  <w:num w:numId="21">
    <w:abstractNumId w:val="3"/>
  </w:num>
  <w:num w:numId="22">
    <w:abstractNumId w:val="0"/>
  </w:num>
  <w:num w:numId="23">
    <w:abstractNumId w:val="15"/>
  </w:num>
  <w:num w:numId="24">
    <w:abstractNumId w:val="25"/>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68"/>
    <w:rsid w:val="0000015B"/>
    <w:rsid w:val="00000585"/>
    <w:rsid w:val="00000840"/>
    <w:rsid w:val="00001157"/>
    <w:rsid w:val="00001CC1"/>
    <w:rsid w:val="00001CD9"/>
    <w:rsid w:val="0000255E"/>
    <w:rsid w:val="000027A8"/>
    <w:rsid w:val="00002C41"/>
    <w:rsid w:val="00002C7F"/>
    <w:rsid w:val="000040BA"/>
    <w:rsid w:val="00004697"/>
    <w:rsid w:val="00004C9A"/>
    <w:rsid w:val="0000517C"/>
    <w:rsid w:val="0000588C"/>
    <w:rsid w:val="00005A28"/>
    <w:rsid w:val="00005AF7"/>
    <w:rsid w:val="00005B30"/>
    <w:rsid w:val="00005FF4"/>
    <w:rsid w:val="00006B64"/>
    <w:rsid w:val="00006EA5"/>
    <w:rsid w:val="00007467"/>
    <w:rsid w:val="00007AF0"/>
    <w:rsid w:val="000108D9"/>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890"/>
    <w:rsid w:val="00015F7A"/>
    <w:rsid w:val="000162D8"/>
    <w:rsid w:val="000164F8"/>
    <w:rsid w:val="000166C8"/>
    <w:rsid w:val="00016946"/>
    <w:rsid w:val="00017087"/>
    <w:rsid w:val="00017887"/>
    <w:rsid w:val="000204A0"/>
    <w:rsid w:val="000215B8"/>
    <w:rsid w:val="00021791"/>
    <w:rsid w:val="00021975"/>
    <w:rsid w:val="00022381"/>
    <w:rsid w:val="0002251B"/>
    <w:rsid w:val="00022CA9"/>
    <w:rsid w:val="000233EA"/>
    <w:rsid w:val="000238CB"/>
    <w:rsid w:val="000239A2"/>
    <w:rsid w:val="00023BAD"/>
    <w:rsid w:val="00023C3F"/>
    <w:rsid w:val="0002453D"/>
    <w:rsid w:val="000246AF"/>
    <w:rsid w:val="000247E6"/>
    <w:rsid w:val="00024A48"/>
    <w:rsid w:val="00024DDE"/>
    <w:rsid w:val="000252FB"/>
    <w:rsid w:val="000253A9"/>
    <w:rsid w:val="00025602"/>
    <w:rsid w:val="00025A2F"/>
    <w:rsid w:val="00025F23"/>
    <w:rsid w:val="00026723"/>
    <w:rsid w:val="00026A30"/>
    <w:rsid w:val="0002726C"/>
    <w:rsid w:val="0002753B"/>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328"/>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2E0D"/>
    <w:rsid w:val="00053BED"/>
    <w:rsid w:val="00054130"/>
    <w:rsid w:val="00054338"/>
    <w:rsid w:val="000546C5"/>
    <w:rsid w:val="000547A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315"/>
    <w:rsid w:val="00072957"/>
    <w:rsid w:val="0007344A"/>
    <w:rsid w:val="00073589"/>
    <w:rsid w:val="000739EE"/>
    <w:rsid w:val="00073A77"/>
    <w:rsid w:val="00073E5F"/>
    <w:rsid w:val="00073F40"/>
    <w:rsid w:val="00073F60"/>
    <w:rsid w:val="0007435C"/>
    <w:rsid w:val="0007474E"/>
    <w:rsid w:val="00074858"/>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3A49"/>
    <w:rsid w:val="00084422"/>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7C9"/>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1A32"/>
    <w:rsid w:val="000A21CD"/>
    <w:rsid w:val="000A2225"/>
    <w:rsid w:val="000A2F18"/>
    <w:rsid w:val="000A3386"/>
    <w:rsid w:val="000A34B6"/>
    <w:rsid w:val="000A3862"/>
    <w:rsid w:val="000A3ABE"/>
    <w:rsid w:val="000A3BFE"/>
    <w:rsid w:val="000A3DD1"/>
    <w:rsid w:val="000A4083"/>
    <w:rsid w:val="000A435D"/>
    <w:rsid w:val="000A4B05"/>
    <w:rsid w:val="000A501C"/>
    <w:rsid w:val="000A5475"/>
    <w:rsid w:val="000A57E1"/>
    <w:rsid w:val="000A59FF"/>
    <w:rsid w:val="000A5C70"/>
    <w:rsid w:val="000A61ED"/>
    <w:rsid w:val="000A65BC"/>
    <w:rsid w:val="000A672C"/>
    <w:rsid w:val="000A6756"/>
    <w:rsid w:val="000A732B"/>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5B5"/>
    <w:rsid w:val="000B2A20"/>
    <w:rsid w:val="000B2AF8"/>
    <w:rsid w:val="000B35E3"/>
    <w:rsid w:val="000B4051"/>
    <w:rsid w:val="000B4866"/>
    <w:rsid w:val="000B4A23"/>
    <w:rsid w:val="000B54FC"/>
    <w:rsid w:val="000B58B6"/>
    <w:rsid w:val="000B5CDA"/>
    <w:rsid w:val="000B69F9"/>
    <w:rsid w:val="000B6F08"/>
    <w:rsid w:val="000B705F"/>
    <w:rsid w:val="000B7993"/>
    <w:rsid w:val="000B7BA2"/>
    <w:rsid w:val="000C03B8"/>
    <w:rsid w:val="000C06D1"/>
    <w:rsid w:val="000C0C16"/>
    <w:rsid w:val="000C1329"/>
    <w:rsid w:val="000C1B6B"/>
    <w:rsid w:val="000C1C10"/>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2E6E"/>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9C6"/>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17A"/>
    <w:rsid w:val="000F14F7"/>
    <w:rsid w:val="000F1A19"/>
    <w:rsid w:val="000F1CDC"/>
    <w:rsid w:val="000F262E"/>
    <w:rsid w:val="000F27FF"/>
    <w:rsid w:val="000F39F4"/>
    <w:rsid w:val="000F4692"/>
    <w:rsid w:val="000F4B54"/>
    <w:rsid w:val="000F4F71"/>
    <w:rsid w:val="000F5085"/>
    <w:rsid w:val="000F56AC"/>
    <w:rsid w:val="000F5FDF"/>
    <w:rsid w:val="000F6BDC"/>
    <w:rsid w:val="000F6C5F"/>
    <w:rsid w:val="000F6DC9"/>
    <w:rsid w:val="000F71B8"/>
    <w:rsid w:val="000F73C5"/>
    <w:rsid w:val="00100B87"/>
    <w:rsid w:val="00100C37"/>
    <w:rsid w:val="00100C86"/>
    <w:rsid w:val="00101373"/>
    <w:rsid w:val="00101589"/>
    <w:rsid w:val="001017B4"/>
    <w:rsid w:val="001027CF"/>
    <w:rsid w:val="00102A07"/>
    <w:rsid w:val="00102D95"/>
    <w:rsid w:val="00102D9C"/>
    <w:rsid w:val="00103BE9"/>
    <w:rsid w:val="00103E8F"/>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C7B"/>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3A5"/>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46C"/>
    <w:rsid w:val="00133C57"/>
    <w:rsid w:val="001347CA"/>
    <w:rsid w:val="00134B44"/>
    <w:rsid w:val="00134D46"/>
    <w:rsid w:val="001355EB"/>
    <w:rsid w:val="00135A61"/>
    <w:rsid w:val="00135E66"/>
    <w:rsid w:val="00136036"/>
    <w:rsid w:val="0013698C"/>
    <w:rsid w:val="001377DE"/>
    <w:rsid w:val="0013785B"/>
    <w:rsid w:val="00137AF8"/>
    <w:rsid w:val="001405FD"/>
    <w:rsid w:val="001406ED"/>
    <w:rsid w:val="00140A42"/>
    <w:rsid w:val="00140A6B"/>
    <w:rsid w:val="00140DEA"/>
    <w:rsid w:val="00141410"/>
    <w:rsid w:val="0014153A"/>
    <w:rsid w:val="0014161E"/>
    <w:rsid w:val="00141F32"/>
    <w:rsid w:val="001428F3"/>
    <w:rsid w:val="00142B78"/>
    <w:rsid w:val="00143411"/>
    <w:rsid w:val="001434FA"/>
    <w:rsid w:val="001442B1"/>
    <w:rsid w:val="0014484F"/>
    <w:rsid w:val="0014496B"/>
    <w:rsid w:val="00144FA2"/>
    <w:rsid w:val="001452BE"/>
    <w:rsid w:val="0014538A"/>
    <w:rsid w:val="001454B7"/>
    <w:rsid w:val="00145717"/>
    <w:rsid w:val="0014582A"/>
    <w:rsid w:val="00146E81"/>
    <w:rsid w:val="001473CD"/>
    <w:rsid w:val="00147756"/>
    <w:rsid w:val="00147AB7"/>
    <w:rsid w:val="0015006B"/>
    <w:rsid w:val="00150904"/>
    <w:rsid w:val="001517BD"/>
    <w:rsid w:val="00151BC0"/>
    <w:rsid w:val="00151BFA"/>
    <w:rsid w:val="00151DD6"/>
    <w:rsid w:val="00152293"/>
    <w:rsid w:val="00152A93"/>
    <w:rsid w:val="00152D3F"/>
    <w:rsid w:val="00153BAA"/>
    <w:rsid w:val="001542FF"/>
    <w:rsid w:val="0015462C"/>
    <w:rsid w:val="00154F9C"/>
    <w:rsid w:val="00154FE6"/>
    <w:rsid w:val="0015585B"/>
    <w:rsid w:val="00156923"/>
    <w:rsid w:val="00156A23"/>
    <w:rsid w:val="00156BB1"/>
    <w:rsid w:val="00156BED"/>
    <w:rsid w:val="00156DB0"/>
    <w:rsid w:val="001579D4"/>
    <w:rsid w:val="00157B88"/>
    <w:rsid w:val="00160900"/>
    <w:rsid w:val="00160947"/>
    <w:rsid w:val="00160B1B"/>
    <w:rsid w:val="001610FE"/>
    <w:rsid w:val="0016115D"/>
    <w:rsid w:val="0016197C"/>
    <w:rsid w:val="00161ABA"/>
    <w:rsid w:val="00161F07"/>
    <w:rsid w:val="001623A9"/>
    <w:rsid w:val="0016245C"/>
    <w:rsid w:val="0016318D"/>
    <w:rsid w:val="00163482"/>
    <w:rsid w:val="0016363B"/>
    <w:rsid w:val="00164895"/>
    <w:rsid w:val="001648A4"/>
    <w:rsid w:val="00165605"/>
    <w:rsid w:val="00165792"/>
    <w:rsid w:val="001659AB"/>
    <w:rsid w:val="00165ABE"/>
    <w:rsid w:val="00165F8F"/>
    <w:rsid w:val="0016628A"/>
    <w:rsid w:val="00166906"/>
    <w:rsid w:val="00166D83"/>
    <w:rsid w:val="00167200"/>
    <w:rsid w:val="001701B4"/>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0A"/>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252"/>
    <w:rsid w:val="00197372"/>
    <w:rsid w:val="00197582"/>
    <w:rsid w:val="001A0305"/>
    <w:rsid w:val="001A0CDA"/>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4D7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A73"/>
    <w:rsid w:val="001D3EEA"/>
    <w:rsid w:val="001D4272"/>
    <w:rsid w:val="001D47E8"/>
    <w:rsid w:val="001D50B3"/>
    <w:rsid w:val="001D52A0"/>
    <w:rsid w:val="001D52F2"/>
    <w:rsid w:val="001D5767"/>
    <w:rsid w:val="001D5CCF"/>
    <w:rsid w:val="001D6D28"/>
    <w:rsid w:val="001D6EEF"/>
    <w:rsid w:val="001D7BFD"/>
    <w:rsid w:val="001E05EA"/>
    <w:rsid w:val="001E0869"/>
    <w:rsid w:val="001E0977"/>
    <w:rsid w:val="001E1035"/>
    <w:rsid w:val="001E1990"/>
    <w:rsid w:val="001E1A2C"/>
    <w:rsid w:val="001E1F60"/>
    <w:rsid w:val="001E20E6"/>
    <w:rsid w:val="001E2886"/>
    <w:rsid w:val="001E32AF"/>
    <w:rsid w:val="001E4636"/>
    <w:rsid w:val="001E468C"/>
    <w:rsid w:val="001E4979"/>
    <w:rsid w:val="001E49B5"/>
    <w:rsid w:val="001E4A2B"/>
    <w:rsid w:val="001E4B25"/>
    <w:rsid w:val="001E5335"/>
    <w:rsid w:val="001E53C0"/>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345"/>
    <w:rsid w:val="001F15DF"/>
    <w:rsid w:val="001F16F2"/>
    <w:rsid w:val="001F1A50"/>
    <w:rsid w:val="001F1F59"/>
    <w:rsid w:val="001F2C64"/>
    <w:rsid w:val="001F2CDD"/>
    <w:rsid w:val="001F374E"/>
    <w:rsid w:val="001F3948"/>
    <w:rsid w:val="001F3F33"/>
    <w:rsid w:val="001F463F"/>
    <w:rsid w:val="001F47EB"/>
    <w:rsid w:val="001F495E"/>
    <w:rsid w:val="001F49A7"/>
    <w:rsid w:val="001F4E1D"/>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38"/>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06F95"/>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57D"/>
    <w:rsid w:val="00223CC2"/>
    <w:rsid w:val="002243E1"/>
    <w:rsid w:val="002244B7"/>
    <w:rsid w:val="00224FB2"/>
    <w:rsid w:val="0022506C"/>
    <w:rsid w:val="00225085"/>
    <w:rsid w:val="002252EC"/>
    <w:rsid w:val="002254F6"/>
    <w:rsid w:val="002261C9"/>
    <w:rsid w:val="00226FEF"/>
    <w:rsid w:val="00227061"/>
    <w:rsid w:val="002272FA"/>
    <w:rsid w:val="00227630"/>
    <w:rsid w:val="00227FA1"/>
    <w:rsid w:val="00231640"/>
    <w:rsid w:val="002317C4"/>
    <w:rsid w:val="00231AF3"/>
    <w:rsid w:val="00231BCE"/>
    <w:rsid w:val="00231FF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1F2"/>
    <w:rsid w:val="00241283"/>
    <w:rsid w:val="002413BF"/>
    <w:rsid w:val="00241D76"/>
    <w:rsid w:val="00241F2F"/>
    <w:rsid w:val="002427A4"/>
    <w:rsid w:val="00242F1F"/>
    <w:rsid w:val="002431A5"/>
    <w:rsid w:val="0024387E"/>
    <w:rsid w:val="0024420E"/>
    <w:rsid w:val="00245019"/>
    <w:rsid w:val="002451DA"/>
    <w:rsid w:val="00245475"/>
    <w:rsid w:val="00245A7F"/>
    <w:rsid w:val="00245ADA"/>
    <w:rsid w:val="00246869"/>
    <w:rsid w:val="00246C9A"/>
    <w:rsid w:val="002478AE"/>
    <w:rsid w:val="002478E4"/>
    <w:rsid w:val="002479B4"/>
    <w:rsid w:val="0025053B"/>
    <w:rsid w:val="002506C1"/>
    <w:rsid w:val="00250702"/>
    <w:rsid w:val="002507B5"/>
    <w:rsid w:val="00250F34"/>
    <w:rsid w:val="002513E9"/>
    <w:rsid w:val="0025148C"/>
    <w:rsid w:val="00251C00"/>
    <w:rsid w:val="002527E2"/>
    <w:rsid w:val="002528E6"/>
    <w:rsid w:val="00252ABF"/>
    <w:rsid w:val="00252AE6"/>
    <w:rsid w:val="0025367C"/>
    <w:rsid w:val="0025393B"/>
    <w:rsid w:val="002539D5"/>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744"/>
    <w:rsid w:val="002629FD"/>
    <w:rsid w:val="00262C33"/>
    <w:rsid w:val="00262D87"/>
    <w:rsid w:val="00263252"/>
    <w:rsid w:val="00263929"/>
    <w:rsid w:val="0026396B"/>
    <w:rsid w:val="00263A0C"/>
    <w:rsid w:val="0026498C"/>
    <w:rsid w:val="00264A36"/>
    <w:rsid w:val="00264F64"/>
    <w:rsid w:val="002651E6"/>
    <w:rsid w:val="002660F6"/>
    <w:rsid w:val="00266CE7"/>
    <w:rsid w:val="002670F7"/>
    <w:rsid w:val="002670F9"/>
    <w:rsid w:val="00267612"/>
    <w:rsid w:val="0027030E"/>
    <w:rsid w:val="00270AFC"/>
    <w:rsid w:val="00270DFE"/>
    <w:rsid w:val="0027149D"/>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7DD"/>
    <w:rsid w:val="00275E45"/>
    <w:rsid w:val="002769F1"/>
    <w:rsid w:val="00276C2C"/>
    <w:rsid w:val="00276C4D"/>
    <w:rsid w:val="00277039"/>
    <w:rsid w:val="00277936"/>
    <w:rsid w:val="0027793C"/>
    <w:rsid w:val="00277A83"/>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5C48"/>
    <w:rsid w:val="00286057"/>
    <w:rsid w:val="00286203"/>
    <w:rsid w:val="002868A7"/>
    <w:rsid w:val="00286B1A"/>
    <w:rsid w:val="00287082"/>
    <w:rsid w:val="00287EE3"/>
    <w:rsid w:val="002900F3"/>
    <w:rsid w:val="00290414"/>
    <w:rsid w:val="00290564"/>
    <w:rsid w:val="002906D4"/>
    <w:rsid w:val="00290911"/>
    <w:rsid w:val="002909C2"/>
    <w:rsid w:val="00290D0B"/>
    <w:rsid w:val="00291CEE"/>
    <w:rsid w:val="00291E9B"/>
    <w:rsid w:val="0029219A"/>
    <w:rsid w:val="00292FD6"/>
    <w:rsid w:val="002933B3"/>
    <w:rsid w:val="00294D77"/>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1E6"/>
    <w:rsid w:val="002A52C4"/>
    <w:rsid w:val="002A5554"/>
    <w:rsid w:val="002A6076"/>
    <w:rsid w:val="002A627F"/>
    <w:rsid w:val="002A66E2"/>
    <w:rsid w:val="002A74CB"/>
    <w:rsid w:val="002A7776"/>
    <w:rsid w:val="002A781E"/>
    <w:rsid w:val="002B0A88"/>
    <w:rsid w:val="002B0B42"/>
    <w:rsid w:val="002B0C9D"/>
    <w:rsid w:val="002B176B"/>
    <w:rsid w:val="002B1EC9"/>
    <w:rsid w:val="002B2464"/>
    <w:rsid w:val="002B258B"/>
    <w:rsid w:val="002B27AB"/>
    <w:rsid w:val="002B2BF7"/>
    <w:rsid w:val="002B2C02"/>
    <w:rsid w:val="002B2ED0"/>
    <w:rsid w:val="002B3452"/>
    <w:rsid w:val="002B3829"/>
    <w:rsid w:val="002B3DBF"/>
    <w:rsid w:val="002B4102"/>
    <w:rsid w:val="002B411A"/>
    <w:rsid w:val="002B43BC"/>
    <w:rsid w:val="002B490E"/>
    <w:rsid w:val="002B4A8C"/>
    <w:rsid w:val="002B5374"/>
    <w:rsid w:val="002B5E59"/>
    <w:rsid w:val="002B5F9F"/>
    <w:rsid w:val="002B607A"/>
    <w:rsid w:val="002B615C"/>
    <w:rsid w:val="002B61B8"/>
    <w:rsid w:val="002B642E"/>
    <w:rsid w:val="002B72E4"/>
    <w:rsid w:val="002C0CC8"/>
    <w:rsid w:val="002C11C4"/>
    <w:rsid w:val="002C16DF"/>
    <w:rsid w:val="002C1933"/>
    <w:rsid w:val="002C2BFC"/>
    <w:rsid w:val="002C31C2"/>
    <w:rsid w:val="002C34C5"/>
    <w:rsid w:val="002C34EA"/>
    <w:rsid w:val="002C3FA4"/>
    <w:rsid w:val="002C41F2"/>
    <w:rsid w:val="002C46D4"/>
    <w:rsid w:val="002C4E3A"/>
    <w:rsid w:val="002C4E96"/>
    <w:rsid w:val="002C576E"/>
    <w:rsid w:val="002C59C5"/>
    <w:rsid w:val="002C6425"/>
    <w:rsid w:val="002C6DB1"/>
    <w:rsid w:val="002C6E55"/>
    <w:rsid w:val="002C72EF"/>
    <w:rsid w:val="002C750C"/>
    <w:rsid w:val="002C7591"/>
    <w:rsid w:val="002C7811"/>
    <w:rsid w:val="002C7F58"/>
    <w:rsid w:val="002D00FA"/>
    <w:rsid w:val="002D02C0"/>
    <w:rsid w:val="002D0595"/>
    <w:rsid w:val="002D078E"/>
    <w:rsid w:val="002D0B60"/>
    <w:rsid w:val="002D0B65"/>
    <w:rsid w:val="002D0E8C"/>
    <w:rsid w:val="002D1338"/>
    <w:rsid w:val="002D2363"/>
    <w:rsid w:val="002D3697"/>
    <w:rsid w:val="002D387F"/>
    <w:rsid w:val="002D3CD0"/>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CD8"/>
    <w:rsid w:val="002E0EBA"/>
    <w:rsid w:val="002E1B9B"/>
    <w:rsid w:val="002E1BD6"/>
    <w:rsid w:val="002E2751"/>
    <w:rsid w:val="002E2779"/>
    <w:rsid w:val="002E27A1"/>
    <w:rsid w:val="002E38EA"/>
    <w:rsid w:val="002E3997"/>
    <w:rsid w:val="002E3B2B"/>
    <w:rsid w:val="002E3CC9"/>
    <w:rsid w:val="002E3D95"/>
    <w:rsid w:val="002E40DF"/>
    <w:rsid w:val="002E4902"/>
    <w:rsid w:val="002E4A12"/>
    <w:rsid w:val="002E4B5B"/>
    <w:rsid w:val="002E4D57"/>
    <w:rsid w:val="002E4FC9"/>
    <w:rsid w:val="002E55AA"/>
    <w:rsid w:val="002E5801"/>
    <w:rsid w:val="002E62B4"/>
    <w:rsid w:val="002E6432"/>
    <w:rsid w:val="002E6A58"/>
    <w:rsid w:val="002E7015"/>
    <w:rsid w:val="002E70B3"/>
    <w:rsid w:val="002E76D5"/>
    <w:rsid w:val="002E7862"/>
    <w:rsid w:val="002E78DB"/>
    <w:rsid w:val="002F034A"/>
    <w:rsid w:val="002F075D"/>
    <w:rsid w:val="002F0868"/>
    <w:rsid w:val="002F089B"/>
    <w:rsid w:val="002F0B7D"/>
    <w:rsid w:val="002F0C87"/>
    <w:rsid w:val="002F0EC7"/>
    <w:rsid w:val="002F1173"/>
    <w:rsid w:val="002F1736"/>
    <w:rsid w:val="002F1993"/>
    <w:rsid w:val="002F1D8D"/>
    <w:rsid w:val="002F230D"/>
    <w:rsid w:val="002F297F"/>
    <w:rsid w:val="002F2CDD"/>
    <w:rsid w:val="002F3814"/>
    <w:rsid w:val="002F3A98"/>
    <w:rsid w:val="002F3E06"/>
    <w:rsid w:val="002F3FB6"/>
    <w:rsid w:val="002F4307"/>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2FD8"/>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686"/>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0CBF"/>
    <w:rsid w:val="00321264"/>
    <w:rsid w:val="003212E7"/>
    <w:rsid w:val="003214B7"/>
    <w:rsid w:val="003215F3"/>
    <w:rsid w:val="00321CCC"/>
    <w:rsid w:val="00321F49"/>
    <w:rsid w:val="00322058"/>
    <w:rsid w:val="00322350"/>
    <w:rsid w:val="00322ACA"/>
    <w:rsid w:val="00322E6D"/>
    <w:rsid w:val="00322F70"/>
    <w:rsid w:val="003232D6"/>
    <w:rsid w:val="003236E0"/>
    <w:rsid w:val="003236F2"/>
    <w:rsid w:val="0032393B"/>
    <w:rsid w:val="00324516"/>
    <w:rsid w:val="00324B57"/>
    <w:rsid w:val="00324BBE"/>
    <w:rsid w:val="00324C46"/>
    <w:rsid w:val="003257F5"/>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03B"/>
    <w:rsid w:val="00334558"/>
    <w:rsid w:val="0033459C"/>
    <w:rsid w:val="003348F4"/>
    <w:rsid w:val="003353E7"/>
    <w:rsid w:val="003355C3"/>
    <w:rsid w:val="00335DBA"/>
    <w:rsid w:val="00335E48"/>
    <w:rsid w:val="00336038"/>
    <w:rsid w:val="00336934"/>
    <w:rsid w:val="00336974"/>
    <w:rsid w:val="00336AFC"/>
    <w:rsid w:val="00337EAB"/>
    <w:rsid w:val="003402F1"/>
    <w:rsid w:val="003402FF"/>
    <w:rsid w:val="003405E1"/>
    <w:rsid w:val="0034088E"/>
    <w:rsid w:val="00340990"/>
    <w:rsid w:val="00340B17"/>
    <w:rsid w:val="00340C76"/>
    <w:rsid w:val="00341B81"/>
    <w:rsid w:val="00341CD2"/>
    <w:rsid w:val="00341E8C"/>
    <w:rsid w:val="003421CE"/>
    <w:rsid w:val="00342436"/>
    <w:rsid w:val="00342588"/>
    <w:rsid w:val="003425FE"/>
    <w:rsid w:val="003428BC"/>
    <w:rsid w:val="00342EB3"/>
    <w:rsid w:val="00343227"/>
    <w:rsid w:val="003433C6"/>
    <w:rsid w:val="0034359D"/>
    <w:rsid w:val="003436DD"/>
    <w:rsid w:val="00343AA7"/>
    <w:rsid w:val="00343E41"/>
    <w:rsid w:val="00344C5D"/>
    <w:rsid w:val="00344FBD"/>
    <w:rsid w:val="00345004"/>
    <w:rsid w:val="003456CA"/>
    <w:rsid w:val="003459BF"/>
    <w:rsid w:val="00346190"/>
    <w:rsid w:val="00346194"/>
    <w:rsid w:val="003468B6"/>
    <w:rsid w:val="00347105"/>
    <w:rsid w:val="00347401"/>
    <w:rsid w:val="00347BBC"/>
    <w:rsid w:val="00347BE5"/>
    <w:rsid w:val="00347F01"/>
    <w:rsid w:val="0035051B"/>
    <w:rsid w:val="0035067B"/>
    <w:rsid w:val="00350F59"/>
    <w:rsid w:val="00351307"/>
    <w:rsid w:val="003519F2"/>
    <w:rsid w:val="00351C4B"/>
    <w:rsid w:val="00352287"/>
    <w:rsid w:val="00352393"/>
    <w:rsid w:val="00352539"/>
    <w:rsid w:val="00352802"/>
    <w:rsid w:val="00352900"/>
    <w:rsid w:val="00352994"/>
    <w:rsid w:val="003529D3"/>
    <w:rsid w:val="00353455"/>
    <w:rsid w:val="003537B8"/>
    <w:rsid w:val="00353906"/>
    <w:rsid w:val="0035453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2CF0"/>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267"/>
    <w:rsid w:val="00373754"/>
    <w:rsid w:val="0037387B"/>
    <w:rsid w:val="003738C5"/>
    <w:rsid w:val="00374349"/>
    <w:rsid w:val="00374A72"/>
    <w:rsid w:val="00374B60"/>
    <w:rsid w:val="00375E11"/>
    <w:rsid w:val="003763BA"/>
    <w:rsid w:val="003763C0"/>
    <w:rsid w:val="0037678B"/>
    <w:rsid w:val="00376C3B"/>
    <w:rsid w:val="00376E2D"/>
    <w:rsid w:val="00377AEA"/>
    <w:rsid w:val="00377D70"/>
    <w:rsid w:val="003809CA"/>
    <w:rsid w:val="00380D94"/>
    <w:rsid w:val="003812E6"/>
    <w:rsid w:val="00381763"/>
    <w:rsid w:val="00381EDF"/>
    <w:rsid w:val="00381F19"/>
    <w:rsid w:val="00382568"/>
    <w:rsid w:val="003831A2"/>
    <w:rsid w:val="0038323C"/>
    <w:rsid w:val="00383746"/>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4C71"/>
    <w:rsid w:val="00395364"/>
    <w:rsid w:val="003959AB"/>
    <w:rsid w:val="00395C00"/>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0C8"/>
    <w:rsid w:val="003B1128"/>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6C1C"/>
    <w:rsid w:val="003B73D3"/>
    <w:rsid w:val="003B76F5"/>
    <w:rsid w:val="003B7927"/>
    <w:rsid w:val="003B7A61"/>
    <w:rsid w:val="003B7A9F"/>
    <w:rsid w:val="003C13C4"/>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3EC1"/>
    <w:rsid w:val="003C3F61"/>
    <w:rsid w:val="003C427E"/>
    <w:rsid w:val="003C4927"/>
    <w:rsid w:val="003C5AFB"/>
    <w:rsid w:val="003C67E9"/>
    <w:rsid w:val="003C6FCD"/>
    <w:rsid w:val="003C79DA"/>
    <w:rsid w:val="003D0071"/>
    <w:rsid w:val="003D0130"/>
    <w:rsid w:val="003D0558"/>
    <w:rsid w:val="003D05D0"/>
    <w:rsid w:val="003D0921"/>
    <w:rsid w:val="003D158F"/>
    <w:rsid w:val="003D1B7F"/>
    <w:rsid w:val="003D1EF8"/>
    <w:rsid w:val="003D200E"/>
    <w:rsid w:val="003D21FE"/>
    <w:rsid w:val="003D304D"/>
    <w:rsid w:val="003D320D"/>
    <w:rsid w:val="003D3636"/>
    <w:rsid w:val="003D3638"/>
    <w:rsid w:val="003D3772"/>
    <w:rsid w:val="003D3D79"/>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7B4"/>
    <w:rsid w:val="003F1990"/>
    <w:rsid w:val="003F292A"/>
    <w:rsid w:val="003F2D20"/>
    <w:rsid w:val="003F301A"/>
    <w:rsid w:val="003F32F7"/>
    <w:rsid w:val="003F3564"/>
    <w:rsid w:val="003F393B"/>
    <w:rsid w:val="003F3AC3"/>
    <w:rsid w:val="003F489E"/>
    <w:rsid w:val="003F4B3E"/>
    <w:rsid w:val="003F4CB4"/>
    <w:rsid w:val="003F4DBF"/>
    <w:rsid w:val="003F5F43"/>
    <w:rsid w:val="003F6031"/>
    <w:rsid w:val="003F622D"/>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031"/>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16510"/>
    <w:rsid w:val="00420DBD"/>
    <w:rsid w:val="00421119"/>
    <w:rsid w:val="0042120F"/>
    <w:rsid w:val="004219A0"/>
    <w:rsid w:val="00421AE6"/>
    <w:rsid w:val="00422678"/>
    <w:rsid w:val="00422942"/>
    <w:rsid w:val="00422B55"/>
    <w:rsid w:val="004230BD"/>
    <w:rsid w:val="0042393D"/>
    <w:rsid w:val="00423C00"/>
    <w:rsid w:val="0042409B"/>
    <w:rsid w:val="00424CDD"/>
    <w:rsid w:val="00424EE1"/>
    <w:rsid w:val="00425AE2"/>
    <w:rsid w:val="004260BB"/>
    <w:rsid w:val="004268CB"/>
    <w:rsid w:val="004269BA"/>
    <w:rsid w:val="004274EE"/>
    <w:rsid w:val="00427C01"/>
    <w:rsid w:val="00427C27"/>
    <w:rsid w:val="00427CCC"/>
    <w:rsid w:val="004300CB"/>
    <w:rsid w:val="00430453"/>
    <w:rsid w:val="00430BCC"/>
    <w:rsid w:val="0043295B"/>
    <w:rsid w:val="0043367B"/>
    <w:rsid w:val="004336E9"/>
    <w:rsid w:val="00433981"/>
    <w:rsid w:val="00433AAE"/>
    <w:rsid w:val="00434C95"/>
    <w:rsid w:val="0043510A"/>
    <w:rsid w:val="00435EF0"/>
    <w:rsid w:val="0043628A"/>
    <w:rsid w:val="0043646E"/>
    <w:rsid w:val="0043653C"/>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414"/>
    <w:rsid w:val="004465C2"/>
    <w:rsid w:val="00446833"/>
    <w:rsid w:val="00450CA7"/>
    <w:rsid w:val="00450E29"/>
    <w:rsid w:val="00451082"/>
    <w:rsid w:val="0045120E"/>
    <w:rsid w:val="00451C48"/>
    <w:rsid w:val="0045351A"/>
    <w:rsid w:val="004537B4"/>
    <w:rsid w:val="004539A1"/>
    <w:rsid w:val="004544BC"/>
    <w:rsid w:val="004546C3"/>
    <w:rsid w:val="00454A40"/>
    <w:rsid w:val="004551D5"/>
    <w:rsid w:val="00455362"/>
    <w:rsid w:val="00455AA6"/>
    <w:rsid w:val="004563E6"/>
    <w:rsid w:val="004564BE"/>
    <w:rsid w:val="00456D24"/>
    <w:rsid w:val="0045729F"/>
    <w:rsid w:val="004573F7"/>
    <w:rsid w:val="004574E2"/>
    <w:rsid w:val="00457A81"/>
    <w:rsid w:val="00457AAB"/>
    <w:rsid w:val="004601B2"/>
    <w:rsid w:val="0046032F"/>
    <w:rsid w:val="00460519"/>
    <w:rsid w:val="0046065B"/>
    <w:rsid w:val="00460A11"/>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4CF7"/>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174"/>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0C6"/>
    <w:rsid w:val="0049184C"/>
    <w:rsid w:val="00491A12"/>
    <w:rsid w:val="0049217C"/>
    <w:rsid w:val="004924E6"/>
    <w:rsid w:val="004925DF"/>
    <w:rsid w:val="004930B3"/>
    <w:rsid w:val="00493223"/>
    <w:rsid w:val="0049327D"/>
    <w:rsid w:val="004935F7"/>
    <w:rsid w:val="004938DA"/>
    <w:rsid w:val="00493D53"/>
    <w:rsid w:val="00494B73"/>
    <w:rsid w:val="00495005"/>
    <w:rsid w:val="00496102"/>
    <w:rsid w:val="004964BD"/>
    <w:rsid w:val="004969C7"/>
    <w:rsid w:val="00496D13"/>
    <w:rsid w:val="00497CE6"/>
    <w:rsid w:val="00497F1E"/>
    <w:rsid w:val="004A1197"/>
    <w:rsid w:val="004A1855"/>
    <w:rsid w:val="004A19FC"/>
    <w:rsid w:val="004A1A16"/>
    <w:rsid w:val="004A2197"/>
    <w:rsid w:val="004A2804"/>
    <w:rsid w:val="004A29B2"/>
    <w:rsid w:val="004A29B3"/>
    <w:rsid w:val="004A2F68"/>
    <w:rsid w:val="004A36C6"/>
    <w:rsid w:val="004A3D9E"/>
    <w:rsid w:val="004A4E31"/>
    <w:rsid w:val="004A5BE4"/>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67C"/>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377"/>
    <w:rsid w:val="004C2935"/>
    <w:rsid w:val="004C2B94"/>
    <w:rsid w:val="004C33E8"/>
    <w:rsid w:val="004C3E56"/>
    <w:rsid w:val="004C4061"/>
    <w:rsid w:val="004C42B9"/>
    <w:rsid w:val="004C44E0"/>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033"/>
    <w:rsid w:val="004D29F0"/>
    <w:rsid w:val="004D2A84"/>
    <w:rsid w:val="004D32F6"/>
    <w:rsid w:val="004D33E4"/>
    <w:rsid w:val="004D3F44"/>
    <w:rsid w:val="004D3FC2"/>
    <w:rsid w:val="004D456C"/>
    <w:rsid w:val="004D485F"/>
    <w:rsid w:val="004D493C"/>
    <w:rsid w:val="004D4FC2"/>
    <w:rsid w:val="004D55D2"/>
    <w:rsid w:val="004D59A0"/>
    <w:rsid w:val="004D5E86"/>
    <w:rsid w:val="004D6018"/>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5ED5"/>
    <w:rsid w:val="004F62FD"/>
    <w:rsid w:val="004F6332"/>
    <w:rsid w:val="004F67A2"/>
    <w:rsid w:val="004F68B0"/>
    <w:rsid w:val="004F7BDE"/>
    <w:rsid w:val="0050034B"/>
    <w:rsid w:val="005020BB"/>
    <w:rsid w:val="00503191"/>
    <w:rsid w:val="0050326D"/>
    <w:rsid w:val="005035DD"/>
    <w:rsid w:val="00503E32"/>
    <w:rsid w:val="005047CB"/>
    <w:rsid w:val="005047F1"/>
    <w:rsid w:val="00504B40"/>
    <w:rsid w:val="00505225"/>
    <w:rsid w:val="005057EB"/>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18B5"/>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18CF"/>
    <w:rsid w:val="00521D54"/>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D6C"/>
    <w:rsid w:val="00535F5D"/>
    <w:rsid w:val="005361E4"/>
    <w:rsid w:val="005363F7"/>
    <w:rsid w:val="00536582"/>
    <w:rsid w:val="005365A8"/>
    <w:rsid w:val="00536855"/>
    <w:rsid w:val="00536A50"/>
    <w:rsid w:val="00536BAA"/>
    <w:rsid w:val="00536D53"/>
    <w:rsid w:val="00536EB7"/>
    <w:rsid w:val="005370DC"/>
    <w:rsid w:val="005376E4"/>
    <w:rsid w:val="00537CE9"/>
    <w:rsid w:val="0054035C"/>
    <w:rsid w:val="00540720"/>
    <w:rsid w:val="0054094E"/>
    <w:rsid w:val="00540AAC"/>
    <w:rsid w:val="00540AD1"/>
    <w:rsid w:val="005418C2"/>
    <w:rsid w:val="00541E2C"/>
    <w:rsid w:val="005426C3"/>
    <w:rsid w:val="00542C0F"/>
    <w:rsid w:val="00542D06"/>
    <w:rsid w:val="00542E4E"/>
    <w:rsid w:val="00543A31"/>
    <w:rsid w:val="00543AE9"/>
    <w:rsid w:val="00543E2F"/>
    <w:rsid w:val="005442DF"/>
    <w:rsid w:val="00544747"/>
    <w:rsid w:val="00544A34"/>
    <w:rsid w:val="00545029"/>
    <w:rsid w:val="00545052"/>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5704"/>
    <w:rsid w:val="0055654B"/>
    <w:rsid w:val="005566D6"/>
    <w:rsid w:val="00556839"/>
    <w:rsid w:val="00556ECF"/>
    <w:rsid w:val="005572EF"/>
    <w:rsid w:val="0055771E"/>
    <w:rsid w:val="00557F04"/>
    <w:rsid w:val="005608E2"/>
    <w:rsid w:val="00560B88"/>
    <w:rsid w:val="00560DE1"/>
    <w:rsid w:val="00560EB2"/>
    <w:rsid w:val="00561A9B"/>
    <w:rsid w:val="00562138"/>
    <w:rsid w:val="005622AF"/>
    <w:rsid w:val="00562571"/>
    <w:rsid w:val="00562BF6"/>
    <w:rsid w:val="00562E87"/>
    <w:rsid w:val="00562F6F"/>
    <w:rsid w:val="005630AA"/>
    <w:rsid w:val="005638C1"/>
    <w:rsid w:val="00563A1C"/>
    <w:rsid w:val="005648FF"/>
    <w:rsid w:val="00564AF4"/>
    <w:rsid w:val="005651F6"/>
    <w:rsid w:val="0056540C"/>
    <w:rsid w:val="00566A41"/>
    <w:rsid w:val="00566DB5"/>
    <w:rsid w:val="0056720E"/>
    <w:rsid w:val="0056748C"/>
    <w:rsid w:val="00567BA4"/>
    <w:rsid w:val="00567ED0"/>
    <w:rsid w:val="00567F82"/>
    <w:rsid w:val="005701D9"/>
    <w:rsid w:val="00570538"/>
    <w:rsid w:val="00570A2C"/>
    <w:rsid w:val="00570AD7"/>
    <w:rsid w:val="00571012"/>
    <w:rsid w:val="00571319"/>
    <w:rsid w:val="005719E7"/>
    <w:rsid w:val="0057206E"/>
    <w:rsid w:val="005726CC"/>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77DF2"/>
    <w:rsid w:val="005808E8"/>
    <w:rsid w:val="00581542"/>
    <w:rsid w:val="00581671"/>
    <w:rsid w:val="0058288A"/>
    <w:rsid w:val="00582980"/>
    <w:rsid w:val="00582D17"/>
    <w:rsid w:val="00582F6E"/>
    <w:rsid w:val="005833C2"/>
    <w:rsid w:val="00583B0A"/>
    <w:rsid w:val="005851E1"/>
    <w:rsid w:val="005855E6"/>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3B5B"/>
    <w:rsid w:val="005942A7"/>
    <w:rsid w:val="0059463C"/>
    <w:rsid w:val="00594A5A"/>
    <w:rsid w:val="00594B39"/>
    <w:rsid w:val="00594D16"/>
    <w:rsid w:val="00595057"/>
    <w:rsid w:val="005952EA"/>
    <w:rsid w:val="00595513"/>
    <w:rsid w:val="00595852"/>
    <w:rsid w:val="005959B0"/>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2C8"/>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8DA"/>
    <w:rsid w:val="005B2EA2"/>
    <w:rsid w:val="005B3282"/>
    <w:rsid w:val="005B3546"/>
    <w:rsid w:val="005B35AA"/>
    <w:rsid w:val="005B3675"/>
    <w:rsid w:val="005B36AC"/>
    <w:rsid w:val="005B3E02"/>
    <w:rsid w:val="005B4862"/>
    <w:rsid w:val="005B4B27"/>
    <w:rsid w:val="005B4BE9"/>
    <w:rsid w:val="005B5036"/>
    <w:rsid w:val="005B52D5"/>
    <w:rsid w:val="005B57B6"/>
    <w:rsid w:val="005B591D"/>
    <w:rsid w:val="005B5ADE"/>
    <w:rsid w:val="005B5C55"/>
    <w:rsid w:val="005B5DC4"/>
    <w:rsid w:val="005B682C"/>
    <w:rsid w:val="005B6A11"/>
    <w:rsid w:val="005B7163"/>
    <w:rsid w:val="005B7216"/>
    <w:rsid w:val="005B7306"/>
    <w:rsid w:val="005B7602"/>
    <w:rsid w:val="005B7DD6"/>
    <w:rsid w:val="005B7DDB"/>
    <w:rsid w:val="005B7F53"/>
    <w:rsid w:val="005C00DE"/>
    <w:rsid w:val="005C0CF3"/>
    <w:rsid w:val="005C147E"/>
    <w:rsid w:val="005C1810"/>
    <w:rsid w:val="005C1C3F"/>
    <w:rsid w:val="005C1E9F"/>
    <w:rsid w:val="005C23A3"/>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34E"/>
    <w:rsid w:val="005D1596"/>
    <w:rsid w:val="005D1782"/>
    <w:rsid w:val="005D17B9"/>
    <w:rsid w:val="005D1E03"/>
    <w:rsid w:val="005D20D0"/>
    <w:rsid w:val="005D27C0"/>
    <w:rsid w:val="005D2BE4"/>
    <w:rsid w:val="005D306F"/>
    <w:rsid w:val="005D3984"/>
    <w:rsid w:val="005D48C0"/>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351"/>
    <w:rsid w:val="005E2653"/>
    <w:rsid w:val="005E2A08"/>
    <w:rsid w:val="005E2F1A"/>
    <w:rsid w:val="005E304B"/>
    <w:rsid w:val="005E34B0"/>
    <w:rsid w:val="005E35FB"/>
    <w:rsid w:val="005E365E"/>
    <w:rsid w:val="005E3909"/>
    <w:rsid w:val="005E42E3"/>
    <w:rsid w:val="005E449E"/>
    <w:rsid w:val="005E4528"/>
    <w:rsid w:val="005E49E4"/>
    <w:rsid w:val="005E4E72"/>
    <w:rsid w:val="005E571C"/>
    <w:rsid w:val="005E70A5"/>
    <w:rsid w:val="005E7469"/>
    <w:rsid w:val="005E7B4E"/>
    <w:rsid w:val="005F00DE"/>
    <w:rsid w:val="005F066A"/>
    <w:rsid w:val="005F2236"/>
    <w:rsid w:val="005F24E0"/>
    <w:rsid w:val="005F2671"/>
    <w:rsid w:val="005F29C5"/>
    <w:rsid w:val="005F2A4E"/>
    <w:rsid w:val="005F2E76"/>
    <w:rsid w:val="005F3093"/>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07C1F"/>
    <w:rsid w:val="0061012C"/>
    <w:rsid w:val="00610C46"/>
    <w:rsid w:val="00610C84"/>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164B"/>
    <w:rsid w:val="0063286A"/>
    <w:rsid w:val="00632E65"/>
    <w:rsid w:val="00632EFF"/>
    <w:rsid w:val="006330CE"/>
    <w:rsid w:val="0063331F"/>
    <w:rsid w:val="006338CA"/>
    <w:rsid w:val="006342FF"/>
    <w:rsid w:val="006344E8"/>
    <w:rsid w:val="0063456E"/>
    <w:rsid w:val="006348E3"/>
    <w:rsid w:val="00634D3E"/>
    <w:rsid w:val="00634E51"/>
    <w:rsid w:val="00635257"/>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29F4"/>
    <w:rsid w:val="00643008"/>
    <w:rsid w:val="00643027"/>
    <w:rsid w:val="00643809"/>
    <w:rsid w:val="00643C58"/>
    <w:rsid w:val="00644558"/>
    <w:rsid w:val="00644768"/>
    <w:rsid w:val="00644847"/>
    <w:rsid w:val="006454A0"/>
    <w:rsid w:val="006461AC"/>
    <w:rsid w:val="006462B7"/>
    <w:rsid w:val="00646435"/>
    <w:rsid w:val="00646966"/>
    <w:rsid w:val="00646B49"/>
    <w:rsid w:val="00646BEE"/>
    <w:rsid w:val="006470CB"/>
    <w:rsid w:val="00647756"/>
    <w:rsid w:val="00647CA5"/>
    <w:rsid w:val="00647EBC"/>
    <w:rsid w:val="00650286"/>
    <w:rsid w:val="006507D6"/>
    <w:rsid w:val="0065103A"/>
    <w:rsid w:val="006511F1"/>
    <w:rsid w:val="00651487"/>
    <w:rsid w:val="0065257A"/>
    <w:rsid w:val="0065282D"/>
    <w:rsid w:val="00652C4A"/>
    <w:rsid w:val="00652E8D"/>
    <w:rsid w:val="00652EFE"/>
    <w:rsid w:val="006535BE"/>
    <w:rsid w:val="00653B20"/>
    <w:rsid w:val="00653B7E"/>
    <w:rsid w:val="00654944"/>
    <w:rsid w:val="00654964"/>
    <w:rsid w:val="0065506E"/>
    <w:rsid w:val="00655168"/>
    <w:rsid w:val="0065572F"/>
    <w:rsid w:val="00655928"/>
    <w:rsid w:val="00657055"/>
    <w:rsid w:val="006572E7"/>
    <w:rsid w:val="00657663"/>
    <w:rsid w:val="006578EA"/>
    <w:rsid w:val="00657B4E"/>
    <w:rsid w:val="0066143C"/>
    <w:rsid w:val="00661900"/>
    <w:rsid w:val="0066191E"/>
    <w:rsid w:val="00661AAF"/>
    <w:rsid w:val="00662BEB"/>
    <w:rsid w:val="00663955"/>
    <w:rsid w:val="00663F92"/>
    <w:rsid w:val="0066410B"/>
    <w:rsid w:val="006641B3"/>
    <w:rsid w:val="006641DC"/>
    <w:rsid w:val="006645C1"/>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7DC"/>
    <w:rsid w:val="00671A1F"/>
    <w:rsid w:val="00671D24"/>
    <w:rsid w:val="00672293"/>
    <w:rsid w:val="00672346"/>
    <w:rsid w:val="00672368"/>
    <w:rsid w:val="00673D54"/>
    <w:rsid w:val="00673E90"/>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7A4"/>
    <w:rsid w:val="00683A74"/>
    <w:rsid w:val="00683AEB"/>
    <w:rsid w:val="00683CD7"/>
    <w:rsid w:val="00683E93"/>
    <w:rsid w:val="00683FA7"/>
    <w:rsid w:val="0068432B"/>
    <w:rsid w:val="006844F6"/>
    <w:rsid w:val="006845B4"/>
    <w:rsid w:val="00684E25"/>
    <w:rsid w:val="00685DDA"/>
    <w:rsid w:val="00686418"/>
    <w:rsid w:val="0068681F"/>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001"/>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CE0"/>
    <w:rsid w:val="006A6E57"/>
    <w:rsid w:val="006A6FE5"/>
    <w:rsid w:val="006A74BD"/>
    <w:rsid w:val="006A7588"/>
    <w:rsid w:val="006B0991"/>
    <w:rsid w:val="006B0EFA"/>
    <w:rsid w:val="006B0F0D"/>
    <w:rsid w:val="006B1587"/>
    <w:rsid w:val="006B1CEB"/>
    <w:rsid w:val="006B1D20"/>
    <w:rsid w:val="006B2AB8"/>
    <w:rsid w:val="006B2AC2"/>
    <w:rsid w:val="006B2BE8"/>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6386"/>
    <w:rsid w:val="006B7472"/>
    <w:rsid w:val="006B74A7"/>
    <w:rsid w:val="006B74DC"/>
    <w:rsid w:val="006B7619"/>
    <w:rsid w:val="006B7943"/>
    <w:rsid w:val="006C04D4"/>
    <w:rsid w:val="006C0AEF"/>
    <w:rsid w:val="006C0D30"/>
    <w:rsid w:val="006C1086"/>
    <w:rsid w:val="006C1447"/>
    <w:rsid w:val="006C27C6"/>
    <w:rsid w:val="006C28B6"/>
    <w:rsid w:val="006C2ACF"/>
    <w:rsid w:val="006C324E"/>
    <w:rsid w:val="006C3496"/>
    <w:rsid w:val="006C3584"/>
    <w:rsid w:val="006C4249"/>
    <w:rsid w:val="006C44B7"/>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15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12A"/>
    <w:rsid w:val="00707781"/>
    <w:rsid w:val="007077C5"/>
    <w:rsid w:val="00707CC2"/>
    <w:rsid w:val="00707F84"/>
    <w:rsid w:val="00710C17"/>
    <w:rsid w:val="00710E3E"/>
    <w:rsid w:val="0071177A"/>
    <w:rsid w:val="00711B92"/>
    <w:rsid w:val="00711F91"/>
    <w:rsid w:val="00712967"/>
    <w:rsid w:val="00712EA0"/>
    <w:rsid w:val="007132D3"/>
    <w:rsid w:val="0071415C"/>
    <w:rsid w:val="007144C2"/>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661"/>
    <w:rsid w:val="00721ACE"/>
    <w:rsid w:val="00721DE8"/>
    <w:rsid w:val="007223C2"/>
    <w:rsid w:val="0072272C"/>
    <w:rsid w:val="00722998"/>
    <w:rsid w:val="007239E0"/>
    <w:rsid w:val="0072479C"/>
    <w:rsid w:val="007247B8"/>
    <w:rsid w:val="00724FA7"/>
    <w:rsid w:val="0072513C"/>
    <w:rsid w:val="007254C6"/>
    <w:rsid w:val="00725783"/>
    <w:rsid w:val="00725BD4"/>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3A7"/>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2F80"/>
    <w:rsid w:val="007435F0"/>
    <w:rsid w:val="00743E96"/>
    <w:rsid w:val="00744029"/>
    <w:rsid w:val="007440DF"/>
    <w:rsid w:val="00744329"/>
    <w:rsid w:val="007443B4"/>
    <w:rsid w:val="00744F72"/>
    <w:rsid w:val="007458DC"/>
    <w:rsid w:val="00745A27"/>
    <w:rsid w:val="0074650A"/>
    <w:rsid w:val="00746785"/>
    <w:rsid w:val="00746958"/>
    <w:rsid w:val="00747140"/>
    <w:rsid w:val="00747417"/>
    <w:rsid w:val="0074748F"/>
    <w:rsid w:val="007479AE"/>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4D85"/>
    <w:rsid w:val="00755C38"/>
    <w:rsid w:val="00755DE8"/>
    <w:rsid w:val="0075606C"/>
    <w:rsid w:val="007566BB"/>
    <w:rsid w:val="0075674F"/>
    <w:rsid w:val="00756E93"/>
    <w:rsid w:val="00756F1C"/>
    <w:rsid w:val="00757A80"/>
    <w:rsid w:val="007604B5"/>
    <w:rsid w:val="007604BC"/>
    <w:rsid w:val="00760729"/>
    <w:rsid w:val="00760895"/>
    <w:rsid w:val="00760993"/>
    <w:rsid w:val="00760AFB"/>
    <w:rsid w:val="00760EE2"/>
    <w:rsid w:val="00761859"/>
    <w:rsid w:val="00761A45"/>
    <w:rsid w:val="007620B8"/>
    <w:rsid w:val="00762335"/>
    <w:rsid w:val="0076283A"/>
    <w:rsid w:val="00762CCA"/>
    <w:rsid w:val="00762E8E"/>
    <w:rsid w:val="00763B3D"/>
    <w:rsid w:val="00763BFD"/>
    <w:rsid w:val="00763DF7"/>
    <w:rsid w:val="00763E71"/>
    <w:rsid w:val="00764A66"/>
    <w:rsid w:val="00765092"/>
    <w:rsid w:val="00765238"/>
    <w:rsid w:val="00765D40"/>
    <w:rsid w:val="0076673F"/>
    <w:rsid w:val="007667C7"/>
    <w:rsid w:val="00766BA7"/>
    <w:rsid w:val="00766CCF"/>
    <w:rsid w:val="00766F41"/>
    <w:rsid w:val="007671EE"/>
    <w:rsid w:val="007677DA"/>
    <w:rsid w:val="00770486"/>
    <w:rsid w:val="0077050E"/>
    <w:rsid w:val="0077106A"/>
    <w:rsid w:val="00771699"/>
    <w:rsid w:val="00772161"/>
    <w:rsid w:val="007724E6"/>
    <w:rsid w:val="0077286D"/>
    <w:rsid w:val="007730E5"/>
    <w:rsid w:val="007736D7"/>
    <w:rsid w:val="00774281"/>
    <w:rsid w:val="007743B0"/>
    <w:rsid w:val="00774789"/>
    <w:rsid w:val="0077493F"/>
    <w:rsid w:val="00775412"/>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88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6F92"/>
    <w:rsid w:val="007873A4"/>
    <w:rsid w:val="007873DF"/>
    <w:rsid w:val="00787772"/>
    <w:rsid w:val="00787C53"/>
    <w:rsid w:val="00787FC0"/>
    <w:rsid w:val="0079037D"/>
    <w:rsid w:val="0079043D"/>
    <w:rsid w:val="00790719"/>
    <w:rsid w:val="007908CB"/>
    <w:rsid w:val="0079153B"/>
    <w:rsid w:val="00791AA4"/>
    <w:rsid w:val="00792108"/>
    <w:rsid w:val="00792176"/>
    <w:rsid w:val="00792625"/>
    <w:rsid w:val="00792959"/>
    <w:rsid w:val="00792DFE"/>
    <w:rsid w:val="00793831"/>
    <w:rsid w:val="00793B73"/>
    <w:rsid w:val="00793D5B"/>
    <w:rsid w:val="007943BF"/>
    <w:rsid w:val="007944CC"/>
    <w:rsid w:val="00795136"/>
    <w:rsid w:val="007952C1"/>
    <w:rsid w:val="00795838"/>
    <w:rsid w:val="007959ED"/>
    <w:rsid w:val="007969AA"/>
    <w:rsid w:val="00797054"/>
    <w:rsid w:val="00797169"/>
    <w:rsid w:val="00797380"/>
    <w:rsid w:val="0079764A"/>
    <w:rsid w:val="0079791B"/>
    <w:rsid w:val="00797BC9"/>
    <w:rsid w:val="00797C1E"/>
    <w:rsid w:val="007A093C"/>
    <w:rsid w:val="007A0CEA"/>
    <w:rsid w:val="007A0E6C"/>
    <w:rsid w:val="007A0EA2"/>
    <w:rsid w:val="007A115F"/>
    <w:rsid w:val="007A1371"/>
    <w:rsid w:val="007A21AD"/>
    <w:rsid w:val="007A2247"/>
    <w:rsid w:val="007A23C9"/>
    <w:rsid w:val="007A2479"/>
    <w:rsid w:val="007A2551"/>
    <w:rsid w:val="007A3097"/>
    <w:rsid w:val="007A4A59"/>
    <w:rsid w:val="007A53F3"/>
    <w:rsid w:val="007A6989"/>
    <w:rsid w:val="007A73D1"/>
    <w:rsid w:val="007A75F8"/>
    <w:rsid w:val="007B027E"/>
    <w:rsid w:val="007B02F5"/>
    <w:rsid w:val="007B0A90"/>
    <w:rsid w:val="007B106B"/>
    <w:rsid w:val="007B1133"/>
    <w:rsid w:val="007B1493"/>
    <w:rsid w:val="007B1F0B"/>
    <w:rsid w:val="007B2439"/>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EC9"/>
    <w:rsid w:val="007B4FB5"/>
    <w:rsid w:val="007B4FFB"/>
    <w:rsid w:val="007B50D5"/>
    <w:rsid w:val="007B51BE"/>
    <w:rsid w:val="007B556E"/>
    <w:rsid w:val="007B573D"/>
    <w:rsid w:val="007B5C7E"/>
    <w:rsid w:val="007B6523"/>
    <w:rsid w:val="007B6551"/>
    <w:rsid w:val="007B6CC1"/>
    <w:rsid w:val="007B6F75"/>
    <w:rsid w:val="007B6FED"/>
    <w:rsid w:val="007B6FFF"/>
    <w:rsid w:val="007B7543"/>
    <w:rsid w:val="007B79E2"/>
    <w:rsid w:val="007C0B63"/>
    <w:rsid w:val="007C11F7"/>
    <w:rsid w:val="007C15A0"/>
    <w:rsid w:val="007C19A2"/>
    <w:rsid w:val="007C1C54"/>
    <w:rsid w:val="007C1E7F"/>
    <w:rsid w:val="007C2290"/>
    <w:rsid w:val="007C2447"/>
    <w:rsid w:val="007C25B0"/>
    <w:rsid w:val="007C2A95"/>
    <w:rsid w:val="007C2D2F"/>
    <w:rsid w:val="007C2F1E"/>
    <w:rsid w:val="007C340C"/>
    <w:rsid w:val="007C49D7"/>
    <w:rsid w:val="007C5A00"/>
    <w:rsid w:val="007C5DC2"/>
    <w:rsid w:val="007C5E18"/>
    <w:rsid w:val="007C5ECF"/>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7866"/>
    <w:rsid w:val="007E02E8"/>
    <w:rsid w:val="007E0618"/>
    <w:rsid w:val="007E0689"/>
    <w:rsid w:val="007E0BF8"/>
    <w:rsid w:val="007E12E8"/>
    <w:rsid w:val="007E1650"/>
    <w:rsid w:val="007E1B54"/>
    <w:rsid w:val="007E1B64"/>
    <w:rsid w:val="007E1BBB"/>
    <w:rsid w:val="007E262C"/>
    <w:rsid w:val="007E265A"/>
    <w:rsid w:val="007E27EF"/>
    <w:rsid w:val="007E353D"/>
    <w:rsid w:val="007E3C1F"/>
    <w:rsid w:val="007E4679"/>
    <w:rsid w:val="007E486A"/>
    <w:rsid w:val="007E4CD6"/>
    <w:rsid w:val="007E4F58"/>
    <w:rsid w:val="007E5101"/>
    <w:rsid w:val="007E62B1"/>
    <w:rsid w:val="007E62ED"/>
    <w:rsid w:val="007E680E"/>
    <w:rsid w:val="007E6CF7"/>
    <w:rsid w:val="007E71CE"/>
    <w:rsid w:val="007E7215"/>
    <w:rsid w:val="007E7993"/>
    <w:rsid w:val="007E7C66"/>
    <w:rsid w:val="007E7F21"/>
    <w:rsid w:val="007F012E"/>
    <w:rsid w:val="007F04DD"/>
    <w:rsid w:val="007F06B8"/>
    <w:rsid w:val="007F0A14"/>
    <w:rsid w:val="007F0A62"/>
    <w:rsid w:val="007F0B73"/>
    <w:rsid w:val="007F0CDB"/>
    <w:rsid w:val="007F1074"/>
    <w:rsid w:val="007F13D0"/>
    <w:rsid w:val="007F14A5"/>
    <w:rsid w:val="007F1553"/>
    <w:rsid w:val="007F1B5B"/>
    <w:rsid w:val="007F2141"/>
    <w:rsid w:val="007F2984"/>
    <w:rsid w:val="007F2A49"/>
    <w:rsid w:val="007F2B1C"/>
    <w:rsid w:val="007F2EB1"/>
    <w:rsid w:val="007F2FBE"/>
    <w:rsid w:val="007F3797"/>
    <w:rsid w:val="007F3851"/>
    <w:rsid w:val="007F3ACD"/>
    <w:rsid w:val="007F45C5"/>
    <w:rsid w:val="007F5E02"/>
    <w:rsid w:val="007F62AE"/>
    <w:rsid w:val="007F6922"/>
    <w:rsid w:val="007F6C2A"/>
    <w:rsid w:val="007F70FA"/>
    <w:rsid w:val="007F71C9"/>
    <w:rsid w:val="007F7634"/>
    <w:rsid w:val="007F7CAC"/>
    <w:rsid w:val="007F7EAB"/>
    <w:rsid w:val="008000CD"/>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1D51"/>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1CB"/>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978"/>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0ACF"/>
    <w:rsid w:val="00841451"/>
    <w:rsid w:val="008416CA"/>
    <w:rsid w:val="00841702"/>
    <w:rsid w:val="008418E2"/>
    <w:rsid w:val="00841F59"/>
    <w:rsid w:val="00842018"/>
    <w:rsid w:val="0084215E"/>
    <w:rsid w:val="0084289B"/>
    <w:rsid w:val="00842BDF"/>
    <w:rsid w:val="00842FDA"/>
    <w:rsid w:val="008432B9"/>
    <w:rsid w:val="008435EC"/>
    <w:rsid w:val="00843789"/>
    <w:rsid w:val="008438B6"/>
    <w:rsid w:val="00843BBB"/>
    <w:rsid w:val="00843D02"/>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A88"/>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980"/>
    <w:rsid w:val="00861A61"/>
    <w:rsid w:val="00861D77"/>
    <w:rsid w:val="00862223"/>
    <w:rsid w:val="0086247F"/>
    <w:rsid w:val="008624A3"/>
    <w:rsid w:val="008628AF"/>
    <w:rsid w:val="008629C6"/>
    <w:rsid w:val="00862BDD"/>
    <w:rsid w:val="00862D59"/>
    <w:rsid w:val="00862E5D"/>
    <w:rsid w:val="008633BE"/>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6F6C"/>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C0"/>
    <w:rsid w:val="008753FF"/>
    <w:rsid w:val="008761B1"/>
    <w:rsid w:val="00876243"/>
    <w:rsid w:val="0087624D"/>
    <w:rsid w:val="00876527"/>
    <w:rsid w:val="0087660B"/>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87CF0"/>
    <w:rsid w:val="008906E8"/>
    <w:rsid w:val="00890702"/>
    <w:rsid w:val="00890AEE"/>
    <w:rsid w:val="00890C1F"/>
    <w:rsid w:val="00890C5C"/>
    <w:rsid w:val="00890D5E"/>
    <w:rsid w:val="00891061"/>
    <w:rsid w:val="0089115A"/>
    <w:rsid w:val="008912D5"/>
    <w:rsid w:val="008913BB"/>
    <w:rsid w:val="008917F7"/>
    <w:rsid w:val="008917FC"/>
    <w:rsid w:val="00892888"/>
    <w:rsid w:val="00892FA1"/>
    <w:rsid w:val="00892FF0"/>
    <w:rsid w:val="00893511"/>
    <w:rsid w:val="00893806"/>
    <w:rsid w:val="00893AD1"/>
    <w:rsid w:val="00893D4A"/>
    <w:rsid w:val="008942F3"/>
    <w:rsid w:val="008946A3"/>
    <w:rsid w:val="0089489B"/>
    <w:rsid w:val="00894EEC"/>
    <w:rsid w:val="00894FAF"/>
    <w:rsid w:val="0089597A"/>
    <w:rsid w:val="008959C9"/>
    <w:rsid w:val="00895B8B"/>
    <w:rsid w:val="00895CEA"/>
    <w:rsid w:val="00896123"/>
    <w:rsid w:val="00896729"/>
    <w:rsid w:val="0089691C"/>
    <w:rsid w:val="00896F33"/>
    <w:rsid w:val="00897228"/>
    <w:rsid w:val="0089758A"/>
    <w:rsid w:val="00897A59"/>
    <w:rsid w:val="00897A9E"/>
    <w:rsid w:val="008A0010"/>
    <w:rsid w:val="008A0013"/>
    <w:rsid w:val="008A00BF"/>
    <w:rsid w:val="008A024F"/>
    <w:rsid w:val="008A112A"/>
    <w:rsid w:val="008A1E2D"/>
    <w:rsid w:val="008A2378"/>
    <w:rsid w:val="008A23AD"/>
    <w:rsid w:val="008A24AA"/>
    <w:rsid w:val="008A2786"/>
    <w:rsid w:val="008A2C4E"/>
    <w:rsid w:val="008A2F58"/>
    <w:rsid w:val="008A3120"/>
    <w:rsid w:val="008A3238"/>
    <w:rsid w:val="008A32FF"/>
    <w:rsid w:val="008A3996"/>
    <w:rsid w:val="008A3E59"/>
    <w:rsid w:val="008A4A7D"/>
    <w:rsid w:val="008A4CDA"/>
    <w:rsid w:val="008A536E"/>
    <w:rsid w:val="008A58B9"/>
    <w:rsid w:val="008A59AD"/>
    <w:rsid w:val="008A6033"/>
    <w:rsid w:val="008A6CB4"/>
    <w:rsid w:val="008A6D74"/>
    <w:rsid w:val="008A7B4E"/>
    <w:rsid w:val="008A7B7B"/>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3ACE"/>
    <w:rsid w:val="008B4141"/>
    <w:rsid w:val="008B4182"/>
    <w:rsid w:val="008B4F14"/>
    <w:rsid w:val="008B54F7"/>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5E9"/>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852"/>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E6BBA"/>
    <w:rsid w:val="008E7F9A"/>
    <w:rsid w:val="008F0938"/>
    <w:rsid w:val="008F1320"/>
    <w:rsid w:val="008F14A5"/>
    <w:rsid w:val="008F1582"/>
    <w:rsid w:val="008F2832"/>
    <w:rsid w:val="008F28A9"/>
    <w:rsid w:val="008F2CA6"/>
    <w:rsid w:val="008F2E52"/>
    <w:rsid w:val="008F2F1D"/>
    <w:rsid w:val="008F31ED"/>
    <w:rsid w:val="008F3897"/>
    <w:rsid w:val="008F3A21"/>
    <w:rsid w:val="008F3E22"/>
    <w:rsid w:val="008F467D"/>
    <w:rsid w:val="008F4744"/>
    <w:rsid w:val="008F4C99"/>
    <w:rsid w:val="008F5229"/>
    <w:rsid w:val="008F5BEF"/>
    <w:rsid w:val="008F6070"/>
    <w:rsid w:val="008F6843"/>
    <w:rsid w:val="008F68CF"/>
    <w:rsid w:val="008F6EEB"/>
    <w:rsid w:val="009003BC"/>
    <w:rsid w:val="00900414"/>
    <w:rsid w:val="00900756"/>
    <w:rsid w:val="0090101F"/>
    <w:rsid w:val="00901440"/>
    <w:rsid w:val="009017A9"/>
    <w:rsid w:val="009019D8"/>
    <w:rsid w:val="00902656"/>
    <w:rsid w:val="00902915"/>
    <w:rsid w:val="00902FDE"/>
    <w:rsid w:val="00903135"/>
    <w:rsid w:val="009031AF"/>
    <w:rsid w:val="009032CD"/>
    <w:rsid w:val="009032E9"/>
    <w:rsid w:val="00903396"/>
    <w:rsid w:val="009037F7"/>
    <w:rsid w:val="00903A7F"/>
    <w:rsid w:val="00903EA1"/>
    <w:rsid w:val="00904612"/>
    <w:rsid w:val="0090496B"/>
    <w:rsid w:val="009049F7"/>
    <w:rsid w:val="00904EE2"/>
    <w:rsid w:val="009050B0"/>
    <w:rsid w:val="00905469"/>
    <w:rsid w:val="00905C5C"/>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6D13"/>
    <w:rsid w:val="0091729A"/>
    <w:rsid w:val="00917913"/>
    <w:rsid w:val="00917A26"/>
    <w:rsid w:val="00917A7D"/>
    <w:rsid w:val="00917C4A"/>
    <w:rsid w:val="00917E93"/>
    <w:rsid w:val="00920477"/>
    <w:rsid w:val="0092053F"/>
    <w:rsid w:val="00920F06"/>
    <w:rsid w:val="0092112C"/>
    <w:rsid w:val="00922136"/>
    <w:rsid w:val="0092248E"/>
    <w:rsid w:val="0092267F"/>
    <w:rsid w:val="00922B2C"/>
    <w:rsid w:val="00922BB0"/>
    <w:rsid w:val="00922C38"/>
    <w:rsid w:val="00922E91"/>
    <w:rsid w:val="00923891"/>
    <w:rsid w:val="00923BCC"/>
    <w:rsid w:val="0092412C"/>
    <w:rsid w:val="00924766"/>
    <w:rsid w:val="009249F9"/>
    <w:rsid w:val="00924CF7"/>
    <w:rsid w:val="00924E41"/>
    <w:rsid w:val="009250FD"/>
    <w:rsid w:val="0092547A"/>
    <w:rsid w:val="009259B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84D"/>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33D"/>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9D0"/>
    <w:rsid w:val="00951A04"/>
    <w:rsid w:val="00951C06"/>
    <w:rsid w:val="00951EA3"/>
    <w:rsid w:val="009522F6"/>
    <w:rsid w:val="00952652"/>
    <w:rsid w:val="00953040"/>
    <w:rsid w:val="00953864"/>
    <w:rsid w:val="00953947"/>
    <w:rsid w:val="00953BF0"/>
    <w:rsid w:val="00953E2B"/>
    <w:rsid w:val="0095418E"/>
    <w:rsid w:val="009543E8"/>
    <w:rsid w:val="0095519B"/>
    <w:rsid w:val="00955B2B"/>
    <w:rsid w:val="009561C0"/>
    <w:rsid w:val="009569E7"/>
    <w:rsid w:val="00956E0A"/>
    <w:rsid w:val="00957317"/>
    <w:rsid w:val="009576AF"/>
    <w:rsid w:val="009578A6"/>
    <w:rsid w:val="0095793D"/>
    <w:rsid w:val="00957C7F"/>
    <w:rsid w:val="00957D83"/>
    <w:rsid w:val="009602CB"/>
    <w:rsid w:val="0096089B"/>
    <w:rsid w:val="00960BAD"/>
    <w:rsid w:val="00960E07"/>
    <w:rsid w:val="009611B8"/>
    <w:rsid w:val="00961D8A"/>
    <w:rsid w:val="00961E9B"/>
    <w:rsid w:val="00961FF6"/>
    <w:rsid w:val="00962CDC"/>
    <w:rsid w:val="00962F09"/>
    <w:rsid w:val="009633CD"/>
    <w:rsid w:val="0096409E"/>
    <w:rsid w:val="00964169"/>
    <w:rsid w:val="00964188"/>
    <w:rsid w:val="00964C07"/>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455D"/>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0F30"/>
    <w:rsid w:val="00981325"/>
    <w:rsid w:val="00981748"/>
    <w:rsid w:val="009819D2"/>
    <w:rsid w:val="00981AE9"/>
    <w:rsid w:val="00981E4C"/>
    <w:rsid w:val="0098216F"/>
    <w:rsid w:val="009821D3"/>
    <w:rsid w:val="00982331"/>
    <w:rsid w:val="00982C36"/>
    <w:rsid w:val="00983824"/>
    <w:rsid w:val="009841E3"/>
    <w:rsid w:val="009843B7"/>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8FE"/>
    <w:rsid w:val="009879F4"/>
    <w:rsid w:val="00987C9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344"/>
    <w:rsid w:val="009A4AB7"/>
    <w:rsid w:val="009A5AE8"/>
    <w:rsid w:val="009A5B44"/>
    <w:rsid w:val="009A5C09"/>
    <w:rsid w:val="009A5C2F"/>
    <w:rsid w:val="009A5F35"/>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1B4A"/>
    <w:rsid w:val="009C1B75"/>
    <w:rsid w:val="009C1EB8"/>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1FFE"/>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49B0"/>
    <w:rsid w:val="009F5F47"/>
    <w:rsid w:val="009F6377"/>
    <w:rsid w:val="009F6D30"/>
    <w:rsid w:val="009F7044"/>
    <w:rsid w:val="009F7184"/>
    <w:rsid w:val="009F720D"/>
    <w:rsid w:val="009F72CE"/>
    <w:rsid w:val="009F7B90"/>
    <w:rsid w:val="00A00731"/>
    <w:rsid w:val="00A00800"/>
    <w:rsid w:val="00A00A1B"/>
    <w:rsid w:val="00A00ACD"/>
    <w:rsid w:val="00A011A4"/>
    <w:rsid w:val="00A018E2"/>
    <w:rsid w:val="00A01BF5"/>
    <w:rsid w:val="00A020EB"/>
    <w:rsid w:val="00A0261B"/>
    <w:rsid w:val="00A02982"/>
    <w:rsid w:val="00A02B9C"/>
    <w:rsid w:val="00A0330C"/>
    <w:rsid w:val="00A034E3"/>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0BFE"/>
    <w:rsid w:val="00A11BB9"/>
    <w:rsid w:val="00A12920"/>
    <w:rsid w:val="00A12A6A"/>
    <w:rsid w:val="00A134CC"/>
    <w:rsid w:val="00A13B86"/>
    <w:rsid w:val="00A13F14"/>
    <w:rsid w:val="00A1449B"/>
    <w:rsid w:val="00A14F81"/>
    <w:rsid w:val="00A156B6"/>
    <w:rsid w:val="00A15A12"/>
    <w:rsid w:val="00A163B6"/>
    <w:rsid w:val="00A16B49"/>
    <w:rsid w:val="00A174BB"/>
    <w:rsid w:val="00A175C0"/>
    <w:rsid w:val="00A17DE4"/>
    <w:rsid w:val="00A20056"/>
    <w:rsid w:val="00A204A1"/>
    <w:rsid w:val="00A204F9"/>
    <w:rsid w:val="00A2053E"/>
    <w:rsid w:val="00A20A16"/>
    <w:rsid w:val="00A20D2F"/>
    <w:rsid w:val="00A214D3"/>
    <w:rsid w:val="00A21606"/>
    <w:rsid w:val="00A217F4"/>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5D88"/>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84B"/>
    <w:rsid w:val="00A33E0B"/>
    <w:rsid w:val="00A34014"/>
    <w:rsid w:val="00A345BB"/>
    <w:rsid w:val="00A3478D"/>
    <w:rsid w:val="00A3497C"/>
    <w:rsid w:val="00A34D6F"/>
    <w:rsid w:val="00A34DA6"/>
    <w:rsid w:val="00A34DE5"/>
    <w:rsid w:val="00A34E61"/>
    <w:rsid w:val="00A35134"/>
    <w:rsid w:val="00A35236"/>
    <w:rsid w:val="00A356FF"/>
    <w:rsid w:val="00A35C45"/>
    <w:rsid w:val="00A36A64"/>
    <w:rsid w:val="00A36DF6"/>
    <w:rsid w:val="00A36F37"/>
    <w:rsid w:val="00A37291"/>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53"/>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1DB"/>
    <w:rsid w:val="00A562A2"/>
    <w:rsid w:val="00A564D6"/>
    <w:rsid w:val="00A56A11"/>
    <w:rsid w:val="00A56B9F"/>
    <w:rsid w:val="00A575AE"/>
    <w:rsid w:val="00A57676"/>
    <w:rsid w:val="00A57677"/>
    <w:rsid w:val="00A576F0"/>
    <w:rsid w:val="00A57702"/>
    <w:rsid w:val="00A57D4E"/>
    <w:rsid w:val="00A57F34"/>
    <w:rsid w:val="00A603C5"/>
    <w:rsid w:val="00A60442"/>
    <w:rsid w:val="00A60CF4"/>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A95"/>
    <w:rsid w:val="00A65CE8"/>
    <w:rsid w:val="00A66068"/>
    <w:rsid w:val="00A66E1A"/>
    <w:rsid w:val="00A66EEA"/>
    <w:rsid w:val="00A672A0"/>
    <w:rsid w:val="00A67458"/>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398"/>
    <w:rsid w:val="00A76960"/>
    <w:rsid w:val="00A76CC2"/>
    <w:rsid w:val="00A77953"/>
    <w:rsid w:val="00A804BB"/>
    <w:rsid w:val="00A807CC"/>
    <w:rsid w:val="00A80EE5"/>
    <w:rsid w:val="00A81CE8"/>
    <w:rsid w:val="00A81FC6"/>
    <w:rsid w:val="00A831B0"/>
    <w:rsid w:val="00A83233"/>
    <w:rsid w:val="00A838D7"/>
    <w:rsid w:val="00A83A12"/>
    <w:rsid w:val="00A83AB7"/>
    <w:rsid w:val="00A84771"/>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4F1"/>
    <w:rsid w:val="00A967F3"/>
    <w:rsid w:val="00A969BA"/>
    <w:rsid w:val="00A96F85"/>
    <w:rsid w:val="00A9799E"/>
    <w:rsid w:val="00A97C78"/>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D2B"/>
    <w:rsid w:val="00AB3F7E"/>
    <w:rsid w:val="00AB487F"/>
    <w:rsid w:val="00AB49E3"/>
    <w:rsid w:val="00AB4AC0"/>
    <w:rsid w:val="00AB4B31"/>
    <w:rsid w:val="00AB4B90"/>
    <w:rsid w:val="00AB5B17"/>
    <w:rsid w:val="00AB5B73"/>
    <w:rsid w:val="00AB5C2F"/>
    <w:rsid w:val="00AB6141"/>
    <w:rsid w:val="00AB61F3"/>
    <w:rsid w:val="00AB6A73"/>
    <w:rsid w:val="00AB6AB5"/>
    <w:rsid w:val="00AB6EBD"/>
    <w:rsid w:val="00AB7565"/>
    <w:rsid w:val="00AB796F"/>
    <w:rsid w:val="00AB79D2"/>
    <w:rsid w:val="00AC0708"/>
    <w:rsid w:val="00AC0D96"/>
    <w:rsid w:val="00AC12BB"/>
    <w:rsid w:val="00AC1596"/>
    <w:rsid w:val="00AC1A41"/>
    <w:rsid w:val="00AC1EAB"/>
    <w:rsid w:val="00AC1FF7"/>
    <w:rsid w:val="00AC256D"/>
    <w:rsid w:val="00AC2B3E"/>
    <w:rsid w:val="00AC2CC0"/>
    <w:rsid w:val="00AC35BC"/>
    <w:rsid w:val="00AC3832"/>
    <w:rsid w:val="00AC3C76"/>
    <w:rsid w:val="00AC484A"/>
    <w:rsid w:val="00AC49C1"/>
    <w:rsid w:val="00AC4C87"/>
    <w:rsid w:val="00AC51AC"/>
    <w:rsid w:val="00AC5246"/>
    <w:rsid w:val="00AC5298"/>
    <w:rsid w:val="00AC60D4"/>
    <w:rsid w:val="00AC620A"/>
    <w:rsid w:val="00AC76D1"/>
    <w:rsid w:val="00AC7ABF"/>
    <w:rsid w:val="00AD0037"/>
    <w:rsid w:val="00AD03F0"/>
    <w:rsid w:val="00AD0D35"/>
    <w:rsid w:val="00AD1866"/>
    <w:rsid w:val="00AD1986"/>
    <w:rsid w:val="00AD1E31"/>
    <w:rsid w:val="00AD1EA4"/>
    <w:rsid w:val="00AD20A6"/>
    <w:rsid w:val="00AD2338"/>
    <w:rsid w:val="00AD2B5B"/>
    <w:rsid w:val="00AD2D8E"/>
    <w:rsid w:val="00AD2E0E"/>
    <w:rsid w:val="00AD3DC4"/>
    <w:rsid w:val="00AD4025"/>
    <w:rsid w:val="00AD4216"/>
    <w:rsid w:val="00AD4F66"/>
    <w:rsid w:val="00AD55B9"/>
    <w:rsid w:val="00AD577F"/>
    <w:rsid w:val="00AD5A65"/>
    <w:rsid w:val="00AD5D61"/>
    <w:rsid w:val="00AD5EA7"/>
    <w:rsid w:val="00AD626B"/>
    <w:rsid w:val="00AD63D4"/>
    <w:rsid w:val="00AD703F"/>
    <w:rsid w:val="00AD7377"/>
    <w:rsid w:val="00AE0DB6"/>
    <w:rsid w:val="00AE0F21"/>
    <w:rsid w:val="00AE0F65"/>
    <w:rsid w:val="00AE1A91"/>
    <w:rsid w:val="00AE1EED"/>
    <w:rsid w:val="00AE22A4"/>
    <w:rsid w:val="00AE28C2"/>
    <w:rsid w:val="00AE2AEB"/>
    <w:rsid w:val="00AE3A79"/>
    <w:rsid w:val="00AE3DA6"/>
    <w:rsid w:val="00AE3DE3"/>
    <w:rsid w:val="00AE3FCC"/>
    <w:rsid w:val="00AE410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351"/>
    <w:rsid w:val="00AE7542"/>
    <w:rsid w:val="00AE7D04"/>
    <w:rsid w:val="00AE7E51"/>
    <w:rsid w:val="00AF0350"/>
    <w:rsid w:val="00AF0EBD"/>
    <w:rsid w:val="00AF0F1D"/>
    <w:rsid w:val="00AF18FE"/>
    <w:rsid w:val="00AF1D67"/>
    <w:rsid w:val="00AF2AC5"/>
    <w:rsid w:val="00AF3238"/>
    <w:rsid w:val="00AF393D"/>
    <w:rsid w:val="00AF3AB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AF68AB"/>
    <w:rsid w:val="00AF6BAA"/>
    <w:rsid w:val="00AF6C53"/>
    <w:rsid w:val="00B007C3"/>
    <w:rsid w:val="00B00C28"/>
    <w:rsid w:val="00B00C6F"/>
    <w:rsid w:val="00B01253"/>
    <w:rsid w:val="00B014FF"/>
    <w:rsid w:val="00B015AC"/>
    <w:rsid w:val="00B01BF4"/>
    <w:rsid w:val="00B01D33"/>
    <w:rsid w:val="00B0219F"/>
    <w:rsid w:val="00B02F69"/>
    <w:rsid w:val="00B0320A"/>
    <w:rsid w:val="00B03A44"/>
    <w:rsid w:val="00B041EC"/>
    <w:rsid w:val="00B042A5"/>
    <w:rsid w:val="00B04384"/>
    <w:rsid w:val="00B04978"/>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273"/>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7FC"/>
    <w:rsid w:val="00B16800"/>
    <w:rsid w:val="00B16A64"/>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6C9"/>
    <w:rsid w:val="00B2370E"/>
    <w:rsid w:val="00B23ABD"/>
    <w:rsid w:val="00B23B3E"/>
    <w:rsid w:val="00B23B68"/>
    <w:rsid w:val="00B23FF9"/>
    <w:rsid w:val="00B2405C"/>
    <w:rsid w:val="00B248FB"/>
    <w:rsid w:val="00B24B8B"/>
    <w:rsid w:val="00B25192"/>
    <w:rsid w:val="00B25589"/>
    <w:rsid w:val="00B2572C"/>
    <w:rsid w:val="00B25A02"/>
    <w:rsid w:val="00B25AD2"/>
    <w:rsid w:val="00B268A2"/>
    <w:rsid w:val="00B269B3"/>
    <w:rsid w:val="00B26EFF"/>
    <w:rsid w:val="00B27159"/>
    <w:rsid w:val="00B271B4"/>
    <w:rsid w:val="00B2789A"/>
    <w:rsid w:val="00B27F73"/>
    <w:rsid w:val="00B30662"/>
    <w:rsid w:val="00B30963"/>
    <w:rsid w:val="00B30A90"/>
    <w:rsid w:val="00B30A99"/>
    <w:rsid w:val="00B30AE1"/>
    <w:rsid w:val="00B30C4C"/>
    <w:rsid w:val="00B31108"/>
    <w:rsid w:val="00B31477"/>
    <w:rsid w:val="00B31621"/>
    <w:rsid w:val="00B316A1"/>
    <w:rsid w:val="00B31805"/>
    <w:rsid w:val="00B31A62"/>
    <w:rsid w:val="00B31B87"/>
    <w:rsid w:val="00B31F11"/>
    <w:rsid w:val="00B321FA"/>
    <w:rsid w:val="00B33B04"/>
    <w:rsid w:val="00B33B7C"/>
    <w:rsid w:val="00B33C07"/>
    <w:rsid w:val="00B33D4E"/>
    <w:rsid w:val="00B33E4D"/>
    <w:rsid w:val="00B33EF1"/>
    <w:rsid w:val="00B34020"/>
    <w:rsid w:val="00B340CF"/>
    <w:rsid w:val="00B345EA"/>
    <w:rsid w:val="00B34939"/>
    <w:rsid w:val="00B34FCB"/>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5C58"/>
    <w:rsid w:val="00B4601E"/>
    <w:rsid w:val="00B46874"/>
    <w:rsid w:val="00B46B56"/>
    <w:rsid w:val="00B46BBD"/>
    <w:rsid w:val="00B471F9"/>
    <w:rsid w:val="00B476E0"/>
    <w:rsid w:val="00B50035"/>
    <w:rsid w:val="00B50992"/>
    <w:rsid w:val="00B50DD7"/>
    <w:rsid w:val="00B51142"/>
    <w:rsid w:val="00B51173"/>
    <w:rsid w:val="00B51849"/>
    <w:rsid w:val="00B526E6"/>
    <w:rsid w:val="00B52958"/>
    <w:rsid w:val="00B52993"/>
    <w:rsid w:val="00B52B35"/>
    <w:rsid w:val="00B52B86"/>
    <w:rsid w:val="00B52D18"/>
    <w:rsid w:val="00B53204"/>
    <w:rsid w:val="00B53649"/>
    <w:rsid w:val="00B53680"/>
    <w:rsid w:val="00B53BB5"/>
    <w:rsid w:val="00B53CAD"/>
    <w:rsid w:val="00B53D90"/>
    <w:rsid w:val="00B543BF"/>
    <w:rsid w:val="00B545DD"/>
    <w:rsid w:val="00B54727"/>
    <w:rsid w:val="00B55050"/>
    <w:rsid w:val="00B557AA"/>
    <w:rsid w:val="00B55AAD"/>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EBE"/>
    <w:rsid w:val="00B65FC5"/>
    <w:rsid w:val="00B66202"/>
    <w:rsid w:val="00B663C8"/>
    <w:rsid w:val="00B6669E"/>
    <w:rsid w:val="00B66F90"/>
    <w:rsid w:val="00B6736F"/>
    <w:rsid w:val="00B6737E"/>
    <w:rsid w:val="00B674D9"/>
    <w:rsid w:val="00B67963"/>
    <w:rsid w:val="00B67E6E"/>
    <w:rsid w:val="00B70CF2"/>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3852"/>
    <w:rsid w:val="00B84A18"/>
    <w:rsid w:val="00B85506"/>
    <w:rsid w:val="00B85977"/>
    <w:rsid w:val="00B85EC8"/>
    <w:rsid w:val="00B86DFA"/>
    <w:rsid w:val="00B87267"/>
    <w:rsid w:val="00B873E4"/>
    <w:rsid w:val="00B87DD0"/>
    <w:rsid w:val="00B90D87"/>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5C95"/>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3637"/>
    <w:rsid w:val="00BA4390"/>
    <w:rsid w:val="00BA4619"/>
    <w:rsid w:val="00BA486D"/>
    <w:rsid w:val="00BA5034"/>
    <w:rsid w:val="00BA5763"/>
    <w:rsid w:val="00BA5B17"/>
    <w:rsid w:val="00BA5DD9"/>
    <w:rsid w:val="00BA6C87"/>
    <w:rsid w:val="00BA710A"/>
    <w:rsid w:val="00BA7538"/>
    <w:rsid w:val="00BA7556"/>
    <w:rsid w:val="00BA766E"/>
    <w:rsid w:val="00BA777B"/>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5DCF"/>
    <w:rsid w:val="00BB6424"/>
    <w:rsid w:val="00BB64B7"/>
    <w:rsid w:val="00BB65D9"/>
    <w:rsid w:val="00BB6C3F"/>
    <w:rsid w:val="00BB6D92"/>
    <w:rsid w:val="00BB6ED6"/>
    <w:rsid w:val="00BB70B9"/>
    <w:rsid w:val="00BB7D87"/>
    <w:rsid w:val="00BC02F3"/>
    <w:rsid w:val="00BC06B9"/>
    <w:rsid w:val="00BC0AD0"/>
    <w:rsid w:val="00BC0E35"/>
    <w:rsid w:val="00BC1BB0"/>
    <w:rsid w:val="00BC2409"/>
    <w:rsid w:val="00BC24C9"/>
    <w:rsid w:val="00BC25FE"/>
    <w:rsid w:val="00BC380B"/>
    <w:rsid w:val="00BC39F4"/>
    <w:rsid w:val="00BC3D45"/>
    <w:rsid w:val="00BC3E66"/>
    <w:rsid w:val="00BC3E92"/>
    <w:rsid w:val="00BC4021"/>
    <w:rsid w:val="00BC4066"/>
    <w:rsid w:val="00BC450E"/>
    <w:rsid w:val="00BC4D85"/>
    <w:rsid w:val="00BC531B"/>
    <w:rsid w:val="00BC548B"/>
    <w:rsid w:val="00BC5C06"/>
    <w:rsid w:val="00BC604C"/>
    <w:rsid w:val="00BC64B0"/>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9ED"/>
    <w:rsid w:val="00BD5A84"/>
    <w:rsid w:val="00BD68FF"/>
    <w:rsid w:val="00BD6EDA"/>
    <w:rsid w:val="00BD7056"/>
    <w:rsid w:val="00BD71D7"/>
    <w:rsid w:val="00BD7214"/>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5D51"/>
    <w:rsid w:val="00BE5D8D"/>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486"/>
    <w:rsid w:val="00BF5578"/>
    <w:rsid w:val="00BF568A"/>
    <w:rsid w:val="00BF5B5A"/>
    <w:rsid w:val="00BF6988"/>
    <w:rsid w:val="00BF6A3C"/>
    <w:rsid w:val="00BF6FCD"/>
    <w:rsid w:val="00BF70BC"/>
    <w:rsid w:val="00BF7587"/>
    <w:rsid w:val="00BF7796"/>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4B"/>
    <w:rsid w:val="00C03877"/>
    <w:rsid w:val="00C038A1"/>
    <w:rsid w:val="00C03980"/>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01E"/>
    <w:rsid w:val="00C14129"/>
    <w:rsid w:val="00C142BB"/>
    <w:rsid w:val="00C146F2"/>
    <w:rsid w:val="00C14CF9"/>
    <w:rsid w:val="00C14DFB"/>
    <w:rsid w:val="00C14FBF"/>
    <w:rsid w:val="00C152D0"/>
    <w:rsid w:val="00C15838"/>
    <w:rsid w:val="00C15C5A"/>
    <w:rsid w:val="00C15F6A"/>
    <w:rsid w:val="00C1640F"/>
    <w:rsid w:val="00C1664C"/>
    <w:rsid w:val="00C16CC2"/>
    <w:rsid w:val="00C16D04"/>
    <w:rsid w:val="00C16E75"/>
    <w:rsid w:val="00C17185"/>
    <w:rsid w:val="00C177A7"/>
    <w:rsid w:val="00C17CC8"/>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92B"/>
    <w:rsid w:val="00C25FE7"/>
    <w:rsid w:val="00C263C3"/>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252"/>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48F4"/>
    <w:rsid w:val="00C5515B"/>
    <w:rsid w:val="00C55288"/>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6F2"/>
    <w:rsid w:val="00C73809"/>
    <w:rsid w:val="00C738ED"/>
    <w:rsid w:val="00C744D8"/>
    <w:rsid w:val="00C74761"/>
    <w:rsid w:val="00C747C1"/>
    <w:rsid w:val="00C749AE"/>
    <w:rsid w:val="00C7506D"/>
    <w:rsid w:val="00C75AE6"/>
    <w:rsid w:val="00C75BF7"/>
    <w:rsid w:val="00C7641B"/>
    <w:rsid w:val="00C766C3"/>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2B7"/>
    <w:rsid w:val="00C879B3"/>
    <w:rsid w:val="00C87D9A"/>
    <w:rsid w:val="00C902E0"/>
    <w:rsid w:val="00C909E8"/>
    <w:rsid w:val="00C90A12"/>
    <w:rsid w:val="00C91359"/>
    <w:rsid w:val="00C914C8"/>
    <w:rsid w:val="00C9150F"/>
    <w:rsid w:val="00C91522"/>
    <w:rsid w:val="00C9216D"/>
    <w:rsid w:val="00C926DF"/>
    <w:rsid w:val="00C92F0E"/>
    <w:rsid w:val="00C9311A"/>
    <w:rsid w:val="00C935AB"/>
    <w:rsid w:val="00C93A70"/>
    <w:rsid w:val="00C93AE4"/>
    <w:rsid w:val="00C941EE"/>
    <w:rsid w:val="00C9467A"/>
    <w:rsid w:val="00C94892"/>
    <w:rsid w:val="00C94A7C"/>
    <w:rsid w:val="00C952D1"/>
    <w:rsid w:val="00C95595"/>
    <w:rsid w:val="00C95A36"/>
    <w:rsid w:val="00C95AC1"/>
    <w:rsid w:val="00C95B2A"/>
    <w:rsid w:val="00C97036"/>
    <w:rsid w:val="00C973BA"/>
    <w:rsid w:val="00C97B38"/>
    <w:rsid w:val="00C97CE6"/>
    <w:rsid w:val="00C97ED5"/>
    <w:rsid w:val="00CA0056"/>
    <w:rsid w:val="00CA04CC"/>
    <w:rsid w:val="00CA0599"/>
    <w:rsid w:val="00CA0A47"/>
    <w:rsid w:val="00CA1333"/>
    <w:rsid w:val="00CA1DCB"/>
    <w:rsid w:val="00CA1E51"/>
    <w:rsid w:val="00CA25E2"/>
    <w:rsid w:val="00CA33DC"/>
    <w:rsid w:val="00CA3FA3"/>
    <w:rsid w:val="00CA49B2"/>
    <w:rsid w:val="00CA528B"/>
    <w:rsid w:val="00CA5E2B"/>
    <w:rsid w:val="00CA6460"/>
    <w:rsid w:val="00CA65BF"/>
    <w:rsid w:val="00CA69BF"/>
    <w:rsid w:val="00CA6AA2"/>
    <w:rsid w:val="00CA6E93"/>
    <w:rsid w:val="00CA7A07"/>
    <w:rsid w:val="00CA7E6C"/>
    <w:rsid w:val="00CB05B1"/>
    <w:rsid w:val="00CB0A3E"/>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0A9"/>
    <w:rsid w:val="00CC41FD"/>
    <w:rsid w:val="00CC4943"/>
    <w:rsid w:val="00CC51CA"/>
    <w:rsid w:val="00CC53AE"/>
    <w:rsid w:val="00CC565C"/>
    <w:rsid w:val="00CC5770"/>
    <w:rsid w:val="00CC6374"/>
    <w:rsid w:val="00CC6697"/>
    <w:rsid w:val="00CC6C60"/>
    <w:rsid w:val="00CC754C"/>
    <w:rsid w:val="00CC7BD1"/>
    <w:rsid w:val="00CC7C53"/>
    <w:rsid w:val="00CC7DCB"/>
    <w:rsid w:val="00CD07EA"/>
    <w:rsid w:val="00CD1020"/>
    <w:rsid w:val="00CD1C47"/>
    <w:rsid w:val="00CD1CAE"/>
    <w:rsid w:val="00CD2274"/>
    <w:rsid w:val="00CD227E"/>
    <w:rsid w:val="00CD2283"/>
    <w:rsid w:val="00CD28FF"/>
    <w:rsid w:val="00CD301A"/>
    <w:rsid w:val="00CD34D3"/>
    <w:rsid w:val="00CD3CDC"/>
    <w:rsid w:val="00CD3DCB"/>
    <w:rsid w:val="00CD49B9"/>
    <w:rsid w:val="00CD4DEC"/>
    <w:rsid w:val="00CD4F24"/>
    <w:rsid w:val="00CD4F7C"/>
    <w:rsid w:val="00CD6330"/>
    <w:rsid w:val="00CD65C1"/>
    <w:rsid w:val="00CD6760"/>
    <w:rsid w:val="00CD7A03"/>
    <w:rsid w:val="00CE0136"/>
    <w:rsid w:val="00CE1D33"/>
    <w:rsid w:val="00CE22EF"/>
    <w:rsid w:val="00CE24A4"/>
    <w:rsid w:val="00CE2DE5"/>
    <w:rsid w:val="00CE300E"/>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0CC"/>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09C5"/>
    <w:rsid w:val="00D018AA"/>
    <w:rsid w:val="00D01B14"/>
    <w:rsid w:val="00D01F21"/>
    <w:rsid w:val="00D02299"/>
    <w:rsid w:val="00D02370"/>
    <w:rsid w:val="00D02462"/>
    <w:rsid w:val="00D03B9F"/>
    <w:rsid w:val="00D03BD3"/>
    <w:rsid w:val="00D04354"/>
    <w:rsid w:val="00D04461"/>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386"/>
    <w:rsid w:val="00D12C19"/>
    <w:rsid w:val="00D12F06"/>
    <w:rsid w:val="00D130E3"/>
    <w:rsid w:val="00D13588"/>
    <w:rsid w:val="00D13C85"/>
    <w:rsid w:val="00D13F3D"/>
    <w:rsid w:val="00D14FEE"/>
    <w:rsid w:val="00D164B2"/>
    <w:rsid w:val="00D168F4"/>
    <w:rsid w:val="00D16C42"/>
    <w:rsid w:val="00D16D35"/>
    <w:rsid w:val="00D170E0"/>
    <w:rsid w:val="00D172BA"/>
    <w:rsid w:val="00D179CB"/>
    <w:rsid w:val="00D17B7D"/>
    <w:rsid w:val="00D17BB6"/>
    <w:rsid w:val="00D17DFF"/>
    <w:rsid w:val="00D20AA3"/>
    <w:rsid w:val="00D20C8A"/>
    <w:rsid w:val="00D216BE"/>
    <w:rsid w:val="00D21E02"/>
    <w:rsid w:val="00D226BB"/>
    <w:rsid w:val="00D227ED"/>
    <w:rsid w:val="00D22A26"/>
    <w:rsid w:val="00D22E33"/>
    <w:rsid w:val="00D22EFE"/>
    <w:rsid w:val="00D24427"/>
    <w:rsid w:val="00D24C72"/>
    <w:rsid w:val="00D25B7A"/>
    <w:rsid w:val="00D26235"/>
    <w:rsid w:val="00D267B9"/>
    <w:rsid w:val="00D26C68"/>
    <w:rsid w:val="00D26D82"/>
    <w:rsid w:val="00D27058"/>
    <w:rsid w:val="00D27C49"/>
    <w:rsid w:val="00D27C95"/>
    <w:rsid w:val="00D27EB9"/>
    <w:rsid w:val="00D3092A"/>
    <w:rsid w:val="00D316DF"/>
    <w:rsid w:val="00D31B32"/>
    <w:rsid w:val="00D32286"/>
    <w:rsid w:val="00D325CF"/>
    <w:rsid w:val="00D328F1"/>
    <w:rsid w:val="00D32B4A"/>
    <w:rsid w:val="00D33234"/>
    <w:rsid w:val="00D333F5"/>
    <w:rsid w:val="00D33474"/>
    <w:rsid w:val="00D33ECF"/>
    <w:rsid w:val="00D33FA4"/>
    <w:rsid w:val="00D33FD9"/>
    <w:rsid w:val="00D34413"/>
    <w:rsid w:val="00D34552"/>
    <w:rsid w:val="00D34946"/>
    <w:rsid w:val="00D34969"/>
    <w:rsid w:val="00D34E1B"/>
    <w:rsid w:val="00D34E57"/>
    <w:rsid w:val="00D35752"/>
    <w:rsid w:val="00D35994"/>
    <w:rsid w:val="00D35A9B"/>
    <w:rsid w:val="00D35AA3"/>
    <w:rsid w:val="00D35BBD"/>
    <w:rsid w:val="00D35E93"/>
    <w:rsid w:val="00D35F42"/>
    <w:rsid w:val="00D35FCF"/>
    <w:rsid w:val="00D35FD9"/>
    <w:rsid w:val="00D35FED"/>
    <w:rsid w:val="00D3631C"/>
    <w:rsid w:val="00D36390"/>
    <w:rsid w:val="00D3642B"/>
    <w:rsid w:val="00D36711"/>
    <w:rsid w:val="00D36ABE"/>
    <w:rsid w:val="00D36B54"/>
    <w:rsid w:val="00D3707F"/>
    <w:rsid w:val="00D373E6"/>
    <w:rsid w:val="00D37612"/>
    <w:rsid w:val="00D37BC6"/>
    <w:rsid w:val="00D4001F"/>
    <w:rsid w:val="00D40039"/>
    <w:rsid w:val="00D401BC"/>
    <w:rsid w:val="00D40355"/>
    <w:rsid w:val="00D40508"/>
    <w:rsid w:val="00D40634"/>
    <w:rsid w:val="00D40666"/>
    <w:rsid w:val="00D408B4"/>
    <w:rsid w:val="00D40F05"/>
    <w:rsid w:val="00D410CB"/>
    <w:rsid w:val="00D417BB"/>
    <w:rsid w:val="00D41D7C"/>
    <w:rsid w:val="00D420A9"/>
    <w:rsid w:val="00D42B3B"/>
    <w:rsid w:val="00D42EE0"/>
    <w:rsid w:val="00D43F20"/>
    <w:rsid w:val="00D43F30"/>
    <w:rsid w:val="00D446FF"/>
    <w:rsid w:val="00D449D0"/>
    <w:rsid w:val="00D4503C"/>
    <w:rsid w:val="00D454F9"/>
    <w:rsid w:val="00D45870"/>
    <w:rsid w:val="00D45CC4"/>
    <w:rsid w:val="00D45D0D"/>
    <w:rsid w:val="00D46BD4"/>
    <w:rsid w:val="00D46DB3"/>
    <w:rsid w:val="00D46E2B"/>
    <w:rsid w:val="00D470DD"/>
    <w:rsid w:val="00D470EC"/>
    <w:rsid w:val="00D47944"/>
    <w:rsid w:val="00D50580"/>
    <w:rsid w:val="00D50827"/>
    <w:rsid w:val="00D509D9"/>
    <w:rsid w:val="00D5127E"/>
    <w:rsid w:val="00D5186D"/>
    <w:rsid w:val="00D51E65"/>
    <w:rsid w:val="00D522A0"/>
    <w:rsid w:val="00D5243F"/>
    <w:rsid w:val="00D525B8"/>
    <w:rsid w:val="00D5340C"/>
    <w:rsid w:val="00D53AB2"/>
    <w:rsid w:val="00D53D7E"/>
    <w:rsid w:val="00D54091"/>
    <w:rsid w:val="00D54841"/>
    <w:rsid w:val="00D54C0B"/>
    <w:rsid w:val="00D54F43"/>
    <w:rsid w:val="00D5523A"/>
    <w:rsid w:val="00D555DB"/>
    <w:rsid w:val="00D55AF7"/>
    <w:rsid w:val="00D55FF9"/>
    <w:rsid w:val="00D560F1"/>
    <w:rsid w:val="00D56A6A"/>
    <w:rsid w:val="00D5749B"/>
    <w:rsid w:val="00D574AF"/>
    <w:rsid w:val="00D6008F"/>
    <w:rsid w:val="00D604E1"/>
    <w:rsid w:val="00D6062F"/>
    <w:rsid w:val="00D60BCE"/>
    <w:rsid w:val="00D60BD2"/>
    <w:rsid w:val="00D614A0"/>
    <w:rsid w:val="00D61B08"/>
    <w:rsid w:val="00D62B27"/>
    <w:rsid w:val="00D62B70"/>
    <w:rsid w:val="00D62CE1"/>
    <w:rsid w:val="00D62F29"/>
    <w:rsid w:val="00D63412"/>
    <w:rsid w:val="00D6389C"/>
    <w:rsid w:val="00D63B33"/>
    <w:rsid w:val="00D63CDD"/>
    <w:rsid w:val="00D6439C"/>
    <w:rsid w:val="00D6483A"/>
    <w:rsid w:val="00D64AAF"/>
    <w:rsid w:val="00D65DAA"/>
    <w:rsid w:val="00D661FD"/>
    <w:rsid w:val="00D665D3"/>
    <w:rsid w:val="00D66CBB"/>
    <w:rsid w:val="00D67550"/>
    <w:rsid w:val="00D7139E"/>
    <w:rsid w:val="00D71CCA"/>
    <w:rsid w:val="00D72118"/>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E38"/>
    <w:rsid w:val="00D86F5F"/>
    <w:rsid w:val="00D8731E"/>
    <w:rsid w:val="00D878B3"/>
    <w:rsid w:val="00D900E5"/>
    <w:rsid w:val="00D909B2"/>
    <w:rsid w:val="00D90C29"/>
    <w:rsid w:val="00D90DB1"/>
    <w:rsid w:val="00D914E7"/>
    <w:rsid w:val="00D91580"/>
    <w:rsid w:val="00D92340"/>
    <w:rsid w:val="00D92345"/>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97E0A"/>
    <w:rsid w:val="00DA0B11"/>
    <w:rsid w:val="00DA1229"/>
    <w:rsid w:val="00DA1B84"/>
    <w:rsid w:val="00DA2445"/>
    <w:rsid w:val="00DA254C"/>
    <w:rsid w:val="00DA2E7A"/>
    <w:rsid w:val="00DA3127"/>
    <w:rsid w:val="00DA3860"/>
    <w:rsid w:val="00DA393F"/>
    <w:rsid w:val="00DA3DE7"/>
    <w:rsid w:val="00DA41BE"/>
    <w:rsid w:val="00DA42B9"/>
    <w:rsid w:val="00DA52EE"/>
    <w:rsid w:val="00DA5610"/>
    <w:rsid w:val="00DA5DD6"/>
    <w:rsid w:val="00DA5E70"/>
    <w:rsid w:val="00DA6252"/>
    <w:rsid w:val="00DA6F41"/>
    <w:rsid w:val="00DA72A8"/>
    <w:rsid w:val="00DA7660"/>
    <w:rsid w:val="00DA7763"/>
    <w:rsid w:val="00DB0065"/>
    <w:rsid w:val="00DB04D7"/>
    <w:rsid w:val="00DB09D3"/>
    <w:rsid w:val="00DB158F"/>
    <w:rsid w:val="00DB15D4"/>
    <w:rsid w:val="00DB1858"/>
    <w:rsid w:val="00DB1A2F"/>
    <w:rsid w:val="00DB1F1F"/>
    <w:rsid w:val="00DB1F80"/>
    <w:rsid w:val="00DB2405"/>
    <w:rsid w:val="00DB27DF"/>
    <w:rsid w:val="00DB2B9F"/>
    <w:rsid w:val="00DB2EEF"/>
    <w:rsid w:val="00DB34D5"/>
    <w:rsid w:val="00DB3659"/>
    <w:rsid w:val="00DB3A2F"/>
    <w:rsid w:val="00DB4409"/>
    <w:rsid w:val="00DB4CE5"/>
    <w:rsid w:val="00DB4EB2"/>
    <w:rsid w:val="00DB4FA3"/>
    <w:rsid w:val="00DB5745"/>
    <w:rsid w:val="00DB5A79"/>
    <w:rsid w:val="00DB5AFA"/>
    <w:rsid w:val="00DB6067"/>
    <w:rsid w:val="00DB63DB"/>
    <w:rsid w:val="00DB6CFD"/>
    <w:rsid w:val="00DB6D3C"/>
    <w:rsid w:val="00DB75EB"/>
    <w:rsid w:val="00DB7784"/>
    <w:rsid w:val="00DB7CB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494"/>
    <w:rsid w:val="00DD45DE"/>
    <w:rsid w:val="00DD4881"/>
    <w:rsid w:val="00DD5099"/>
    <w:rsid w:val="00DD52E0"/>
    <w:rsid w:val="00DD53EA"/>
    <w:rsid w:val="00DD56AC"/>
    <w:rsid w:val="00DD5E3C"/>
    <w:rsid w:val="00DD61C2"/>
    <w:rsid w:val="00DD66A7"/>
    <w:rsid w:val="00DD66E7"/>
    <w:rsid w:val="00DD6987"/>
    <w:rsid w:val="00DD6C14"/>
    <w:rsid w:val="00DD7025"/>
    <w:rsid w:val="00DD7316"/>
    <w:rsid w:val="00DD7912"/>
    <w:rsid w:val="00DE0B77"/>
    <w:rsid w:val="00DE101E"/>
    <w:rsid w:val="00DE1734"/>
    <w:rsid w:val="00DE2319"/>
    <w:rsid w:val="00DE24FC"/>
    <w:rsid w:val="00DE2596"/>
    <w:rsid w:val="00DE2DA9"/>
    <w:rsid w:val="00DE35EC"/>
    <w:rsid w:val="00DE4AA5"/>
    <w:rsid w:val="00DE4AAF"/>
    <w:rsid w:val="00DE5124"/>
    <w:rsid w:val="00DE57B0"/>
    <w:rsid w:val="00DE6DD3"/>
    <w:rsid w:val="00DE738C"/>
    <w:rsid w:val="00DE7A3E"/>
    <w:rsid w:val="00DE7E3E"/>
    <w:rsid w:val="00DF0A04"/>
    <w:rsid w:val="00DF1446"/>
    <w:rsid w:val="00DF1452"/>
    <w:rsid w:val="00DF1C2F"/>
    <w:rsid w:val="00DF1F5F"/>
    <w:rsid w:val="00DF2235"/>
    <w:rsid w:val="00DF2701"/>
    <w:rsid w:val="00DF3ABE"/>
    <w:rsid w:val="00DF404D"/>
    <w:rsid w:val="00DF40AC"/>
    <w:rsid w:val="00DF41E3"/>
    <w:rsid w:val="00DF4BD3"/>
    <w:rsid w:val="00DF5263"/>
    <w:rsid w:val="00DF59B1"/>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1F26"/>
    <w:rsid w:val="00E0241E"/>
    <w:rsid w:val="00E02985"/>
    <w:rsid w:val="00E02EFD"/>
    <w:rsid w:val="00E0328F"/>
    <w:rsid w:val="00E039DD"/>
    <w:rsid w:val="00E03BCB"/>
    <w:rsid w:val="00E03F86"/>
    <w:rsid w:val="00E0471A"/>
    <w:rsid w:val="00E04808"/>
    <w:rsid w:val="00E04A18"/>
    <w:rsid w:val="00E04BF8"/>
    <w:rsid w:val="00E04E81"/>
    <w:rsid w:val="00E04F2B"/>
    <w:rsid w:val="00E05300"/>
    <w:rsid w:val="00E05C66"/>
    <w:rsid w:val="00E05D7E"/>
    <w:rsid w:val="00E05E8F"/>
    <w:rsid w:val="00E05F82"/>
    <w:rsid w:val="00E05FA2"/>
    <w:rsid w:val="00E06677"/>
    <w:rsid w:val="00E066FE"/>
    <w:rsid w:val="00E06B9E"/>
    <w:rsid w:val="00E0702A"/>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AB1"/>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272"/>
    <w:rsid w:val="00E327DD"/>
    <w:rsid w:val="00E3375B"/>
    <w:rsid w:val="00E33CCB"/>
    <w:rsid w:val="00E33D6F"/>
    <w:rsid w:val="00E34669"/>
    <w:rsid w:val="00E3524F"/>
    <w:rsid w:val="00E35C45"/>
    <w:rsid w:val="00E35C9D"/>
    <w:rsid w:val="00E35D65"/>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2E9"/>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25"/>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67B"/>
    <w:rsid w:val="00E567AE"/>
    <w:rsid w:val="00E56C23"/>
    <w:rsid w:val="00E56DD3"/>
    <w:rsid w:val="00E57656"/>
    <w:rsid w:val="00E5782D"/>
    <w:rsid w:val="00E601FD"/>
    <w:rsid w:val="00E60A38"/>
    <w:rsid w:val="00E60FDD"/>
    <w:rsid w:val="00E610A6"/>
    <w:rsid w:val="00E61E00"/>
    <w:rsid w:val="00E625BC"/>
    <w:rsid w:val="00E628A5"/>
    <w:rsid w:val="00E63D36"/>
    <w:rsid w:val="00E640C9"/>
    <w:rsid w:val="00E642FC"/>
    <w:rsid w:val="00E64F16"/>
    <w:rsid w:val="00E65A4B"/>
    <w:rsid w:val="00E65F97"/>
    <w:rsid w:val="00E65FBB"/>
    <w:rsid w:val="00E6606F"/>
    <w:rsid w:val="00E6677D"/>
    <w:rsid w:val="00E66A48"/>
    <w:rsid w:val="00E67811"/>
    <w:rsid w:val="00E6798D"/>
    <w:rsid w:val="00E67D4D"/>
    <w:rsid w:val="00E70345"/>
    <w:rsid w:val="00E71653"/>
    <w:rsid w:val="00E7191F"/>
    <w:rsid w:val="00E71DAD"/>
    <w:rsid w:val="00E71E15"/>
    <w:rsid w:val="00E72050"/>
    <w:rsid w:val="00E7216F"/>
    <w:rsid w:val="00E72287"/>
    <w:rsid w:val="00E723C3"/>
    <w:rsid w:val="00E73374"/>
    <w:rsid w:val="00E7352A"/>
    <w:rsid w:val="00E739FC"/>
    <w:rsid w:val="00E73E86"/>
    <w:rsid w:val="00E74A69"/>
    <w:rsid w:val="00E74F6F"/>
    <w:rsid w:val="00E751ED"/>
    <w:rsid w:val="00E757FB"/>
    <w:rsid w:val="00E75A35"/>
    <w:rsid w:val="00E761BF"/>
    <w:rsid w:val="00E76296"/>
    <w:rsid w:val="00E774F2"/>
    <w:rsid w:val="00E77ACD"/>
    <w:rsid w:val="00E77F21"/>
    <w:rsid w:val="00E80A6F"/>
    <w:rsid w:val="00E81227"/>
    <w:rsid w:val="00E81530"/>
    <w:rsid w:val="00E8185C"/>
    <w:rsid w:val="00E82328"/>
    <w:rsid w:val="00E8265A"/>
    <w:rsid w:val="00E826BE"/>
    <w:rsid w:val="00E828E2"/>
    <w:rsid w:val="00E82BB0"/>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A81"/>
    <w:rsid w:val="00E86B8B"/>
    <w:rsid w:val="00E86FC6"/>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517"/>
    <w:rsid w:val="00E95697"/>
    <w:rsid w:val="00E95A2A"/>
    <w:rsid w:val="00E95E91"/>
    <w:rsid w:val="00E95EA1"/>
    <w:rsid w:val="00E9649C"/>
    <w:rsid w:val="00E96B2F"/>
    <w:rsid w:val="00E97397"/>
    <w:rsid w:val="00E9796A"/>
    <w:rsid w:val="00E97FAB"/>
    <w:rsid w:val="00EA044A"/>
    <w:rsid w:val="00EA05E9"/>
    <w:rsid w:val="00EA0A0B"/>
    <w:rsid w:val="00EA0B43"/>
    <w:rsid w:val="00EA150F"/>
    <w:rsid w:val="00EA1CB4"/>
    <w:rsid w:val="00EA1DC0"/>
    <w:rsid w:val="00EA1E4C"/>
    <w:rsid w:val="00EA246A"/>
    <w:rsid w:val="00EA25B5"/>
    <w:rsid w:val="00EA263E"/>
    <w:rsid w:val="00EA2F2D"/>
    <w:rsid w:val="00EA33B5"/>
    <w:rsid w:val="00EA3E47"/>
    <w:rsid w:val="00EA3E86"/>
    <w:rsid w:val="00EA404A"/>
    <w:rsid w:val="00EA4263"/>
    <w:rsid w:val="00EA44EA"/>
    <w:rsid w:val="00EA490D"/>
    <w:rsid w:val="00EA4EB5"/>
    <w:rsid w:val="00EA5266"/>
    <w:rsid w:val="00EA5B8F"/>
    <w:rsid w:val="00EA695B"/>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AA9"/>
    <w:rsid w:val="00EB2BF4"/>
    <w:rsid w:val="00EB3453"/>
    <w:rsid w:val="00EB37BB"/>
    <w:rsid w:val="00EB38B9"/>
    <w:rsid w:val="00EB436C"/>
    <w:rsid w:val="00EB437C"/>
    <w:rsid w:val="00EB4630"/>
    <w:rsid w:val="00EB4903"/>
    <w:rsid w:val="00EB5287"/>
    <w:rsid w:val="00EB592F"/>
    <w:rsid w:val="00EB5998"/>
    <w:rsid w:val="00EB5A3F"/>
    <w:rsid w:val="00EB6043"/>
    <w:rsid w:val="00EB6076"/>
    <w:rsid w:val="00EB6423"/>
    <w:rsid w:val="00EB6685"/>
    <w:rsid w:val="00EB681F"/>
    <w:rsid w:val="00EB73D2"/>
    <w:rsid w:val="00EB765C"/>
    <w:rsid w:val="00EB773B"/>
    <w:rsid w:val="00EB7CDD"/>
    <w:rsid w:val="00EC09FD"/>
    <w:rsid w:val="00EC12DC"/>
    <w:rsid w:val="00EC186C"/>
    <w:rsid w:val="00EC1905"/>
    <w:rsid w:val="00EC2632"/>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52"/>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2C9F"/>
    <w:rsid w:val="00EE323B"/>
    <w:rsid w:val="00EE363C"/>
    <w:rsid w:val="00EE414A"/>
    <w:rsid w:val="00EE4D91"/>
    <w:rsid w:val="00EE5096"/>
    <w:rsid w:val="00EE5BBE"/>
    <w:rsid w:val="00EE61C4"/>
    <w:rsid w:val="00EE69A6"/>
    <w:rsid w:val="00EE7265"/>
    <w:rsid w:val="00EE7C6E"/>
    <w:rsid w:val="00EE7E25"/>
    <w:rsid w:val="00EF0211"/>
    <w:rsid w:val="00EF02B4"/>
    <w:rsid w:val="00EF0814"/>
    <w:rsid w:val="00EF0D9F"/>
    <w:rsid w:val="00EF16CE"/>
    <w:rsid w:val="00EF1C2F"/>
    <w:rsid w:val="00EF1D15"/>
    <w:rsid w:val="00EF2049"/>
    <w:rsid w:val="00EF2299"/>
    <w:rsid w:val="00EF2A43"/>
    <w:rsid w:val="00EF2B98"/>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AD1"/>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124"/>
    <w:rsid w:val="00F06216"/>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17D"/>
    <w:rsid w:val="00F1330A"/>
    <w:rsid w:val="00F133BA"/>
    <w:rsid w:val="00F136BD"/>
    <w:rsid w:val="00F13D21"/>
    <w:rsid w:val="00F14170"/>
    <w:rsid w:val="00F14B1E"/>
    <w:rsid w:val="00F14C51"/>
    <w:rsid w:val="00F1525B"/>
    <w:rsid w:val="00F157D4"/>
    <w:rsid w:val="00F15AB5"/>
    <w:rsid w:val="00F15BF9"/>
    <w:rsid w:val="00F15EDE"/>
    <w:rsid w:val="00F16024"/>
    <w:rsid w:val="00F1626D"/>
    <w:rsid w:val="00F1638B"/>
    <w:rsid w:val="00F16615"/>
    <w:rsid w:val="00F16FC4"/>
    <w:rsid w:val="00F17052"/>
    <w:rsid w:val="00F17124"/>
    <w:rsid w:val="00F17636"/>
    <w:rsid w:val="00F1764F"/>
    <w:rsid w:val="00F2037F"/>
    <w:rsid w:val="00F20DF1"/>
    <w:rsid w:val="00F213AB"/>
    <w:rsid w:val="00F21593"/>
    <w:rsid w:val="00F223CF"/>
    <w:rsid w:val="00F2265A"/>
    <w:rsid w:val="00F22978"/>
    <w:rsid w:val="00F22B94"/>
    <w:rsid w:val="00F22E58"/>
    <w:rsid w:val="00F230C3"/>
    <w:rsid w:val="00F230DB"/>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35"/>
    <w:rsid w:val="00F30CB8"/>
    <w:rsid w:val="00F30F8D"/>
    <w:rsid w:val="00F31565"/>
    <w:rsid w:val="00F315FD"/>
    <w:rsid w:val="00F317EE"/>
    <w:rsid w:val="00F3262E"/>
    <w:rsid w:val="00F326D2"/>
    <w:rsid w:val="00F329FF"/>
    <w:rsid w:val="00F32CFB"/>
    <w:rsid w:val="00F32EBB"/>
    <w:rsid w:val="00F33D04"/>
    <w:rsid w:val="00F34537"/>
    <w:rsid w:val="00F34EEC"/>
    <w:rsid w:val="00F350F2"/>
    <w:rsid w:val="00F35185"/>
    <w:rsid w:val="00F36396"/>
    <w:rsid w:val="00F366E9"/>
    <w:rsid w:val="00F36A43"/>
    <w:rsid w:val="00F36E24"/>
    <w:rsid w:val="00F36F03"/>
    <w:rsid w:val="00F371E0"/>
    <w:rsid w:val="00F3784A"/>
    <w:rsid w:val="00F402EC"/>
    <w:rsid w:val="00F403CE"/>
    <w:rsid w:val="00F4067E"/>
    <w:rsid w:val="00F4097A"/>
    <w:rsid w:val="00F40E9D"/>
    <w:rsid w:val="00F41370"/>
    <w:rsid w:val="00F415BC"/>
    <w:rsid w:val="00F41707"/>
    <w:rsid w:val="00F41B60"/>
    <w:rsid w:val="00F41E93"/>
    <w:rsid w:val="00F42484"/>
    <w:rsid w:val="00F4276F"/>
    <w:rsid w:val="00F42AFB"/>
    <w:rsid w:val="00F43A7E"/>
    <w:rsid w:val="00F43B81"/>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CF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B72"/>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4E3D"/>
    <w:rsid w:val="00F75490"/>
    <w:rsid w:val="00F75642"/>
    <w:rsid w:val="00F7564B"/>
    <w:rsid w:val="00F75820"/>
    <w:rsid w:val="00F7593D"/>
    <w:rsid w:val="00F75977"/>
    <w:rsid w:val="00F75C2B"/>
    <w:rsid w:val="00F75C7F"/>
    <w:rsid w:val="00F75EB2"/>
    <w:rsid w:val="00F75FB8"/>
    <w:rsid w:val="00F7601B"/>
    <w:rsid w:val="00F765FF"/>
    <w:rsid w:val="00F77384"/>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29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C6B"/>
    <w:rsid w:val="00F91D51"/>
    <w:rsid w:val="00F91E4F"/>
    <w:rsid w:val="00F91FE9"/>
    <w:rsid w:val="00F92159"/>
    <w:rsid w:val="00F923EC"/>
    <w:rsid w:val="00F92476"/>
    <w:rsid w:val="00F92801"/>
    <w:rsid w:val="00F93325"/>
    <w:rsid w:val="00F93EAD"/>
    <w:rsid w:val="00F93FAE"/>
    <w:rsid w:val="00F941CC"/>
    <w:rsid w:val="00F94278"/>
    <w:rsid w:val="00F957DA"/>
    <w:rsid w:val="00F96A8B"/>
    <w:rsid w:val="00F96F59"/>
    <w:rsid w:val="00F970BF"/>
    <w:rsid w:val="00F9746A"/>
    <w:rsid w:val="00FA0114"/>
    <w:rsid w:val="00FA02F8"/>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55F"/>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31"/>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886"/>
    <w:rsid w:val="00FD59FB"/>
    <w:rsid w:val="00FD5BD4"/>
    <w:rsid w:val="00FD62D4"/>
    <w:rsid w:val="00FD6A45"/>
    <w:rsid w:val="00FD6BF4"/>
    <w:rsid w:val="00FE16B2"/>
    <w:rsid w:val="00FE1B44"/>
    <w:rsid w:val="00FE213F"/>
    <w:rsid w:val="00FE23CB"/>
    <w:rsid w:val="00FE2D92"/>
    <w:rsid w:val="00FE3551"/>
    <w:rsid w:val="00FE364B"/>
    <w:rsid w:val="00FE367F"/>
    <w:rsid w:val="00FE50AF"/>
    <w:rsid w:val="00FE58BF"/>
    <w:rsid w:val="00FE5AC5"/>
    <w:rsid w:val="00FE5B28"/>
    <w:rsid w:val="00FE60FA"/>
    <w:rsid w:val="00FE6D0B"/>
    <w:rsid w:val="00FE6E0C"/>
    <w:rsid w:val="00FE6E93"/>
    <w:rsid w:val="00FE743F"/>
    <w:rsid w:val="00FE7A11"/>
    <w:rsid w:val="00FE7DC2"/>
    <w:rsid w:val="00FF0888"/>
    <w:rsid w:val="00FF185C"/>
    <w:rsid w:val="00FF2056"/>
    <w:rsid w:val="00FF20F9"/>
    <w:rsid w:val="00FF2831"/>
    <w:rsid w:val="00FF29A6"/>
    <w:rsid w:val="00FF2C52"/>
    <w:rsid w:val="00FF3533"/>
    <w:rsid w:val="00FF3A35"/>
    <w:rsid w:val="00FF3DF1"/>
    <w:rsid w:val="00FF443B"/>
    <w:rsid w:val="00FF4FEA"/>
    <w:rsid w:val="00FF50BE"/>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371EE"/>
  <w15:chartTrackingRefBased/>
  <w15:docId w15:val="{CEC595E5-A07A-4C1D-8801-DA687821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footer" w:semiHidden="1" w:uiPriority="99"/>
    <w:lsdException w:name="index heading"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Body Text"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036"/>
    <w:rPr>
      <w:rFonts w:ascii="Arial" w:hAnsi="Arial"/>
      <w:sz w:val="24"/>
      <w:szCs w:val="22"/>
      <w:lang w:eastAsia="en-GB"/>
    </w:rPr>
  </w:style>
  <w:style w:type="paragraph" w:styleId="Heading1">
    <w:name w:val="heading 1"/>
    <w:next w:val="BodyText"/>
    <w:link w:val="Heading1Char"/>
    <w:qFormat/>
    <w:rsid w:val="003763C0"/>
    <w:pPr>
      <w:keepNext/>
      <w:keepLines/>
      <w:spacing w:before="240" w:after="18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27149D"/>
    <w:pPr>
      <w:spacing w:before="480"/>
      <w:outlineLvl w:val="1"/>
    </w:pPr>
    <w:rPr>
      <w:bCs w:val="0"/>
      <w:iCs/>
      <w:color w:val="404040"/>
      <w:sz w:val="27"/>
      <w:szCs w:val="28"/>
    </w:rPr>
  </w:style>
  <w:style w:type="paragraph" w:styleId="Heading3">
    <w:name w:val="heading 3"/>
    <w:basedOn w:val="Heading2"/>
    <w:next w:val="BodyText"/>
    <w:qFormat/>
    <w:rsid w:val="0027149D"/>
    <w:pPr>
      <w:spacing w:before="360"/>
      <w:outlineLvl w:val="2"/>
    </w:pPr>
    <w:rPr>
      <w:bCs/>
      <w:color w:val="808080"/>
      <w:sz w:val="24"/>
      <w:szCs w:val="26"/>
    </w:rPr>
  </w:style>
  <w:style w:type="paragraph" w:styleId="Heading4">
    <w:name w:val="heading 4"/>
    <w:basedOn w:val="Heading3"/>
    <w:next w:val="BodyText"/>
    <w:semiHidden/>
    <w:rsid w:val="006845B4"/>
    <w:pPr>
      <w:spacing w:before="240"/>
      <w:outlineLvl w:val="3"/>
    </w:pPr>
    <w:rPr>
      <w:bCs w:val="0"/>
      <w:i/>
      <w:sz w:val="23"/>
      <w:szCs w:val="28"/>
    </w:rPr>
  </w:style>
  <w:style w:type="paragraph" w:styleId="Heading5">
    <w:name w:val="heading 5"/>
    <w:basedOn w:val="Heading4"/>
    <w:next w:val="BodyText"/>
    <w:semiHidden/>
    <w:rsid w:val="00335E48"/>
    <w:pPr>
      <w:spacing w:before="0"/>
      <w:outlineLvl w:val="4"/>
    </w:pPr>
    <w:rPr>
      <w:rFonts w:cs="Times New Roman"/>
      <w:b w:val="0"/>
      <w:kern w:val="0"/>
      <w:sz w:val="22"/>
      <w:szCs w:val="26"/>
    </w:rPr>
  </w:style>
  <w:style w:type="paragraph" w:styleId="Heading6">
    <w:name w:val="heading 6"/>
    <w:basedOn w:val="Heading5"/>
    <w:next w:val="BodyText"/>
    <w:semiHidden/>
    <w:rsid w:val="00FC0C63"/>
    <w:pPr>
      <w:spacing w:before="240" w:after="60"/>
      <w:outlineLvl w:val="5"/>
    </w:pPr>
    <w:rPr>
      <w:bCs/>
      <w:sz w:val="18"/>
    </w:rPr>
  </w:style>
  <w:style w:type="paragraph" w:styleId="Heading7">
    <w:name w:val="heading 7"/>
    <w:basedOn w:val="Heading6"/>
    <w:next w:val="BodyText"/>
    <w:semiHidden/>
    <w:rsid w:val="00FC0C63"/>
    <w:pPr>
      <w:outlineLvl w:val="6"/>
    </w:pPr>
    <w:rPr>
      <w:sz w:val="16"/>
      <w:szCs w:val="24"/>
    </w:rPr>
  </w:style>
  <w:style w:type="paragraph" w:styleId="Heading8">
    <w:name w:val="heading 8"/>
    <w:basedOn w:val="Heading7"/>
    <w:next w:val="BodyText"/>
    <w:semiHidden/>
    <w:rsid w:val="00FC0C63"/>
    <w:pPr>
      <w:outlineLvl w:val="7"/>
    </w:pPr>
    <w:rPr>
      <w:iCs w:val="0"/>
      <w:sz w:val="14"/>
    </w:rPr>
  </w:style>
  <w:style w:type="paragraph" w:styleId="Heading9">
    <w:name w:val="heading 9"/>
    <w:basedOn w:val="Normal"/>
    <w:next w:val="Normal"/>
    <w:semiHidden/>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D470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unhideWhenUsed/>
    <w:rsid w:val="00CB582D"/>
    <w:pPr>
      <w:numPr>
        <w:ilvl w:val="1"/>
      </w:numPr>
    </w:pPr>
  </w:style>
  <w:style w:type="paragraph" w:styleId="ListBullet3">
    <w:name w:val="List Bullet 3"/>
    <w:basedOn w:val="ListBullet2"/>
    <w:semiHidden/>
    <w:rsid w:val="00CB582D"/>
    <w:pPr>
      <w:numPr>
        <w:ilvl w:val="2"/>
      </w:numPr>
    </w:pPr>
  </w:style>
  <w:style w:type="paragraph" w:styleId="ListBullet4">
    <w:name w:val="List Bullet 4"/>
    <w:basedOn w:val="ListBullet3"/>
    <w:semiHidden/>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unhideWhenUsed/>
    <w:rsid w:val="00CC26E8"/>
    <w:pPr>
      <w:numPr>
        <w:ilvl w:val="1"/>
      </w:numPr>
    </w:pPr>
  </w:style>
  <w:style w:type="paragraph" w:styleId="ListContinue3">
    <w:name w:val="List Continue 3"/>
    <w:basedOn w:val="ListContinue2"/>
    <w:semiHidden/>
    <w:rsid w:val="00CC26E8"/>
    <w:pPr>
      <w:numPr>
        <w:ilvl w:val="2"/>
      </w:numPr>
    </w:pPr>
  </w:style>
  <w:style w:type="paragraph" w:styleId="ListContinue4">
    <w:name w:val="List Continue 4"/>
    <w:basedOn w:val="ListContinue3"/>
    <w:semiHidden/>
    <w:rsid w:val="00CC26E8"/>
    <w:pPr>
      <w:numPr>
        <w:ilvl w:val="3"/>
      </w:numPr>
    </w:pPr>
  </w:style>
  <w:style w:type="paragraph" w:styleId="ListBullet5">
    <w:name w:val="List Bullet 5"/>
    <w:basedOn w:val="ListBullet4"/>
    <w:semiHidden/>
    <w:rsid w:val="00CB582D"/>
    <w:pPr>
      <w:numPr>
        <w:ilvl w:val="4"/>
      </w:numPr>
    </w:pPr>
  </w:style>
  <w:style w:type="paragraph" w:styleId="ListContinue5">
    <w:name w:val="List Continue 5"/>
    <w:basedOn w:val="Normal"/>
    <w:semiHidden/>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semiHidden/>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unhideWhenUsed/>
    <w:rsid w:val="00360728"/>
    <w:pPr>
      <w:numPr>
        <w:ilvl w:val="1"/>
      </w:numPr>
    </w:pPr>
  </w:style>
  <w:style w:type="paragraph" w:styleId="ListNumber3">
    <w:name w:val="List Number 3"/>
    <w:basedOn w:val="ListNumber2"/>
    <w:semiHidden/>
    <w:rsid w:val="00360728"/>
    <w:pPr>
      <w:numPr>
        <w:ilvl w:val="2"/>
      </w:numPr>
    </w:pPr>
  </w:style>
  <w:style w:type="paragraph" w:styleId="ListNumber4">
    <w:name w:val="List Number 4"/>
    <w:basedOn w:val="ListNumber3"/>
    <w:semiHidden/>
    <w:rsid w:val="00360728"/>
    <w:pPr>
      <w:numPr>
        <w:ilvl w:val="3"/>
      </w:numPr>
    </w:pPr>
  </w:style>
  <w:style w:type="numbering" w:styleId="111111">
    <w:name w:val="Outline List 2"/>
    <w:basedOn w:val="NoList"/>
    <w:semiHidden/>
    <w:rsid w:val="00AE3DA6"/>
    <w:pPr>
      <w:numPr>
        <w:numId w:val="5"/>
      </w:numPr>
    </w:pPr>
  </w:style>
  <w:style w:type="paragraph" w:customStyle="1" w:styleId="Contactdetails">
    <w:name w:val="Contact details"/>
    <w:semiHidden/>
    <w:rsid w:val="001E0977"/>
    <w:pPr>
      <w:jc w:val="center"/>
    </w:pPr>
    <w:rPr>
      <w:rFonts w:ascii="Arial" w:hAnsi="Arial"/>
      <w:color w:val="7F7F7F"/>
      <w:sz w:val="18"/>
      <w:szCs w:val="22"/>
      <w:lang w:eastAsia="en-GB"/>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C91522"/>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paragraph" w:styleId="Footer">
    <w:name w:val="footer"/>
    <w:basedOn w:val="Normal"/>
    <w:link w:val="FooterChar"/>
    <w:uiPriority w:val="99"/>
    <w:rsid w:val="001E0977"/>
    <w:pPr>
      <w:tabs>
        <w:tab w:val="center" w:pos="4513"/>
        <w:tab w:val="right" w:pos="9026"/>
      </w:tabs>
    </w:pPr>
    <w:rPr>
      <w:szCs w:val="24"/>
      <w:lang w:eastAsia="en-AU"/>
    </w:rPr>
  </w:style>
  <w:style w:type="character" w:customStyle="1" w:styleId="FooterChar">
    <w:name w:val="Footer Char"/>
    <w:link w:val="Footer"/>
    <w:uiPriority w:val="99"/>
    <w:rsid w:val="001E0977"/>
    <w:rPr>
      <w:rFonts w:ascii="Arial" w:hAnsi="Arial"/>
      <w:sz w:val="24"/>
      <w:szCs w:val="24"/>
    </w:rPr>
  </w:style>
  <w:style w:type="character" w:styleId="FollowedHyperlink">
    <w:name w:val="FollowedHyperlink"/>
    <w:semiHidden/>
    <w:rsid w:val="00990ECE"/>
    <w:rPr>
      <w:color w:val="800080"/>
      <w:u w:val="single"/>
    </w:rPr>
  </w:style>
  <w:style w:type="character" w:styleId="Hyperlink">
    <w:name w:val="Hyperlink"/>
    <w:rsid w:val="00C91522"/>
    <w:rPr>
      <w:color w:val="595959" w:themeColor="text1" w:themeTint="A6"/>
      <w:u w:val="single"/>
    </w:rPr>
  </w:style>
  <w:style w:type="paragraph" w:styleId="Title">
    <w:name w:val="Title"/>
    <w:semiHidden/>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semiHidden/>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333F5"/>
    <w:pPr>
      <w:keepNext/>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unhideWhenUsed/>
    <w:rsid w:val="005B28DA"/>
    <w:rPr>
      <w:rFonts w:ascii="Arial" w:hAnsi="Arial"/>
      <w:sz w:val="24"/>
      <w:lang w:val="en-AU"/>
    </w:rPr>
  </w:style>
  <w:style w:type="character" w:customStyle="1" w:styleId="BodyTextChar">
    <w:name w:val="Body Text Char"/>
    <w:link w:val="BodyText"/>
    <w:rsid w:val="00D470EC"/>
    <w:rPr>
      <w:rFonts w:ascii="Arial" w:hAnsi="Arial"/>
      <w:sz w:val="24"/>
      <w:szCs w:val="22"/>
      <w:lang w:eastAsia="en-GB"/>
    </w:rPr>
  </w:style>
  <w:style w:type="paragraph" w:customStyle="1" w:styleId="BlockText-ListBullet">
    <w:name w:val="Block Text - List Bullet"/>
    <w:basedOn w:val="BlockText"/>
    <w:uiPriority w:val="1"/>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semiHidden/>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factsheet"/>
    <w:qFormat/>
    <w:rsid w:val="00952652"/>
    <w:pPr>
      <w:spacing w:before="240" w:after="480" w:line="240" w:lineRule="auto"/>
    </w:pPr>
    <w:rPr>
      <w:sz w:val="28"/>
    </w:rPr>
  </w:style>
  <w:style w:type="paragraph" w:styleId="TOC1">
    <w:name w:val="toc 1"/>
    <w:next w:val="BodyText"/>
    <w:autoRedefine/>
    <w:uiPriority w:val="2"/>
    <w:semiHidden/>
    <w:rsid w:val="00422B55"/>
    <w:pPr>
      <w:spacing w:before="180"/>
    </w:pPr>
    <w:rPr>
      <w:rFonts w:ascii="Arial" w:hAnsi="Arial"/>
      <w:b/>
      <w:sz w:val="24"/>
      <w:szCs w:val="22"/>
      <w:lang w:eastAsia="en-GB"/>
    </w:rPr>
  </w:style>
  <w:style w:type="paragraph" w:styleId="TOC2">
    <w:name w:val="toc 2"/>
    <w:basedOn w:val="TOC1"/>
    <w:next w:val="BodyText"/>
    <w:autoRedefine/>
    <w:uiPriority w:val="2"/>
    <w:semiHidden/>
    <w:rsid w:val="00422B55"/>
    <w:pPr>
      <w:spacing w:before="100"/>
      <w:ind w:left="567"/>
    </w:pPr>
    <w:rPr>
      <w:b w:val="0"/>
    </w:rPr>
  </w:style>
  <w:style w:type="paragraph" w:styleId="TOC3">
    <w:name w:val="toc 3"/>
    <w:basedOn w:val="TOC2"/>
    <w:next w:val="BodyText"/>
    <w:autoRedefine/>
    <w:uiPriority w:val="2"/>
    <w:semiHidden/>
    <w:rsid w:val="00F70B92"/>
    <w:pPr>
      <w:ind w:left="1134"/>
    </w:pPr>
  </w:style>
  <w:style w:type="paragraph" w:styleId="TOC4">
    <w:name w:val="toc 4"/>
    <w:basedOn w:val="TOC3"/>
    <w:next w:val="BodyText"/>
    <w:autoRedefine/>
    <w:uiPriority w:val="2"/>
    <w:semiHidden/>
    <w:rsid w:val="00F70B92"/>
    <w:pPr>
      <w:ind w:left="1701"/>
    </w:pPr>
  </w:style>
  <w:style w:type="paragraph" w:styleId="TOC5">
    <w:name w:val="toc 5"/>
    <w:basedOn w:val="TOC4"/>
    <w:next w:val="BodyText"/>
    <w:autoRedefine/>
    <w:uiPriority w:val="2"/>
    <w:semiHidden/>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uiPriority w:val="1"/>
    <w:unhideWhenUsed/>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uiPriority w:val="1"/>
    <w:unhideWhenUsed/>
    <w:rsid w:val="00CB582D"/>
    <w:pPr>
      <w:numPr>
        <w:ilvl w:val="1"/>
      </w:numPr>
    </w:pPr>
  </w:style>
  <w:style w:type="paragraph" w:customStyle="1" w:styleId="BlockText-ListBullet3">
    <w:name w:val="Block Text - List Bullet 3"/>
    <w:basedOn w:val="BlockText-ListBullet2"/>
    <w:uiPriority w:val="1"/>
    <w:semiHidden/>
    <w:rsid w:val="00CB582D"/>
    <w:pPr>
      <w:numPr>
        <w:ilvl w:val="2"/>
      </w:numPr>
    </w:pPr>
  </w:style>
  <w:style w:type="paragraph" w:customStyle="1" w:styleId="BlockText-ListBullet4">
    <w:name w:val="Block Text - List Bullet 4"/>
    <w:basedOn w:val="BlockText-ListBullet3"/>
    <w:uiPriority w:val="1"/>
    <w:semiHidden/>
    <w:rsid w:val="00CB582D"/>
    <w:pPr>
      <w:numPr>
        <w:ilvl w:val="3"/>
      </w:numPr>
    </w:pPr>
  </w:style>
  <w:style w:type="paragraph" w:customStyle="1" w:styleId="BlockText-ListBullet5">
    <w:name w:val="Block Text - List Bullet 5"/>
    <w:basedOn w:val="BlockText-ListBullet4"/>
    <w:uiPriority w:val="1"/>
    <w:semiHidden/>
    <w:rsid w:val="00CB582D"/>
    <w:pPr>
      <w:numPr>
        <w:ilvl w:val="4"/>
      </w:numPr>
    </w:pPr>
  </w:style>
  <w:style w:type="paragraph" w:customStyle="1" w:styleId="ListLetter2">
    <w:name w:val="List Letter 2"/>
    <w:basedOn w:val="ListLetter"/>
    <w:unhideWhenUsed/>
    <w:rsid w:val="00360728"/>
    <w:pPr>
      <w:numPr>
        <w:ilvl w:val="1"/>
      </w:numPr>
    </w:pPr>
  </w:style>
  <w:style w:type="paragraph" w:customStyle="1" w:styleId="ListLetter3">
    <w:name w:val="List Letter 3"/>
    <w:basedOn w:val="ListLetter2"/>
    <w:semiHidden/>
    <w:rsid w:val="00360728"/>
    <w:pPr>
      <w:numPr>
        <w:ilvl w:val="2"/>
      </w:numPr>
    </w:pPr>
  </w:style>
  <w:style w:type="paragraph" w:customStyle="1" w:styleId="ListLetter4">
    <w:name w:val="List Letter 4"/>
    <w:basedOn w:val="ListLetter3"/>
    <w:semiHidden/>
    <w:rsid w:val="00360728"/>
    <w:pPr>
      <w:numPr>
        <w:ilvl w:val="3"/>
      </w:numPr>
    </w:pPr>
  </w:style>
  <w:style w:type="paragraph" w:customStyle="1" w:styleId="ListLetter5">
    <w:name w:val="List Letter 5"/>
    <w:basedOn w:val="ListLetter4"/>
    <w:semiHidden/>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unhideWhenUsed/>
    <w:rsid w:val="00F36A43"/>
    <w:pPr>
      <w:numPr>
        <w:ilvl w:val="1"/>
      </w:numPr>
    </w:pPr>
  </w:style>
  <w:style w:type="paragraph" w:customStyle="1" w:styleId="ListRoman3">
    <w:name w:val="List Roman 3"/>
    <w:basedOn w:val="ListRoman2"/>
    <w:semiHidden/>
    <w:rsid w:val="00F36A43"/>
    <w:pPr>
      <w:numPr>
        <w:ilvl w:val="2"/>
      </w:numPr>
    </w:pPr>
  </w:style>
  <w:style w:type="paragraph" w:customStyle="1" w:styleId="ListRoman4">
    <w:name w:val="List Roman 4"/>
    <w:basedOn w:val="ListRoman3"/>
    <w:semiHidden/>
    <w:rsid w:val="00F36A43"/>
    <w:pPr>
      <w:numPr>
        <w:ilvl w:val="3"/>
      </w:numPr>
    </w:pPr>
  </w:style>
  <w:style w:type="paragraph" w:customStyle="1" w:styleId="ListRoman5">
    <w:name w:val="List Roman 5"/>
    <w:basedOn w:val="ListRoman4"/>
    <w:semiHidden/>
    <w:rsid w:val="00F36A43"/>
    <w:pPr>
      <w:numPr>
        <w:ilvl w:val="4"/>
      </w:numPr>
    </w:pPr>
  </w:style>
  <w:style w:type="paragraph" w:customStyle="1" w:styleId="BlockText-ListNumber">
    <w:name w:val="Block Text - List Number"/>
    <w:basedOn w:val="BlockText"/>
    <w:uiPriority w:val="1"/>
    <w:rsid w:val="0042409B"/>
    <w:pPr>
      <w:numPr>
        <w:numId w:val="11"/>
      </w:numPr>
    </w:pPr>
  </w:style>
  <w:style w:type="paragraph" w:customStyle="1" w:styleId="BlockText-ListNumber2">
    <w:name w:val="Block Text - List Number 2"/>
    <w:basedOn w:val="BlockText-ListNumber"/>
    <w:uiPriority w:val="1"/>
    <w:unhideWhenUsed/>
    <w:rsid w:val="00CD7A03"/>
    <w:pPr>
      <w:numPr>
        <w:ilvl w:val="1"/>
      </w:numPr>
      <w:ind w:right="0"/>
    </w:pPr>
  </w:style>
  <w:style w:type="paragraph" w:customStyle="1" w:styleId="BlockText-ListNumber3">
    <w:name w:val="Block Text - List Number 3"/>
    <w:basedOn w:val="BlockText-ListNumber2"/>
    <w:uiPriority w:val="1"/>
    <w:semiHidden/>
    <w:rsid w:val="0042409B"/>
    <w:pPr>
      <w:numPr>
        <w:ilvl w:val="2"/>
      </w:numPr>
    </w:pPr>
  </w:style>
  <w:style w:type="paragraph" w:customStyle="1" w:styleId="BlockText-ListNumber4">
    <w:name w:val="Block Text - List Number 4"/>
    <w:basedOn w:val="BlockText-ListNumber3"/>
    <w:uiPriority w:val="1"/>
    <w:semiHidden/>
    <w:rsid w:val="0042409B"/>
    <w:pPr>
      <w:numPr>
        <w:ilvl w:val="3"/>
      </w:numPr>
    </w:pPr>
  </w:style>
  <w:style w:type="paragraph" w:customStyle="1" w:styleId="BlockText-ListNumber5">
    <w:name w:val="Block Text - List Number 5"/>
    <w:basedOn w:val="BlockText-ListNumber4"/>
    <w:uiPriority w:val="1"/>
    <w:semiHidden/>
    <w:rsid w:val="0042409B"/>
    <w:pPr>
      <w:numPr>
        <w:ilvl w:val="4"/>
      </w:numPr>
    </w:pPr>
  </w:style>
  <w:style w:type="paragraph" w:customStyle="1" w:styleId="BlockText-ListLetter">
    <w:name w:val="Block Text - List Letter"/>
    <w:basedOn w:val="BlockText"/>
    <w:uiPriority w:val="1"/>
    <w:rsid w:val="00274836"/>
    <w:pPr>
      <w:numPr>
        <w:numId w:val="12"/>
      </w:numPr>
    </w:pPr>
  </w:style>
  <w:style w:type="paragraph" w:customStyle="1" w:styleId="BlockText-ListLetter2">
    <w:name w:val="Block Text - List Letter 2"/>
    <w:basedOn w:val="BlockText-ListLetter"/>
    <w:uiPriority w:val="1"/>
    <w:unhideWhenUsed/>
    <w:rsid w:val="00CD7A03"/>
    <w:pPr>
      <w:numPr>
        <w:ilvl w:val="1"/>
      </w:numPr>
      <w:ind w:right="0"/>
    </w:pPr>
  </w:style>
  <w:style w:type="paragraph" w:customStyle="1" w:styleId="BlockText-ListLetter3">
    <w:name w:val="Block Text - List Letter 3"/>
    <w:basedOn w:val="BlockText-ListLetter2"/>
    <w:uiPriority w:val="1"/>
    <w:semiHidden/>
    <w:rsid w:val="00274836"/>
    <w:pPr>
      <w:numPr>
        <w:ilvl w:val="2"/>
      </w:numPr>
    </w:pPr>
  </w:style>
  <w:style w:type="paragraph" w:customStyle="1" w:styleId="BlockText-ListLetter4">
    <w:name w:val="Block Text - List Letter 4"/>
    <w:basedOn w:val="BlockText-ListLetter3"/>
    <w:uiPriority w:val="1"/>
    <w:semiHidden/>
    <w:rsid w:val="00274836"/>
    <w:pPr>
      <w:numPr>
        <w:ilvl w:val="3"/>
      </w:numPr>
    </w:pPr>
  </w:style>
  <w:style w:type="paragraph" w:customStyle="1" w:styleId="BlockText-ListLetter5">
    <w:name w:val="Block Text - List Letter 5"/>
    <w:basedOn w:val="BlockText-ListLetter4"/>
    <w:uiPriority w:val="1"/>
    <w:semiHidden/>
    <w:rsid w:val="00274836"/>
    <w:pPr>
      <w:numPr>
        <w:ilvl w:val="4"/>
      </w:numPr>
    </w:pPr>
  </w:style>
  <w:style w:type="paragraph" w:customStyle="1" w:styleId="BlockText-ListRoman">
    <w:name w:val="Block Text - List Roman"/>
    <w:basedOn w:val="BlockText"/>
    <w:uiPriority w:val="1"/>
    <w:rsid w:val="00806C7B"/>
    <w:pPr>
      <w:numPr>
        <w:numId w:val="13"/>
      </w:numPr>
    </w:pPr>
  </w:style>
  <w:style w:type="paragraph" w:customStyle="1" w:styleId="BlockText-ListRoman2">
    <w:name w:val="Block Text - List Roman 2"/>
    <w:basedOn w:val="BlockText-ListRoman"/>
    <w:uiPriority w:val="1"/>
    <w:unhideWhenUsed/>
    <w:rsid w:val="00CD7A03"/>
    <w:pPr>
      <w:numPr>
        <w:ilvl w:val="1"/>
      </w:numPr>
      <w:ind w:right="0"/>
    </w:pPr>
  </w:style>
  <w:style w:type="paragraph" w:customStyle="1" w:styleId="BlockText-ListRoman3">
    <w:name w:val="Block Text - List Roman 3"/>
    <w:basedOn w:val="BlockText-ListRoman2"/>
    <w:uiPriority w:val="1"/>
    <w:semiHidden/>
    <w:rsid w:val="00806C7B"/>
    <w:pPr>
      <w:numPr>
        <w:ilvl w:val="2"/>
      </w:numPr>
    </w:pPr>
  </w:style>
  <w:style w:type="paragraph" w:customStyle="1" w:styleId="BlockText-ListRoman4">
    <w:name w:val="Block Text - List Roman 4"/>
    <w:basedOn w:val="BlockText-ListRoman3"/>
    <w:uiPriority w:val="1"/>
    <w:semiHidden/>
    <w:rsid w:val="00806C7B"/>
    <w:pPr>
      <w:numPr>
        <w:ilvl w:val="3"/>
      </w:numPr>
    </w:pPr>
  </w:style>
  <w:style w:type="paragraph" w:customStyle="1" w:styleId="BlockText-ListRoman5">
    <w:name w:val="Block Text - List Roman 5"/>
    <w:basedOn w:val="BlockText-ListRoman4"/>
    <w:uiPriority w:val="1"/>
    <w:semiHidden/>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unhideWhenUsed/>
    <w:rsid w:val="00EA6977"/>
    <w:pPr>
      <w:numPr>
        <w:ilvl w:val="1"/>
      </w:numPr>
    </w:pPr>
  </w:style>
  <w:style w:type="paragraph" w:customStyle="1" w:styleId="Table-ListBullet3">
    <w:name w:val="Table - List Bullet 3"/>
    <w:basedOn w:val="Table-ListBullet2"/>
    <w:unhideWhenUsed/>
    <w:rsid w:val="00EA6977"/>
    <w:pPr>
      <w:numPr>
        <w:ilvl w:val="2"/>
      </w:numPr>
    </w:pPr>
  </w:style>
  <w:style w:type="paragraph" w:customStyle="1" w:styleId="Table-ListNumber2">
    <w:name w:val="Table - List Number 2"/>
    <w:basedOn w:val="Table-ListNumber"/>
    <w:unhideWhenUsed/>
    <w:rsid w:val="005D1782"/>
    <w:pPr>
      <w:numPr>
        <w:ilvl w:val="1"/>
      </w:numPr>
    </w:pPr>
  </w:style>
  <w:style w:type="paragraph" w:customStyle="1" w:styleId="Table-ListNumber3">
    <w:name w:val="Table - List Number 3"/>
    <w:basedOn w:val="Table-ListNumber2"/>
    <w:unhideWhenUsed/>
    <w:rsid w:val="005D1782"/>
    <w:pPr>
      <w:numPr>
        <w:ilvl w:val="2"/>
      </w:numPr>
    </w:pPr>
  </w:style>
  <w:style w:type="paragraph" w:customStyle="1" w:styleId="Table-ListLetter2">
    <w:name w:val="Table - List Letter 2"/>
    <w:basedOn w:val="Table-ListLetter"/>
    <w:unhideWhenUsed/>
    <w:rsid w:val="005D1782"/>
    <w:pPr>
      <w:numPr>
        <w:ilvl w:val="1"/>
      </w:numPr>
    </w:pPr>
  </w:style>
  <w:style w:type="paragraph" w:customStyle="1" w:styleId="Table-ListLetter3">
    <w:name w:val="Table - List Letter 3"/>
    <w:basedOn w:val="Table-ListLetter2"/>
    <w:unhideWhenUsed/>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unhideWhenUsed/>
    <w:rsid w:val="00CB6A63"/>
    <w:pPr>
      <w:numPr>
        <w:ilvl w:val="1"/>
      </w:numPr>
    </w:pPr>
  </w:style>
  <w:style w:type="paragraph" w:customStyle="1" w:styleId="Table-ListRoman3">
    <w:name w:val="Table - List Roman 3"/>
    <w:basedOn w:val="Table-ListRoman2"/>
    <w:unhideWhenUsed/>
    <w:rsid w:val="00CB6A63"/>
    <w:pPr>
      <w:numPr>
        <w:ilvl w:val="2"/>
      </w:numPr>
    </w:pPr>
  </w:style>
  <w:style w:type="paragraph" w:customStyle="1" w:styleId="BlockText-ListContinue">
    <w:name w:val="Block Text - List Continue"/>
    <w:basedOn w:val="BlockText"/>
    <w:uiPriority w:val="1"/>
    <w:rsid w:val="005726CC"/>
    <w:pPr>
      <w:numPr>
        <w:numId w:val="23"/>
      </w:numPr>
      <w:ind w:firstLine="0"/>
    </w:pPr>
  </w:style>
  <w:style w:type="paragraph" w:customStyle="1" w:styleId="BlockText-ListContinue2">
    <w:name w:val="Block Text - List Continue 2"/>
    <w:basedOn w:val="BlockText-ListContinue"/>
    <w:uiPriority w:val="1"/>
    <w:unhideWhenUsed/>
    <w:rsid w:val="00D76532"/>
    <w:pPr>
      <w:numPr>
        <w:ilvl w:val="1"/>
      </w:numPr>
    </w:pPr>
  </w:style>
  <w:style w:type="paragraph" w:customStyle="1" w:styleId="BlockText-ListContinue3">
    <w:name w:val="Block Text - List Continue 3"/>
    <w:basedOn w:val="BlockText-ListContinue2"/>
    <w:uiPriority w:val="1"/>
    <w:semiHidden/>
    <w:rsid w:val="00D76532"/>
    <w:pPr>
      <w:numPr>
        <w:ilvl w:val="2"/>
      </w:numPr>
    </w:pPr>
  </w:style>
  <w:style w:type="paragraph" w:customStyle="1" w:styleId="BlockText-ListContinue4">
    <w:name w:val="Block Text - List Continue 4"/>
    <w:basedOn w:val="BlockText-ListContinue3"/>
    <w:uiPriority w:val="1"/>
    <w:semiHidden/>
    <w:rsid w:val="00D76532"/>
    <w:pPr>
      <w:numPr>
        <w:ilvl w:val="3"/>
      </w:numPr>
    </w:pPr>
  </w:style>
  <w:style w:type="paragraph" w:customStyle="1" w:styleId="BlockText-ListContinue5">
    <w:name w:val="Block Text - List Continue 5"/>
    <w:basedOn w:val="BlockText-ListContinue4"/>
    <w:uiPriority w:val="1"/>
    <w:semiHidden/>
    <w:rsid w:val="00D76532"/>
    <w:pPr>
      <w:numPr>
        <w:ilvl w:val="4"/>
      </w:numPr>
    </w:pPr>
  </w:style>
  <w:style w:type="paragraph" w:customStyle="1" w:styleId="Frontmatter">
    <w:name w:val="Frontmatter"/>
    <w:basedOn w:val="BodyText"/>
    <w:semiHidden/>
    <w:rsid w:val="0026498C"/>
    <w:pPr>
      <w:spacing w:after="120"/>
    </w:pPr>
    <w:rPr>
      <w:sz w:val="20"/>
    </w:rPr>
  </w:style>
  <w:style w:type="paragraph" w:customStyle="1" w:styleId="Titleoffactsheet">
    <w:name w:val="Title of factsheet"/>
    <w:rsid w:val="001701B4"/>
    <w:pPr>
      <w:spacing w:before="500" w:after="36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factsheet"/>
    <w:semiHidden/>
    <w:rsid w:val="0026498C"/>
    <w:pPr>
      <w:spacing w:before="320"/>
    </w:pPr>
    <w:rPr>
      <w:sz w:val="32"/>
    </w:rPr>
  </w:style>
  <w:style w:type="character" w:customStyle="1" w:styleId="Strongemphasis">
    <w:name w:val="Strong emphasis"/>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uiPriority w:val="1"/>
    <w:rsid w:val="00D10B6F"/>
    <w:rPr>
      <w:b/>
      <w:bCs/>
      <w:sz w:val="20"/>
      <w:szCs w:val="20"/>
    </w:rPr>
  </w:style>
  <w:style w:type="paragraph" w:customStyle="1" w:styleId="Logo-Centred">
    <w:name w:val="Logo - Centred"/>
    <w:basedOn w:val="BodyText"/>
    <w:semiHidden/>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styleId="EndnoteText">
    <w:name w:val="endnote text"/>
    <w:basedOn w:val="Normal"/>
    <w:link w:val="EndnoteTextChar"/>
    <w:semiHidden/>
    <w:unhideWhenUsed/>
    <w:rsid w:val="00725BD4"/>
    <w:rPr>
      <w:sz w:val="20"/>
      <w:szCs w:val="20"/>
    </w:rPr>
  </w:style>
  <w:style w:type="character" w:customStyle="1" w:styleId="EndnoteTextChar">
    <w:name w:val="Endnote Text Char"/>
    <w:basedOn w:val="DefaultParagraphFont"/>
    <w:link w:val="EndnoteText"/>
    <w:semiHidden/>
    <w:rsid w:val="00725BD4"/>
    <w:rPr>
      <w:rFonts w:ascii="Arial" w:hAnsi="Arial"/>
      <w:lang w:eastAsia="en-GB"/>
    </w:rPr>
  </w:style>
  <w:style w:type="character" w:styleId="EndnoteReference">
    <w:name w:val="endnote reference"/>
    <w:basedOn w:val="DefaultParagraphFont"/>
    <w:semiHidden/>
    <w:unhideWhenUsed/>
    <w:rsid w:val="00725BD4"/>
    <w:rPr>
      <w:vertAlign w:val="superscript"/>
    </w:rPr>
  </w:style>
  <w:style w:type="character" w:styleId="UnresolvedMention">
    <w:name w:val="Unresolved Mention"/>
    <w:basedOn w:val="DefaultParagraphFont"/>
    <w:uiPriority w:val="99"/>
    <w:semiHidden/>
    <w:unhideWhenUsed/>
    <w:rsid w:val="00DF1C2F"/>
    <w:rPr>
      <w:color w:val="605E5C"/>
      <w:shd w:val="clear" w:color="auto" w:fill="E1DFDD"/>
    </w:rPr>
  </w:style>
  <w:style w:type="paragraph" w:customStyle="1" w:styleId="Source">
    <w:name w:val="Source"/>
    <w:basedOn w:val="BodyText"/>
    <w:qFormat/>
    <w:rsid w:val="00D417BB"/>
    <w:pPr>
      <w:spacing w:before="40" w:after="240"/>
    </w:pPr>
    <w:rPr>
      <w:sz w:val="16"/>
      <w:szCs w:val="18"/>
    </w:rPr>
  </w:style>
  <w:style w:type="paragraph" w:customStyle="1" w:styleId="Figuretitle">
    <w:name w:val="Figure title"/>
    <w:basedOn w:val="Tableheading"/>
    <w:qFormat/>
    <w:rsid w:val="001F47EB"/>
    <w:pPr>
      <w:spacing w:before="240"/>
    </w:pPr>
  </w:style>
  <w:style w:type="paragraph" w:customStyle="1" w:styleId="Factsheet">
    <w:name w:val="Factsheet"/>
    <w:basedOn w:val="Logo-Centred"/>
    <w:qFormat/>
    <w:rsid w:val="0056748C"/>
    <w:pPr>
      <w:spacing w:before="340" w:after="0"/>
      <w:ind w:left="4536"/>
      <w:jc w:val="right"/>
    </w:pPr>
    <w:rPr>
      <w:b/>
      <w:color w:val="808080"/>
      <w:sz w:val="36"/>
    </w:rPr>
  </w:style>
  <w:style w:type="paragraph" w:customStyle="1" w:styleId="Factsheetdate">
    <w:name w:val="Factsheet date"/>
    <w:basedOn w:val="BodyText"/>
    <w:qFormat/>
    <w:rsid w:val="003F17B4"/>
    <w:pPr>
      <w:ind w:left="4536"/>
      <w:jc w:val="right"/>
    </w:pPr>
    <w:rPr>
      <w:color w:val="808080"/>
      <w:sz w:val="20"/>
    </w:rPr>
  </w:style>
  <w:style w:type="character" w:customStyle="1" w:styleId="Heading1Char">
    <w:name w:val="Heading 1 Char"/>
    <w:basedOn w:val="DefaultParagraphFont"/>
    <w:link w:val="Heading1"/>
    <w:rsid w:val="007343A7"/>
    <w:rPr>
      <w:rFonts w:ascii="Arial" w:hAnsi="Arial" w:cs="Arial"/>
      <w:b/>
      <w:bCs/>
      <w:color w:val="005984"/>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publications/advocacy-publications/act-cost-living-report-2020" TargetMode="External"/><Relationship Id="rId18" Type="http://schemas.openxmlformats.org/officeDocument/2006/relationships/hyperlink" Target="https://www.actcoss.org.au/publications/advocacy-publications/act-cost-living-report-2020" TargetMode="External"/><Relationship Id="rId26" Type="http://schemas.openxmlformats.org/officeDocument/2006/relationships/hyperlink" Target="https://twitter.com/actcoss" TargetMode="External"/><Relationship Id="rId3" Type="http://schemas.openxmlformats.org/officeDocument/2006/relationships/customXml" Target="../customXml/item3.xml"/><Relationship Id="rId21" Type="http://schemas.openxmlformats.org/officeDocument/2006/relationships/hyperlink" Target="https://www.acoss.org.au/wp-content/uploads/2020/09/Social-security-next-steps-JUL-UPDATED-2-9_.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everybodyshome.com.au/" TargetMode="External"/><Relationship Id="rId25" Type="http://schemas.openxmlformats.org/officeDocument/2006/relationships/hyperlink" Target="http://www.actcoss.org.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aisetherate.org.au/" TargetMode="External"/><Relationship Id="rId20" Type="http://schemas.openxmlformats.org/officeDocument/2006/relationships/hyperlink" Target="https://www.actcoss.org.au/publications/advocacy-publications/hidden-disadvantage-act-report-anti-poverty-week-20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povertyandinequality.acoss.org.au/inequality/inequality-in-australia-2020-part-1-overview/"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povertyandinequality.acoss.org.au/publication/poverty-in-australia-2020-part-1-overview/" TargetMode="External"/><Relationship Id="rId28" Type="http://schemas.openxmlformats.org/officeDocument/2006/relationships/hyperlink" Target="https://twitter.com/acoss" TargetMode="External"/><Relationship Id="rId10" Type="http://schemas.openxmlformats.org/officeDocument/2006/relationships/endnotes" Target="endnotes.xml"/><Relationship Id="rId19" Type="http://schemas.openxmlformats.org/officeDocument/2006/relationships/hyperlink" Target="https://www.actcoss.org.au/publications/election-platform/cost-living-financial-hardship-and-poverty"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povertyandinequality.acoss.org.au/" TargetMode="External"/><Relationship Id="rId27" Type="http://schemas.openxmlformats.org/officeDocument/2006/relationships/hyperlink" Target="http://www.acoss.org.au" TargetMode="External"/><Relationship Id="rId30"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povertyandinequality.acoss.org.au/wp-content/uploads/2020/05/Poverty-in-Australia-2020-Part-2-&#8211;-Who-is-affected-factsheet-v6.pdf" TargetMode="External"/><Relationship Id="rId3" Type="http://schemas.openxmlformats.org/officeDocument/2006/relationships/hyperlink" Target="https://www.actcoss.org.au/publications/advocacy-publications/report-food-security-food-assistance-and-affordability-healthy" TargetMode="External"/><Relationship Id="rId7" Type="http://schemas.openxmlformats.org/officeDocument/2006/relationships/hyperlink" Target="https://www.actcoss.org.au/publications/advocacy-publications/act-cost-living-report-2020" TargetMode="External"/><Relationship Id="rId2" Type="http://schemas.openxmlformats.org/officeDocument/2006/relationships/hyperlink" Target="http://povertyandinequality.acoss.org.au/poverty/rate-of-poverty-by-state-territory-of-residence-of-people/" TargetMode="External"/><Relationship Id="rId1" Type="http://schemas.openxmlformats.org/officeDocument/2006/relationships/hyperlink" Target="https://www.abs.gov.au/AUSSTATS/abs@.nsf/Lookup/4198.0Main+Features12016?OpenDocument" TargetMode="External"/><Relationship Id="rId6" Type="http://schemas.openxmlformats.org/officeDocument/2006/relationships/hyperlink" Target="http://www.wchm.org.au/wp-content/uploads/2018/06/Hidden-disadvantage-among-women-in-the-ACT-final.pdf" TargetMode="External"/><Relationship Id="rId5" Type="http://schemas.openxmlformats.org/officeDocument/2006/relationships/hyperlink" Target="https://www.actcoss.org.au/publications/advocacy-publications/hidden-disadvantage-act-report-anti-poverty-week-2017" TargetMode="External"/><Relationship Id="rId4" Type="http://schemas.openxmlformats.org/officeDocument/2006/relationships/hyperlink" Target="https://data.gov.au/data/dataset/dss-payment-demographic-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Position%20Statement,%20Snapshot%20et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7FFB-C0A9-4417-B92F-680C77B51638}">
  <ds:schemaRefs>
    <ds:schemaRef ds:uri="http://schemas.microsoft.com/sharepoint/v3/contenttype/forms"/>
  </ds:schemaRefs>
</ds:datastoreItem>
</file>

<file path=customXml/itemProps2.xml><?xml version="1.0" encoding="utf-8"?>
<ds:datastoreItem xmlns:ds="http://schemas.openxmlformats.org/officeDocument/2006/customXml" ds:itemID="{F99FABE2-61E5-4ADC-991C-B7A327627B7A}">
  <ds:schemaRefs>
    <ds:schemaRef ds:uri="32918964-d11d-4bda-ba04-9b8184f6a17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f2741e4-cc31-428c-aca2-d2da616e4ed0"/>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288058E-A3E0-48F5-94D3-D20E3E213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048A0-9B12-4667-AE0A-AD0FDF0A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Position Statement, Snapshot etc.dotm</Template>
  <TotalTime>604</TotalTime>
  <Pages>7</Pages>
  <Words>1384</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Factsheet: Poverty and inequality in the ACT</vt:lpstr>
    </vt:vector>
  </TitlesOfParts>
  <Company>ACT Council of Social Service</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Poverty and inequality in the ACT</dc:title>
  <dc:subject/>
  <dc:creator>Geoff Buchanan</dc:creator>
  <cp:keywords/>
  <cp:lastModifiedBy>Suzanne Richardson</cp:lastModifiedBy>
  <cp:revision>284</cp:revision>
  <cp:lastPrinted>2011-07-22T02:29:00Z</cp:lastPrinted>
  <dcterms:created xsi:type="dcterms:W3CDTF">2020-10-11T21:58:00Z</dcterms:created>
  <dcterms:modified xsi:type="dcterms:W3CDTF">2020-10-14T23:19:00Z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647000</vt:r8>
  </property>
  <property fmtid="{D5CDD505-2E9C-101B-9397-08002B2CF9AE}" pid="5" name="AuthorIds_UIVersion_1024">
    <vt:lpwstr>6</vt:lpwstr>
  </property>
  <property fmtid="{D5CDD505-2E9C-101B-9397-08002B2CF9AE}" pid="6" name="AuthorIds_UIVersion_2048">
    <vt:lpwstr>6</vt:lpwstr>
  </property>
</Properties>
</file>