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xt1"/>
    <w:p w14:paraId="76A903CB" w14:textId="1533042E" w:rsidR="00AD3F59" w:rsidRDefault="007369B0" w:rsidP="00AD3F59">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address">
                                <w:smartTag w:uri="urn:schemas-microsoft-com:office:smarttags" w:element="Street">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D204E5"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B11060"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End w:id="0"/>
      <w:r w:rsidR="00AD3F59">
        <w:t>National Disability Strategy Governance</w:t>
      </w:r>
    </w:p>
    <w:p w14:paraId="4D038293" w14:textId="77777777" w:rsidR="00AD3F59" w:rsidRDefault="00AD3F59" w:rsidP="00AD3F59">
      <w:r>
        <w:t>and Engagement Section</w:t>
      </w:r>
    </w:p>
    <w:p w14:paraId="1AB516C0" w14:textId="77777777" w:rsidR="00AD3F59" w:rsidRDefault="00AD3F59" w:rsidP="00AD3F59">
      <w:r>
        <w:t>GPO Box 9820</w:t>
      </w:r>
    </w:p>
    <w:p w14:paraId="303672F5" w14:textId="77777777" w:rsidR="00AD3F59" w:rsidRDefault="00AD3F59" w:rsidP="00AD3F59">
      <w:r>
        <w:t>Department of Social Services</w:t>
      </w:r>
    </w:p>
    <w:p w14:paraId="66EDCE48" w14:textId="33340BD8" w:rsidR="00E0423E" w:rsidRDefault="00AD3F59" w:rsidP="00AD3F59">
      <w:r>
        <w:t>Canberra ACT 2601</w:t>
      </w:r>
    </w:p>
    <w:p w14:paraId="2400E7E8" w14:textId="77777777" w:rsidR="00AD3F59" w:rsidRDefault="00AD3F59" w:rsidP="00AD3F59"/>
    <w:p w14:paraId="66EDCE49" w14:textId="4FFB2748" w:rsidR="00E0423E" w:rsidRDefault="00E0423E" w:rsidP="00C12F9E">
      <w:pPr>
        <w:pStyle w:val="BodyText"/>
      </w:pPr>
      <w:r>
        <w:t xml:space="preserve">Via email: </w:t>
      </w:r>
      <w:hyperlink r:id="rId15" w:history="1">
        <w:r w:rsidR="00606341" w:rsidRPr="00D7750D">
          <w:rPr>
            <w:rStyle w:val="Hyperlink"/>
          </w:rPr>
          <w:t>disabilityreform@dss.gov.au</w:t>
        </w:r>
      </w:hyperlink>
      <w:r w:rsidR="00606341">
        <w:t xml:space="preserve"> </w:t>
      </w:r>
    </w:p>
    <w:p w14:paraId="66EDCE4B" w14:textId="77777777" w:rsidR="00E0423E" w:rsidRDefault="00E0423E" w:rsidP="00C12F9E">
      <w:pPr>
        <w:pStyle w:val="BodyText"/>
      </w:pPr>
    </w:p>
    <w:p w14:paraId="66EDCE4C" w14:textId="468CFE40" w:rsidR="00E0423E" w:rsidRDefault="00E0423E" w:rsidP="00C12F9E">
      <w:pPr>
        <w:pStyle w:val="BodyText"/>
      </w:pPr>
      <w:r>
        <w:t xml:space="preserve">Dear </w:t>
      </w:r>
      <w:r w:rsidR="00AD3F59">
        <w:t>Engagement team</w:t>
      </w:r>
      <w:r>
        <w:t>,</w:t>
      </w:r>
    </w:p>
    <w:p w14:paraId="66EDCE4D" w14:textId="49DFC38A" w:rsidR="00E0423E" w:rsidRPr="00E0423E" w:rsidRDefault="00117988" w:rsidP="00C12F9E">
      <w:pPr>
        <w:pStyle w:val="BodyText"/>
        <w:rPr>
          <w:rStyle w:val="Bold"/>
        </w:rPr>
      </w:pPr>
      <w:r>
        <w:rPr>
          <w:rStyle w:val="Bold"/>
        </w:rPr>
        <w:t>Inputs</w:t>
      </w:r>
      <w:r w:rsidR="00AD3F59">
        <w:rPr>
          <w:rStyle w:val="Bold"/>
        </w:rPr>
        <w:t xml:space="preserve"> – New National Disability Strategy</w:t>
      </w:r>
    </w:p>
    <w:p w14:paraId="01F393F2" w14:textId="1ED0BE56" w:rsidR="000A743E" w:rsidRDefault="00AD3F59" w:rsidP="00C12F9E">
      <w:pPr>
        <w:pStyle w:val="BodyText"/>
      </w:pPr>
      <w:r>
        <w:t xml:space="preserve">Thank you for this opportunity to make </w:t>
      </w:r>
      <w:r w:rsidR="00034582">
        <w:t>inputs</w:t>
      </w:r>
      <w:r>
        <w:t xml:space="preserve"> </w:t>
      </w:r>
      <w:r w:rsidR="006B4589">
        <w:t xml:space="preserve">to the </w:t>
      </w:r>
      <w:r w:rsidR="000A743E">
        <w:t>consultations around a new National Disability Strategy.</w:t>
      </w:r>
    </w:p>
    <w:p w14:paraId="5C449571" w14:textId="5B4BDAAE" w:rsidR="00135271" w:rsidRDefault="780F8AD6" w:rsidP="00C12F9E">
      <w:pPr>
        <w:pStyle w:val="BodyText"/>
      </w:pPr>
      <w:r>
        <w:t xml:space="preserve">In making this </w:t>
      </w:r>
      <w:r w:rsidR="6A8128AD">
        <w:t>response</w:t>
      </w:r>
      <w:r w:rsidR="04A89071">
        <w:t>,</w:t>
      </w:r>
      <w:r>
        <w:t xml:space="preserve"> we </w:t>
      </w:r>
      <w:r w:rsidR="29E01998">
        <w:t xml:space="preserve">refer you to our comprehensive </w:t>
      </w:r>
      <w:hyperlink r:id="rId16">
        <w:r w:rsidR="29E01998" w:rsidRPr="392084A3">
          <w:rPr>
            <w:rStyle w:val="Hyperlink"/>
          </w:rPr>
          <w:t>submission</w:t>
        </w:r>
      </w:hyperlink>
      <w:r w:rsidR="29E01998">
        <w:t xml:space="preserve"> </w:t>
      </w:r>
      <w:r w:rsidR="74F4860D">
        <w:t xml:space="preserve">from April 2017 </w:t>
      </w:r>
      <w:r w:rsidR="2F4DB79C">
        <w:t xml:space="preserve">to the Senate Standing Committee on Community Affairs </w:t>
      </w:r>
      <w:r w:rsidR="2F4DB79C" w:rsidRPr="392084A3">
        <w:rPr>
          <w:i/>
          <w:iCs/>
        </w:rPr>
        <w:t>Inquiry into the delivery of outcomes under the National Disability Strategy 2010-2020 to build inclusive and accessible communities</w:t>
      </w:r>
      <w:r w:rsidR="29E01998" w:rsidRPr="392084A3">
        <w:rPr>
          <w:i/>
          <w:iCs/>
        </w:rPr>
        <w:t>.</w:t>
      </w:r>
      <w:r w:rsidR="29E01998">
        <w:t xml:space="preserve"> </w:t>
      </w:r>
    </w:p>
    <w:p w14:paraId="5DAE576D" w14:textId="394F2334" w:rsidR="0028600B" w:rsidRDefault="004B4FDA" w:rsidP="00C12F9E">
      <w:pPr>
        <w:pStyle w:val="BodyText"/>
      </w:pPr>
      <w:r>
        <w:t>M</w:t>
      </w:r>
      <w:r w:rsidR="00135271">
        <w:t>any</w:t>
      </w:r>
      <w:r>
        <w:t xml:space="preserve"> of the issues </w:t>
      </w:r>
      <w:r w:rsidR="00F13B27">
        <w:t xml:space="preserve">identified </w:t>
      </w:r>
      <w:r>
        <w:t xml:space="preserve">in </w:t>
      </w:r>
      <w:r w:rsidR="00220D66">
        <w:t>that</w:t>
      </w:r>
      <w:r>
        <w:t xml:space="preserve"> submission remain </w:t>
      </w:r>
      <w:r w:rsidR="00F13B27">
        <w:t xml:space="preserve">relevant </w:t>
      </w:r>
      <w:r w:rsidR="0028600B">
        <w:t xml:space="preserve">and should be addressed in developing a new Strategy.  </w:t>
      </w:r>
    </w:p>
    <w:p w14:paraId="2FFBB8E4" w14:textId="1B4A522A" w:rsidR="000A743E" w:rsidRDefault="0EAE9B17" w:rsidP="00C12F9E">
      <w:pPr>
        <w:pStyle w:val="BodyText"/>
      </w:pPr>
      <w:r>
        <w:t>ACTCOSS</w:t>
      </w:r>
      <w:r w:rsidR="00720FEF">
        <w:t xml:space="preserve">’s response to the </w:t>
      </w:r>
      <w:r w:rsidR="0058670F">
        <w:t>National Disability Strategy P</w:t>
      </w:r>
      <w:r w:rsidR="00720FEF">
        <w:t xml:space="preserve">osition </w:t>
      </w:r>
      <w:r w:rsidR="0058670F">
        <w:t>P</w:t>
      </w:r>
      <w:r w:rsidR="00720FEF">
        <w:t xml:space="preserve">aper </w:t>
      </w:r>
      <w:r w:rsidR="0058670F">
        <w:t xml:space="preserve">(the Position Paper) </w:t>
      </w:r>
      <w:r w:rsidR="00720FEF">
        <w:t xml:space="preserve">also </w:t>
      </w:r>
      <w:r>
        <w:t>draw</w:t>
      </w:r>
      <w:r w:rsidR="00720FEF">
        <w:t>s</w:t>
      </w:r>
      <w:r>
        <w:t xml:space="preserve"> on </w:t>
      </w:r>
      <w:r w:rsidR="3B91C64D">
        <w:t xml:space="preserve">a consultation </w:t>
      </w:r>
      <w:r w:rsidR="2DAB9D91">
        <w:t xml:space="preserve">held on 22 October 2020 </w:t>
      </w:r>
      <w:r w:rsidR="5FA4B104">
        <w:t>during</w:t>
      </w:r>
      <w:r w:rsidR="3B91C64D">
        <w:t xml:space="preserve"> regular </w:t>
      </w:r>
      <w:r w:rsidR="00821660">
        <w:t xml:space="preserve">meetings </w:t>
      </w:r>
      <w:r w:rsidR="3B91C64D">
        <w:t xml:space="preserve">of </w:t>
      </w:r>
      <w:r w:rsidR="33224B43">
        <w:t xml:space="preserve">ACT </w:t>
      </w:r>
      <w:r w:rsidR="3B91C64D">
        <w:t>disability and carer policy representative organisations</w:t>
      </w:r>
      <w:r w:rsidR="2DAB9D91">
        <w:t xml:space="preserve"> in conjunction with the ACT Office </w:t>
      </w:r>
      <w:r w:rsidR="1A580931">
        <w:t>f</w:t>
      </w:r>
      <w:r w:rsidR="2DAB9D91">
        <w:t>or Disability</w:t>
      </w:r>
      <w:r w:rsidR="6F6884A7">
        <w:t xml:space="preserve">.  </w:t>
      </w:r>
    </w:p>
    <w:p w14:paraId="7EB9D2C6" w14:textId="77777777" w:rsidR="00720FEF" w:rsidRPr="001E00B5" w:rsidRDefault="00720FEF" w:rsidP="001E00B5">
      <w:pPr>
        <w:pStyle w:val="Heading1"/>
      </w:pPr>
      <w:r w:rsidRPr="001E00B5">
        <w:t xml:space="preserve">Overall comments </w:t>
      </w:r>
    </w:p>
    <w:p w14:paraId="48645C18" w14:textId="77777777" w:rsidR="009C098C" w:rsidRDefault="00720FEF" w:rsidP="00003D66">
      <w:pPr>
        <w:pStyle w:val="ListBullet"/>
      </w:pPr>
      <w:r>
        <w:t xml:space="preserve">The </w:t>
      </w:r>
      <w:r w:rsidR="0058670F">
        <w:t>P</w:t>
      </w:r>
      <w:r w:rsidR="00BF33A2">
        <w:t xml:space="preserve">osition </w:t>
      </w:r>
      <w:r w:rsidR="0058670F">
        <w:t>P</w:t>
      </w:r>
      <w:r w:rsidR="00BF33A2">
        <w:t xml:space="preserve">aper </w:t>
      </w:r>
      <w:r w:rsidR="0058670F">
        <w:t xml:space="preserve">does not </w:t>
      </w:r>
      <w:r w:rsidR="00BF33A2">
        <w:t xml:space="preserve">signal </w:t>
      </w:r>
      <w:r w:rsidR="0058670F">
        <w:t xml:space="preserve">any new </w:t>
      </w:r>
      <w:r w:rsidR="00A0018A">
        <w:t xml:space="preserve">practical </w:t>
      </w:r>
      <w:r w:rsidR="000E5670">
        <w:t>polic</w:t>
      </w:r>
      <w:r w:rsidR="0058670F">
        <w:t>y</w:t>
      </w:r>
      <w:r w:rsidR="000E5670">
        <w:t xml:space="preserve">, </w:t>
      </w:r>
      <w:r w:rsidR="00A0018A">
        <w:t xml:space="preserve">regulatory and investment measures to create change </w:t>
      </w:r>
      <w:r w:rsidR="000E5670">
        <w:t>from</w:t>
      </w:r>
      <w:r>
        <w:t xml:space="preserve"> </w:t>
      </w:r>
      <w:r w:rsidR="00BF33A2">
        <w:t>Australian Government</w:t>
      </w:r>
      <w:r w:rsidR="000E5670">
        <w:t xml:space="preserve">, </w:t>
      </w:r>
      <w:r w:rsidR="00FC4624">
        <w:t>s</w:t>
      </w:r>
      <w:r w:rsidR="000E5670">
        <w:t xml:space="preserve">tates and </w:t>
      </w:r>
      <w:r w:rsidR="00FC4624">
        <w:t>t</w:t>
      </w:r>
      <w:r w:rsidR="001B6BE9">
        <w:t>erritories</w:t>
      </w:r>
      <w:r w:rsidR="000E5670">
        <w:t xml:space="preserve"> or local </w:t>
      </w:r>
      <w:r w:rsidR="00FC4624">
        <w:t>g</w:t>
      </w:r>
      <w:r w:rsidR="000E5670">
        <w:t xml:space="preserve">overnment.  </w:t>
      </w:r>
    </w:p>
    <w:p w14:paraId="2E85B707" w14:textId="3296E357" w:rsidR="00720FEF" w:rsidRDefault="000E5670" w:rsidP="00003D66">
      <w:pPr>
        <w:pStyle w:val="ListBullet"/>
      </w:pPr>
      <w:r>
        <w:t xml:space="preserve">The </w:t>
      </w:r>
      <w:r w:rsidR="00B65945">
        <w:t xml:space="preserve">next version of the Strategy </w:t>
      </w:r>
      <w:r w:rsidR="009C098C">
        <w:t xml:space="preserve">must contain concrete </w:t>
      </w:r>
      <w:r w:rsidR="00720FEF">
        <w:t xml:space="preserve">measures under each of the </w:t>
      </w:r>
      <w:r w:rsidR="009C098C">
        <w:t xml:space="preserve">six </w:t>
      </w:r>
      <w:r w:rsidR="00720FEF">
        <w:t>themes</w:t>
      </w:r>
      <w:r w:rsidR="009C098C">
        <w:t xml:space="preserve">. This </w:t>
      </w:r>
      <w:r w:rsidR="00E6710D">
        <w:t xml:space="preserve">should include action by the Australian Government and state and territory governments </w:t>
      </w:r>
      <w:r w:rsidR="007A12A2">
        <w:t xml:space="preserve">to </w:t>
      </w:r>
      <w:r w:rsidR="00720FEF">
        <w:t>model good practice in areas like public sector employment</w:t>
      </w:r>
      <w:r w:rsidR="00942EB7">
        <w:t xml:space="preserve">, Universal Housing Design </w:t>
      </w:r>
      <w:r w:rsidR="007A12A2">
        <w:t xml:space="preserve">and </w:t>
      </w:r>
      <w:r w:rsidR="00324FA4">
        <w:t xml:space="preserve">strengthening the enforcement </w:t>
      </w:r>
      <w:r w:rsidR="00FC1D3B">
        <w:t xml:space="preserve">powers of </w:t>
      </w:r>
      <w:r w:rsidR="005C3D24">
        <w:t xml:space="preserve">the </w:t>
      </w:r>
      <w:r w:rsidR="00324FA4" w:rsidRPr="00FC4624">
        <w:rPr>
          <w:rStyle w:val="Emphasis"/>
        </w:rPr>
        <w:t>Disability Discrimination Act 1992</w:t>
      </w:r>
      <w:r w:rsidR="00FC4624">
        <w:t xml:space="preserve"> (</w:t>
      </w:r>
      <w:proofErr w:type="spellStart"/>
      <w:r w:rsidR="00FC4624">
        <w:t>Cth</w:t>
      </w:r>
      <w:proofErr w:type="spellEnd"/>
      <w:r w:rsidR="00FC4624">
        <w:t>)</w:t>
      </w:r>
      <w:r w:rsidR="00324FA4">
        <w:t>.</w:t>
      </w:r>
      <w:r w:rsidR="00720FEF">
        <w:t xml:space="preserve">  </w:t>
      </w:r>
    </w:p>
    <w:p w14:paraId="2440B116" w14:textId="77777777" w:rsidR="00050005" w:rsidRDefault="007A12A2" w:rsidP="00003D66">
      <w:pPr>
        <w:pStyle w:val="ListBullet"/>
        <w:sectPr w:rsidR="00050005" w:rsidSect="003C6B4E">
          <w:footerReference w:type="even" r:id="rId17"/>
          <w:footerReference w:type="default" r:id="rId18"/>
          <w:pgSz w:w="11906" w:h="16838" w:code="9"/>
          <w:pgMar w:top="2835" w:right="1701" w:bottom="1418" w:left="3119" w:header="709" w:footer="709" w:gutter="0"/>
          <w:cols w:space="708"/>
          <w:titlePg/>
          <w:docGrid w:linePitch="360"/>
        </w:sectPr>
      </w:pPr>
      <w:r>
        <w:t>T</w:t>
      </w:r>
      <w:r w:rsidR="4D9B0DFF">
        <w:t xml:space="preserve">here is a disproportionate </w:t>
      </w:r>
      <w:r>
        <w:t xml:space="preserve">emphasis in the Position Paper </w:t>
      </w:r>
      <w:r w:rsidR="4D9B0DFF">
        <w:t>on attitudinal change</w:t>
      </w:r>
      <w:r w:rsidR="006B501D">
        <w:t xml:space="preserve"> to achieve outcomes. </w:t>
      </w:r>
      <w:r w:rsidR="00E3685D">
        <w:t xml:space="preserve">Evidence </w:t>
      </w:r>
    </w:p>
    <w:p w14:paraId="3E84F519" w14:textId="3BB4DAF5" w:rsidR="00FE2A8E" w:rsidRDefault="00E3685D" w:rsidP="00810D73">
      <w:pPr>
        <w:pStyle w:val="ListBullet"/>
        <w:numPr>
          <w:ilvl w:val="0"/>
          <w:numId w:val="0"/>
        </w:numPr>
        <w:ind w:left="567"/>
      </w:pPr>
      <w:r>
        <w:lastRenderedPageBreak/>
        <w:t>suggests that attitudinal change alone is insufficient</w:t>
      </w:r>
      <w:r w:rsidR="00FE2A8E">
        <w:t xml:space="preserve">. It must be accompanied by </w:t>
      </w:r>
      <w:r w:rsidR="00CD0F2B">
        <w:t xml:space="preserve">more tangible changes including changes to legal, regulatory, </w:t>
      </w:r>
      <w:proofErr w:type="gramStart"/>
      <w:r w:rsidR="00CD0F2B">
        <w:t>physical</w:t>
      </w:r>
      <w:proofErr w:type="gramEnd"/>
      <w:r w:rsidR="00CD0F2B">
        <w:t xml:space="preserve"> and digital infrastructure</w:t>
      </w:r>
      <w:r w:rsidR="4D9B0DFF">
        <w:t xml:space="preserve">. </w:t>
      </w:r>
    </w:p>
    <w:p w14:paraId="67862B8C" w14:textId="08B46906" w:rsidR="00D22433" w:rsidRDefault="00720FEF" w:rsidP="00003D66">
      <w:pPr>
        <w:pStyle w:val="ListBullet"/>
      </w:pPr>
      <w:r>
        <w:t xml:space="preserve">The </w:t>
      </w:r>
      <w:r w:rsidR="00FD09DD">
        <w:t>P</w:t>
      </w:r>
      <w:r>
        <w:t xml:space="preserve">osition </w:t>
      </w:r>
      <w:r w:rsidR="00FD09DD">
        <w:t>P</w:t>
      </w:r>
      <w:r>
        <w:t>aper does</w:t>
      </w:r>
      <w:r w:rsidR="00FE2A8E">
        <w:t xml:space="preserve"> </w:t>
      </w:r>
      <w:r>
        <w:t>n</w:t>
      </w:r>
      <w:r w:rsidR="00FE2A8E">
        <w:t>o</w:t>
      </w:r>
      <w:r>
        <w:t xml:space="preserve">t mention people with dual </w:t>
      </w:r>
      <w:r w:rsidR="000F73F1">
        <w:t xml:space="preserve">or multiple </w:t>
      </w:r>
      <w:proofErr w:type="gramStart"/>
      <w:r>
        <w:t>disadvantage</w:t>
      </w:r>
      <w:proofErr w:type="gramEnd"/>
      <w:r w:rsidR="000F73F1">
        <w:t>. It does not mention</w:t>
      </w:r>
      <w:r>
        <w:t xml:space="preserve"> Aboriginal and/or Torres Strait Islander people specifically </w:t>
      </w:r>
      <w:r w:rsidR="00A05CA9">
        <w:t xml:space="preserve">or </w:t>
      </w:r>
      <w:r w:rsidR="007F26DF">
        <w:t xml:space="preserve">discuss </w:t>
      </w:r>
      <w:r w:rsidR="00A05CA9">
        <w:t xml:space="preserve">links to </w:t>
      </w:r>
      <w:proofErr w:type="gramStart"/>
      <w:r w:rsidR="00A05CA9">
        <w:t>Closing</w:t>
      </w:r>
      <w:proofErr w:type="gramEnd"/>
      <w:r w:rsidR="00A05CA9">
        <w:t xml:space="preserve"> the Gap. </w:t>
      </w:r>
      <w:r w:rsidR="00FD09DD">
        <w:t xml:space="preserve">The Position Paper also does not </w:t>
      </w:r>
      <w:r w:rsidR="007F26DF">
        <w:t xml:space="preserve">discuss </w:t>
      </w:r>
      <w:r w:rsidR="00FD09DD">
        <w:t xml:space="preserve">links to </w:t>
      </w:r>
      <w:r w:rsidR="007F26DF">
        <w:t xml:space="preserve">any </w:t>
      </w:r>
      <w:r w:rsidR="00FD09DD">
        <w:t xml:space="preserve">other </w:t>
      </w:r>
      <w:r w:rsidR="00652535">
        <w:t>Australian</w:t>
      </w:r>
      <w:r w:rsidR="00D22433">
        <w:t xml:space="preserve"> Government </w:t>
      </w:r>
      <w:r w:rsidR="00FD09DD">
        <w:t xml:space="preserve">action plans or strategies. </w:t>
      </w:r>
    </w:p>
    <w:p w14:paraId="556E606E" w14:textId="77777777" w:rsidR="007F26DF" w:rsidRDefault="00720FEF" w:rsidP="00003D66">
      <w:pPr>
        <w:pStyle w:val="ListBullet"/>
      </w:pPr>
      <w:r>
        <w:t xml:space="preserve">The </w:t>
      </w:r>
      <w:r w:rsidR="00D22433">
        <w:t>P</w:t>
      </w:r>
      <w:r>
        <w:t xml:space="preserve">osition </w:t>
      </w:r>
      <w:r w:rsidR="00D22433">
        <w:t>P</w:t>
      </w:r>
      <w:r>
        <w:t xml:space="preserve">aper </w:t>
      </w:r>
      <w:r w:rsidR="00FC1D3B">
        <w:t>misses the opportunity to</w:t>
      </w:r>
      <w:r>
        <w:t xml:space="preserve"> articulate the role of local</w:t>
      </w:r>
      <w:r w:rsidR="00B65945">
        <w:t xml:space="preserve"> and </w:t>
      </w:r>
      <w:r>
        <w:t>municipal gov</w:t>
      </w:r>
      <w:r w:rsidR="00A05CA9">
        <w:t>ernment</w:t>
      </w:r>
      <w:r w:rsidR="007F26DF">
        <w:t>.</w:t>
      </w:r>
      <w:r w:rsidR="009C4DA0">
        <w:t xml:space="preserve"> </w:t>
      </w:r>
      <w:r w:rsidR="007F26DF">
        <w:t>T</w:t>
      </w:r>
      <w:r w:rsidR="009C4DA0">
        <w:t xml:space="preserve">his is a significant omission given </w:t>
      </w:r>
      <w:r w:rsidR="007F26DF">
        <w:t xml:space="preserve">that </w:t>
      </w:r>
      <w:r w:rsidR="009C4DA0">
        <w:t>themes require local government action</w:t>
      </w:r>
      <w:r w:rsidR="00AB6002">
        <w:t xml:space="preserve"> and investment to deliver strategy outcomes</w:t>
      </w:r>
      <w:r w:rsidR="009C4DA0">
        <w:t xml:space="preserve">.  </w:t>
      </w:r>
    </w:p>
    <w:p w14:paraId="48E7C529" w14:textId="77777777" w:rsidR="00951392" w:rsidRDefault="007F26DF" w:rsidP="00003D66">
      <w:pPr>
        <w:pStyle w:val="ListBullet"/>
      </w:pPr>
      <w:r>
        <w:t>T</w:t>
      </w:r>
      <w:r w:rsidR="00AB6002">
        <w:t>he</w:t>
      </w:r>
      <w:r w:rsidR="00720FEF">
        <w:t xml:space="preserve"> </w:t>
      </w:r>
      <w:r w:rsidR="00951392">
        <w:t>P</w:t>
      </w:r>
      <w:r w:rsidR="00720FEF">
        <w:t xml:space="preserve">osition </w:t>
      </w:r>
      <w:r w:rsidR="00951392">
        <w:t>P</w:t>
      </w:r>
      <w:r w:rsidR="00720FEF">
        <w:t>aper introduces confusion around the core remit of the N</w:t>
      </w:r>
      <w:r w:rsidR="00B65945">
        <w:t>ational Disability Strategy (N</w:t>
      </w:r>
      <w:r w:rsidR="00720FEF">
        <w:t>DS</w:t>
      </w:r>
      <w:r w:rsidR="00B65945">
        <w:t>)</w:t>
      </w:r>
      <w:r w:rsidR="00951392">
        <w:t xml:space="preserve">. It </w:t>
      </w:r>
      <w:r w:rsidR="00720FEF">
        <w:t xml:space="preserve">suggests the </w:t>
      </w:r>
      <w:r w:rsidR="00B65945">
        <w:t>National Disability Insurance Scheme</w:t>
      </w:r>
      <w:r w:rsidR="00732DEE">
        <w:t xml:space="preserve"> (NDIS)</w:t>
      </w:r>
      <w:r w:rsidR="00720FEF">
        <w:t xml:space="preserve"> is responsible and accountable for implementation of elements of the Strategy</w:t>
      </w:r>
      <w:r w:rsidR="00732DEE">
        <w:t xml:space="preserve">. </w:t>
      </w:r>
    </w:p>
    <w:p w14:paraId="43B11F2B" w14:textId="77777777" w:rsidR="00A52966" w:rsidRDefault="00732DEE" w:rsidP="00003D66">
      <w:pPr>
        <w:pStyle w:val="ListBullet"/>
      </w:pPr>
      <w:r>
        <w:t xml:space="preserve">This is highly problematic and contrary to the </w:t>
      </w:r>
      <w:r w:rsidR="00E8520B">
        <w:t xml:space="preserve">hitherto understood governance architecture for disability reform. </w:t>
      </w:r>
      <w:r w:rsidR="00E670CF">
        <w:t>The NDIS is primarily focused on one NDS stream</w:t>
      </w:r>
      <w:r w:rsidR="00951392">
        <w:t xml:space="preserve">. It is </w:t>
      </w:r>
      <w:r w:rsidR="00720FEF">
        <w:t xml:space="preserve">unclear how and why the NDIS would be </w:t>
      </w:r>
      <w:r w:rsidR="00A52966">
        <w:t xml:space="preserve">used </w:t>
      </w:r>
      <w:r w:rsidR="00720FEF">
        <w:t xml:space="preserve">to </w:t>
      </w:r>
      <w:r w:rsidR="007A3A63">
        <w:t xml:space="preserve">reform mainstream systems. Cross-over into </w:t>
      </w:r>
      <w:r w:rsidR="00E670CF">
        <w:t>mainstream</w:t>
      </w:r>
      <w:r w:rsidR="007A3A63">
        <w:t xml:space="preserve"> provision is intentionally prohibited by the NDIS Act</w:t>
      </w:r>
      <w:r w:rsidR="00720FEF">
        <w:t xml:space="preserve">.  </w:t>
      </w:r>
    </w:p>
    <w:p w14:paraId="4B832180" w14:textId="4F328F58" w:rsidR="00720FEF" w:rsidRDefault="319296B5" w:rsidP="00003D66">
      <w:pPr>
        <w:pStyle w:val="ListBullet"/>
      </w:pPr>
      <w:r>
        <w:t xml:space="preserve">The </w:t>
      </w:r>
      <w:r w:rsidR="297471A6">
        <w:t>position paper seems to be</w:t>
      </w:r>
      <w:r>
        <w:t xml:space="preserve"> </w:t>
      </w:r>
      <w:r w:rsidR="00A52966">
        <w:t xml:space="preserve">overly </w:t>
      </w:r>
      <w:r w:rsidR="00720FEF">
        <w:t xml:space="preserve">focused </w:t>
      </w:r>
      <w:r w:rsidR="006F500B">
        <w:t xml:space="preserve">on service reform </w:t>
      </w:r>
      <w:r w:rsidR="00720FEF">
        <w:t xml:space="preserve">rather than focused on physical and digital infrastructure, housing, incomes, employment, education attainment, rates of incarceration </w:t>
      </w:r>
      <w:r>
        <w:t xml:space="preserve">and systemic outcomes.  </w:t>
      </w:r>
    </w:p>
    <w:p w14:paraId="00A908DD" w14:textId="77777777" w:rsidR="00720FEF" w:rsidRPr="000F34A4" w:rsidRDefault="00720FEF" w:rsidP="001E00B5">
      <w:pPr>
        <w:pStyle w:val="Heading1"/>
      </w:pPr>
      <w:r w:rsidRPr="000F34A4">
        <w:t xml:space="preserve">Specific comments </w:t>
      </w:r>
    </w:p>
    <w:p w14:paraId="6FC5C632" w14:textId="77777777" w:rsidR="00720FEF" w:rsidRPr="001E00B5" w:rsidRDefault="00720FEF" w:rsidP="00B86D96">
      <w:pPr>
        <w:pStyle w:val="Heading2"/>
      </w:pPr>
      <w:r w:rsidRPr="001E00B5">
        <w:t xml:space="preserve">Guiding </w:t>
      </w:r>
      <w:r w:rsidRPr="00B86D96">
        <w:t>principles</w:t>
      </w:r>
    </w:p>
    <w:p w14:paraId="2E940397" w14:textId="16666A46" w:rsidR="00671AB9" w:rsidRDefault="00720FEF" w:rsidP="007C2EE9">
      <w:pPr>
        <w:pStyle w:val="BodyText"/>
        <w:ind w:right="-2"/>
      </w:pPr>
      <w:r>
        <w:t xml:space="preserve">The Guiding Principles </w:t>
      </w:r>
      <w:r w:rsidR="00B95F79">
        <w:t xml:space="preserve">overly emphasises </w:t>
      </w:r>
      <w:r w:rsidR="00583764">
        <w:t xml:space="preserve">the </w:t>
      </w:r>
      <w:r>
        <w:t xml:space="preserve">initiation and design phases with not enough </w:t>
      </w:r>
      <w:r w:rsidR="00E119BE">
        <w:t xml:space="preserve">focus </w:t>
      </w:r>
      <w:r>
        <w:t xml:space="preserve">on action, </w:t>
      </w:r>
      <w:proofErr w:type="gramStart"/>
      <w:r>
        <w:t>review</w:t>
      </w:r>
      <w:proofErr w:type="gramEnd"/>
      <w:r>
        <w:t xml:space="preserve"> and accountability.</w:t>
      </w:r>
    </w:p>
    <w:p w14:paraId="66333B46" w14:textId="5E1F2FCB" w:rsidR="00671AB9" w:rsidRDefault="009C1D8E" w:rsidP="009C1D8E">
      <w:pPr>
        <w:pStyle w:val="BodyText"/>
      </w:pPr>
      <w:r>
        <w:t>Further, t</w:t>
      </w:r>
      <w:r w:rsidR="004D3FE5">
        <w:t xml:space="preserve">here is little </w:t>
      </w:r>
      <w:r w:rsidR="00E119BE">
        <w:t xml:space="preserve">in the Position Paper on </w:t>
      </w:r>
      <w:r w:rsidR="00423BAB">
        <w:t xml:space="preserve">what </w:t>
      </w:r>
      <w:r w:rsidR="00E119BE">
        <w:t xml:space="preserve">empirical </w:t>
      </w:r>
      <w:r w:rsidR="00720FEF">
        <w:t xml:space="preserve">evidence </w:t>
      </w:r>
      <w:r w:rsidR="00423BAB">
        <w:t xml:space="preserve">is </w:t>
      </w:r>
      <w:r w:rsidR="00720FEF">
        <w:t>driving decisions or principles</w:t>
      </w:r>
      <w:r w:rsidR="00397207">
        <w:t>.</w:t>
      </w:r>
      <w:r w:rsidR="00423BAB">
        <w:t xml:space="preserve"> </w:t>
      </w:r>
    </w:p>
    <w:p w14:paraId="7B5E135D" w14:textId="5675E596" w:rsidR="00720FEF" w:rsidRDefault="1D237D5D" w:rsidP="009C1D8E">
      <w:pPr>
        <w:pStyle w:val="BodyText"/>
      </w:pPr>
      <w:r>
        <w:t>The Guiding Principles</w:t>
      </w:r>
      <w:r w:rsidR="00720FEF">
        <w:t xml:space="preserve"> still </w:t>
      </w:r>
      <w:r w:rsidR="00144A6B">
        <w:t>appear to be</w:t>
      </w:r>
      <w:r w:rsidR="00720FEF">
        <w:t xml:space="preserve"> top down. Involving and engaging is not the same as co-design or participation</w:t>
      </w:r>
      <w:r w:rsidR="00397207">
        <w:t xml:space="preserve">. The role of Disabled Peoples Organisations </w:t>
      </w:r>
      <w:r w:rsidR="004D3FE5">
        <w:t xml:space="preserve">across the Strategy </w:t>
      </w:r>
      <w:r w:rsidR="00397207">
        <w:t xml:space="preserve">is unclear.  </w:t>
      </w:r>
    </w:p>
    <w:p w14:paraId="6319E226" w14:textId="77777777" w:rsidR="00720FEF" w:rsidRPr="001E00B5" w:rsidRDefault="00720FEF" w:rsidP="00B86D96">
      <w:pPr>
        <w:pStyle w:val="Heading2"/>
      </w:pPr>
      <w:r w:rsidRPr="001E00B5">
        <w:t>Increased focus on community attitudes</w:t>
      </w:r>
    </w:p>
    <w:p w14:paraId="1E1749F4" w14:textId="6EDDF37C" w:rsidR="00666F9A" w:rsidRDefault="00144A6B" w:rsidP="009C1D8E">
      <w:pPr>
        <w:pStyle w:val="BodyText"/>
      </w:pPr>
      <w:r>
        <w:t xml:space="preserve">The Strategy position paper </w:t>
      </w:r>
      <w:r w:rsidR="00171979">
        <w:t>indicates there is a</w:t>
      </w:r>
      <w:r w:rsidR="00171979" w:rsidRPr="00171979">
        <w:t xml:space="preserve"> </w:t>
      </w:r>
      <w:r w:rsidR="00666F9A" w:rsidRPr="00B86D96">
        <w:t>‘</w:t>
      </w:r>
      <w:r w:rsidR="00171979" w:rsidRPr="00B86D96">
        <w:t xml:space="preserve">proposal for the new Strategy to have a stronger emphasis on improving community attitudes across all outcome </w:t>
      </w:r>
      <w:proofErr w:type="gramStart"/>
      <w:r w:rsidR="00171979" w:rsidRPr="00B86D96">
        <w:t>areas</w:t>
      </w:r>
      <w:r w:rsidR="00666F9A" w:rsidRPr="00B86D96">
        <w:t>’</w:t>
      </w:r>
      <w:proofErr w:type="gramEnd"/>
      <w:r w:rsidR="00B86D96">
        <w:t>.</w:t>
      </w:r>
      <w:r w:rsidR="00D15B62" w:rsidRPr="00B86D96">
        <w:rPr>
          <w:rStyle w:val="FootnoteReference"/>
        </w:rPr>
        <w:footnoteReference w:id="2"/>
      </w:r>
      <w:r w:rsidR="00666F9A">
        <w:t xml:space="preserve">  </w:t>
      </w:r>
    </w:p>
    <w:p w14:paraId="611ECD5C" w14:textId="77777777" w:rsidR="0035213E" w:rsidRDefault="00666F9A" w:rsidP="009C1D8E">
      <w:pPr>
        <w:pStyle w:val="BodyText"/>
      </w:pPr>
      <w:r>
        <w:t xml:space="preserve">We </w:t>
      </w:r>
      <w:r w:rsidR="006C1522">
        <w:t xml:space="preserve">question the </w:t>
      </w:r>
      <w:r>
        <w:t>level of emphasis</w:t>
      </w:r>
      <w:r w:rsidR="00B43F8F">
        <w:t xml:space="preserve"> placed on ‘attitudes’ alone</w:t>
      </w:r>
      <w:r>
        <w:t>.</w:t>
      </w:r>
      <w:r w:rsidR="00264997">
        <w:t xml:space="preserve"> The point of changing attitudes is t</w:t>
      </w:r>
      <w:r w:rsidR="0035213E">
        <w:t>o</w:t>
      </w:r>
      <w:r w:rsidR="00264997">
        <w:t xml:space="preserve"> ensure that tangible changes are made to the legal, </w:t>
      </w:r>
      <w:r w:rsidR="00F723E8">
        <w:lastRenderedPageBreak/>
        <w:t xml:space="preserve">regulatory, </w:t>
      </w:r>
      <w:proofErr w:type="gramStart"/>
      <w:r w:rsidR="00F723E8">
        <w:t>physical</w:t>
      </w:r>
      <w:proofErr w:type="gramEnd"/>
      <w:r w:rsidR="00F723E8">
        <w:t xml:space="preserve"> and digital structures that cause disadvantage. Evidence shows that the failure to incorporate human rights principles into decision making combined with poor incomes and </w:t>
      </w:r>
      <w:r w:rsidR="0035213E">
        <w:t xml:space="preserve">other structural barriers to </w:t>
      </w:r>
      <w:r w:rsidR="69064DAA">
        <w:t>goods and services</w:t>
      </w:r>
      <w:r w:rsidR="0035213E">
        <w:t xml:space="preserve"> are the main drivers of disadvantage and exclusion. </w:t>
      </w:r>
    </w:p>
    <w:p w14:paraId="65E5A191" w14:textId="77777777" w:rsidR="00ED0F17" w:rsidRDefault="00720FEF" w:rsidP="009C1D8E">
      <w:pPr>
        <w:pStyle w:val="BodyText"/>
      </w:pPr>
      <w:r>
        <w:t xml:space="preserve">The NDIS reforms and the Disability Royal Commission mean that people are arguably more ‘aware’ of disability than at any time in the past 50 years. The problem is that this has not translated into structural change, altered </w:t>
      </w:r>
      <w:proofErr w:type="gramStart"/>
      <w:r>
        <w:t>behaviours</w:t>
      </w:r>
      <w:proofErr w:type="gramEnd"/>
      <w:r>
        <w:t xml:space="preserve"> and changed investment decisions.  </w:t>
      </w:r>
    </w:p>
    <w:p w14:paraId="3F95C43A" w14:textId="6C39AFDE" w:rsidR="00720FEF" w:rsidRDefault="00E60F5B" w:rsidP="009C1D8E">
      <w:pPr>
        <w:pStyle w:val="BodyText"/>
      </w:pPr>
      <w:r>
        <w:t xml:space="preserve">There is also a lack of evidence about the effectiveness of </w:t>
      </w:r>
      <w:r w:rsidR="00355A92">
        <w:t>attitudinal</w:t>
      </w:r>
      <w:r w:rsidR="00067AF1">
        <w:t xml:space="preserve"> change work</w:t>
      </w:r>
      <w:r w:rsidR="00ED0F17">
        <w:t xml:space="preserve">. Further, </w:t>
      </w:r>
      <w:r w:rsidR="00067AF1">
        <w:t xml:space="preserve">the </w:t>
      </w:r>
      <w:r w:rsidR="00ED0F17">
        <w:t>P</w:t>
      </w:r>
      <w:r w:rsidR="00067AF1">
        <w:t xml:space="preserve">osition </w:t>
      </w:r>
      <w:r w:rsidR="00ED0F17">
        <w:t>P</w:t>
      </w:r>
      <w:r w:rsidR="00067AF1">
        <w:t xml:space="preserve">aper does not </w:t>
      </w:r>
      <w:r w:rsidR="00ED0F17">
        <w:t xml:space="preserve">explain </w:t>
      </w:r>
      <w:r w:rsidR="00067AF1">
        <w:t xml:space="preserve">how </w:t>
      </w:r>
      <w:r w:rsidR="00B27F99">
        <w:t xml:space="preserve">outcomes resulting from attitudinal change </w:t>
      </w:r>
      <w:r w:rsidR="00067AF1">
        <w:t xml:space="preserve">will be measured and </w:t>
      </w:r>
      <w:r w:rsidR="0004050D">
        <w:t xml:space="preserve">tracked. </w:t>
      </w:r>
    </w:p>
    <w:p w14:paraId="6F95C4E7" w14:textId="77777777" w:rsidR="00720FEF" w:rsidRPr="001E00B5" w:rsidRDefault="00720FEF" w:rsidP="00B86D96">
      <w:pPr>
        <w:pStyle w:val="Heading2"/>
      </w:pPr>
      <w:r w:rsidRPr="001E00B5">
        <w:t>Strengthening accountability</w:t>
      </w:r>
    </w:p>
    <w:p w14:paraId="0BC49918" w14:textId="7E70905A" w:rsidR="00A06AA3" w:rsidRDefault="4CE1FB8B" w:rsidP="00720FEF">
      <w:pPr>
        <w:pStyle w:val="BodyText"/>
      </w:pPr>
      <w:r>
        <w:t xml:space="preserve">The </w:t>
      </w:r>
      <w:r w:rsidR="00CC2E0F">
        <w:t>P</w:t>
      </w:r>
      <w:r>
        <w:t xml:space="preserve">osition </w:t>
      </w:r>
      <w:r w:rsidR="00CC2E0F">
        <w:t>P</w:t>
      </w:r>
      <w:r>
        <w:t xml:space="preserve">aper </w:t>
      </w:r>
      <w:r w:rsidR="00CC2E0F">
        <w:t xml:space="preserve">discusses </w:t>
      </w:r>
      <w:r>
        <w:t xml:space="preserve">strengthened areas of </w:t>
      </w:r>
      <w:r w:rsidR="6A12286F">
        <w:t>accountability</w:t>
      </w:r>
      <w:r w:rsidR="000D2C1D">
        <w:t xml:space="preserve">. </w:t>
      </w:r>
    </w:p>
    <w:p w14:paraId="34315AEE" w14:textId="2A7C982E" w:rsidR="00A06AA3" w:rsidRDefault="5C548FBD" w:rsidP="00A06AA3">
      <w:pPr>
        <w:pStyle w:val="BodyText"/>
      </w:pPr>
      <w:r>
        <w:t>It</w:t>
      </w:r>
      <w:r w:rsidR="00CC2E0F">
        <w:t xml:space="preserve"> i</w:t>
      </w:r>
      <w:r>
        <w:t xml:space="preserve">s unclear why the </w:t>
      </w:r>
      <w:r w:rsidR="00CC2E0F">
        <w:t>P</w:t>
      </w:r>
      <w:r>
        <w:t xml:space="preserve">osition </w:t>
      </w:r>
      <w:r w:rsidR="00CC2E0F">
        <w:t>P</w:t>
      </w:r>
      <w:r>
        <w:t>aper is focused on not</w:t>
      </w:r>
      <w:r w:rsidR="1FF082EB">
        <w:t>-</w:t>
      </w:r>
      <w:r>
        <w:t>for</w:t>
      </w:r>
      <w:r w:rsidR="77299F5D">
        <w:t>-</w:t>
      </w:r>
      <w:r>
        <w:t>profits and disability</w:t>
      </w:r>
      <w:r w:rsidR="7AB9BF15">
        <w:t>-</w:t>
      </w:r>
      <w:r>
        <w:t xml:space="preserve">specific services when the </w:t>
      </w:r>
      <w:r w:rsidR="000D2C1D">
        <w:t xml:space="preserve">National Disability Strategy is </w:t>
      </w:r>
      <w:r>
        <w:t xml:space="preserve">about </w:t>
      </w:r>
      <w:r w:rsidRPr="000D2C1D">
        <w:rPr>
          <w:i/>
          <w:iCs/>
        </w:rPr>
        <w:t>mainstream change</w:t>
      </w:r>
      <w:r>
        <w:t>.</w:t>
      </w:r>
    </w:p>
    <w:p w14:paraId="5FAFB7F8" w14:textId="5D89CFA3" w:rsidR="00720FEF" w:rsidRDefault="00FE203D" w:rsidP="00720FEF">
      <w:pPr>
        <w:pStyle w:val="BodyText"/>
      </w:pPr>
      <w:r>
        <w:t>T</w:t>
      </w:r>
      <w:r w:rsidR="5C548FBD">
        <w:t>he position paper says</w:t>
      </w:r>
      <w:r w:rsidR="5EC367A5">
        <w:t xml:space="preserve"> very little about some key mainstream areas </w:t>
      </w:r>
      <w:r w:rsidR="7812197A">
        <w:t xml:space="preserve">which present barriers for people with disabilities </w:t>
      </w:r>
      <w:r w:rsidR="5EC367A5">
        <w:t>– for instance</w:t>
      </w:r>
      <w:r w:rsidR="00F5493E">
        <w:t>,</w:t>
      </w:r>
      <w:r w:rsidR="5EC367A5">
        <w:t xml:space="preserve"> how</w:t>
      </w:r>
      <w:r w:rsidR="00720FEF">
        <w:t xml:space="preserve"> the </w:t>
      </w:r>
      <w:r>
        <w:t xml:space="preserve">NDS </w:t>
      </w:r>
      <w:r w:rsidR="00720FEF">
        <w:t xml:space="preserve">will </w:t>
      </w:r>
      <w:r>
        <w:t xml:space="preserve">improve </w:t>
      </w:r>
      <w:r w:rsidR="00720FEF">
        <w:t>physical and digital infrastructure</w:t>
      </w:r>
      <w:r w:rsidR="5EC367A5">
        <w:t xml:space="preserve">.  </w:t>
      </w:r>
    </w:p>
    <w:p w14:paraId="4F29CE1D" w14:textId="77777777" w:rsidR="00720FEF" w:rsidRPr="001E00B5" w:rsidRDefault="00720FEF" w:rsidP="00B86D96">
      <w:pPr>
        <w:pStyle w:val="Heading2"/>
      </w:pPr>
      <w:r w:rsidRPr="001E00B5">
        <w:t>Clarifying roles and responsibilities</w:t>
      </w:r>
    </w:p>
    <w:p w14:paraId="11D50B60" w14:textId="41FB95F9" w:rsidR="00720FEF" w:rsidRDefault="0029493F" w:rsidP="00720FEF">
      <w:pPr>
        <w:pStyle w:val="BodyText"/>
      </w:pPr>
      <w:r>
        <w:t>Page 8 of the P</w:t>
      </w:r>
      <w:r w:rsidR="194DBEA0">
        <w:t>osition</w:t>
      </w:r>
      <w:r w:rsidR="69A5C8E4">
        <w:t xml:space="preserve"> </w:t>
      </w:r>
      <w:r>
        <w:t>P</w:t>
      </w:r>
      <w:r w:rsidR="69A5C8E4">
        <w:t xml:space="preserve">aper </w:t>
      </w:r>
      <w:r>
        <w:t>calls for an improved Strategy to ‘</w:t>
      </w:r>
      <w:r w:rsidR="17992DC9">
        <w:t xml:space="preserve">clarify </w:t>
      </w:r>
      <w:r w:rsidR="00345BA7">
        <w:t>the roles and responsibilities of various levels of government in disability policy and service delivery’</w:t>
      </w:r>
      <w:r w:rsidR="17992DC9">
        <w:t>.</w:t>
      </w:r>
      <w:r w:rsidR="39EFA262">
        <w:t xml:space="preserve"> </w:t>
      </w:r>
      <w:r w:rsidR="17992DC9">
        <w:t xml:space="preserve">ACTCOSS agrees this is </w:t>
      </w:r>
      <w:r w:rsidR="24B756B0">
        <w:t>important</w:t>
      </w:r>
      <w:r w:rsidR="0071022B">
        <w:t xml:space="preserve">. However, </w:t>
      </w:r>
      <w:r w:rsidR="67DE3ADA">
        <w:t>the</w:t>
      </w:r>
      <w:r w:rsidR="00720FEF">
        <w:t xml:space="preserve"> task </w:t>
      </w:r>
      <w:r w:rsidR="0071022B">
        <w:t xml:space="preserve">must </w:t>
      </w:r>
      <w:r w:rsidR="00720FEF">
        <w:t>go beyond clarifying roles and responsibilities</w:t>
      </w:r>
      <w:r w:rsidR="0071022B">
        <w:t xml:space="preserve">. We need to </w:t>
      </w:r>
      <w:r w:rsidR="007A5D11">
        <w:t xml:space="preserve">be told </w:t>
      </w:r>
      <w:r w:rsidR="00272CA0">
        <w:t xml:space="preserve">how activities, </w:t>
      </w:r>
      <w:proofErr w:type="gramStart"/>
      <w:r w:rsidR="00272CA0">
        <w:t>roles</w:t>
      </w:r>
      <w:proofErr w:type="gramEnd"/>
      <w:r w:rsidR="00272CA0">
        <w:t xml:space="preserve"> and responsibilities </w:t>
      </w:r>
      <w:r w:rsidR="008A743E">
        <w:t xml:space="preserve">at the various levels of government </w:t>
      </w:r>
      <w:r w:rsidR="00272CA0">
        <w:t>are</w:t>
      </w:r>
      <w:r w:rsidR="00DA2F60">
        <w:t>, for example,</w:t>
      </w:r>
      <w:r w:rsidR="00272CA0">
        <w:t xml:space="preserve"> </w:t>
      </w:r>
      <w:r w:rsidR="0069524D">
        <w:t xml:space="preserve">to be </w:t>
      </w:r>
      <w:r w:rsidR="008A743E">
        <w:t>monitored</w:t>
      </w:r>
      <w:r w:rsidR="00272CA0">
        <w:t xml:space="preserve">, </w:t>
      </w:r>
      <w:r w:rsidR="00720FEF">
        <w:t>prompted, regulated</w:t>
      </w:r>
      <w:r w:rsidR="00DA2F60">
        <w:t xml:space="preserve"> and </w:t>
      </w:r>
      <w:r w:rsidR="00720FEF">
        <w:t>incentivise</w:t>
      </w:r>
      <w:r w:rsidR="00DA2F60">
        <w:t>d</w:t>
      </w:r>
      <w:r w:rsidR="00272CA0">
        <w:t xml:space="preserve">. </w:t>
      </w:r>
    </w:p>
    <w:p w14:paraId="23E90B09" w14:textId="1CCE0210" w:rsidR="004A6726" w:rsidRPr="00D10795" w:rsidRDefault="004A6726" w:rsidP="00B86D96">
      <w:pPr>
        <w:pStyle w:val="Heading2"/>
      </w:pPr>
      <w:r w:rsidRPr="00D10795">
        <w:t xml:space="preserve">Roles of the </w:t>
      </w:r>
      <w:r w:rsidR="001E00B5">
        <w:t>n</w:t>
      </w:r>
      <w:r w:rsidRPr="00D10795">
        <w:t>on</w:t>
      </w:r>
      <w:r w:rsidR="001E00B5">
        <w:t>-g</w:t>
      </w:r>
      <w:r w:rsidRPr="00D10795">
        <w:t xml:space="preserve">overnment </w:t>
      </w:r>
      <w:r w:rsidR="001E00B5">
        <w:t>s</w:t>
      </w:r>
      <w:r w:rsidRPr="00D10795">
        <w:t>ector</w:t>
      </w:r>
    </w:p>
    <w:p w14:paraId="35221760" w14:textId="2301CEE4" w:rsidR="00720FEF" w:rsidRDefault="004A6726" w:rsidP="00720FEF">
      <w:pPr>
        <w:pStyle w:val="BodyText"/>
      </w:pPr>
      <w:r>
        <w:t xml:space="preserve">ACTCOSS agrees </w:t>
      </w:r>
      <w:r w:rsidR="001E2CE5">
        <w:t>the non</w:t>
      </w:r>
      <w:r w:rsidR="001E00B5">
        <w:t>-g</w:t>
      </w:r>
      <w:r w:rsidR="001E2CE5">
        <w:t xml:space="preserve">overnment sector has a role in achieving the </w:t>
      </w:r>
      <w:r w:rsidR="0022413A">
        <w:t xml:space="preserve">NDS </w:t>
      </w:r>
      <w:r w:rsidR="001E2CE5">
        <w:t>themes</w:t>
      </w:r>
      <w:r w:rsidR="00DF0F6D">
        <w:t xml:space="preserve">. However, it must also examine the challenges faced by the not-for-profit sector </w:t>
      </w:r>
      <w:r w:rsidR="001F09CD">
        <w:t>in improving outcomes for people with disability</w:t>
      </w:r>
      <w:r w:rsidR="00722BB6">
        <w:t>,</w:t>
      </w:r>
      <w:r w:rsidR="001F09CD">
        <w:t xml:space="preserve"> for example, chronic underfunding and poor </w:t>
      </w:r>
      <w:r w:rsidR="00FE4AE2">
        <w:t xml:space="preserve">commissioning and procurement processes. </w:t>
      </w:r>
    </w:p>
    <w:p w14:paraId="77E78BDF" w14:textId="77777777" w:rsidR="00720FEF" w:rsidRDefault="00720FEF" w:rsidP="00B86D96">
      <w:pPr>
        <w:pStyle w:val="Heading2"/>
      </w:pPr>
      <w:r>
        <w:t xml:space="preserve">Reporting </w:t>
      </w:r>
    </w:p>
    <w:p w14:paraId="158CDFCD" w14:textId="446AF550" w:rsidR="00720FEF" w:rsidRDefault="008E29C6" w:rsidP="00720FEF">
      <w:pPr>
        <w:pStyle w:val="BodyText"/>
      </w:pPr>
      <w:r>
        <w:t xml:space="preserve">We agree that reporting and accountability need to be strengthened and support </w:t>
      </w:r>
      <w:r w:rsidR="00BB683A">
        <w:t>outcome</w:t>
      </w:r>
      <w:r w:rsidR="00845C5A">
        <w:t>s</w:t>
      </w:r>
      <w:r w:rsidR="00BB683A">
        <w:t>-based</w:t>
      </w:r>
      <w:r w:rsidR="00720FEF">
        <w:t xml:space="preserve"> </w:t>
      </w:r>
      <w:r>
        <w:t>reporting.</w:t>
      </w:r>
      <w:r w:rsidR="00BB683A">
        <w:t xml:space="preserve"> </w:t>
      </w:r>
      <w:r>
        <w:t>This should be s</w:t>
      </w:r>
      <w:r w:rsidR="00720FEF">
        <w:t>pecific</w:t>
      </w:r>
      <w:r>
        <w:t xml:space="preserve">, </w:t>
      </w:r>
      <w:r w:rsidR="00C10F26">
        <w:t>measurable</w:t>
      </w:r>
      <w:r w:rsidR="00720FEF">
        <w:t xml:space="preserve"> </w:t>
      </w:r>
      <w:r>
        <w:t xml:space="preserve">and </w:t>
      </w:r>
      <w:r w:rsidR="00FE4AE2">
        <w:t xml:space="preserve">use </w:t>
      </w:r>
      <w:r w:rsidR="00720FEF">
        <w:t>external</w:t>
      </w:r>
      <w:r w:rsidR="005C42E2">
        <w:t xml:space="preserve">, </w:t>
      </w:r>
      <w:proofErr w:type="gramStart"/>
      <w:r w:rsidR="005C42E2">
        <w:t>trusted</w:t>
      </w:r>
      <w:proofErr w:type="gramEnd"/>
      <w:r w:rsidR="005C42E2">
        <w:t xml:space="preserve"> and verifiable</w:t>
      </w:r>
      <w:r w:rsidR="00720FEF">
        <w:t xml:space="preserve"> data sources</w:t>
      </w:r>
      <w:r w:rsidR="00FE4AE2">
        <w:t>.</w:t>
      </w:r>
    </w:p>
    <w:p w14:paraId="58728234" w14:textId="77777777" w:rsidR="00720FEF" w:rsidRDefault="00720FEF" w:rsidP="00B86D96">
      <w:pPr>
        <w:pStyle w:val="Heading2"/>
      </w:pPr>
      <w:r>
        <w:t xml:space="preserve">Collecting data </w:t>
      </w:r>
    </w:p>
    <w:p w14:paraId="3BF9F0B7" w14:textId="17FA0BE1" w:rsidR="00720FEF" w:rsidRDefault="00D643E3" w:rsidP="00720FEF">
      <w:pPr>
        <w:pStyle w:val="BodyText"/>
      </w:pPr>
      <w:r>
        <w:t xml:space="preserve">ACTCOSS believes </w:t>
      </w:r>
      <w:r w:rsidR="005C42E2">
        <w:t xml:space="preserve">the NDS </w:t>
      </w:r>
      <w:r w:rsidR="00F938A8">
        <w:t>progress needs to be assessed against a</w:t>
      </w:r>
      <w:r w:rsidR="00720FEF">
        <w:t>greed publicly available markers of progress and wellbeing</w:t>
      </w:r>
      <w:r w:rsidR="00F938A8">
        <w:t xml:space="preserve"> for people with disability. This should be available in an open source format and include indicators like:</w:t>
      </w:r>
    </w:p>
    <w:p w14:paraId="7E945E90" w14:textId="59047822" w:rsidR="00720FEF" w:rsidRDefault="00720FEF" w:rsidP="001E00B5">
      <w:pPr>
        <w:pStyle w:val="ListBullet"/>
      </w:pPr>
      <w:r>
        <w:t>N</w:t>
      </w:r>
      <w:r w:rsidR="00F938A8">
        <w:t>umbers</w:t>
      </w:r>
      <w:r>
        <w:t xml:space="preserve"> of people in inclusive education </w:t>
      </w:r>
    </w:p>
    <w:p w14:paraId="1CFCC276" w14:textId="3817DA85" w:rsidR="00720FEF" w:rsidRDefault="00720FEF" w:rsidP="001E00B5">
      <w:pPr>
        <w:pStyle w:val="ListBullet"/>
      </w:pPr>
      <w:r>
        <w:lastRenderedPageBreak/>
        <w:t xml:space="preserve">Health outcomes (general wellbeing – available mortality) </w:t>
      </w:r>
    </w:p>
    <w:p w14:paraId="27BCDDFE" w14:textId="23382A30" w:rsidR="00720FEF" w:rsidRDefault="00487E8E" w:rsidP="001E00B5">
      <w:pPr>
        <w:pStyle w:val="ListBullet"/>
      </w:pPr>
      <w:r>
        <w:t>Percentage</w:t>
      </w:r>
      <w:r w:rsidR="00720FEF">
        <w:t xml:space="preserve"> of </w:t>
      </w:r>
      <w:r w:rsidR="005C42E2">
        <w:t xml:space="preserve">houses built to </w:t>
      </w:r>
      <w:r w:rsidR="00405DD0">
        <w:t>U</w:t>
      </w:r>
      <w:r w:rsidR="00720FEF">
        <w:t xml:space="preserve">niversal </w:t>
      </w:r>
      <w:r w:rsidR="00405DD0">
        <w:t>H</w:t>
      </w:r>
      <w:r w:rsidR="00720FEF">
        <w:t xml:space="preserve">ousing </w:t>
      </w:r>
      <w:r w:rsidR="00405DD0">
        <w:t>D</w:t>
      </w:r>
      <w:r w:rsidR="00720FEF">
        <w:t xml:space="preserve">esign </w:t>
      </w:r>
      <w:r w:rsidR="005C42E2">
        <w:t>standards</w:t>
      </w:r>
    </w:p>
    <w:p w14:paraId="139D2ACC" w14:textId="49D40E48" w:rsidR="00720FEF" w:rsidRDefault="00720FEF" w:rsidP="001E00B5">
      <w:pPr>
        <w:pStyle w:val="ListBullet"/>
      </w:pPr>
      <w:r>
        <w:t>Take up of access standard</w:t>
      </w:r>
      <w:r w:rsidR="00DB2420">
        <w:t>s in planning process</w:t>
      </w:r>
      <w:r w:rsidR="00661B57">
        <w:t>es</w:t>
      </w:r>
      <w:r w:rsidR="00DB2420">
        <w:t xml:space="preserve"> and buildings</w:t>
      </w:r>
      <w:r>
        <w:t xml:space="preserve"> </w:t>
      </w:r>
    </w:p>
    <w:p w14:paraId="0F7F9F91" w14:textId="1C5D1BCA" w:rsidR="00720FEF" w:rsidRDefault="00720FEF" w:rsidP="001E00B5">
      <w:pPr>
        <w:pStyle w:val="ListBullet"/>
      </w:pPr>
      <w:r>
        <w:t>Decline</w:t>
      </w:r>
      <w:r w:rsidR="00DB2420">
        <w:t>s</w:t>
      </w:r>
      <w:r>
        <w:t xml:space="preserve"> in incarceration, child removals </w:t>
      </w:r>
      <w:r w:rsidR="00DB2420">
        <w:t>and justice system contacts</w:t>
      </w:r>
      <w:r w:rsidR="00C10F26">
        <w:t>.</w:t>
      </w:r>
    </w:p>
    <w:p w14:paraId="0A6B71A2" w14:textId="354EBCFE" w:rsidR="00F938A8" w:rsidRDefault="00F938A8" w:rsidP="00720FEF">
      <w:pPr>
        <w:pStyle w:val="BodyText"/>
      </w:pPr>
      <w:r>
        <w:t>Indicators being assembled for the ACT Well</w:t>
      </w:r>
      <w:r w:rsidR="00B769C7">
        <w:t>b</w:t>
      </w:r>
      <w:r>
        <w:t>eing Framework could be a useful model for this kind of</w:t>
      </w:r>
      <w:r w:rsidR="00A14473">
        <w:t xml:space="preserve"> reporting.</w:t>
      </w:r>
    </w:p>
    <w:p w14:paraId="34557D84" w14:textId="23DD31D4" w:rsidR="00FC7C6D" w:rsidRDefault="00FC7C6D" w:rsidP="00720FEF">
      <w:pPr>
        <w:pStyle w:val="BodyText"/>
      </w:pPr>
      <w:r>
        <w:t>As we noted in our 2017 submission</w:t>
      </w:r>
      <w:r w:rsidR="00286B68">
        <w:t>,</w:t>
      </w:r>
      <w:r>
        <w:t xml:space="preserve"> </w:t>
      </w:r>
      <w:r w:rsidR="006B0AB2">
        <w:t xml:space="preserve">deliberative processes could be useful in a qualitative evaluation. For </w:t>
      </w:r>
      <w:r w:rsidR="00942EB7">
        <w:t>instance,</w:t>
      </w:r>
      <w:r w:rsidR="006B0AB2">
        <w:t xml:space="preserve"> a citizens</w:t>
      </w:r>
      <w:r w:rsidR="00787EC7">
        <w:t>’</w:t>
      </w:r>
      <w:r w:rsidR="006B0AB2">
        <w:t xml:space="preserve"> panel involving people with disability as expert witnesses could be a good way of aggregating</w:t>
      </w:r>
      <w:r w:rsidR="004A6057">
        <w:t xml:space="preserve">, </w:t>
      </w:r>
      <w:proofErr w:type="gramStart"/>
      <w:r w:rsidR="004A6057">
        <w:t>synthesising</w:t>
      </w:r>
      <w:proofErr w:type="gramEnd"/>
      <w:r w:rsidR="004A6057">
        <w:t xml:space="preserve"> and developing a scorecard on progress towards </w:t>
      </w:r>
      <w:r w:rsidR="00D643E3">
        <w:t xml:space="preserve">outcomes under the </w:t>
      </w:r>
      <w:r w:rsidR="004A6057">
        <w:t xml:space="preserve">Strategy </w:t>
      </w:r>
      <w:r w:rsidR="00D643E3">
        <w:t>themes.</w:t>
      </w:r>
    </w:p>
    <w:p w14:paraId="2E192DC8" w14:textId="77D44C1A" w:rsidR="00720FEF" w:rsidRPr="00C10F26" w:rsidRDefault="00720FEF" w:rsidP="00B86D96">
      <w:pPr>
        <w:pStyle w:val="Heading2"/>
      </w:pPr>
      <w:r w:rsidRPr="00C10F26">
        <w:t xml:space="preserve">Evaluating </w:t>
      </w:r>
      <w:r w:rsidR="00B86D96">
        <w:t>p</w:t>
      </w:r>
      <w:r w:rsidRPr="00C10F26">
        <w:t xml:space="preserve">olicy and </w:t>
      </w:r>
      <w:r w:rsidR="00B86D96">
        <w:t>p</w:t>
      </w:r>
      <w:r w:rsidRPr="00C10F26">
        <w:t xml:space="preserve">rograms </w:t>
      </w:r>
    </w:p>
    <w:p w14:paraId="16FE1CAA" w14:textId="67D9BA96" w:rsidR="00720FEF" w:rsidRDefault="00720FEF" w:rsidP="00720FEF">
      <w:pPr>
        <w:pStyle w:val="BodyText"/>
      </w:pPr>
      <w:r>
        <w:t>The commitment to undertake policy and program evaluations sounds positive</w:t>
      </w:r>
      <w:r w:rsidR="00DC4003">
        <w:t>.</w:t>
      </w:r>
    </w:p>
    <w:p w14:paraId="2D9E526B" w14:textId="7819BEB0" w:rsidR="00720FEF" w:rsidRPr="00C10F26" w:rsidRDefault="00720FEF" w:rsidP="00B86D96">
      <w:pPr>
        <w:pStyle w:val="Heading2"/>
      </w:pPr>
      <w:r w:rsidRPr="00C10F26">
        <w:t xml:space="preserve">Putting </w:t>
      </w:r>
      <w:r w:rsidR="00B86D96">
        <w:t>p</w:t>
      </w:r>
      <w:r w:rsidRPr="00C10F26">
        <w:t xml:space="preserve">olicy into action </w:t>
      </w:r>
    </w:p>
    <w:p w14:paraId="67885364" w14:textId="77777777" w:rsidR="00A14473" w:rsidRDefault="00A14473" w:rsidP="00720FEF">
      <w:pPr>
        <w:pStyle w:val="BodyText"/>
      </w:pPr>
      <w:r>
        <w:t>ACTCOSS offers cautious</w:t>
      </w:r>
      <w:r w:rsidR="00720FEF">
        <w:t xml:space="preserve"> support for the move away from implementation plans to </w:t>
      </w:r>
      <w:proofErr w:type="gramStart"/>
      <w:r w:rsidR="00720FEF">
        <w:t>targeted</w:t>
      </w:r>
      <w:proofErr w:type="gramEnd"/>
      <w:r w:rsidR="00720FEF">
        <w:t xml:space="preserve"> action plans and engagement plans.  </w:t>
      </w:r>
    </w:p>
    <w:p w14:paraId="2DCC903D" w14:textId="1FDB94D2" w:rsidR="00720FEF" w:rsidRDefault="00A14473" w:rsidP="00720FEF">
      <w:pPr>
        <w:pStyle w:val="BodyText"/>
      </w:pPr>
      <w:r>
        <w:t>However</w:t>
      </w:r>
      <w:r w:rsidR="00985CD4">
        <w:t>,</w:t>
      </w:r>
      <w:r>
        <w:t xml:space="preserve"> we </w:t>
      </w:r>
      <w:r w:rsidR="000D068F">
        <w:t>suggest it n</w:t>
      </w:r>
      <w:r w:rsidR="00720FEF">
        <w:t xml:space="preserve">eeds to be </w:t>
      </w:r>
      <w:r w:rsidR="00E976AF">
        <w:t xml:space="preserve">made </w:t>
      </w:r>
      <w:r w:rsidR="00720FEF">
        <w:t>clear that these</w:t>
      </w:r>
      <w:r w:rsidR="00285E03">
        <w:t xml:space="preserve"> plans</w:t>
      </w:r>
      <w:r w:rsidR="00720FEF">
        <w:t xml:space="preserve"> are</w:t>
      </w:r>
      <w:r w:rsidR="00E976AF">
        <w:t xml:space="preserve"> </w:t>
      </w:r>
      <w:r w:rsidR="00720FEF">
        <w:t>n</w:t>
      </w:r>
      <w:r w:rsidR="00E976AF">
        <w:t>o</w:t>
      </w:r>
      <w:r w:rsidR="00720FEF">
        <w:t>t the same as internal</w:t>
      </w:r>
      <w:r w:rsidR="00C8053F">
        <w:t xml:space="preserve"> government</w:t>
      </w:r>
      <w:r w:rsidR="00720FEF">
        <w:t xml:space="preserve"> </w:t>
      </w:r>
      <w:r w:rsidR="000D068F">
        <w:t>Disability Action and Improvement Plans which are primarily focused on internal culture</w:t>
      </w:r>
      <w:r w:rsidR="00720FEF">
        <w:t xml:space="preserve">.  </w:t>
      </w:r>
    </w:p>
    <w:p w14:paraId="1BC644EF" w14:textId="62E3A5D5" w:rsidR="00720FEF" w:rsidRPr="00D042EF" w:rsidRDefault="00720FEF" w:rsidP="00B86D96">
      <w:pPr>
        <w:pStyle w:val="Heading2"/>
      </w:pPr>
      <w:r w:rsidRPr="00D042EF">
        <w:t xml:space="preserve">Promoting and communicating the </w:t>
      </w:r>
      <w:r w:rsidR="005E6BFF">
        <w:t>S</w:t>
      </w:r>
      <w:r w:rsidRPr="00D042EF">
        <w:t>trategy</w:t>
      </w:r>
    </w:p>
    <w:p w14:paraId="0DF7BB0D" w14:textId="09562D2D" w:rsidR="00720FEF" w:rsidRDefault="000D068F" w:rsidP="00C12F9E">
      <w:pPr>
        <w:pStyle w:val="BodyText"/>
      </w:pPr>
      <w:r>
        <w:t xml:space="preserve">We are unclear why the communication of the Strategy itself </w:t>
      </w:r>
      <w:r w:rsidR="009C74A6">
        <w:t xml:space="preserve">is being </w:t>
      </w:r>
      <w:r w:rsidR="00505D5C">
        <w:t>flagged</w:t>
      </w:r>
      <w:r w:rsidR="009C74A6">
        <w:t xml:space="preserve"> as a </w:t>
      </w:r>
      <w:r w:rsidR="00505D5C">
        <w:t>priority that needs focus</w:t>
      </w:r>
      <w:r w:rsidR="009C74A6">
        <w:t xml:space="preserve">. </w:t>
      </w:r>
      <w:r w:rsidR="00DE6593">
        <w:t xml:space="preserve">The primary focus should be </w:t>
      </w:r>
      <w:r w:rsidR="00E976AF">
        <w:t xml:space="preserve">on the </w:t>
      </w:r>
      <w:r w:rsidR="00DE6593">
        <w:t>substance and impact as a cross</w:t>
      </w:r>
      <w:r w:rsidR="005B5F21">
        <w:t>-</w:t>
      </w:r>
      <w:r w:rsidR="00DE6593">
        <w:t>government agreement rather than</w:t>
      </w:r>
      <w:r w:rsidR="007F46E5">
        <w:t xml:space="preserve"> investing time in rebadging or renaming the Strategy.</w:t>
      </w:r>
    </w:p>
    <w:p w14:paraId="6E064174" w14:textId="6EDABBBF" w:rsidR="00C079D2" w:rsidRDefault="00C079D2" w:rsidP="00C12F9E">
      <w:pPr>
        <w:pStyle w:val="BodyText"/>
      </w:pPr>
      <w:r>
        <w:t xml:space="preserve">I thank you for the opportunity to comment on the new NDS. </w:t>
      </w:r>
    </w:p>
    <w:p w14:paraId="66EDCE4F" w14:textId="4DD286F9" w:rsidR="00E0423E" w:rsidRDefault="00E0423E" w:rsidP="00C12F9E">
      <w:pPr>
        <w:pStyle w:val="BodyText"/>
      </w:pPr>
      <w:r>
        <w:t>Yours sincerely</w:t>
      </w:r>
    </w:p>
    <w:p w14:paraId="1782AB2D" w14:textId="0A580136" w:rsidR="004A50F5" w:rsidRDefault="004A50F5" w:rsidP="00C12F9E">
      <w:pPr>
        <w:pStyle w:val="BodyText"/>
      </w:pPr>
      <w:bookmarkStart w:id="1" w:name="Text10"/>
      <w:r>
        <w:rPr>
          <w:noProof/>
        </w:rPr>
        <w:drawing>
          <wp:inline distT="0" distB="0" distL="0" distR="0" wp14:anchorId="6D332FE2" wp14:editId="793421ED">
            <wp:extent cx="1648175" cy="658368"/>
            <wp:effectExtent l="0" t="0" r="0" b="889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4163" cy="668749"/>
                    </a:xfrm>
                    <a:prstGeom prst="rect">
                      <a:avLst/>
                    </a:prstGeom>
                  </pic:spPr>
                </pic:pic>
              </a:graphicData>
            </a:graphic>
          </wp:inline>
        </w:drawing>
      </w:r>
    </w:p>
    <w:p w14:paraId="66EDCE51" w14:textId="2BB9F1EC" w:rsidR="00E0423E" w:rsidRDefault="0041791E" w:rsidP="00C12F9E">
      <w:pPr>
        <w:pStyle w:val="BodyText"/>
      </w:pPr>
      <w:r>
        <w:t xml:space="preserve">Dr Emma Campbell </w:t>
      </w:r>
      <w:r w:rsidR="00C12F9E">
        <w:br/>
      </w:r>
      <w:bookmarkEnd w:id="1"/>
      <w:r>
        <w:t xml:space="preserve">Chief Executive Officer </w:t>
      </w:r>
    </w:p>
    <w:p w14:paraId="66EDCE52" w14:textId="0FD73C80" w:rsidR="00E0423E" w:rsidRDefault="00E0423E" w:rsidP="00C12F9E">
      <w:pPr>
        <w:pStyle w:val="BodyText"/>
      </w:pPr>
      <w:r>
        <w:t xml:space="preserve">Email: </w:t>
      </w:r>
      <w:hyperlink r:id="rId20" w:history="1">
        <w:r w:rsidR="00D042EF" w:rsidRPr="00D7750D">
          <w:rPr>
            <w:rStyle w:val="Hyperlink"/>
          </w:rPr>
          <w:t>emma.campbell@actcoss.org.au</w:t>
        </w:r>
      </w:hyperlink>
      <w:r w:rsidR="00D042EF">
        <w:t xml:space="preserve"> </w:t>
      </w:r>
    </w:p>
    <w:p w14:paraId="66EDCE54" w14:textId="0CC8AC37" w:rsidR="00097C11" w:rsidRPr="00D14762" w:rsidRDefault="0025034F" w:rsidP="00C12F9E">
      <w:pPr>
        <w:pStyle w:val="BodyText"/>
      </w:pPr>
      <w:r>
        <w:t>19 November</w:t>
      </w:r>
      <w:r w:rsidR="0041791E">
        <w:t xml:space="preserve"> 2020</w:t>
      </w:r>
    </w:p>
    <w:sectPr w:rsidR="00097C11" w:rsidRPr="00D14762" w:rsidSect="00050005">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73DE" w14:textId="77777777" w:rsidR="00D204E5" w:rsidRDefault="00D204E5">
      <w:r>
        <w:separator/>
      </w:r>
    </w:p>
  </w:endnote>
  <w:endnote w:type="continuationSeparator" w:id="0">
    <w:p w14:paraId="1CD90DFA" w14:textId="77777777" w:rsidR="00D204E5" w:rsidRDefault="00D204E5">
      <w:r>
        <w:continuationSeparator/>
      </w:r>
    </w:p>
  </w:endnote>
  <w:endnote w:type="continuationNotice" w:id="1">
    <w:p w14:paraId="06B9EA79" w14:textId="77777777" w:rsidR="00D204E5" w:rsidRDefault="00D20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F235" w14:textId="77777777" w:rsidR="00D204E5" w:rsidRDefault="00D204E5">
      <w:r>
        <w:separator/>
      </w:r>
    </w:p>
  </w:footnote>
  <w:footnote w:type="continuationSeparator" w:id="0">
    <w:p w14:paraId="538C57D3" w14:textId="77777777" w:rsidR="00D204E5" w:rsidRDefault="00D204E5">
      <w:r>
        <w:continuationSeparator/>
      </w:r>
    </w:p>
  </w:footnote>
  <w:footnote w:type="continuationNotice" w:id="1">
    <w:p w14:paraId="31A48C75" w14:textId="77777777" w:rsidR="00D204E5" w:rsidRDefault="00D204E5"/>
  </w:footnote>
  <w:footnote w:id="2">
    <w:p w14:paraId="696E9B8D" w14:textId="3A021833" w:rsidR="00D15B62" w:rsidRDefault="00D15B62">
      <w:pPr>
        <w:pStyle w:val="FootnoteText"/>
      </w:pPr>
      <w:r w:rsidRPr="001E00B5">
        <w:footnoteRef/>
      </w:r>
      <w:r w:rsidR="001E00B5">
        <w:t xml:space="preserve"> </w:t>
      </w:r>
      <w:r w:rsidR="001E00B5">
        <w:tab/>
      </w:r>
      <w:r w:rsidR="00A14713">
        <w:t xml:space="preserve">Australian Government, </w:t>
      </w:r>
      <w:r w:rsidR="00A06E5A" w:rsidRPr="00942E9A">
        <w:rPr>
          <w:i/>
          <w:iCs/>
        </w:rPr>
        <w:t>National Disability Strategy Position Paper</w:t>
      </w:r>
      <w:r w:rsidR="00A06E5A">
        <w:t xml:space="preserve">, </w:t>
      </w:r>
      <w:r w:rsidR="000C0CA7">
        <w:t>July 2020</w:t>
      </w:r>
      <w:r w:rsidR="001E00B5">
        <w:t>,</w:t>
      </w:r>
      <w:r w:rsidR="000C0CA7">
        <w:t xml:space="preserve"> p</w:t>
      </w:r>
      <w:r w:rsidR="001E00B5">
        <w:t>.</w:t>
      </w:r>
      <w:r w:rsidR="00942E9A">
        <w:t>7</w:t>
      </w:r>
      <w:r w:rsidR="001E00B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multilevel"/>
    <w:tmpl w:val="581EDE7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53B23B7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1"/>
    <w:multiLevelType w:val="multilevel"/>
    <w:tmpl w:val="2F56440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8"/>
    <w:multiLevelType w:val="multilevel"/>
    <w:tmpl w:val="75A0D65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F8B02DF"/>
    <w:multiLevelType w:val="hybridMultilevel"/>
    <w:tmpl w:val="97DA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1B815725"/>
    <w:multiLevelType w:val="hybridMultilevel"/>
    <w:tmpl w:val="D5522FDE"/>
    <w:lvl w:ilvl="0" w:tplc="972E4300">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603469E"/>
    <w:multiLevelType w:val="hybridMultilevel"/>
    <w:tmpl w:val="A7C2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D875D3"/>
    <w:multiLevelType w:val="hybridMultilevel"/>
    <w:tmpl w:val="0C09001D"/>
    <w:lvl w:ilvl="0" w:tplc="AFEC872E">
      <w:start w:val="1"/>
      <w:numFmt w:val="decimal"/>
      <w:lvlText w:val="%1)"/>
      <w:lvlJc w:val="left"/>
      <w:pPr>
        <w:tabs>
          <w:tab w:val="num" w:pos="360"/>
        </w:tabs>
        <w:ind w:left="360" w:hanging="360"/>
      </w:pPr>
    </w:lvl>
    <w:lvl w:ilvl="1" w:tplc="57EA095A">
      <w:start w:val="1"/>
      <w:numFmt w:val="lowerLetter"/>
      <w:lvlText w:val="%2)"/>
      <w:lvlJc w:val="left"/>
      <w:pPr>
        <w:tabs>
          <w:tab w:val="num" w:pos="720"/>
        </w:tabs>
        <w:ind w:left="720" w:hanging="360"/>
      </w:pPr>
    </w:lvl>
    <w:lvl w:ilvl="2" w:tplc="21C4CB64">
      <w:start w:val="1"/>
      <w:numFmt w:val="lowerRoman"/>
      <w:lvlText w:val="%3)"/>
      <w:lvlJc w:val="left"/>
      <w:pPr>
        <w:tabs>
          <w:tab w:val="num" w:pos="1080"/>
        </w:tabs>
        <w:ind w:left="1080" w:hanging="360"/>
      </w:pPr>
    </w:lvl>
    <w:lvl w:ilvl="3" w:tplc="708666A4">
      <w:start w:val="1"/>
      <w:numFmt w:val="decimal"/>
      <w:lvlText w:val="(%4)"/>
      <w:lvlJc w:val="left"/>
      <w:pPr>
        <w:tabs>
          <w:tab w:val="num" w:pos="1440"/>
        </w:tabs>
        <w:ind w:left="1440" w:hanging="360"/>
      </w:pPr>
    </w:lvl>
    <w:lvl w:ilvl="4" w:tplc="1690E3CA">
      <w:start w:val="1"/>
      <w:numFmt w:val="lowerLetter"/>
      <w:lvlText w:val="(%5)"/>
      <w:lvlJc w:val="left"/>
      <w:pPr>
        <w:tabs>
          <w:tab w:val="num" w:pos="1800"/>
        </w:tabs>
        <w:ind w:left="1800" w:hanging="360"/>
      </w:pPr>
    </w:lvl>
    <w:lvl w:ilvl="5" w:tplc="58F4DEF8">
      <w:start w:val="1"/>
      <w:numFmt w:val="lowerRoman"/>
      <w:lvlText w:val="(%6)"/>
      <w:lvlJc w:val="left"/>
      <w:pPr>
        <w:tabs>
          <w:tab w:val="num" w:pos="2160"/>
        </w:tabs>
        <w:ind w:left="2160" w:hanging="360"/>
      </w:pPr>
    </w:lvl>
    <w:lvl w:ilvl="6" w:tplc="6E70445A">
      <w:start w:val="1"/>
      <w:numFmt w:val="decimal"/>
      <w:lvlText w:val="%7."/>
      <w:lvlJc w:val="left"/>
      <w:pPr>
        <w:tabs>
          <w:tab w:val="num" w:pos="2520"/>
        </w:tabs>
        <w:ind w:left="2520" w:hanging="360"/>
      </w:pPr>
    </w:lvl>
    <w:lvl w:ilvl="7" w:tplc="B2FABF76">
      <w:start w:val="1"/>
      <w:numFmt w:val="lowerLetter"/>
      <w:lvlText w:val="%8."/>
      <w:lvlJc w:val="left"/>
      <w:pPr>
        <w:tabs>
          <w:tab w:val="num" w:pos="2880"/>
        </w:tabs>
        <w:ind w:left="2880" w:hanging="360"/>
      </w:pPr>
    </w:lvl>
    <w:lvl w:ilvl="8" w:tplc="CAD4A04C">
      <w:start w:val="1"/>
      <w:numFmt w:val="lowerRoman"/>
      <w:lvlText w:val="%9."/>
      <w:lvlJc w:val="left"/>
      <w:pPr>
        <w:tabs>
          <w:tab w:val="num" w:pos="3240"/>
        </w:tabs>
        <w:ind w:left="3240" w:hanging="360"/>
      </w:pPr>
    </w:lvl>
  </w:abstractNum>
  <w:abstractNum w:abstractNumId="29" w15:restartNumberingAfterBreak="0">
    <w:nsid w:val="70B219B1"/>
    <w:multiLevelType w:val="hybridMultilevel"/>
    <w:tmpl w:val="C8C48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2"/>
  </w:num>
  <w:num w:numId="4">
    <w:abstractNumId w:val="20"/>
  </w:num>
  <w:num w:numId="5">
    <w:abstractNumId w:val="19"/>
  </w:num>
  <w:num w:numId="6">
    <w:abstractNumId w:val="21"/>
  </w:num>
  <w:num w:numId="7">
    <w:abstractNumId w:val="12"/>
  </w:num>
  <w:num w:numId="8">
    <w:abstractNumId w:val="25"/>
  </w:num>
  <w:num w:numId="9">
    <w:abstractNumId w:val="8"/>
  </w:num>
  <w:num w:numId="10">
    <w:abstractNumId w:val="24"/>
  </w:num>
  <w:num w:numId="11">
    <w:abstractNumId w:val="11"/>
  </w:num>
  <w:num w:numId="12">
    <w:abstractNumId w:val="5"/>
  </w:num>
  <w:num w:numId="13">
    <w:abstractNumId w:val="23"/>
  </w:num>
  <w:num w:numId="14">
    <w:abstractNumId w:val="14"/>
  </w:num>
  <w:num w:numId="15">
    <w:abstractNumId w:val="15"/>
  </w:num>
  <w:num w:numId="16">
    <w:abstractNumId w:val="6"/>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28"/>
  </w:num>
  <w:num w:numId="25">
    <w:abstractNumId w:val="26"/>
  </w:num>
  <w:num w:numId="26">
    <w:abstractNumId w:val="16"/>
  </w:num>
  <w:num w:numId="27">
    <w:abstractNumId w:val="10"/>
  </w:num>
  <w:num w:numId="28">
    <w:abstractNumId w:val="13"/>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3D66"/>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1D6"/>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582"/>
    <w:rsid w:val="00034610"/>
    <w:rsid w:val="00034E48"/>
    <w:rsid w:val="0003516D"/>
    <w:rsid w:val="000355EE"/>
    <w:rsid w:val="00035679"/>
    <w:rsid w:val="000358E8"/>
    <w:rsid w:val="00035FF6"/>
    <w:rsid w:val="00036236"/>
    <w:rsid w:val="00036701"/>
    <w:rsid w:val="00036EFE"/>
    <w:rsid w:val="000372C0"/>
    <w:rsid w:val="00037427"/>
    <w:rsid w:val="00037BE6"/>
    <w:rsid w:val="0004050D"/>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005"/>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5F6"/>
    <w:rsid w:val="00066893"/>
    <w:rsid w:val="00066EEC"/>
    <w:rsid w:val="00066F37"/>
    <w:rsid w:val="00067018"/>
    <w:rsid w:val="00067248"/>
    <w:rsid w:val="00067529"/>
    <w:rsid w:val="000677B2"/>
    <w:rsid w:val="00067900"/>
    <w:rsid w:val="00067A96"/>
    <w:rsid w:val="00067AF1"/>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0CC"/>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64D"/>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43E"/>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0CA7"/>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8F"/>
    <w:rsid w:val="000D0B03"/>
    <w:rsid w:val="000D0F69"/>
    <w:rsid w:val="000D108B"/>
    <w:rsid w:val="000D1282"/>
    <w:rsid w:val="000D1B74"/>
    <w:rsid w:val="000D1EE1"/>
    <w:rsid w:val="000D1F22"/>
    <w:rsid w:val="000D23EA"/>
    <w:rsid w:val="000D27EB"/>
    <w:rsid w:val="000D2C1D"/>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670"/>
    <w:rsid w:val="000E5AC7"/>
    <w:rsid w:val="000E5F84"/>
    <w:rsid w:val="000E610D"/>
    <w:rsid w:val="000E6774"/>
    <w:rsid w:val="000E78F7"/>
    <w:rsid w:val="000F098E"/>
    <w:rsid w:val="000F0AA6"/>
    <w:rsid w:val="000F14F7"/>
    <w:rsid w:val="000F1A19"/>
    <w:rsid w:val="000F1CDC"/>
    <w:rsid w:val="000F1F01"/>
    <w:rsid w:val="000F262E"/>
    <w:rsid w:val="000F27FF"/>
    <w:rsid w:val="000F34A4"/>
    <w:rsid w:val="000F39F4"/>
    <w:rsid w:val="000F4692"/>
    <w:rsid w:val="000F4F71"/>
    <w:rsid w:val="000F5085"/>
    <w:rsid w:val="000F56AC"/>
    <w:rsid w:val="000F5FDF"/>
    <w:rsid w:val="000F6BDC"/>
    <w:rsid w:val="000F6DC9"/>
    <w:rsid w:val="000F71B8"/>
    <w:rsid w:val="000F73C5"/>
    <w:rsid w:val="000F73F1"/>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8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6AD"/>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271"/>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A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1979"/>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5B32"/>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0B6"/>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BE9"/>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0B5"/>
    <w:rsid w:val="001E05EA"/>
    <w:rsid w:val="001E1035"/>
    <w:rsid w:val="001E1990"/>
    <w:rsid w:val="001E1A2C"/>
    <w:rsid w:val="001E1F60"/>
    <w:rsid w:val="001E20E6"/>
    <w:rsid w:val="001E2886"/>
    <w:rsid w:val="001E2CE5"/>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9CD"/>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BAB"/>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7634"/>
    <w:rsid w:val="00210128"/>
    <w:rsid w:val="002107DC"/>
    <w:rsid w:val="00210BB4"/>
    <w:rsid w:val="00211195"/>
    <w:rsid w:val="00211866"/>
    <w:rsid w:val="0021190B"/>
    <w:rsid w:val="00211BFA"/>
    <w:rsid w:val="00211E14"/>
    <w:rsid w:val="0021218B"/>
    <w:rsid w:val="00212593"/>
    <w:rsid w:val="002132C7"/>
    <w:rsid w:val="0021378D"/>
    <w:rsid w:val="00213D6A"/>
    <w:rsid w:val="00213EE7"/>
    <w:rsid w:val="00214B9A"/>
    <w:rsid w:val="00214ED9"/>
    <w:rsid w:val="00215534"/>
    <w:rsid w:val="002156C9"/>
    <w:rsid w:val="00215AE8"/>
    <w:rsid w:val="002179F6"/>
    <w:rsid w:val="00220240"/>
    <w:rsid w:val="002208BA"/>
    <w:rsid w:val="00220D66"/>
    <w:rsid w:val="00220F80"/>
    <w:rsid w:val="002212FD"/>
    <w:rsid w:val="00221DC9"/>
    <w:rsid w:val="00222321"/>
    <w:rsid w:val="00222565"/>
    <w:rsid w:val="00222CE1"/>
    <w:rsid w:val="00222E88"/>
    <w:rsid w:val="00223CC2"/>
    <w:rsid w:val="0022413A"/>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4DC"/>
    <w:rsid w:val="0024387E"/>
    <w:rsid w:val="0024420E"/>
    <w:rsid w:val="00245019"/>
    <w:rsid w:val="00245475"/>
    <w:rsid w:val="00245A7F"/>
    <w:rsid w:val="00245ADA"/>
    <w:rsid w:val="00246869"/>
    <w:rsid w:val="00246C9A"/>
    <w:rsid w:val="002478AE"/>
    <w:rsid w:val="002478E4"/>
    <w:rsid w:val="002479B4"/>
    <w:rsid w:val="0025034F"/>
    <w:rsid w:val="00250702"/>
    <w:rsid w:val="002507B5"/>
    <w:rsid w:val="00250F34"/>
    <w:rsid w:val="0025148C"/>
    <w:rsid w:val="00252243"/>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997"/>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CA0"/>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5E03"/>
    <w:rsid w:val="0028600B"/>
    <w:rsid w:val="00286057"/>
    <w:rsid w:val="00286203"/>
    <w:rsid w:val="002868A7"/>
    <w:rsid w:val="00286B68"/>
    <w:rsid w:val="00287082"/>
    <w:rsid w:val="00287EE3"/>
    <w:rsid w:val="002900F3"/>
    <w:rsid w:val="00290414"/>
    <w:rsid w:val="00290564"/>
    <w:rsid w:val="00290911"/>
    <w:rsid w:val="002909C2"/>
    <w:rsid w:val="00290D0B"/>
    <w:rsid w:val="00291CEE"/>
    <w:rsid w:val="00291E9B"/>
    <w:rsid w:val="0029219A"/>
    <w:rsid w:val="00292FD6"/>
    <w:rsid w:val="002933B3"/>
    <w:rsid w:val="0029493F"/>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6A2"/>
    <w:rsid w:val="002B3829"/>
    <w:rsid w:val="002B3DBF"/>
    <w:rsid w:val="002B4102"/>
    <w:rsid w:val="002B411A"/>
    <w:rsid w:val="002B43BC"/>
    <w:rsid w:val="002B490E"/>
    <w:rsid w:val="002B4A8C"/>
    <w:rsid w:val="002B5E59"/>
    <w:rsid w:val="002B5F9F"/>
    <w:rsid w:val="002B607A"/>
    <w:rsid w:val="002B615C"/>
    <w:rsid w:val="002B61B8"/>
    <w:rsid w:val="002B642E"/>
    <w:rsid w:val="002B73B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4FA4"/>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5BA7"/>
    <w:rsid w:val="00346190"/>
    <w:rsid w:val="003468B6"/>
    <w:rsid w:val="00347105"/>
    <w:rsid w:val="00347401"/>
    <w:rsid w:val="00347BBC"/>
    <w:rsid w:val="00347BE5"/>
    <w:rsid w:val="00347F01"/>
    <w:rsid w:val="0035051B"/>
    <w:rsid w:val="0035067B"/>
    <w:rsid w:val="00350F59"/>
    <w:rsid w:val="00351307"/>
    <w:rsid w:val="003519F2"/>
    <w:rsid w:val="0035213E"/>
    <w:rsid w:val="00352287"/>
    <w:rsid w:val="00352393"/>
    <w:rsid w:val="00352539"/>
    <w:rsid w:val="00352900"/>
    <w:rsid w:val="00352994"/>
    <w:rsid w:val="00353455"/>
    <w:rsid w:val="003537B8"/>
    <w:rsid w:val="00353906"/>
    <w:rsid w:val="00353E72"/>
    <w:rsid w:val="0035476E"/>
    <w:rsid w:val="0035497B"/>
    <w:rsid w:val="00354B4F"/>
    <w:rsid w:val="00354F32"/>
    <w:rsid w:val="00355582"/>
    <w:rsid w:val="0035565A"/>
    <w:rsid w:val="00355727"/>
    <w:rsid w:val="00355A92"/>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593"/>
    <w:rsid w:val="00377AEA"/>
    <w:rsid w:val="003809CA"/>
    <w:rsid w:val="00380D94"/>
    <w:rsid w:val="003812E6"/>
    <w:rsid w:val="00381763"/>
    <w:rsid w:val="00381EDF"/>
    <w:rsid w:val="00381F19"/>
    <w:rsid w:val="00382568"/>
    <w:rsid w:val="00382B8E"/>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07"/>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6F13"/>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3BE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D0"/>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791E"/>
    <w:rsid w:val="00420DBD"/>
    <w:rsid w:val="00421119"/>
    <w:rsid w:val="0042120F"/>
    <w:rsid w:val="004219A0"/>
    <w:rsid w:val="00421AE6"/>
    <w:rsid w:val="00422678"/>
    <w:rsid w:val="00422942"/>
    <w:rsid w:val="00422B55"/>
    <w:rsid w:val="004230BD"/>
    <w:rsid w:val="0042393D"/>
    <w:rsid w:val="00423BAB"/>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3F9A"/>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8E"/>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0F5"/>
    <w:rsid w:val="004A5E2D"/>
    <w:rsid w:val="004A5E42"/>
    <w:rsid w:val="004A6057"/>
    <w:rsid w:val="004A628A"/>
    <w:rsid w:val="004A6726"/>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4FDA"/>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90E"/>
    <w:rsid w:val="004C1D53"/>
    <w:rsid w:val="004C20B8"/>
    <w:rsid w:val="004C2935"/>
    <w:rsid w:val="004C2B94"/>
    <w:rsid w:val="004C33E8"/>
    <w:rsid w:val="004C3E56"/>
    <w:rsid w:val="004C42B9"/>
    <w:rsid w:val="004C46C5"/>
    <w:rsid w:val="004C4911"/>
    <w:rsid w:val="004C4B9F"/>
    <w:rsid w:val="004C57E8"/>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3FE5"/>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5C"/>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403"/>
    <w:rsid w:val="00543A31"/>
    <w:rsid w:val="00543AE9"/>
    <w:rsid w:val="00543E2F"/>
    <w:rsid w:val="005442DF"/>
    <w:rsid w:val="00544747"/>
    <w:rsid w:val="00545029"/>
    <w:rsid w:val="00545620"/>
    <w:rsid w:val="00545AD8"/>
    <w:rsid w:val="00545D8E"/>
    <w:rsid w:val="0054612E"/>
    <w:rsid w:val="00546465"/>
    <w:rsid w:val="0054656C"/>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6D9"/>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1F1"/>
    <w:rsid w:val="00570538"/>
    <w:rsid w:val="005709D6"/>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62C"/>
    <w:rsid w:val="00575D8C"/>
    <w:rsid w:val="00576318"/>
    <w:rsid w:val="005765A5"/>
    <w:rsid w:val="00576830"/>
    <w:rsid w:val="00577101"/>
    <w:rsid w:val="00577123"/>
    <w:rsid w:val="00577189"/>
    <w:rsid w:val="0057761F"/>
    <w:rsid w:val="005778F3"/>
    <w:rsid w:val="005779E6"/>
    <w:rsid w:val="00577C5B"/>
    <w:rsid w:val="005808AE"/>
    <w:rsid w:val="005808E8"/>
    <w:rsid w:val="00581542"/>
    <w:rsid w:val="00581671"/>
    <w:rsid w:val="0058288A"/>
    <w:rsid w:val="00582D17"/>
    <w:rsid w:val="00582F6E"/>
    <w:rsid w:val="005833C2"/>
    <w:rsid w:val="00583764"/>
    <w:rsid w:val="00583B0A"/>
    <w:rsid w:val="005859A4"/>
    <w:rsid w:val="00585A18"/>
    <w:rsid w:val="00585D00"/>
    <w:rsid w:val="00586039"/>
    <w:rsid w:val="0058670F"/>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AE"/>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5F21"/>
    <w:rsid w:val="005B682C"/>
    <w:rsid w:val="005B6A11"/>
    <w:rsid w:val="005B7163"/>
    <w:rsid w:val="005B7306"/>
    <w:rsid w:val="005B7602"/>
    <w:rsid w:val="005B7DDB"/>
    <w:rsid w:val="005B7F53"/>
    <w:rsid w:val="005C00DE"/>
    <w:rsid w:val="005C0CF3"/>
    <w:rsid w:val="005C124C"/>
    <w:rsid w:val="005C147E"/>
    <w:rsid w:val="005C1810"/>
    <w:rsid w:val="005C1C3F"/>
    <w:rsid w:val="005C1E9F"/>
    <w:rsid w:val="005C23A4"/>
    <w:rsid w:val="005C2C71"/>
    <w:rsid w:val="005C2DB6"/>
    <w:rsid w:val="005C2F2F"/>
    <w:rsid w:val="005C2F40"/>
    <w:rsid w:val="005C33FE"/>
    <w:rsid w:val="005C3AD0"/>
    <w:rsid w:val="005C3D13"/>
    <w:rsid w:val="005C3D24"/>
    <w:rsid w:val="005C3DE2"/>
    <w:rsid w:val="005C42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6BFF"/>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2EA"/>
    <w:rsid w:val="006018AA"/>
    <w:rsid w:val="00601BF3"/>
    <w:rsid w:val="00601C3A"/>
    <w:rsid w:val="00602059"/>
    <w:rsid w:val="00602283"/>
    <w:rsid w:val="00603AA1"/>
    <w:rsid w:val="00603E9C"/>
    <w:rsid w:val="00603F4E"/>
    <w:rsid w:val="006040A7"/>
    <w:rsid w:val="00604687"/>
    <w:rsid w:val="0060484A"/>
    <w:rsid w:val="006050B9"/>
    <w:rsid w:val="00605A01"/>
    <w:rsid w:val="0060634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09F"/>
    <w:rsid w:val="0062336D"/>
    <w:rsid w:val="00623A25"/>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329"/>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6EA"/>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535"/>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1B57"/>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6F9A"/>
    <w:rsid w:val="00667060"/>
    <w:rsid w:val="0066755E"/>
    <w:rsid w:val="00667672"/>
    <w:rsid w:val="006676BF"/>
    <w:rsid w:val="00670205"/>
    <w:rsid w:val="0067040A"/>
    <w:rsid w:val="00670795"/>
    <w:rsid w:val="00670F1F"/>
    <w:rsid w:val="00671170"/>
    <w:rsid w:val="00671A1F"/>
    <w:rsid w:val="00671AB9"/>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24D"/>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AB2"/>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589"/>
    <w:rsid w:val="006B46B5"/>
    <w:rsid w:val="006B48D3"/>
    <w:rsid w:val="006B4F91"/>
    <w:rsid w:val="006B501D"/>
    <w:rsid w:val="006B51C1"/>
    <w:rsid w:val="006B533D"/>
    <w:rsid w:val="006B5598"/>
    <w:rsid w:val="006B7472"/>
    <w:rsid w:val="006B74A7"/>
    <w:rsid w:val="006B74DC"/>
    <w:rsid w:val="006B7619"/>
    <w:rsid w:val="006B7943"/>
    <w:rsid w:val="006C0AEF"/>
    <w:rsid w:val="006C0D30"/>
    <w:rsid w:val="006C1086"/>
    <w:rsid w:val="006C1447"/>
    <w:rsid w:val="006C1522"/>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253"/>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00B"/>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5B4C"/>
    <w:rsid w:val="00706C8F"/>
    <w:rsid w:val="00706EE5"/>
    <w:rsid w:val="007070B2"/>
    <w:rsid w:val="00707781"/>
    <w:rsid w:val="007077C5"/>
    <w:rsid w:val="00707CC2"/>
    <w:rsid w:val="00707F84"/>
    <w:rsid w:val="0071022B"/>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0FEF"/>
    <w:rsid w:val="007211DA"/>
    <w:rsid w:val="007211E8"/>
    <w:rsid w:val="00721ACE"/>
    <w:rsid w:val="00721DE8"/>
    <w:rsid w:val="007223C2"/>
    <w:rsid w:val="0072272C"/>
    <w:rsid w:val="00722998"/>
    <w:rsid w:val="00722BB6"/>
    <w:rsid w:val="007236BC"/>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2DE2"/>
    <w:rsid w:val="00732DEE"/>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AF4"/>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8E7"/>
    <w:rsid w:val="00766BA7"/>
    <w:rsid w:val="00766CCF"/>
    <w:rsid w:val="00766F41"/>
    <w:rsid w:val="007671EE"/>
    <w:rsid w:val="007677DA"/>
    <w:rsid w:val="00767BDD"/>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EC7"/>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2A2"/>
    <w:rsid w:val="007A1371"/>
    <w:rsid w:val="007A21AD"/>
    <w:rsid w:val="007A2247"/>
    <w:rsid w:val="007A23C9"/>
    <w:rsid w:val="007A2479"/>
    <w:rsid w:val="007A2551"/>
    <w:rsid w:val="007A3A63"/>
    <w:rsid w:val="007A4A59"/>
    <w:rsid w:val="007A53F3"/>
    <w:rsid w:val="007A5806"/>
    <w:rsid w:val="007A5D11"/>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3B9"/>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EE9"/>
    <w:rsid w:val="007C2F1E"/>
    <w:rsid w:val="007C340C"/>
    <w:rsid w:val="007C5115"/>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6DF"/>
    <w:rsid w:val="007F2984"/>
    <w:rsid w:val="007F2A49"/>
    <w:rsid w:val="007F2B1C"/>
    <w:rsid w:val="007F2EB1"/>
    <w:rsid w:val="007F2FBE"/>
    <w:rsid w:val="007F3851"/>
    <w:rsid w:val="007F3ACD"/>
    <w:rsid w:val="007F45C5"/>
    <w:rsid w:val="007F46E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0D73"/>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660"/>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C5A"/>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F41"/>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2E4"/>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47E"/>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924"/>
    <w:rsid w:val="008A4A7D"/>
    <w:rsid w:val="008A4CDA"/>
    <w:rsid w:val="008A58B9"/>
    <w:rsid w:val="008A59AD"/>
    <w:rsid w:val="008A6033"/>
    <w:rsid w:val="008A6CB4"/>
    <w:rsid w:val="008A6D74"/>
    <w:rsid w:val="008A743E"/>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64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59BD"/>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29C6"/>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9A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2E9A"/>
    <w:rsid w:val="00942EB7"/>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392"/>
    <w:rsid w:val="00951A04"/>
    <w:rsid w:val="00951C06"/>
    <w:rsid w:val="00951EA3"/>
    <w:rsid w:val="009522F6"/>
    <w:rsid w:val="00953040"/>
    <w:rsid w:val="00953864"/>
    <w:rsid w:val="00953BF0"/>
    <w:rsid w:val="00953E2B"/>
    <w:rsid w:val="0095418E"/>
    <w:rsid w:val="009543E8"/>
    <w:rsid w:val="00955087"/>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467"/>
    <w:rsid w:val="0098454B"/>
    <w:rsid w:val="009846C3"/>
    <w:rsid w:val="009847AE"/>
    <w:rsid w:val="00984EC1"/>
    <w:rsid w:val="00984F54"/>
    <w:rsid w:val="009851E4"/>
    <w:rsid w:val="00985469"/>
    <w:rsid w:val="00985479"/>
    <w:rsid w:val="00985668"/>
    <w:rsid w:val="009859E7"/>
    <w:rsid w:val="00985A98"/>
    <w:rsid w:val="00985CD4"/>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7DA"/>
    <w:rsid w:val="009B5ECA"/>
    <w:rsid w:val="009B66C4"/>
    <w:rsid w:val="009B6709"/>
    <w:rsid w:val="009B673C"/>
    <w:rsid w:val="009B69DB"/>
    <w:rsid w:val="009B6BB1"/>
    <w:rsid w:val="009B6E6E"/>
    <w:rsid w:val="009B7C76"/>
    <w:rsid w:val="009C04A7"/>
    <w:rsid w:val="009C0845"/>
    <w:rsid w:val="009C087B"/>
    <w:rsid w:val="009C098C"/>
    <w:rsid w:val="009C13A2"/>
    <w:rsid w:val="009C141D"/>
    <w:rsid w:val="009C1D8E"/>
    <w:rsid w:val="009C297B"/>
    <w:rsid w:val="009C2CF6"/>
    <w:rsid w:val="009C30D3"/>
    <w:rsid w:val="009C368C"/>
    <w:rsid w:val="009C3824"/>
    <w:rsid w:val="009C409F"/>
    <w:rsid w:val="009C49D8"/>
    <w:rsid w:val="009C4DA0"/>
    <w:rsid w:val="009C505F"/>
    <w:rsid w:val="009C57A6"/>
    <w:rsid w:val="009C59DA"/>
    <w:rsid w:val="009C5EA3"/>
    <w:rsid w:val="009C6520"/>
    <w:rsid w:val="009C6CD9"/>
    <w:rsid w:val="009C6E3D"/>
    <w:rsid w:val="009C713C"/>
    <w:rsid w:val="009C74A6"/>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18A"/>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5CA9"/>
    <w:rsid w:val="00A06050"/>
    <w:rsid w:val="00A06AA3"/>
    <w:rsid w:val="00A06E5A"/>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73"/>
    <w:rsid w:val="00A1449B"/>
    <w:rsid w:val="00A14713"/>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966"/>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20"/>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002"/>
    <w:rsid w:val="00AB6141"/>
    <w:rsid w:val="00AB61F3"/>
    <w:rsid w:val="00AB6A73"/>
    <w:rsid w:val="00AB6AB5"/>
    <w:rsid w:val="00AB78EB"/>
    <w:rsid w:val="00AB796F"/>
    <w:rsid w:val="00AB79D2"/>
    <w:rsid w:val="00AC0708"/>
    <w:rsid w:val="00AC1596"/>
    <w:rsid w:val="00AC1A41"/>
    <w:rsid w:val="00AC1EAB"/>
    <w:rsid w:val="00AC1FF7"/>
    <w:rsid w:val="00AC256D"/>
    <w:rsid w:val="00AC2B3E"/>
    <w:rsid w:val="00AC2CC0"/>
    <w:rsid w:val="00AC3258"/>
    <w:rsid w:val="00AC35BC"/>
    <w:rsid w:val="00AC3C76"/>
    <w:rsid w:val="00AC484A"/>
    <w:rsid w:val="00AC49C1"/>
    <w:rsid w:val="00AC4C87"/>
    <w:rsid w:val="00AC51AC"/>
    <w:rsid w:val="00AC5246"/>
    <w:rsid w:val="00AC5298"/>
    <w:rsid w:val="00AC5F8D"/>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3F59"/>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4FF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C11"/>
    <w:rsid w:val="00B10F5A"/>
    <w:rsid w:val="00B11060"/>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056"/>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27F99"/>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54"/>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3F8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945"/>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69C7"/>
    <w:rsid w:val="00B772A1"/>
    <w:rsid w:val="00B7797F"/>
    <w:rsid w:val="00B77B72"/>
    <w:rsid w:val="00B80BB7"/>
    <w:rsid w:val="00B80D75"/>
    <w:rsid w:val="00B80E8D"/>
    <w:rsid w:val="00B80F06"/>
    <w:rsid w:val="00B8118D"/>
    <w:rsid w:val="00B816FC"/>
    <w:rsid w:val="00B82071"/>
    <w:rsid w:val="00B84A18"/>
    <w:rsid w:val="00B85977"/>
    <w:rsid w:val="00B85EC8"/>
    <w:rsid w:val="00B86D96"/>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F79"/>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83A"/>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11B6"/>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E7D8B"/>
    <w:rsid w:val="00BF0E47"/>
    <w:rsid w:val="00BF146E"/>
    <w:rsid w:val="00BF1962"/>
    <w:rsid w:val="00BF1B58"/>
    <w:rsid w:val="00BF2143"/>
    <w:rsid w:val="00BF2496"/>
    <w:rsid w:val="00BF3311"/>
    <w:rsid w:val="00BF33A2"/>
    <w:rsid w:val="00BF3739"/>
    <w:rsid w:val="00BF42AF"/>
    <w:rsid w:val="00BF44B0"/>
    <w:rsid w:val="00BF45A5"/>
    <w:rsid w:val="00BF4DDC"/>
    <w:rsid w:val="00BF4ED6"/>
    <w:rsid w:val="00BF4F01"/>
    <w:rsid w:val="00BF527A"/>
    <w:rsid w:val="00BF5578"/>
    <w:rsid w:val="00BF568A"/>
    <w:rsid w:val="00BF5B5A"/>
    <w:rsid w:val="00BF65F2"/>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9D2"/>
    <w:rsid w:val="00C07DF9"/>
    <w:rsid w:val="00C103CB"/>
    <w:rsid w:val="00C10621"/>
    <w:rsid w:val="00C1091A"/>
    <w:rsid w:val="00C10C3D"/>
    <w:rsid w:val="00C10F26"/>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C11"/>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53F"/>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E0F"/>
    <w:rsid w:val="00CC33E1"/>
    <w:rsid w:val="00CC3D03"/>
    <w:rsid w:val="00CC41FD"/>
    <w:rsid w:val="00CC51CA"/>
    <w:rsid w:val="00CC565C"/>
    <w:rsid w:val="00CC5770"/>
    <w:rsid w:val="00CC6374"/>
    <w:rsid w:val="00CC6697"/>
    <w:rsid w:val="00CC6C60"/>
    <w:rsid w:val="00CC754C"/>
    <w:rsid w:val="00CC7BD1"/>
    <w:rsid w:val="00CC7C53"/>
    <w:rsid w:val="00CD07EA"/>
    <w:rsid w:val="00CD0F2B"/>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1A4D"/>
    <w:rsid w:val="00CF2232"/>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E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95"/>
    <w:rsid w:val="00D107D3"/>
    <w:rsid w:val="00D10AFB"/>
    <w:rsid w:val="00D10B6F"/>
    <w:rsid w:val="00D12C19"/>
    <w:rsid w:val="00D12F06"/>
    <w:rsid w:val="00D130E3"/>
    <w:rsid w:val="00D13588"/>
    <w:rsid w:val="00D13C85"/>
    <w:rsid w:val="00D13F3D"/>
    <w:rsid w:val="00D14762"/>
    <w:rsid w:val="00D14FEE"/>
    <w:rsid w:val="00D15B62"/>
    <w:rsid w:val="00D164B2"/>
    <w:rsid w:val="00D168F4"/>
    <w:rsid w:val="00D16D35"/>
    <w:rsid w:val="00D170E0"/>
    <w:rsid w:val="00D172BA"/>
    <w:rsid w:val="00D179CB"/>
    <w:rsid w:val="00D17B7D"/>
    <w:rsid w:val="00D17DFF"/>
    <w:rsid w:val="00D204E5"/>
    <w:rsid w:val="00D20AA3"/>
    <w:rsid w:val="00D20C8A"/>
    <w:rsid w:val="00D216BE"/>
    <w:rsid w:val="00D21E02"/>
    <w:rsid w:val="00D22433"/>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554"/>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3E3"/>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36C4"/>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2F60"/>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420"/>
    <w:rsid w:val="00DB27DF"/>
    <w:rsid w:val="00DB2B9F"/>
    <w:rsid w:val="00DB2EEF"/>
    <w:rsid w:val="00DB34D5"/>
    <w:rsid w:val="00DB3659"/>
    <w:rsid w:val="00DB3A2F"/>
    <w:rsid w:val="00DB4788"/>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003"/>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593"/>
    <w:rsid w:val="00DE6DD3"/>
    <w:rsid w:val="00DE7A3E"/>
    <w:rsid w:val="00DE7E3E"/>
    <w:rsid w:val="00DF0A04"/>
    <w:rsid w:val="00DF0F6D"/>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2D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9BE"/>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85D"/>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5B"/>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0CF"/>
    <w:rsid w:val="00E6710D"/>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D4"/>
    <w:rsid w:val="00E83118"/>
    <w:rsid w:val="00E8313E"/>
    <w:rsid w:val="00E833DE"/>
    <w:rsid w:val="00E8386A"/>
    <w:rsid w:val="00E8423B"/>
    <w:rsid w:val="00E845C0"/>
    <w:rsid w:val="00E8520B"/>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6AF"/>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1F9"/>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0F17"/>
    <w:rsid w:val="00ED10B6"/>
    <w:rsid w:val="00ED12ED"/>
    <w:rsid w:val="00ED2312"/>
    <w:rsid w:val="00ED2EB5"/>
    <w:rsid w:val="00ED3396"/>
    <w:rsid w:val="00ED34B4"/>
    <w:rsid w:val="00ED3C4A"/>
    <w:rsid w:val="00ED3FAF"/>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B27"/>
    <w:rsid w:val="00F13D21"/>
    <w:rsid w:val="00F14B1E"/>
    <w:rsid w:val="00F14C51"/>
    <w:rsid w:val="00F1525B"/>
    <w:rsid w:val="00F15AB5"/>
    <w:rsid w:val="00F15BF9"/>
    <w:rsid w:val="00F15EDE"/>
    <w:rsid w:val="00F16024"/>
    <w:rsid w:val="00F1626D"/>
    <w:rsid w:val="00F1638B"/>
    <w:rsid w:val="00F164D8"/>
    <w:rsid w:val="00F16615"/>
    <w:rsid w:val="00F16FC4"/>
    <w:rsid w:val="00F17052"/>
    <w:rsid w:val="00F17636"/>
    <w:rsid w:val="00F1764F"/>
    <w:rsid w:val="00F2037F"/>
    <w:rsid w:val="00F20DF1"/>
    <w:rsid w:val="00F213AB"/>
    <w:rsid w:val="00F21593"/>
    <w:rsid w:val="00F21E8D"/>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459"/>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3E"/>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027"/>
    <w:rsid w:val="00F67189"/>
    <w:rsid w:val="00F6740A"/>
    <w:rsid w:val="00F67656"/>
    <w:rsid w:val="00F67731"/>
    <w:rsid w:val="00F67B18"/>
    <w:rsid w:val="00F67C20"/>
    <w:rsid w:val="00F707EF"/>
    <w:rsid w:val="00F70B92"/>
    <w:rsid w:val="00F70DA4"/>
    <w:rsid w:val="00F7140B"/>
    <w:rsid w:val="00F71D3F"/>
    <w:rsid w:val="00F71EB8"/>
    <w:rsid w:val="00F723E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7F8"/>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8A8"/>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D3B"/>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24"/>
    <w:rsid w:val="00FC46B8"/>
    <w:rsid w:val="00FC48F6"/>
    <w:rsid w:val="00FC4DBC"/>
    <w:rsid w:val="00FC5189"/>
    <w:rsid w:val="00FC51AB"/>
    <w:rsid w:val="00FC5212"/>
    <w:rsid w:val="00FC57D0"/>
    <w:rsid w:val="00FC718E"/>
    <w:rsid w:val="00FC7C6D"/>
    <w:rsid w:val="00FD04F3"/>
    <w:rsid w:val="00FD09DD"/>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03D"/>
    <w:rsid w:val="00FE213F"/>
    <w:rsid w:val="00FE23CB"/>
    <w:rsid w:val="00FE2A8E"/>
    <w:rsid w:val="00FE2D92"/>
    <w:rsid w:val="00FE3551"/>
    <w:rsid w:val="00FE364B"/>
    <w:rsid w:val="00FE367F"/>
    <w:rsid w:val="00FE4AE2"/>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13E5805"/>
    <w:rsid w:val="04A89071"/>
    <w:rsid w:val="05D60EB9"/>
    <w:rsid w:val="0E93CAAD"/>
    <w:rsid w:val="0EAE9B17"/>
    <w:rsid w:val="0F20A1F4"/>
    <w:rsid w:val="1020C0A8"/>
    <w:rsid w:val="152C93F6"/>
    <w:rsid w:val="1651E28B"/>
    <w:rsid w:val="17992DC9"/>
    <w:rsid w:val="194DBEA0"/>
    <w:rsid w:val="1A580931"/>
    <w:rsid w:val="1D237D5D"/>
    <w:rsid w:val="1FF082EB"/>
    <w:rsid w:val="24B756B0"/>
    <w:rsid w:val="25E787B3"/>
    <w:rsid w:val="297471A6"/>
    <w:rsid w:val="29E01998"/>
    <w:rsid w:val="2A457EBF"/>
    <w:rsid w:val="2DAB9D91"/>
    <w:rsid w:val="2F4DB79C"/>
    <w:rsid w:val="319296B5"/>
    <w:rsid w:val="33224B43"/>
    <w:rsid w:val="35A4FB47"/>
    <w:rsid w:val="392084A3"/>
    <w:rsid w:val="39EFA262"/>
    <w:rsid w:val="3B91C64D"/>
    <w:rsid w:val="40135AB6"/>
    <w:rsid w:val="43F401E1"/>
    <w:rsid w:val="49E72DC6"/>
    <w:rsid w:val="4CE1FB8B"/>
    <w:rsid w:val="4D9B0DFF"/>
    <w:rsid w:val="549A4894"/>
    <w:rsid w:val="5C548FBD"/>
    <w:rsid w:val="5EC367A5"/>
    <w:rsid w:val="5FA4B104"/>
    <w:rsid w:val="67DE3ADA"/>
    <w:rsid w:val="69064DAA"/>
    <w:rsid w:val="69A5C8E4"/>
    <w:rsid w:val="6A12286F"/>
    <w:rsid w:val="6A8128AD"/>
    <w:rsid w:val="6F6884A7"/>
    <w:rsid w:val="74F4860D"/>
    <w:rsid w:val="77299F5D"/>
    <w:rsid w:val="780F8AD6"/>
    <w:rsid w:val="7812197A"/>
    <w:rsid w:val="7AB9B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6EDCE44"/>
  <w15:chartTrackingRefBased/>
  <w15:docId w15:val="{F2DEA7F4-CD26-42F7-818F-A16A6A6C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basedOn w:val="Normal"/>
    <w:next w:val="BodyText"/>
    <w:qFormat/>
    <w:rsid w:val="001E00B5"/>
    <w:pPr>
      <w:keepNext/>
      <w:keepLines/>
      <w:spacing w:before="240" w:after="180"/>
      <w:outlineLvl w:val="0"/>
    </w:pPr>
    <w:rPr>
      <w:rFonts w:cs="Arial"/>
      <w:b/>
      <w:i/>
      <w:iCs/>
      <w:color w:val="005984"/>
      <w:kern w:val="32"/>
      <w:sz w:val="23"/>
      <w:szCs w:val="28"/>
    </w:rPr>
  </w:style>
  <w:style w:type="paragraph" w:styleId="Heading2">
    <w:name w:val="heading 2"/>
    <w:basedOn w:val="Normal"/>
    <w:next w:val="BodyText"/>
    <w:qFormat/>
    <w:rsid w:val="00B86D96"/>
    <w:pPr>
      <w:keepNext/>
      <w:keepLines/>
      <w:spacing w:after="180"/>
      <w:outlineLvl w:val="1"/>
    </w:pPr>
    <w:rPr>
      <w:bCs/>
      <w:color w:val="005984"/>
      <w:sz w:val="22"/>
      <w:szCs w:val="26"/>
    </w:rPr>
  </w:style>
  <w:style w:type="paragraph" w:styleId="Heading3">
    <w:name w:val="heading 3"/>
    <w:basedOn w:val="Heading2"/>
    <w:next w:val="BodyText"/>
    <w:qFormat/>
    <w:rsid w:val="008438B6"/>
    <w:pPr>
      <w:spacing w:before="520"/>
      <w:outlineLvl w:val="2"/>
    </w:pPr>
    <w:rPr>
      <w:bCs w:val="0"/>
      <w:sz w:val="26"/>
    </w:rPr>
  </w:style>
  <w:style w:type="paragraph" w:styleId="Heading4">
    <w:name w:val="heading 4"/>
    <w:basedOn w:val="Heading3"/>
    <w:next w:val="BodyText"/>
    <w:qFormat/>
    <w:rsid w:val="006845B4"/>
    <w:pPr>
      <w:spacing w:before="240"/>
      <w:outlineLvl w:val="3"/>
    </w:pPr>
    <w:rPr>
      <w:bCs/>
      <w:i/>
      <w:sz w:val="23"/>
      <w:szCs w:val="28"/>
    </w:rPr>
  </w:style>
  <w:style w:type="paragraph" w:styleId="Heading5">
    <w:name w:val="heading 5"/>
    <w:basedOn w:val="Heading4"/>
    <w:next w:val="BodyText"/>
    <w:qFormat/>
    <w:rsid w:val="00335E48"/>
    <w:pPr>
      <w:spacing w:before="0"/>
      <w:outlineLvl w:val="4"/>
    </w:pPr>
    <w:rPr>
      <w:b/>
      <w:sz w:val="22"/>
      <w:szCs w:val="26"/>
    </w:rPr>
  </w:style>
  <w:style w:type="paragraph" w:styleId="Heading6">
    <w:name w:val="heading 6"/>
    <w:basedOn w:val="Heading5"/>
    <w:next w:val="BodyText"/>
    <w:qFormat/>
    <w:rsid w:val="00FC0C63"/>
    <w:pPr>
      <w:spacing w:before="240" w:after="60"/>
      <w:outlineLvl w:val="5"/>
    </w:pPr>
    <w:rPr>
      <w:bCs w:val="0"/>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54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tcoss.org.au/publications/advocacy-publications/submission-delivery-outcomes-under-national-disability-strategy" TargetMode="External"/><Relationship Id="rId20" Type="http://schemas.openxmlformats.org/officeDocument/2006/relationships/hyperlink" Target="mailto:emma.campbell@actcos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5" Type="http://schemas.openxmlformats.org/officeDocument/2006/relationships/numbering" Target="numbering.xml"/><Relationship Id="rId15" Type="http://schemas.openxmlformats.org/officeDocument/2006/relationships/hyperlink" Target="mailto:disabilityreform@dss.gov.au"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50052-3E6F-4F9E-A45B-0D6BAED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040EA-E22B-429C-8AE0-A174FBA6C472}">
  <ds:schemaRefs>
    <ds:schemaRef ds:uri="http://schemas.openxmlformats.org/officeDocument/2006/bibliography"/>
  </ds:schemaRefs>
</ds:datastoreItem>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1241</Words>
  <Characters>7254</Characters>
  <Application>Microsoft Office Word</Application>
  <DocSecurity>0</DocSecurity>
  <Lines>157</Lines>
  <Paragraphs>75</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8420</CharactersWithSpaces>
  <SharedDoc>false</SharedDoc>
  <HLinks>
    <vt:vector size="24" baseType="variant">
      <vt:variant>
        <vt:i4>3932167</vt:i4>
      </vt:variant>
      <vt:variant>
        <vt:i4>9</vt:i4>
      </vt:variant>
      <vt:variant>
        <vt:i4>0</vt:i4>
      </vt:variant>
      <vt:variant>
        <vt:i4>5</vt:i4>
      </vt:variant>
      <vt:variant>
        <vt:lpwstr>mailto:emma.campbell@actcoss.org.au</vt:lpwstr>
      </vt:variant>
      <vt:variant>
        <vt:lpwstr/>
      </vt:variant>
      <vt:variant>
        <vt:i4>5439564</vt:i4>
      </vt:variant>
      <vt:variant>
        <vt:i4>3</vt:i4>
      </vt:variant>
      <vt:variant>
        <vt:i4>0</vt:i4>
      </vt:variant>
      <vt:variant>
        <vt:i4>5</vt:i4>
      </vt:variant>
      <vt:variant>
        <vt:lpwstr>https://www.actcoss.org.au/publications/advocacy-publications/submission-delivery-outcomes-under-national-disability-strategy</vt:lpwstr>
      </vt:variant>
      <vt:variant>
        <vt:lpwstr/>
      </vt:variant>
      <vt:variant>
        <vt:i4>4194363</vt:i4>
      </vt:variant>
      <vt:variant>
        <vt:i4>0</vt:i4>
      </vt:variant>
      <vt:variant>
        <vt:i4>0</vt:i4>
      </vt:variant>
      <vt:variant>
        <vt:i4>5</vt:i4>
      </vt:variant>
      <vt:variant>
        <vt:lpwstr>mailto:disabilityreform@dss.gov.au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 – New National Disability Strategy</dc:title>
  <dc:subject/>
  <dc:creator/>
  <cp:keywords/>
  <cp:lastModifiedBy>Suzanne Richardson</cp:lastModifiedBy>
  <cp:revision>207</cp:revision>
  <cp:lastPrinted>2011-07-22T20:29:00Z</cp:lastPrinted>
  <dcterms:created xsi:type="dcterms:W3CDTF">2020-10-27T19:33:00Z</dcterms:created>
  <dcterms:modified xsi:type="dcterms:W3CDTF">2020-11-20T03:08:00Z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