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044BE34A"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712137">
        <w:t xml:space="preserve">   </w:t>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4CDEE97D" w14:textId="6FB9155B" w:rsidR="00F62238" w:rsidRDefault="00414706" w:rsidP="00F62238">
      <w:pPr>
        <w:pStyle w:val="Titlepagetitle"/>
      </w:pPr>
      <w:r w:rsidRPr="00414706">
        <w:t>ACT Cost of Living Report</w:t>
      </w:r>
    </w:p>
    <w:p w14:paraId="2A7530B5" w14:textId="69CD1782" w:rsidR="00414706" w:rsidRPr="00CA7855" w:rsidRDefault="00414706" w:rsidP="00C458EC">
      <w:pPr>
        <w:pStyle w:val="Titlepagesubtitle"/>
      </w:pPr>
      <w:r w:rsidRPr="00414706">
        <w:t>Tracking changes in the cost of living for low-income households in the Australian Capital Territory</w:t>
      </w:r>
    </w:p>
    <w:p w14:paraId="1EB035FB" w14:textId="77777777" w:rsidR="00F62238" w:rsidRPr="00CA7855" w:rsidRDefault="00F62238" w:rsidP="00F62238">
      <w:pPr>
        <w:pStyle w:val="BodyText"/>
      </w:pPr>
    </w:p>
    <w:p w14:paraId="6913A24B" w14:textId="5D05B781" w:rsidR="00F62238" w:rsidRPr="00CA7855" w:rsidRDefault="00414706" w:rsidP="00F62238">
      <w:pPr>
        <w:pStyle w:val="Titlepagesubtitle"/>
      </w:pPr>
      <w:r>
        <w:t>September 2020</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34D94CE6"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D042B6">
        <w:t>Geoff Buchanan</w:t>
      </w:r>
    </w:p>
    <w:p w14:paraId="065798D2" w14:textId="77777777" w:rsidR="005913F7" w:rsidRPr="00CA7855" w:rsidRDefault="005913F7" w:rsidP="005913F7">
      <w:pPr>
        <w:pStyle w:val="Frontmatter"/>
      </w:pPr>
    </w:p>
    <w:p w14:paraId="698E6DF4" w14:textId="46F8B09A" w:rsidR="005913F7" w:rsidRPr="00CA7855" w:rsidRDefault="00D042B6" w:rsidP="005913F7">
      <w:pPr>
        <w:pStyle w:val="Frontmatter"/>
      </w:pPr>
      <w:r>
        <w:t>September 2020</w:t>
      </w:r>
    </w:p>
    <w:p w14:paraId="181D164A" w14:textId="47A4D491" w:rsidR="005913F7" w:rsidRPr="00CA7855" w:rsidRDefault="005913F7" w:rsidP="005913F7">
      <w:pPr>
        <w:pStyle w:val="Frontmatter"/>
      </w:pPr>
      <w:r w:rsidRPr="00CA7855">
        <w:t xml:space="preserve">ISBN </w:t>
      </w:r>
      <w:r w:rsidR="00B21C32" w:rsidRPr="00B21C32">
        <w:t>978-1-876632-87-8</w:t>
      </w:r>
      <w:r w:rsidRPr="00CA7855">
        <w:t xml:space="preserve"> </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3FFF682F" w14:textId="7ABCA110" w:rsidR="003B3C84"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51050134" w:history="1">
        <w:r w:rsidR="003B3C84" w:rsidRPr="00B748DC">
          <w:rPr>
            <w:rStyle w:val="Hyperlink"/>
            <w:noProof/>
          </w:rPr>
          <w:t>Acronyms</w:t>
        </w:r>
        <w:r w:rsidR="003B3C84">
          <w:rPr>
            <w:noProof/>
            <w:webHidden/>
          </w:rPr>
          <w:tab/>
        </w:r>
        <w:r w:rsidR="003B3C84">
          <w:rPr>
            <w:noProof/>
            <w:webHidden/>
          </w:rPr>
          <w:fldChar w:fldCharType="begin"/>
        </w:r>
        <w:r w:rsidR="003B3C84">
          <w:rPr>
            <w:noProof/>
            <w:webHidden/>
          </w:rPr>
          <w:instrText xml:space="preserve"> PAGEREF _Toc51050134 \h </w:instrText>
        </w:r>
        <w:r w:rsidR="003B3C84">
          <w:rPr>
            <w:noProof/>
            <w:webHidden/>
          </w:rPr>
        </w:r>
        <w:r w:rsidR="003B3C84">
          <w:rPr>
            <w:noProof/>
            <w:webHidden/>
          </w:rPr>
          <w:fldChar w:fldCharType="separate"/>
        </w:r>
        <w:r w:rsidR="00854605">
          <w:rPr>
            <w:noProof/>
            <w:webHidden/>
          </w:rPr>
          <w:t>4</w:t>
        </w:r>
        <w:r w:rsidR="003B3C84">
          <w:rPr>
            <w:noProof/>
            <w:webHidden/>
          </w:rPr>
          <w:fldChar w:fldCharType="end"/>
        </w:r>
      </w:hyperlink>
    </w:p>
    <w:p w14:paraId="444C9C21" w14:textId="43BA81CF" w:rsidR="003B3C84" w:rsidRDefault="009A02F3">
      <w:pPr>
        <w:pStyle w:val="TOC1"/>
        <w:rPr>
          <w:rFonts w:asciiTheme="minorHAnsi" w:eastAsiaTheme="minorEastAsia" w:hAnsiTheme="minorHAnsi" w:cstheme="minorBidi"/>
          <w:b w:val="0"/>
          <w:noProof/>
          <w:sz w:val="22"/>
          <w:lang w:eastAsia="en-AU"/>
        </w:rPr>
      </w:pPr>
      <w:hyperlink w:anchor="_Toc51050135" w:history="1">
        <w:r w:rsidR="003B3C84" w:rsidRPr="00B748DC">
          <w:rPr>
            <w:rStyle w:val="Hyperlink"/>
            <w:noProof/>
          </w:rPr>
          <w:t xml:space="preserve">Key </w:t>
        </w:r>
        <w:r w:rsidR="00506880">
          <w:rPr>
            <w:rStyle w:val="Hyperlink"/>
            <w:noProof/>
          </w:rPr>
          <w:t>f</w:t>
        </w:r>
        <w:r w:rsidR="003B3C84" w:rsidRPr="00B748DC">
          <w:rPr>
            <w:rStyle w:val="Hyperlink"/>
            <w:noProof/>
          </w:rPr>
          <w:t>indings</w:t>
        </w:r>
        <w:r w:rsidR="003B3C84">
          <w:rPr>
            <w:noProof/>
            <w:webHidden/>
          </w:rPr>
          <w:tab/>
        </w:r>
        <w:r w:rsidR="003B3C84">
          <w:rPr>
            <w:noProof/>
            <w:webHidden/>
          </w:rPr>
          <w:fldChar w:fldCharType="begin"/>
        </w:r>
        <w:r w:rsidR="003B3C84">
          <w:rPr>
            <w:noProof/>
            <w:webHidden/>
          </w:rPr>
          <w:instrText xml:space="preserve"> PAGEREF _Toc51050135 \h </w:instrText>
        </w:r>
        <w:r w:rsidR="003B3C84">
          <w:rPr>
            <w:noProof/>
            <w:webHidden/>
          </w:rPr>
        </w:r>
        <w:r w:rsidR="003B3C84">
          <w:rPr>
            <w:noProof/>
            <w:webHidden/>
          </w:rPr>
          <w:fldChar w:fldCharType="separate"/>
        </w:r>
        <w:r w:rsidR="00854605">
          <w:rPr>
            <w:noProof/>
            <w:webHidden/>
          </w:rPr>
          <w:t>5</w:t>
        </w:r>
        <w:r w:rsidR="003B3C84">
          <w:rPr>
            <w:noProof/>
            <w:webHidden/>
          </w:rPr>
          <w:fldChar w:fldCharType="end"/>
        </w:r>
      </w:hyperlink>
    </w:p>
    <w:p w14:paraId="4A0E7BA6" w14:textId="45053EF9" w:rsidR="003B3C84" w:rsidRDefault="009A02F3">
      <w:pPr>
        <w:pStyle w:val="TOC1"/>
        <w:rPr>
          <w:rFonts w:asciiTheme="minorHAnsi" w:eastAsiaTheme="minorEastAsia" w:hAnsiTheme="minorHAnsi" w:cstheme="minorBidi"/>
          <w:b w:val="0"/>
          <w:noProof/>
          <w:sz w:val="22"/>
          <w:lang w:eastAsia="en-AU"/>
        </w:rPr>
      </w:pPr>
      <w:hyperlink w:anchor="_Toc51050136" w:history="1">
        <w:r w:rsidR="003B3C84" w:rsidRPr="00B748DC">
          <w:rPr>
            <w:rStyle w:val="Hyperlink"/>
            <w:noProof/>
          </w:rPr>
          <w:t>Recommendations</w:t>
        </w:r>
        <w:r w:rsidR="003B3C84">
          <w:rPr>
            <w:noProof/>
            <w:webHidden/>
          </w:rPr>
          <w:tab/>
        </w:r>
        <w:r w:rsidR="003B3C84">
          <w:rPr>
            <w:noProof/>
            <w:webHidden/>
          </w:rPr>
          <w:fldChar w:fldCharType="begin"/>
        </w:r>
        <w:r w:rsidR="003B3C84">
          <w:rPr>
            <w:noProof/>
            <w:webHidden/>
          </w:rPr>
          <w:instrText xml:space="preserve"> PAGEREF _Toc51050136 \h </w:instrText>
        </w:r>
        <w:r w:rsidR="003B3C84">
          <w:rPr>
            <w:noProof/>
            <w:webHidden/>
          </w:rPr>
        </w:r>
        <w:r w:rsidR="003B3C84">
          <w:rPr>
            <w:noProof/>
            <w:webHidden/>
          </w:rPr>
          <w:fldChar w:fldCharType="separate"/>
        </w:r>
        <w:r w:rsidR="00854605">
          <w:rPr>
            <w:noProof/>
            <w:webHidden/>
          </w:rPr>
          <w:t>7</w:t>
        </w:r>
        <w:r w:rsidR="003B3C84">
          <w:rPr>
            <w:noProof/>
            <w:webHidden/>
          </w:rPr>
          <w:fldChar w:fldCharType="end"/>
        </w:r>
      </w:hyperlink>
    </w:p>
    <w:p w14:paraId="28AA6B18" w14:textId="5DDA1CD1" w:rsidR="003B3C84" w:rsidRDefault="009A02F3">
      <w:pPr>
        <w:pStyle w:val="TOC3"/>
        <w:rPr>
          <w:rFonts w:asciiTheme="minorHAnsi" w:eastAsiaTheme="minorEastAsia" w:hAnsiTheme="minorHAnsi" w:cstheme="minorBidi"/>
          <w:noProof/>
          <w:sz w:val="22"/>
          <w:lang w:eastAsia="en-AU"/>
        </w:rPr>
      </w:pPr>
      <w:hyperlink w:anchor="_Toc51050137" w:history="1">
        <w:r w:rsidR="003B3C84" w:rsidRPr="00B748DC">
          <w:rPr>
            <w:rStyle w:val="Hyperlink"/>
            <w:noProof/>
          </w:rPr>
          <w:t>Action on income support by the Australian Government</w:t>
        </w:r>
        <w:r w:rsidR="003B3C84">
          <w:rPr>
            <w:noProof/>
            <w:webHidden/>
          </w:rPr>
          <w:tab/>
        </w:r>
        <w:r w:rsidR="003B3C84">
          <w:rPr>
            <w:noProof/>
            <w:webHidden/>
          </w:rPr>
          <w:fldChar w:fldCharType="begin"/>
        </w:r>
        <w:r w:rsidR="003B3C84">
          <w:rPr>
            <w:noProof/>
            <w:webHidden/>
          </w:rPr>
          <w:instrText xml:space="preserve"> PAGEREF _Toc51050137 \h </w:instrText>
        </w:r>
        <w:r w:rsidR="003B3C84">
          <w:rPr>
            <w:noProof/>
            <w:webHidden/>
          </w:rPr>
        </w:r>
        <w:r w:rsidR="003B3C84">
          <w:rPr>
            <w:noProof/>
            <w:webHidden/>
          </w:rPr>
          <w:fldChar w:fldCharType="separate"/>
        </w:r>
        <w:r w:rsidR="00854605">
          <w:rPr>
            <w:noProof/>
            <w:webHidden/>
          </w:rPr>
          <w:t>7</w:t>
        </w:r>
        <w:r w:rsidR="003B3C84">
          <w:rPr>
            <w:noProof/>
            <w:webHidden/>
          </w:rPr>
          <w:fldChar w:fldCharType="end"/>
        </w:r>
      </w:hyperlink>
    </w:p>
    <w:p w14:paraId="2CDB3EC1" w14:textId="3D9D3D8F" w:rsidR="003B3C84" w:rsidRDefault="009A02F3">
      <w:pPr>
        <w:pStyle w:val="TOC3"/>
        <w:rPr>
          <w:rFonts w:asciiTheme="minorHAnsi" w:eastAsiaTheme="minorEastAsia" w:hAnsiTheme="minorHAnsi" w:cstheme="minorBidi"/>
          <w:noProof/>
          <w:sz w:val="22"/>
          <w:lang w:eastAsia="en-AU"/>
        </w:rPr>
      </w:pPr>
      <w:hyperlink w:anchor="_Toc51050138" w:history="1">
        <w:r w:rsidR="003B3C84" w:rsidRPr="00B748DC">
          <w:rPr>
            <w:rStyle w:val="Hyperlink"/>
            <w:noProof/>
          </w:rPr>
          <w:t>Action on cost of living by the next ACT Government</w:t>
        </w:r>
        <w:r w:rsidR="003B3C84">
          <w:rPr>
            <w:noProof/>
            <w:webHidden/>
          </w:rPr>
          <w:tab/>
        </w:r>
        <w:r w:rsidR="003B3C84">
          <w:rPr>
            <w:noProof/>
            <w:webHidden/>
          </w:rPr>
          <w:fldChar w:fldCharType="begin"/>
        </w:r>
        <w:r w:rsidR="003B3C84">
          <w:rPr>
            <w:noProof/>
            <w:webHidden/>
          </w:rPr>
          <w:instrText xml:space="preserve"> PAGEREF _Toc51050138 \h </w:instrText>
        </w:r>
        <w:r w:rsidR="003B3C84">
          <w:rPr>
            <w:noProof/>
            <w:webHidden/>
          </w:rPr>
        </w:r>
        <w:r w:rsidR="003B3C84">
          <w:rPr>
            <w:noProof/>
            <w:webHidden/>
          </w:rPr>
          <w:fldChar w:fldCharType="separate"/>
        </w:r>
        <w:r w:rsidR="00854605">
          <w:rPr>
            <w:noProof/>
            <w:webHidden/>
          </w:rPr>
          <w:t>7</w:t>
        </w:r>
        <w:r w:rsidR="003B3C84">
          <w:rPr>
            <w:noProof/>
            <w:webHidden/>
          </w:rPr>
          <w:fldChar w:fldCharType="end"/>
        </w:r>
      </w:hyperlink>
    </w:p>
    <w:p w14:paraId="72032D14" w14:textId="687D4B6A" w:rsidR="003B3C84" w:rsidRDefault="009A02F3">
      <w:pPr>
        <w:pStyle w:val="TOC1"/>
        <w:rPr>
          <w:rFonts w:asciiTheme="minorHAnsi" w:eastAsiaTheme="minorEastAsia" w:hAnsiTheme="minorHAnsi" w:cstheme="minorBidi"/>
          <w:b w:val="0"/>
          <w:noProof/>
          <w:sz w:val="22"/>
          <w:lang w:eastAsia="en-AU"/>
        </w:rPr>
      </w:pPr>
      <w:hyperlink w:anchor="_Toc51050139" w:history="1">
        <w:r w:rsidR="003B3C84" w:rsidRPr="00B748DC">
          <w:rPr>
            <w:rStyle w:val="Hyperlink"/>
            <w:noProof/>
          </w:rPr>
          <w:t>Introduction</w:t>
        </w:r>
        <w:r w:rsidR="003B3C84">
          <w:rPr>
            <w:noProof/>
            <w:webHidden/>
          </w:rPr>
          <w:tab/>
        </w:r>
        <w:r w:rsidR="003B3C84">
          <w:rPr>
            <w:noProof/>
            <w:webHidden/>
          </w:rPr>
          <w:fldChar w:fldCharType="begin"/>
        </w:r>
        <w:r w:rsidR="003B3C84">
          <w:rPr>
            <w:noProof/>
            <w:webHidden/>
          </w:rPr>
          <w:instrText xml:space="preserve"> PAGEREF _Toc51050139 \h </w:instrText>
        </w:r>
        <w:r w:rsidR="003B3C84">
          <w:rPr>
            <w:noProof/>
            <w:webHidden/>
          </w:rPr>
        </w:r>
        <w:r w:rsidR="003B3C84">
          <w:rPr>
            <w:noProof/>
            <w:webHidden/>
          </w:rPr>
          <w:fldChar w:fldCharType="separate"/>
        </w:r>
        <w:r w:rsidR="00854605">
          <w:rPr>
            <w:noProof/>
            <w:webHidden/>
          </w:rPr>
          <w:t>10</w:t>
        </w:r>
        <w:r w:rsidR="003B3C84">
          <w:rPr>
            <w:noProof/>
            <w:webHidden/>
          </w:rPr>
          <w:fldChar w:fldCharType="end"/>
        </w:r>
      </w:hyperlink>
    </w:p>
    <w:p w14:paraId="7EE55697" w14:textId="39C7C368" w:rsidR="003B3C84" w:rsidRDefault="009A02F3">
      <w:pPr>
        <w:pStyle w:val="TOC1"/>
        <w:rPr>
          <w:rFonts w:asciiTheme="minorHAnsi" w:eastAsiaTheme="minorEastAsia" w:hAnsiTheme="minorHAnsi" w:cstheme="minorBidi"/>
          <w:b w:val="0"/>
          <w:noProof/>
          <w:sz w:val="22"/>
          <w:lang w:eastAsia="en-AU"/>
        </w:rPr>
      </w:pPr>
      <w:hyperlink w:anchor="_Toc51050140" w:history="1">
        <w:r w:rsidR="003B3C84" w:rsidRPr="00B748DC">
          <w:rPr>
            <w:rStyle w:val="Hyperlink"/>
            <w:noProof/>
          </w:rPr>
          <w:t>Tracking changes in the price of key goods and services: CPI</w:t>
        </w:r>
        <w:r w:rsidR="003B3C84">
          <w:rPr>
            <w:noProof/>
            <w:webHidden/>
          </w:rPr>
          <w:tab/>
        </w:r>
        <w:r w:rsidR="003B3C84">
          <w:rPr>
            <w:noProof/>
            <w:webHidden/>
          </w:rPr>
          <w:fldChar w:fldCharType="begin"/>
        </w:r>
        <w:r w:rsidR="003B3C84">
          <w:rPr>
            <w:noProof/>
            <w:webHidden/>
          </w:rPr>
          <w:instrText xml:space="preserve"> PAGEREF _Toc51050140 \h </w:instrText>
        </w:r>
        <w:r w:rsidR="003B3C84">
          <w:rPr>
            <w:noProof/>
            <w:webHidden/>
          </w:rPr>
        </w:r>
        <w:r w:rsidR="003B3C84">
          <w:rPr>
            <w:noProof/>
            <w:webHidden/>
          </w:rPr>
          <w:fldChar w:fldCharType="separate"/>
        </w:r>
        <w:r w:rsidR="00854605">
          <w:rPr>
            <w:noProof/>
            <w:webHidden/>
          </w:rPr>
          <w:t>13</w:t>
        </w:r>
        <w:r w:rsidR="003B3C84">
          <w:rPr>
            <w:noProof/>
            <w:webHidden/>
          </w:rPr>
          <w:fldChar w:fldCharType="end"/>
        </w:r>
      </w:hyperlink>
    </w:p>
    <w:p w14:paraId="3F37E8A6" w14:textId="68C7B8DD" w:rsidR="003B3C84" w:rsidRDefault="009A02F3">
      <w:pPr>
        <w:pStyle w:val="TOC2"/>
        <w:rPr>
          <w:rFonts w:asciiTheme="minorHAnsi" w:eastAsiaTheme="minorEastAsia" w:hAnsiTheme="minorHAnsi" w:cstheme="minorBidi"/>
          <w:noProof/>
          <w:sz w:val="22"/>
          <w:lang w:eastAsia="en-AU"/>
        </w:rPr>
      </w:pPr>
      <w:hyperlink w:anchor="_Toc51050141" w:history="1">
        <w:r w:rsidR="003B3C84" w:rsidRPr="00B748DC">
          <w:rPr>
            <w:rStyle w:val="Hyperlink"/>
            <w:noProof/>
          </w:rPr>
          <w:t>Housing</w:t>
        </w:r>
        <w:r w:rsidR="003B3C84">
          <w:rPr>
            <w:noProof/>
            <w:webHidden/>
          </w:rPr>
          <w:tab/>
        </w:r>
        <w:r w:rsidR="003B3C84">
          <w:rPr>
            <w:noProof/>
            <w:webHidden/>
          </w:rPr>
          <w:fldChar w:fldCharType="begin"/>
        </w:r>
        <w:r w:rsidR="003B3C84">
          <w:rPr>
            <w:noProof/>
            <w:webHidden/>
          </w:rPr>
          <w:instrText xml:space="preserve"> PAGEREF _Toc51050141 \h </w:instrText>
        </w:r>
        <w:r w:rsidR="003B3C84">
          <w:rPr>
            <w:noProof/>
            <w:webHidden/>
          </w:rPr>
        </w:r>
        <w:r w:rsidR="003B3C84">
          <w:rPr>
            <w:noProof/>
            <w:webHidden/>
          </w:rPr>
          <w:fldChar w:fldCharType="separate"/>
        </w:r>
        <w:r w:rsidR="00854605">
          <w:rPr>
            <w:noProof/>
            <w:webHidden/>
          </w:rPr>
          <w:t>19</w:t>
        </w:r>
        <w:r w:rsidR="003B3C84">
          <w:rPr>
            <w:noProof/>
            <w:webHidden/>
          </w:rPr>
          <w:fldChar w:fldCharType="end"/>
        </w:r>
      </w:hyperlink>
    </w:p>
    <w:p w14:paraId="5EE503A4" w14:textId="671483F2" w:rsidR="003B3C84" w:rsidRDefault="009A02F3">
      <w:pPr>
        <w:pStyle w:val="TOC3"/>
        <w:rPr>
          <w:rFonts w:asciiTheme="minorHAnsi" w:eastAsiaTheme="minorEastAsia" w:hAnsiTheme="minorHAnsi" w:cstheme="minorBidi"/>
          <w:noProof/>
          <w:sz w:val="22"/>
          <w:lang w:eastAsia="en-AU"/>
        </w:rPr>
      </w:pPr>
      <w:hyperlink w:anchor="_Toc51050142" w:history="1">
        <w:r w:rsidR="003B3C84" w:rsidRPr="00B748DC">
          <w:rPr>
            <w:rStyle w:val="Hyperlink"/>
            <w:noProof/>
          </w:rPr>
          <w:t>Rental affordability</w:t>
        </w:r>
        <w:r w:rsidR="003B3C84">
          <w:rPr>
            <w:noProof/>
            <w:webHidden/>
          </w:rPr>
          <w:tab/>
        </w:r>
        <w:r w:rsidR="003B3C84">
          <w:rPr>
            <w:noProof/>
            <w:webHidden/>
          </w:rPr>
          <w:fldChar w:fldCharType="begin"/>
        </w:r>
        <w:r w:rsidR="003B3C84">
          <w:rPr>
            <w:noProof/>
            <w:webHidden/>
          </w:rPr>
          <w:instrText xml:space="preserve"> PAGEREF _Toc51050142 \h </w:instrText>
        </w:r>
        <w:r w:rsidR="003B3C84">
          <w:rPr>
            <w:noProof/>
            <w:webHidden/>
          </w:rPr>
        </w:r>
        <w:r w:rsidR="003B3C84">
          <w:rPr>
            <w:noProof/>
            <w:webHidden/>
          </w:rPr>
          <w:fldChar w:fldCharType="separate"/>
        </w:r>
        <w:r w:rsidR="00854605">
          <w:rPr>
            <w:noProof/>
            <w:webHidden/>
          </w:rPr>
          <w:t>20</w:t>
        </w:r>
        <w:r w:rsidR="003B3C84">
          <w:rPr>
            <w:noProof/>
            <w:webHidden/>
          </w:rPr>
          <w:fldChar w:fldCharType="end"/>
        </w:r>
      </w:hyperlink>
    </w:p>
    <w:p w14:paraId="12C99488" w14:textId="25980B70" w:rsidR="003B3C84" w:rsidRDefault="009A02F3">
      <w:pPr>
        <w:pStyle w:val="TOC3"/>
        <w:rPr>
          <w:rFonts w:asciiTheme="minorHAnsi" w:eastAsiaTheme="minorEastAsia" w:hAnsiTheme="minorHAnsi" w:cstheme="minorBidi"/>
          <w:noProof/>
          <w:sz w:val="22"/>
          <w:lang w:eastAsia="en-AU"/>
        </w:rPr>
      </w:pPr>
      <w:hyperlink w:anchor="_Toc51050143" w:history="1">
        <w:r w:rsidR="003B3C84" w:rsidRPr="00B748DC">
          <w:rPr>
            <w:rStyle w:val="Hyperlink"/>
            <w:noProof/>
          </w:rPr>
          <w:t>Low-income homeowners</w:t>
        </w:r>
        <w:r w:rsidR="003B3C84">
          <w:rPr>
            <w:noProof/>
            <w:webHidden/>
          </w:rPr>
          <w:tab/>
        </w:r>
        <w:r w:rsidR="003B3C84">
          <w:rPr>
            <w:noProof/>
            <w:webHidden/>
          </w:rPr>
          <w:fldChar w:fldCharType="begin"/>
        </w:r>
        <w:r w:rsidR="003B3C84">
          <w:rPr>
            <w:noProof/>
            <w:webHidden/>
          </w:rPr>
          <w:instrText xml:space="preserve"> PAGEREF _Toc51050143 \h </w:instrText>
        </w:r>
        <w:r w:rsidR="003B3C84">
          <w:rPr>
            <w:noProof/>
            <w:webHidden/>
          </w:rPr>
        </w:r>
        <w:r w:rsidR="003B3C84">
          <w:rPr>
            <w:noProof/>
            <w:webHidden/>
          </w:rPr>
          <w:fldChar w:fldCharType="separate"/>
        </w:r>
        <w:r w:rsidR="00854605">
          <w:rPr>
            <w:noProof/>
            <w:webHidden/>
          </w:rPr>
          <w:t>27</w:t>
        </w:r>
        <w:r w:rsidR="003B3C84">
          <w:rPr>
            <w:noProof/>
            <w:webHidden/>
          </w:rPr>
          <w:fldChar w:fldCharType="end"/>
        </w:r>
      </w:hyperlink>
    </w:p>
    <w:p w14:paraId="5A53D2BD" w14:textId="2BB903E7" w:rsidR="003B3C84" w:rsidRDefault="009A02F3">
      <w:pPr>
        <w:pStyle w:val="TOC2"/>
        <w:rPr>
          <w:rFonts w:asciiTheme="minorHAnsi" w:eastAsiaTheme="minorEastAsia" w:hAnsiTheme="minorHAnsi" w:cstheme="minorBidi"/>
          <w:noProof/>
          <w:sz w:val="22"/>
          <w:lang w:eastAsia="en-AU"/>
        </w:rPr>
      </w:pPr>
      <w:hyperlink w:anchor="_Toc51050144" w:history="1">
        <w:r w:rsidR="003B3C84" w:rsidRPr="00B748DC">
          <w:rPr>
            <w:rStyle w:val="Hyperlink"/>
            <w:noProof/>
          </w:rPr>
          <w:t>Health</w:t>
        </w:r>
        <w:r w:rsidR="003B3C84">
          <w:rPr>
            <w:noProof/>
            <w:webHidden/>
          </w:rPr>
          <w:tab/>
        </w:r>
        <w:r w:rsidR="003B3C84">
          <w:rPr>
            <w:noProof/>
            <w:webHidden/>
          </w:rPr>
          <w:fldChar w:fldCharType="begin"/>
        </w:r>
        <w:r w:rsidR="003B3C84">
          <w:rPr>
            <w:noProof/>
            <w:webHidden/>
          </w:rPr>
          <w:instrText xml:space="preserve"> PAGEREF _Toc51050144 \h </w:instrText>
        </w:r>
        <w:r w:rsidR="003B3C84">
          <w:rPr>
            <w:noProof/>
            <w:webHidden/>
          </w:rPr>
        </w:r>
        <w:r w:rsidR="003B3C84">
          <w:rPr>
            <w:noProof/>
            <w:webHidden/>
          </w:rPr>
          <w:fldChar w:fldCharType="separate"/>
        </w:r>
        <w:r w:rsidR="00854605">
          <w:rPr>
            <w:noProof/>
            <w:webHidden/>
          </w:rPr>
          <w:t>31</w:t>
        </w:r>
        <w:r w:rsidR="003B3C84">
          <w:rPr>
            <w:noProof/>
            <w:webHidden/>
          </w:rPr>
          <w:fldChar w:fldCharType="end"/>
        </w:r>
      </w:hyperlink>
    </w:p>
    <w:p w14:paraId="5CC87260" w14:textId="63519D5D" w:rsidR="003B3C84" w:rsidRDefault="009A02F3">
      <w:pPr>
        <w:pStyle w:val="TOC1"/>
        <w:rPr>
          <w:rFonts w:asciiTheme="minorHAnsi" w:eastAsiaTheme="minorEastAsia" w:hAnsiTheme="minorHAnsi" w:cstheme="minorBidi"/>
          <w:b w:val="0"/>
          <w:noProof/>
          <w:sz w:val="22"/>
          <w:lang w:eastAsia="en-AU"/>
        </w:rPr>
      </w:pPr>
      <w:hyperlink w:anchor="_Toc51050145" w:history="1">
        <w:r w:rsidR="003B3C84" w:rsidRPr="00B748DC">
          <w:rPr>
            <w:rStyle w:val="Hyperlink"/>
            <w:noProof/>
          </w:rPr>
          <w:t xml:space="preserve">Tracking changes in the cost of living for low-income </w:t>
        </w:r>
        <w:r w:rsidR="00506880">
          <w:rPr>
            <w:rStyle w:val="Hyperlink"/>
            <w:noProof/>
          </w:rPr>
          <w:br/>
        </w:r>
        <w:r w:rsidR="003B3C84" w:rsidRPr="00B748DC">
          <w:rPr>
            <w:rStyle w:val="Hyperlink"/>
            <w:noProof/>
          </w:rPr>
          <w:t>households: SLCI</w:t>
        </w:r>
        <w:r w:rsidR="003B3C84">
          <w:rPr>
            <w:noProof/>
            <w:webHidden/>
          </w:rPr>
          <w:tab/>
        </w:r>
        <w:r w:rsidR="003B3C84">
          <w:rPr>
            <w:noProof/>
            <w:webHidden/>
          </w:rPr>
          <w:fldChar w:fldCharType="begin"/>
        </w:r>
        <w:r w:rsidR="003B3C84">
          <w:rPr>
            <w:noProof/>
            <w:webHidden/>
          </w:rPr>
          <w:instrText xml:space="preserve"> PAGEREF _Toc51050145 \h </w:instrText>
        </w:r>
        <w:r w:rsidR="003B3C84">
          <w:rPr>
            <w:noProof/>
            <w:webHidden/>
          </w:rPr>
        </w:r>
        <w:r w:rsidR="003B3C84">
          <w:rPr>
            <w:noProof/>
            <w:webHidden/>
          </w:rPr>
          <w:fldChar w:fldCharType="separate"/>
        </w:r>
        <w:r w:rsidR="00854605">
          <w:rPr>
            <w:noProof/>
            <w:webHidden/>
          </w:rPr>
          <w:t>32</w:t>
        </w:r>
        <w:r w:rsidR="003B3C84">
          <w:rPr>
            <w:noProof/>
            <w:webHidden/>
          </w:rPr>
          <w:fldChar w:fldCharType="end"/>
        </w:r>
      </w:hyperlink>
    </w:p>
    <w:p w14:paraId="10D8C54A" w14:textId="541F47D4" w:rsidR="003B3C84" w:rsidRDefault="009A02F3">
      <w:pPr>
        <w:pStyle w:val="TOC1"/>
        <w:rPr>
          <w:rFonts w:asciiTheme="minorHAnsi" w:eastAsiaTheme="minorEastAsia" w:hAnsiTheme="minorHAnsi" w:cstheme="minorBidi"/>
          <w:b w:val="0"/>
          <w:noProof/>
          <w:sz w:val="22"/>
          <w:lang w:eastAsia="en-AU"/>
        </w:rPr>
      </w:pPr>
      <w:hyperlink w:anchor="_Toc51050146" w:history="1">
        <w:r w:rsidR="003B3C84" w:rsidRPr="00B748DC">
          <w:rPr>
            <w:rStyle w:val="Hyperlink"/>
            <w:noProof/>
          </w:rPr>
          <w:t>Taking action on cost of living in the ACT</w:t>
        </w:r>
        <w:r w:rsidR="003B3C84">
          <w:rPr>
            <w:noProof/>
            <w:webHidden/>
          </w:rPr>
          <w:tab/>
        </w:r>
        <w:r w:rsidR="003B3C84">
          <w:rPr>
            <w:noProof/>
            <w:webHidden/>
          </w:rPr>
          <w:fldChar w:fldCharType="begin"/>
        </w:r>
        <w:r w:rsidR="003B3C84">
          <w:rPr>
            <w:noProof/>
            <w:webHidden/>
          </w:rPr>
          <w:instrText xml:space="preserve"> PAGEREF _Toc51050146 \h </w:instrText>
        </w:r>
        <w:r w:rsidR="003B3C84">
          <w:rPr>
            <w:noProof/>
            <w:webHidden/>
          </w:rPr>
        </w:r>
        <w:r w:rsidR="003B3C84">
          <w:rPr>
            <w:noProof/>
            <w:webHidden/>
          </w:rPr>
          <w:fldChar w:fldCharType="separate"/>
        </w:r>
        <w:r w:rsidR="00854605">
          <w:rPr>
            <w:noProof/>
            <w:webHidden/>
          </w:rPr>
          <w:t>42</w:t>
        </w:r>
        <w:r w:rsidR="003B3C84">
          <w:rPr>
            <w:noProof/>
            <w:webHidden/>
          </w:rPr>
          <w:fldChar w:fldCharType="end"/>
        </w:r>
      </w:hyperlink>
    </w:p>
    <w:p w14:paraId="67155763" w14:textId="1FE0646D" w:rsidR="003B3C84" w:rsidRDefault="009A02F3">
      <w:pPr>
        <w:pStyle w:val="TOC1"/>
        <w:rPr>
          <w:rFonts w:asciiTheme="minorHAnsi" w:eastAsiaTheme="minorEastAsia" w:hAnsiTheme="minorHAnsi" w:cstheme="minorBidi"/>
          <w:b w:val="0"/>
          <w:noProof/>
          <w:sz w:val="22"/>
          <w:lang w:eastAsia="en-AU"/>
        </w:rPr>
      </w:pPr>
      <w:hyperlink w:anchor="_Toc51050147" w:history="1">
        <w:r w:rsidR="003B3C84" w:rsidRPr="00B748DC">
          <w:rPr>
            <w:rStyle w:val="Hyperlink"/>
            <w:noProof/>
          </w:rPr>
          <w:t>Conclusion</w:t>
        </w:r>
        <w:r w:rsidR="003B3C84">
          <w:rPr>
            <w:noProof/>
            <w:webHidden/>
          </w:rPr>
          <w:tab/>
        </w:r>
        <w:r w:rsidR="003B3C84">
          <w:rPr>
            <w:noProof/>
            <w:webHidden/>
          </w:rPr>
          <w:fldChar w:fldCharType="begin"/>
        </w:r>
        <w:r w:rsidR="003B3C84">
          <w:rPr>
            <w:noProof/>
            <w:webHidden/>
          </w:rPr>
          <w:instrText xml:space="preserve"> PAGEREF _Toc51050147 \h </w:instrText>
        </w:r>
        <w:r w:rsidR="003B3C84">
          <w:rPr>
            <w:noProof/>
            <w:webHidden/>
          </w:rPr>
        </w:r>
        <w:r w:rsidR="003B3C84">
          <w:rPr>
            <w:noProof/>
            <w:webHidden/>
          </w:rPr>
          <w:fldChar w:fldCharType="separate"/>
        </w:r>
        <w:r w:rsidR="00854605">
          <w:rPr>
            <w:noProof/>
            <w:webHidden/>
          </w:rPr>
          <w:t>45</w:t>
        </w:r>
        <w:r w:rsidR="003B3C84">
          <w:rPr>
            <w:noProof/>
            <w:webHidden/>
          </w:rPr>
          <w:fldChar w:fldCharType="end"/>
        </w:r>
      </w:hyperlink>
    </w:p>
    <w:p w14:paraId="38C650F3" w14:textId="4DD6FCCB" w:rsidR="003B3C84" w:rsidRDefault="009A02F3">
      <w:pPr>
        <w:pStyle w:val="TOC1"/>
        <w:rPr>
          <w:rFonts w:asciiTheme="minorHAnsi" w:eastAsiaTheme="minorEastAsia" w:hAnsiTheme="minorHAnsi" w:cstheme="minorBidi"/>
          <w:b w:val="0"/>
          <w:noProof/>
          <w:sz w:val="22"/>
          <w:lang w:eastAsia="en-AU"/>
        </w:rPr>
      </w:pPr>
      <w:hyperlink w:anchor="_Toc51050148" w:history="1">
        <w:r w:rsidR="003B3C84" w:rsidRPr="00B748DC">
          <w:rPr>
            <w:rStyle w:val="Hyperlink"/>
            <w:rFonts w:cs="Arial"/>
            <w:bCs/>
            <w:noProof/>
            <w:kern w:val="32"/>
          </w:rPr>
          <w:t xml:space="preserve">Appendix: Explanatory </w:t>
        </w:r>
        <w:r w:rsidR="00506880">
          <w:rPr>
            <w:rStyle w:val="Hyperlink"/>
            <w:rFonts w:cs="Arial"/>
            <w:bCs/>
            <w:noProof/>
            <w:kern w:val="32"/>
          </w:rPr>
          <w:t>n</w:t>
        </w:r>
        <w:r w:rsidR="003B3C84" w:rsidRPr="00B748DC">
          <w:rPr>
            <w:rStyle w:val="Hyperlink"/>
            <w:rFonts w:cs="Arial"/>
            <w:bCs/>
            <w:noProof/>
            <w:kern w:val="32"/>
          </w:rPr>
          <w:t>otes</w:t>
        </w:r>
        <w:r w:rsidR="003B3C84">
          <w:rPr>
            <w:noProof/>
            <w:webHidden/>
          </w:rPr>
          <w:tab/>
        </w:r>
        <w:r w:rsidR="003B3C84">
          <w:rPr>
            <w:noProof/>
            <w:webHidden/>
          </w:rPr>
          <w:fldChar w:fldCharType="begin"/>
        </w:r>
        <w:r w:rsidR="003B3C84">
          <w:rPr>
            <w:noProof/>
            <w:webHidden/>
          </w:rPr>
          <w:instrText xml:space="preserve"> PAGEREF _Toc51050148 \h </w:instrText>
        </w:r>
        <w:r w:rsidR="003B3C84">
          <w:rPr>
            <w:noProof/>
            <w:webHidden/>
          </w:rPr>
        </w:r>
        <w:r w:rsidR="003B3C84">
          <w:rPr>
            <w:noProof/>
            <w:webHidden/>
          </w:rPr>
          <w:fldChar w:fldCharType="separate"/>
        </w:r>
        <w:r w:rsidR="00854605">
          <w:rPr>
            <w:noProof/>
            <w:webHidden/>
          </w:rPr>
          <w:t>46</w:t>
        </w:r>
        <w:r w:rsidR="003B3C84">
          <w:rPr>
            <w:noProof/>
            <w:webHidden/>
          </w:rPr>
          <w:fldChar w:fldCharType="end"/>
        </w:r>
      </w:hyperlink>
    </w:p>
    <w:p w14:paraId="2B1C47E8" w14:textId="266F1509" w:rsidR="003B3C84" w:rsidRPr="000F20C9" w:rsidRDefault="009A02F3">
      <w:pPr>
        <w:pStyle w:val="TOC2"/>
        <w:rPr>
          <w:rFonts w:asciiTheme="minorHAnsi" w:eastAsiaTheme="minorEastAsia" w:hAnsiTheme="minorHAnsi" w:cstheme="minorBidi"/>
          <w:noProof/>
          <w:sz w:val="22"/>
          <w:lang w:eastAsia="en-AU"/>
        </w:rPr>
      </w:pPr>
      <w:hyperlink w:anchor="_Toc51050149" w:history="1">
        <w:r w:rsidR="003B3C84" w:rsidRPr="000F20C9">
          <w:rPr>
            <w:rStyle w:val="Hyperlink"/>
            <w:rFonts w:cs="Arial"/>
            <w:iCs/>
            <w:noProof/>
            <w:kern w:val="32"/>
          </w:rPr>
          <w:t>Consumer Price Index and Selected Living Cost Indexes</w:t>
        </w:r>
        <w:r w:rsidR="003B3C84" w:rsidRPr="000F20C9">
          <w:rPr>
            <w:noProof/>
            <w:webHidden/>
          </w:rPr>
          <w:tab/>
        </w:r>
        <w:r w:rsidR="003B3C84" w:rsidRPr="000F20C9">
          <w:rPr>
            <w:noProof/>
            <w:webHidden/>
          </w:rPr>
          <w:fldChar w:fldCharType="begin"/>
        </w:r>
        <w:r w:rsidR="003B3C84" w:rsidRPr="000F20C9">
          <w:rPr>
            <w:noProof/>
            <w:webHidden/>
          </w:rPr>
          <w:instrText xml:space="preserve"> PAGEREF _Toc51050149 \h </w:instrText>
        </w:r>
        <w:r w:rsidR="003B3C84" w:rsidRPr="000F20C9">
          <w:rPr>
            <w:noProof/>
            <w:webHidden/>
          </w:rPr>
        </w:r>
        <w:r w:rsidR="003B3C84" w:rsidRPr="000F20C9">
          <w:rPr>
            <w:noProof/>
            <w:webHidden/>
          </w:rPr>
          <w:fldChar w:fldCharType="separate"/>
        </w:r>
        <w:r w:rsidR="00854605">
          <w:rPr>
            <w:noProof/>
            <w:webHidden/>
          </w:rPr>
          <w:t>46</w:t>
        </w:r>
        <w:r w:rsidR="003B3C84" w:rsidRPr="000F20C9">
          <w:rPr>
            <w:noProof/>
            <w:webHidden/>
          </w:rPr>
          <w:fldChar w:fldCharType="end"/>
        </w:r>
      </w:hyperlink>
    </w:p>
    <w:p w14:paraId="76FF49A6" w14:textId="68B496BF" w:rsidR="003B3C84" w:rsidRPr="000F20C9" w:rsidRDefault="009A02F3">
      <w:pPr>
        <w:pStyle w:val="TOC2"/>
        <w:rPr>
          <w:rFonts w:asciiTheme="minorHAnsi" w:eastAsiaTheme="minorEastAsia" w:hAnsiTheme="minorHAnsi" w:cstheme="minorBidi"/>
          <w:noProof/>
          <w:sz w:val="22"/>
          <w:lang w:eastAsia="en-AU"/>
        </w:rPr>
      </w:pPr>
      <w:hyperlink w:anchor="_Toc51050150" w:history="1">
        <w:r w:rsidR="003B3C84" w:rsidRPr="000F20C9">
          <w:rPr>
            <w:rStyle w:val="Hyperlink"/>
            <w:rFonts w:cs="Arial"/>
            <w:iCs/>
            <w:noProof/>
            <w:kern w:val="32"/>
          </w:rPr>
          <w:t>Limitations of the Selected Living Cost Indexes</w:t>
        </w:r>
        <w:r w:rsidR="003B3C84" w:rsidRPr="000F20C9">
          <w:rPr>
            <w:noProof/>
            <w:webHidden/>
          </w:rPr>
          <w:tab/>
        </w:r>
        <w:r w:rsidR="003B3C84" w:rsidRPr="000F20C9">
          <w:rPr>
            <w:noProof/>
            <w:webHidden/>
          </w:rPr>
          <w:fldChar w:fldCharType="begin"/>
        </w:r>
        <w:r w:rsidR="003B3C84" w:rsidRPr="000F20C9">
          <w:rPr>
            <w:noProof/>
            <w:webHidden/>
          </w:rPr>
          <w:instrText xml:space="preserve"> PAGEREF _Toc51050150 \h </w:instrText>
        </w:r>
        <w:r w:rsidR="003B3C84" w:rsidRPr="000F20C9">
          <w:rPr>
            <w:noProof/>
            <w:webHidden/>
          </w:rPr>
        </w:r>
        <w:r w:rsidR="003B3C84" w:rsidRPr="000F20C9">
          <w:rPr>
            <w:noProof/>
            <w:webHidden/>
          </w:rPr>
          <w:fldChar w:fldCharType="separate"/>
        </w:r>
        <w:r w:rsidR="00854605">
          <w:rPr>
            <w:noProof/>
            <w:webHidden/>
          </w:rPr>
          <w:t>46</w:t>
        </w:r>
        <w:r w:rsidR="003B3C84" w:rsidRPr="000F20C9">
          <w:rPr>
            <w:noProof/>
            <w:webHidden/>
          </w:rPr>
          <w:fldChar w:fldCharType="end"/>
        </w:r>
      </w:hyperlink>
    </w:p>
    <w:p w14:paraId="3AB95240" w14:textId="3C0469FB" w:rsidR="003B3C84" w:rsidRPr="000F20C9" w:rsidRDefault="009A02F3">
      <w:pPr>
        <w:pStyle w:val="TOC2"/>
        <w:rPr>
          <w:rFonts w:asciiTheme="minorHAnsi" w:eastAsiaTheme="minorEastAsia" w:hAnsiTheme="minorHAnsi" w:cstheme="minorBidi"/>
          <w:noProof/>
          <w:sz w:val="22"/>
          <w:lang w:eastAsia="en-AU"/>
        </w:rPr>
      </w:pPr>
      <w:hyperlink w:anchor="_Toc51050151" w:history="1">
        <w:r w:rsidR="003B3C84" w:rsidRPr="000F20C9">
          <w:rPr>
            <w:rStyle w:val="Hyperlink"/>
            <w:rFonts w:cs="Arial"/>
            <w:iCs/>
            <w:noProof/>
            <w:kern w:val="32"/>
          </w:rPr>
          <w:t xml:space="preserve">Income support payment calculations – December 2018 to </w:t>
        </w:r>
        <w:r w:rsidR="00506880" w:rsidRPr="000F20C9">
          <w:rPr>
            <w:rStyle w:val="Hyperlink"/>
            <w:rFonts w:cs="Arial"/>
            <w:iCs/>
            <w:noProof/>
            <w:kern w:val="32"/>
          </w:rPr>
          <w:br/>
        </w:r>
        <w:r w:rsidR="003B3C84" w:rsidRPr="000F20C9">
          <w:rPr>
            <w:rStyle w:val="Hyperlink"/>
            <w:rFonts w:cs="Arial"/>
            <w:iCs/>
            <w:noProof/>
            <w:kern w:val="32"/>
          </w:rPr>
          <w:t>December 2019</w:t>
        </w:r>
        <w:r w:rsidR="003B3C84" w:rsidRPr="000F20C9">
          <w:rPr>
            <w:noProof/>
            <w:webHidden/>
          </w:rPr>
          <w:tab/>
        </w:r>
        <w:r w:rsidR="003B3C84" w:rsidRPr="000F20C9">
          <w:rPr>
            <w:noProof/>
            <w:webHidden/>
          </w:rPr>
          <w:fldChar w:fldCharType="begin"/>
        </w:r>
        <w:r w:rsidR="003B3C84" w:rsidRPr="000F20C9">
          <w:rPr>
            <w:noProof/>
            <w:webHidden/>
          </w:rPr>
          <w:instrText xml:space="preserve"> PAGEREF _Toc51050151 \h </w:instrText>
        </w:r>
        <w:r w:rsidR="003B3C84" w:rsidRPr="000F20C9">
          <w:rPr>
            <w:noProof/>
            <w:webHidden/>
          </w:rPr>
        </w:r>
        <w:r w:rsidR="003B3C84" w:rsidRPr="000F20C9">
          <w:rPr>
            <w:noProof/>
            <w:webHidden/>
          </w:rPr>
          <w:fldChar w:fldCharType="separate"/>
        </w:r>
        <w:r w:rsidR="00854605">
          <w:rPr>
            <w:noProof/>
            <w:webHidden/>
          </w:rPr>
          <w:t>47</w:t>
        </w:r>
        <w:r w:rsidR="003B3C84" w:rsidRPr="000F20C9">
          <w:rPr>
            <w:noProof/>
            <w:webHidden/>
          </w:rPr>
          <w:fldChar w:fldCharType="end"/>
        </w:r>
      </w:hyperlink>
    </w:p>
    <w:p w14:paraId="72953F48" w14:textId="49E4EECA" w:rsidR="003B3C84" w:rsidRPr="000F20C9" w:rsidRDefault="009A02F3">
      <w:pPr>
        <w:pStyle w:val="TOC2"/>
        <w:rPr>
          <w:rFonts w:asciiTheme="minorHAnsi" w:eastAsiaTheme="minorEastAsia" w:hAnsiTheme="minorHAnsi" w:cstheme="minorBidi"/>
          <w:noProof/>
          <w:sz w:val="22"/>
          <w:lang w:eastAsia="en-AU"/>
        </w:rPr>
      </w:pPr>
      <w:hyperlink w:anchor="_Toc51050152" w:history="1">
        <w:r w:rsidR="003B3C84" w:rsidRPr="000F20C9">
          <w:rPr>
            <w:rStyle w:val="Hyperlink"/>
            <w:rFonts w:cs="Arial"/>
            <w:iCs/>
            <w:noProof/>
            <w:kern w:val="32"/>
          </w:rPr>
          <w:t>How Pension rates are adjusted</w:t>
        </w:r>
        <w:r w:rsidR="003B3C84" w:rsidRPr="000F20C9">
          <w:rPr>
            <w:noProof/>
            <w:webHidden/>
          </w:rPr>
          <w:tab/>
        </w:r>
        <w:r w:rsidR="003B3C84" w:rsidRPr="000F20C9">
          <w:rPr>
            <w:noProof/>
            <w:webHidden/>
          </w:rPr>
          <w:fldChar w:fldCharType="begin"/>
        </w:r>
        <w:r w:rsidR="003B3C84" w:rsidRPr="000F20C9">
          <w:rPr>
            <w:noProof/>
            <w:webHidden/>
          </w:rPr>
          <w:instrText xml:space="preserve"> PAGEREF _Toc51050152 \h </w:instrText>
        </w:r>
        <w:r w:rsidR="003B3C84" w:rsidRPr="000F20C9">
          <w:rPr>
            <w:noProof/>
            <w:webHidden/>
          </w:rPr>
        </w:r>
        <w:r w:rsidR="003B3C84" w:rsidRPr="000F20C9">
          <w:rPr>
            <w:noProof/>
            <w:webHidden/>
          </w:rPr>
          <w:fldChar w:fldCharType="separate"/>
        </w:r>
        <w:r w:rsidR="00854605">
          <w:rPr>
            <w:noProof/>
            <w:webHidden/>
          </w:rPr>
          <w:t>48</w:t>
        </w:r>
        <w:r w:rsidR="003B3C84" w:rsidRPr="000F20C9">
          <w:rPr>
            <w:noProof/>
            <w:webHidden/>
          </w:rPr>
          <w:fldChar w:fldCharType="end"/>
        </w:r>
      </w:hyperlink>
    </w:p>
    <w:p w14:paraId="4F93FAA1" w14:textId="2D5DB717" w:rsidR="00AB255D" w:rsidRPr="00CA7855" w:rsidRDefault="00AB255D" w:rsidP="00F62238">
      <w:pPr>
        <w:pStyle w:val="BodyText"/>
      </w:pPr>
      <w:r w:rsidRPr="00CA7855">
        <w:fldChar w:fldCharType="end"/>
      </w:r>
    </w:p>
    <w:p w14:paraId="7B02E4FA" w14:textId="77777777" w:rsidR="00AB255D" w:rsidRPr="00CA7855" w:rsidRDefault="00AB255D" w:rsidP="00AB255D">
      <w:pPr>
        <w:pStyle w:val="Heading1-Pagebreakbefore"/>
      </w:pPr>
      <w:bookmarkStart w:id="0" w:name="_Toc51050134"/>
      <w:r w:rsidRPr="00CA7855">
        <w:lastRenderedPageBreak/>
        <w:t>Acronyms</w:t>
      </w:r>
      <w:bookmarkEnd w:id="0"/>
    </w:p>
    <w:p w14:paraId="373287A4" w14:textId="4CA86398" w:rsidR="00EC1E58" w:rsidRDefault="00EC1E58" w:rsidP="00AB255D">
      <w:pPr>
        <w:pStyle w:val="AcronymsList"/>
      </w:pPr>
      <w:r>
        <w:t>ABS</w:t>
      </w:r>
      <w:r>
        <w:tab/>
        <w:t>Australian Bureau of Statistics</w:t>
      </w:r>
    </w:p>
    <w:p w14:paraId="7301A4B8" w14:textId="1F476A36" w:rsidR="00EC1E58" w:rsidRDefault="00EC1E58" w:rsidP="00AB255D">
      <w:pPr>
        <w:pStyle w:val="AcronymsList"/>
      </w:pPr>
      <w:r>
        <w:t>ACOSS</w:t>
      </w:r>
      <w:r>
        <w:tab/>
        <w:t>Australian Council of Social Service</w:t>
      </w:r>
    </w:p>
    <w:p w14:paraId="11C26213" w14:textId="57652E9E" w:rsidR="00206605" w:rsidRDefault="00206605" w:rsidP="00AB255D">
      <w:pPr>
        <w:pStyle w:val="AcronymsList"/>
      </w:pPr>
      <w:r>
        <w:t>ACT</w:t>
      </w:r>
      <w:r>
        <w:tab/>
        <w:t>Australian Capital Territory</w:t>
      </w:r>
    </w:p>
    <w:p w14:paraId="391739A4" w14:textId="7993D3D5" w:rsidR="00AB255D" w:rsidRPr="00CA7855" w:rsidRDefault="00703089" w:rsidP="00AB255D">
      <w:pPr>
        <w:pStyle w:val="AcronymsList"/>
      </w:pPr>
      <w:r>
        <w:t>ACTCOSS</w:t>
      </w:r>
      <w:r>
        <w:tab/>
        <w:t>ACT Council of S</w:t>
      </w:r>
      <w:r w:rsidR="00AB255D" w:rsidRPr="00CA7855">
        <w:t>ocial Service Inc.</w:t>
      </w:r>
    </w:p>
    <w:p w14:paraId="4B0B14EE" w14:textId="260A579B" w:rsidR="00AB255D" w:rsidRDefault="00EC1E58" w:rsidP="00776BAC">
      <w:pPr>
        <w:pStyle w:val="AcronymsList"/>
      </w:pPr>
      <w:r>
        <w:t>CPI</w:t>
      </w:r>
      <w:r>
        <w:tab/>
        <w:t>Consumer Price Index</w:t>
      </w:r>
    </w:p>
    <w:p w14:paraId="75CF894E" w14:textId="5CB9AA67" w:rsidR="009445E1" w:rsidRDefault="009445E1" w:rsidP="00776BAC">
      <w:pPr>
        <w:pStyle w:val="AcronymsList"/>
      </w:pPr>
      <w:r>
        <w:t>CRA</w:t>
      </w:r>
      <w:r>
        <w:tab/>
      </w:r>
      <w:r w:rsidR="00EA753E" w:rsidRPr="00EA753E">
        <w:t>Commonwealth Rent Assistance</w:t>
      </w:r>
    </w:p>
    <w:p w14:paraId="59CB18F8" w14:textId="3F9D1BC4" w:rsidR="007F24D6" w:rsidRDefault="007F24D6" w:rsidP="00776BAC">
      <w:pPr>
        <w:pStyle w:val="AcronymsList"/>
      </w:pPr>
      <w:r>
        <w:t>GDP</w:t>
      </w:r>
      <w:r>
        <w:tab/>
        <w:t>Gross Domestic Product</w:t>
      </w:r>
    </w:p>
    <w:p w14:paraId="093EF2FE" w14:textId="52CD001C" w:rsidR="00AD2F17" w:rsidRDefault="00AD2F17" w:rsidP="00776BAC">
      <w:pPr>
        <w:pStyle w:val="AcronymsList"/>
      </w:pPr>
      <w:r>
        <w:t>GP</w:t>
      </w:r>
      <w:r>
        <w:tab/>
        <w:t>General Practitioner</w:t>
      </w:r>
    </w:p>
    <w:p w14:paraId="107CF35A" w14:textId="30817CF5" w:rsidR="0039354A" w:rsidRDefault="0039354A" w:rsidP="00776BAC">
      <w:pPr>
        <w:pStyle w:val="AcronymsList"/>
      </w:pPr>
      <w:r>
        <w:t>ICRC</w:t>
      </w:r>
      <w:r>
        <w:tab/>
        <w:t>Independent Competition and Regulatory Commission</w:t>
      </w:r>
    </w:p>
    <w:p w14:paraId="6FC2AB3F" w14:textId="6EB5740E" w:rsidR="000B6ECF" w:rsidRDefault="000B6ECF" w:rsidP="00776BAC">
      <w:pPr>
        <w:pStyle w:val="AcronymsList"/>
      </w:pPr>
      <w:r>
        <w:t>LCI</w:t>
      </w:r>
      <w:r>
        <w:tab/>
        <w:t>Living Cost Index</w:t>
      </w:r>
    </w:p>
    <w:p w14:paraId="0C635F21" w14:textId="2E7666AA" w:rsidR="00B86C7F" w:rsidRDefault="00B86C7F" w:rsidP="00776BAC">
      <w:pPr>
        <w:pStyle w:val="AcronymsList"/>
      </w:pPr>
      <w:r>
        <w:t>NATSEM</w:t>
      </w:r>
      <w:r>
        <w:tab/>
        <w:t>National Centre for Social and Economic Modelling (University of Canberra)</w:t>
      </w:r>
    </w:p>
    <w:p w14:paraId="4232222A" w14:textId="6A51EE06" w:rsidR="004F6D18" w:rsidRDefault="004F6D18" w:rsidP="00776BAC">
      <w:pPr>
        <w:pStyle w:val="AcronymsList"/>
      </w:pPr>
      <w:r>
        <w:t>RAI</w:t>
      </w:r>
      <w:r>
        <w:tab/>
        <w:t>Rental Affordability Index</w:t>
      </w:r>
    </w:p>
    <w:p w14:paraId="6425538A" w14:textId="453BE927" w:rsidR="00C86E15" w:rsidRDefault="00C86E15" w:rsidP="00776BAC">
      <w:pPr>
        <w:pStyle w:val="AcronymsList"/>
      </w:pPr>
      <w:r>
        <w:t>SACOSS</w:t>
      </w:r>
      <w:r>
        <w:tab/>
        <w:t>South Australian Council of Social Service</w:t>
      </w:r>
    </w:p>
    <w:p w14:paraId="4FEDB614" w14:textId="50BE97D7" w:rsidR="00EC1E58" w:rsidRPr="00CA7855" w:rsidRDefault="000B6ECF" w:rsidP="00776BAC">
      <w:pPr>
        <w:pStyle w:val="AcronymsList"/>
      </w:pPr>
      <w:r>
        <w:t>SLCI</w:t>
      </w:r>
      <w:r>
        <w:tab/>
        <w:t>Selected Living Cost Indexes</w:t>
      </w:r>
    </w:p>
    <w:p w14:paraId="26C59AD5" w14:textId="2427251E" w:rsidR="00B86C7F" w:rsidRPr="00CA7855" w:rsidRDefault="00B86C7F" w:rsidP="00776BAC">
      <w:pPr>
        <w:pStyle w:val="AcronymsList"/>
      </w:pPr>
      <w:r>
        <w:t>TTPI</w:t>
      </w:r>
      <w:r>
        <w:tab/>
      </w:r>
      <w:r w:rsidR="00AE3C93">
        <w:t>Tax and Transfer Policy Institute (The Australian National University)</w:t>
      </w:r>
    </w:p>
    <w:p w14:paraId="389E972E" w14:textId="77777777" w:rsidR="00951189" w:rsidRDefault="00951189" w:rsidP="00344058">
      <w:pPr>
        <w:pStyle w:val="BodyText"/>
      </w:pPr>
    </w:p>
    <w:p w14:paraId="065C46CB" w14:textId="77777777" w:rsidR="00951189" w:rsidRPr="00951189" w:rsidRDefault="00951189" w:rsidP="00951189">
      <w:pPr>
        <w:pStyle w:val="BodyText"/>
      </w:pPr>
    </w:p>
    <w:p w14:paraId="72B64AD9" w14:textId="1FAD67AB" w:rsidR="00E0669B" w:rsidRDefault="006A422F" w:rsidP="005B5900">
      <w:pPr>
        <w:pStyle w:val="Heading1-Pagebreakbefore"/>
      </w:pPr>
      <w:bookmarkStart w:id="1" w:name="_Toc51050135"/>
      <w:r>
        <w:lastRenderedPageBreak/>
        <w:t xml:space="preserve">Key </w:t>
      </w:r>
      <w:r w:rsidR="00B163CB">
        <w:t>f</w:t>
      </w:r>
      <w:r>
        <w:t>indings</w:t>
      </w:r>
      <w:bookmarkEnd w:id="1"/>
    </w:p>
    <w:p w14:paraId="5A6EBF92" w14:textId="45D9544D" w:rsidR="00B621E8" w:rsidRPr="00B621E8" w:rsidRDefault="008D0375" w:rsidP="003A0162">
      <w:pPr>
        <w:pStyle w:val="Recommendationactions"/>
      </w:pPr>
      <w:r>
        <w:t>Approximately 30,000 people live below the poverty line</w:t>
      </w:r>
      <w:r w:rsidR="00B621E8">
        <w:t xml:space="preserve"> in the ACT</w:t>
      </w:r>
    </w:p>
    <w:p w14:paraId="43A0F1C3" w14:textId="5D403544" w:rsidR="007011D6" w:rsidRDefault="007011D6" w:rsidP="007011D6">
      <w:pPr>
        <w:pStyle w:val="ListBullet"/>
      </w:pPr>
      <w:r>
        <w:t xml:space="preserve">The latest estimate of </w:t>
      </w:r>
      <w:r w:rsidRPr="00D42D2A">
        <w:t xml:space="preserve">the </w:t>
      </w:r>
      <w:r>
        <w:t xml:space="preserve">national </w:t>
      </w:r>
      <w:r w:rsidRPr="00D42D2A">
        <w:t xml:space="preserve">poverty line for a single person </w:t>
      </w:r>
      <w:r>
        <w:t>is a minimum income of</w:t>
      </w:r>
      <w:r w:rsidRPr="00D42D2A">
        <w:t xml:space="preserve"> $457 per week</w:t>
      </w:r>
    </w:p>
    <w:p w14:paraId="01614F1E" w14:textId="79581816" w:rsidR="00F07F73" w:rsidRDefault="009A099A" w:rsidP="00A3787D">
      <w:pPr>
        <w:pStyle w:val="ListBullet"/>
      </w:pPr>
      <w:r>
        <w:t>Before the COVID-19 health emergency</w:t>
      </w:r>
      <w:r w:rsidR="00ED4FB1">
        <w:t>,</w:t>
      </w:r>
      <w:r>
        <w:t xml:space="preserve"> it had been estimated that 8.6% of t</w:t>
      </w:r>
      <w:r w:rsidR="003C4865">
        <w:t xml:space="preserve">he </w:t>
      </w:r>
      <w:r w:rsidR="00F70BE3">
        <w:t xml:space="preserve">total </w:t>
      </w:r>
      <w:r w:rsidR="003C4865">
        <w:t xml:space="preserve">ACT population were living below the poverty line, equating to approximately 30,000 people. </w:t>
      </w:r>
    </w:p>
    <w:p w14:paraId="7517315F" w14:textId="7991C868" w:rsidR="005973DE" w:rsidRDefault="006E34E2" w:rsidP="003A0162">
      <w:pPr>
        <w:pStyle w:val="Recommendationactions"/>
      </w:pPr>
      <w:r>
        <w:t xml:space="preserve">The rate of </w:t>
      </w:r>
      <w:r w:rsidR="00020D00">
        <w:t xml:space="preserve">Newstart was </w:t>
      </w:r>
      <w:r w:rsidR="00FB5D3E">
        <w:t xml:space="preserve">well </w:t>
      </w:r>
      <w:r w:rsidR="00020D00">
        <w:t>below the poverty line</w:t>
      </w:r>
      <w:r w:rsidR="00FD420E">
        <w:t xml:space="preserve"> and failed to keep up with cost of living</w:t>
      </w:r>
    </w:p>
    <w:p w14:paraId="46F6170A" w14:textId="03486638" w:rsidR="008A36A7" w:rsidRDefault="003C4B7B" w:rsidP="00A3787D">
      <w:pPr>
        <w:pStyle w:val="ListBullet"/>
      </w:pPr>
      <w:r>
        <w:t>As at December 2019, the weekly Newstart (now JobSeeker) payment for a single person without children was $173 below the poverty line</w:t>
      </w:r>
    </w:p>
    <w:p w14:paraId="1D6E3246" w14:textId="7DF26FDD" w:rsidR="008A36A7" w:rsidRDefault="003D09BC" w:rsidP="00A3787D">
      <w:pPr>
        <w:pStyle w:val="ListBullet"/>
      </w:pPr>
      <w:r>
        <w:t xml:space="preserve">In the </w:t>
      </w:r>
      <w:r w:rsidR="003C4B7B">
        <w:t xml:space="preserve">year from December 2018 to December 2019, Newstart recipients effectively experienced a reduction in income due to the payment failing to keep up with changes in the cost of living. </w:t>
      </w:r>
    </w:p>
    <w:p w14:paraId="58BA6F17" w14:textId="328BFE2D" w:rsidR="00020D00" w:rsidRDefault="00020D00" w:rsidP="003A0162">
      <w:pPr>
        <w:pStyle w:val="Recommendationactions"/>
      </w:pPr>
      <w:r>
        <w:t xml:space="preserve">The Coronavirus Supplement </w:t>
      </w:r>
      <w:proofErr w:type="gramStart"/>
      <w:r w:rsidR="00594B46">
        <w:t>increased</w:t>
      </w:r>
      <w:proofErr w:type="gramEnd"/>
      <w:r w:rsidR="00594B46">
        <w:t xml:space="preserve"> </w:t>
      </w:r>
      <w:r w:rsidR="008D0375">
        <w:t>JobSeeker above the poverty line</w:t>
      </w:r>
    </w:p>
    <w:p w14:paraId="28D7C032" w14:textId="2EE7AD14" w:rsidR="008A36A7" w:rsidRDefault="003C4B7B" w:rsidP="00A3787D">
      <w:pPr>
        <w:pStyle w:val="ListBullet"/>
      </w:pPr>
      <w:r>
        <w:t>The introduction of the</w:t>
      </w:r>
      <w:r w:rsidR="00BB718D">
        <w:t xml:space="preserve"> $550 per fortnight</w:t>
      </w:r>
      <w:r>
        <w:t xml:space="preserve"> Coronavirus Supplement </w:t>
      </w:r>
      <w:r w:rsidR="00E54534">
        <w:t xml:space="preserve">from </w:t>
      </w:r>
      <w:r w:rsidR="00EE4C88">
        <w:t>27 April</w:t>
      </w:r>
      <w:r w:rsidR="00E54534">
        <w:t xml:space="preserve"> to </w:t>
      </w:r>
      <w:r w:rsidR="00C27978">
        <w:t xml:space="preserve">24 </w:t>
      </w:r>
      <w:r w:rsidR="00E54534">
        <w:t>September</w:t>
      </w:r>
      <w:r w:rsidR="00C27978">
        <w:t xml:space="preserve"> </w:t>
      </w:r>
      <w:r w:rsidR="00E54534">
        <w:t>2020</w:t>
      </w:r>
      <w:r w:rsidR="00BB718D">
        <w:t xml:space="preserve"> </w:t>
      </w:r>
      <w:r>
        <w:t xml:space="preserve">saw </w:t>
      </w:r>
      <w:r w:rsidR="00BB718D">
        <w:t>JobSeeker (formerly Newstart)</w:t>
      </w:r>
      <w:r>
        <w:t xml:space="preserve"> rise above the poverty line by $105 per week – finally becoming adequate to meet basic living costs for many recipients. </w:t>
      </w:r>
    </w:p>
    <w:p w14:paraId="08E7987C" w14:textId="14F90607" w:rsidR="00495737" w:rsidRDefault="00FD420E" w:rsidP="00F65EF5">
      <w:pPr>
        <w:pStyle w:val="Recommendationactions"/>
      </w:pPr>
      <w:r>
        <w:t>W</w:t>
      </w:r>
      <w:r w:rsidR="00514623">
        <w:t>hen the Coronavirus Supplement is reduced</w:t>
      </w:r>
      <w:r>
        <w:t>, JobSeeker will return below the poverty line</w:t>
      </w:r>
      <w:r w:rsidR="00594B46">
        <w:t xml:space="preserve"> and see over 1,000</w:t>
      </w:r>
      <w:r w:rsidR="003E1D6D">
        <w:t xml:space="preserve"> jobs lost in the ACT</w:t>
      </w:r>
    </w:p>
    <w:p w14:paraId="3FE6075F" w14:textId="547AEF59" w:rsidR="003C4B7B" w:rsidRDefault="003C4B7B" w:rsidP="00A3787D">
      <w:pPr>
        <w:pStyle w:val="ListBullet"/>
      </w:pPr>
      <w:r>
        <w:t xml:space="preserve">The reduction of the Coronavirus Supplement by $300 per fortnight </w:t>
      </w:r>
      <w:r w:rsidR="00BB718D">
        <w:t>from 25</w:t>
      </w:r>
      <w:r>
        <w:t xml:space="preserve"> September 2020 will see these payments drop below the poverty line again by around $45 per week. </w:t>
      </w:r>
      <w:r w:rsidR="003A1A8C">
        <w:t xml:space="preserve">The complete </w:t>
      </w:r>
      <w:r>
        <w:t xml:space="preserve">removal </w:t>
      </w:r>
      <w:r w:rsidR="003A1A8C">
        <w:t xml:space="preserve">of the supplement </w:t>
      </w:r>
      <w:r>
        <w:t xml:space="preserve">at the end of the year would see this poverty gap increase to $170 per week </w:t>
      </w:r>
    </w:p>
    <w:p w14:paraId="4FCD17D4" w14:textId="7DF9835E" w:rsidR="00BA613C" w:rsidRDefault="00157595" w:rsidP="00A3787D">
      <w:pPr>
        <w:pStyle w:val="ListBullet"/>
      </w:pPr>
      <w:r>
        <w:t xml:space="preserve">The </w:t>
      </w:r>
      <w:r w:rsidR="00EA1217">
        <w:t xml:space="preserve">economic impact of </w:t>
      </w:r>
      <w:r w:rsidR="00BA613C">
        <w:t xml:space="preserve">the </w:t>
      </w:r>
      <w:r w:rsidR="00EA1217">
        <w:t xml:space="preserve">removal of the </w:t>
      </w:r>
      <w:r w:rsidR="00BA613C">
        <w:t>Coronavirus Supplement</w:t>
      </w:r>
      <w:r w:rsidR="00F2418C">
        <w:t xml:space="preserve"> would </w:t>
      </w:r>
      <w:r w:rsidR="007E1BFF">
        <w:t xml:space="preserve">be </w:t>
      </w:r>
      <w:r w:rsidR="00607D86">
        <w:t xml:space="preserve">a loss of 1,120 </w:t>
      </w:r>
      <w:r w:rsidR="00E62E8E">
        <w:t xml:space="preserve">full-time equivalent </w:t>
      </w:r>
      <w:r w:rsidR="00607D86">
        <w:t>jobs in the ACT in 2021-22</w:t>
      </w:r>
      <w:r w:rsidR="00C0633E">
        <w:t>.</w:t>
      </w:r>
    </w:p>
    <w:p w14:paraId="6831AEFF" w14:textId="2EE7DD1B" w:rsidR="007011D6" w:rsidRDefault="00FD420E" w:rsidP="00F65EF5">
      <w:pPr>
        <w:pStyle w:val="Recommendationactions"/>
      </w:pPr>
      <w:r>
        <w:t xml:space="preserve">The number of people in the ACT </w:t>
      </w:r>
      <w:r w:rsidR="00A2645F">
        <w:t xml:space="preserve">looking for work while on JobSeeker and Youth Allowance </w:t>
      </w:r>
      <w:r w:rsidR="00D04F86">
        <w:t xml:space="preserve">has </w:t>
      </w:r>
      <w:r w:rsidR="00A2645F">
        <w:t xml:space="preserve">more than doubled </w:t>
      </w:r>
      <w:r w:rsidR="00D04F86">
        <w:t xml:space="preserve">during </w:t>
      </w:r>
      <w:r w:rsidR="00A2645F">
        <w:t xml:space="preserve">the COVID-19 </w:t>
      </w:r>
      <w:r w:rsidR="00D04F86">
        <w:t>pandemic</w:t>
      </w:r>
    </w:p>
    <w:p w14:paraId="188BFE6A" w14:textId="70501033" w:rsidR="00E67BE4" w:rsidRDefault="00E74973" w:rsidP="00A3787D">
      <w:pPr>
        <w:pStyle w:val="ListBullet"/>
      </w:pPr>
      <w:r>
        <w:t>From</w:t>
      </w:r>
      <w:r w:rsidR="003D09BC">
        <w:t xml:space="preserve"> December 2019 and July 2020, the number of people </w:t>
      </w:r>
      <w:r w:rsidR="00020547">
        <w:t xml:space="preserve">in the ACT who were </w:t>
      </w:r>
      <w:r w:rsidR="003D09BC">
        <w:t xml:space="preserve">looking for employment while in receipt of JobSeeker and Youth Allowance more than doubled from </w:t>
      </w:r>
      <w:r w:rsidR="00C457C1">
        <w:t>just over 6,500 to just under 15,000</w:t>
      </w:r>
      <w:r w:rsidR="00165609">
        <w:t xml:space="preserve">. </w:t>
      </w:r>
    </w:p>
    <w:p w14:paraId="4A8A76C1" w14:textId="47A27D63" w:rsidR="00A2645F" w:rsidRDefault="00F370DB" w:rsidP="00F65EF5">
      <w:pPr>
        <w:pStyle w:val="Recommendationactions"/>
      </w:pPr>
      <w:r>
        <w:t xml:space="preserve">Without the Coronavirus Supplement, the </w:t>
      </w:r>
      <w:r w:rsidR="00B57CEF">
        <w:t xml:space="preserve">number of people in the ACT living below the poverty line could increase </w:t>
      </w:r>
      <w:r>
        <w:t xml:space="preserve">to around 40,000 </w:t>
      </w:r>
    </w:p>
    <w:p w14:paraId="2B3F597B" w14:textId="27338EB8" w:rsidR="000A1229" w:rsidRDefault="00436382" w:rsidP="00A3787D">
      <w:pPr>
        <w:pStyle w:val="ListBullet"/>
      </w:pPr>
      <w:r>
        <w:t>Without the Coronavirus Supplement,</w:t>
      </w:r>
      <w:r w:rsidR="00A20A32">
        <w:t xml:space="preserve"> the number of people in the ACT living below the poverty line </w:t>
      </w:r>
      <w:r w:rsidR="000662EB">
        <w:t>could increase</w:t>
      </w:r>
      <w:r w:rsidR="0062312A">
        <w:t xml:space="preserve"> by </w:t>
      </w:r>
      <w:r w:rsidR="00825B61">
        <w:t xml:space="preserve">around </w:t>
      </w:r>
      <w:r w:rsidR="0062312A">
        <w:t>25%</w:t>
      </w:r>
      <w:r w:rsidR="00B21666">
        <w:t xml:space="preserve">, approaching </w:t>
      </w:r>
      <w:r w:rsidR="00221F54">
        <w:t xml:space="preserve">40,000 </w:t>
      </w:r>
      <w:r w:rsidR="00DF5EB3">
        <w:t>due to</w:t>
      </w:r>
      <w:r w:rsidR="00EB16B2">
        <w:t xml:space="preserve"> </w:t>
      </w:r>
      <w:r w:rsidR="000662EB">
        <w:t>there being</w:t>
      </w:r>
      <w:r w:rsidR="00C1733E">
        <w:t xml:space="preserve"> additional </w:t>
      </w:r>
      <w:r w:rsidR="0062312A">
        <w:t>8,500 JobSeeker and Youth Allowance recipients</w:t>
      </w:r>
      <w:r w:rsidR="007A351B">
        <w:t xml:space="preserve"> than before </w:t>
      </w:r>
      <w:r w:rsidR="00DF5EB3">
        <w:t xml:space="preserve">the </w:t>
      </w:r>
      <w:r w:rsidR="007A351B">
        <w:t>COVID-19</w:t>
      </w:r>
      <w:r w:rsidR="00DF5EB3">
        <w:t xml:space="preserve"> pandemic</w:t>
      </w:r>
      <w:r w:rsidR="00F70BE3">
        <w:t>.</w:t>
      </w:r>
    </w:p>
    <w:p w14:paraId="6A7DC63B" w14:textId="40DFB8EC" w:rsidR="00C87A35" w:rsidRDefault="00C87A35" w:rsidP="00F65EF5">
      <w:pPr>
        <w:pStyle w:val="Recommendationactions"/>
      </w:pPr>
      <w:r>
        <w:lastRenderedPageBreak/>
        <w:t>Changes in the cost of living have hit Canberra’s low</w:t>
      </w:r>
      <w:r w:rsidR="000C1DD5">
        <w:t>-income households hardest, with significant increases in housing, health, and energy costs</w:t>
      </w:r>
    </w:p>
    <w:p w14:paraId="546BFEFC" w14:textId="34DB19D6" w:rsidR="008C15C3" w:rsidRDefault="00C32F19" w:rsidP="00A3787D">
      <w:pPr>
        <w:pStyle w:val="ListBullet"/>
      </w:pPr>
      <w:r>
        <w:t>Consistent with previous ACT Cost of Living Reports, changes in the cost of living</w:t>
      </w:r>
      <w:r w:rsidR="00E74973">
        <w:t xml:space="preserve"> over the past 12 months and five years</w:t>
      </w:r>
      <w:r>
        <w:t xml:space="preserve"> have hit Canberra’s low-income households the hardes</w:t>
      </w:r>
      <w:r w:rsidR="00E45E1C">
        <w:t>t</w:t>
      </w:r>
    </w:p>
    <w:p w14:paraId="0126095B" w14:textId="0CEE8117" w:rsidR="007A3739" w:rsidRDefault="000E3E15" w:rsidP="00A3787D">
      <w:pPr>
        <w:pStyle w:val="ListBullet"/>
      </w:pPr>
      <w:r>
        <w:t>Over</w:t>
      </w:r>
      <w:r w:rsidRPr="000E3E15">
        <w:t xml:space="preserve"> the past five years</w:t>
      </w:r>
      <w:r w:rsidR="005B05DF">
        <w:t>,</w:t>
      </w:r>
      <w:r w:rsidR="007A3739">
        <w:t xml:space="preserve"> </w:t>
      </w:r>
      <w:r w:rsidRPr="000E3E15">
        <w:t>housing, health, and energy prices in Canberra have risen at rates that were higher than the national rate and above the overall Consumer Price Index (CPI)</w:t>
      </w:r>
    </w:p>
    <w:p w14:paraId="1B7FA83E" w14:textId="59DCF6A2" w:rsidR="00272ECC" w:rsidRDefault="00272ECC" w:rsidP="00A3787D">
      <w:pPr>
        <w:pStyle w:val="ListBullet"/>
      </w:pPr>
      <w:r>
        <w:t>Over the past five years</w:t>
      </w:r>
      <w:r w:rsidR="005B05DF">
        <w:t>,</w:t>
      </w:r>
      <w:r>
        <w:t xml:space="preserve"> the CPI for housing in Canberra has increased by 15%</w:t>
      </w:r>
    </w:p>
    <w:p w14:paraId="39860EF0" w14:textId="7D379F08" w:rsidR="007A3739" w:rsidRDefault="007A3739" w:rsidP="00A3787D">
      <w:pPr>
        <w:pStyle w:val="ListBullet"/>
      </w:pPr>
      <w:r w:rsidRPr="007A3739">
        <w:t>Housing is the most significant cost for low-income households, the majority of whom rent</w:t>
      </w:r>
      <w:r w:rsidR="005B35A5">
        <w:t xml:space="preserve"> – </w:t>
      </w:r>
      <w:r w:rsidR="004A157C">
        <w:t>around 9,500</w:t>
      </w:r>
      <w:r w:rsidRPr="007A3739">
        <w:t xml:space="preserve"> </w:t>
      </w:r>
      <w:r w:rsidR="00651C52">
        <w:t xml:space="preserve">out of 22,000 </w:t>
      </w:r>
      <w:r w:rsidRPr="007A3739">
        <w:t>low-income rental households</w:t>
      </w:r>
      <w:r w:rsidR="00651C52">
        <w:t xml:space="preserve"> in the ACT</w:t>
      </w:r>
      <w:r w:rsidR="000503F9">
        <w:t xml:space="preserve"> (43%)</w:t>
      </w:r>
      <w:r w:rsidRPr="007A3739">
        <w:t xml:space="preserve"> </w:t>
      </w:r>
      <w:r w:rsidR="005B35A5">
        <w:t xml:space="preserve">are </w:t>
      </w:r>
      <w:r w:rsidRPr="007A3739">
        <w:t>experiencing rental stress</w:t>
      </w:r>
      <w:r w:rsidR="005B35A5">
        <w:t>, paying over 30% of their household income on rent</w:t>
      </w:r>
    </w:p>
    <w:p w14:paraId="41E5E5C5" w14:textId="551E0F23" w:rsidR="00B922F5" w:rsidRDefault="00B922F5" w:rsidP="00A3787D">
      <w:pPr>
        <w:pStyle w:val="ListBullet"/>
      </w:pPr>
      <w:r>
        <w:t>Over the year from June 2019 to June 2020</w:t>
      </w:r>
      <w:r w:rsidR="005F4C34">
        <w:t>, the ACT was the only state or territory where rental affordability declined</w:t>
      </w:r>
    </w:p>
    <w:p w14:paraId="527BF45F" w14:textId="18BAE634" w:rsidR="00244063" w:rsidRDefault="00244063" w:rsidP="00A3787D">
      <w:pPr>
        <w:pStyle w:val="ListBullet"/>
      </w:pPr>
      <w:r w:rsidRPr="00244063">
        <w:t>The latest Anglicare Australia Rental Affordability Snapshot undertaken in August 2020 found that out of 768 private rentals advertised in the ACT</w:t>
      </w:r>
      <w:r w:rsidR="00860110">
        <w:t>,</w:t>
      </w:r>
      <w:r w:rsidRPr="00244063">
        <w:t xml:space="preserve"> only 17 properties could be considered affordable for people on low incomes – only one of these was affordable for a JobSeeker recipient with the Coronavirus Supplement. None would have been affordable without the supplement</w:t>
      </w:r>
    </w:p>
    <w:p w14:paraId="7DED3937" w14:textId="4704A857" w:rsidR="00BC42A3" w:rsidRDefault="00727129" w:rsidP="00A3787D">
      <w:pPr>
        <w:pStyle w:val="ListBullet"/>
      </w:pPr>
      <w:r>
        <w:t xml:space="preserve">Over the last </w:t>
      </w:r>
      <w:r w:rsidR="001640E0">
        <w:t>five years</w:t>
      </w:r>
      <w:r w:rsidR="00A1392B">
        <w:t>,</w:t>
      </w:r>
      <w:r w:rsidR="001640E0">
        <w:t xml:space="preserve"> the </w:t>
      </w:r>
      <w:r w:rsidR="00E6128F">
        <w:t xml:space="preserve">CPI for health in Canberra increased by 22% with </w:t>
      </w:r>
      <w:r w:rsidR="00C96054">
        <w:t>medical and hospital services prices increasing by almost 28% and dental services increasing by over 11%</w:t>
      </w:r>
    </w:p>
    <w:p w14:paraId="76B62ED1" w14:textId="076A1296" w:rsidR="00EA1A94" w:rsidRDefault="00EA1A94" w:rsidP="00A3787D">
      <w:pPr>
        <w:pStyle w:val="ListBullet"/>
      </w:pPr>
      <w:bookmarkStart w:id="2" w:name="_Hlk50447130"/>
      <w:r>
        <w:t>Over the last five years</w:t>
      </w:r>
      <w:r w:rsidR="00ED4FB1">
        <w:t>,</w:t>
      </w:r>
      <w:r w:rsidR="00BC0F0B">
        <w:t xml:space="preserve"> electricity and gas prices in Canberra have risen by </w:t>
      </w:r>
      <w:r w:rsidR="00584FDB">
        <w:t>25% and 31% respectively.</w:t>
      </w:r>
    </w:p>
    <w:p w14:paraId="188903B7" w14:textId="209128EA" w:rsidR="00E0669B" w:rsidRDefault="00E0669B" w:rsidP="00ED4FB1">
      <w:pPr>
        <w:pStyle w:val="Heading1-Pagebreakbefore"/>
      </w:pPr>
      <w:bookmarkStart w:id="3" w:name="_Toc51050136"/>
      <w:bookmarkEnd w:id="2"/>
      <w:r w:rsidRPr="00ED4FB1">
        <w:lastRenderedPageBreak/>
        <w:t>Recommendations</w:t>
      </w:r>
      <w:bookmarkEnd w:id="3"/>
    </w:p>
    <w:p w14:paraId="783E9748" w14:textId="0E0AF490" w:rsidR="00424D19" w:rsidRPr="00424D19" w:rsidRDefault="00ED06BF" w:rsidP="00247A8B">
      <w:pPr>
        <w:pStyle w:val="Heading2"/>
      </w:pPr>
      <w:bookmarkStart w:id="4" w:name="_Toc51050137"/>
      <w:r>
        <w:t>Action on income support</w:t>
      </w:r>
      <w:r w:rsidR="006544F1">
        <w:t xml:space="preserve"> by the Australian Government</w:t>
      </w:r>
      <w:bookmarkEnd w:id="4"/>
    </w:p>
    <w:p w14:paraId="3BC42324" w14:textId="707DADEF" w:rsidR="00F830EA" w:rsidRDefault="00F7556F" w:rsidP="00670167">
      <w:pPr>
        <w:pStyle w:val="Recommendationactions"/>
      </w:pPr>
      <w:r>
        <w:t xml:space="preserve">Raise the Rate for </w:t>
      </w:r>
      <w:r w:rsidRPr="006D2AF8">
        <w:t>Good</w:t>
      </w:r>
    </w:p>
    <w:p w14:paraId="1AE1F14C" w14:textId="4D2FBF21" w:rsidR="001D7551" w:rsidRDefault="001D7551" w:rsidP="001D7551">
      <w:pPr>
        <w:pStyle w:val="BodyText"/>
      </w:pPr>
      <w:r>
        <w:t xml:space="preserve">In line with the Australian Council of Social Service (ACOSS) and the Raise the Rate for Good campaign, we call on the Australian Government to keep the $550 per fortnight Coronavirus Supplement in place until our social security system is fixed for good so that it keeps people out of poverty. </w:t>
      </w:r>
    </w:p>
    <w:p w14:paraId="2CFF87BC" w14:textId="7BB03D6F" w:rsidR="00C66106" w:rsidRDefault="00ED06BF" w:rsidP="000A3A3E">
      <w:pPr>
        <w:pStyle w:val="Heading2"/>
      </w:pPr>
      <w:bookmarkStart w:id="5" w:name="_Toc51050138"/>
      <w:r>
        <w:t xml:space="preserve">Action on </w:t>
      </w:r>
      <w:r w:rsidR="00042074">
        <w:t>cost of living</w:t>
      </w:r>
      <w:r w:rsidR="006544F1">
        <w:t xml:space="preserve"> by the </w:t>
      </w:r>
      <w:r w:rsidR="00F91527">
        <w:t xml:space="preserve">next </w:t>
      </w:r>
      <w:r w:rsidR="006544F1">
        <w:t>ACT Government</w:t>
      </w:r>
      <w:bookmarkEnd w:id="5"/>
    </w:p>
    <w:p w14:paraId="1EA6AB5E" w14:textId="69925437" w:rsidR="00F830EA" w:rsidRDefault="00F830EA" w:rsidP="00670167">
      <w:pPr>
        <w:pStyle w:val="Recommendationactions"/>
      </w:pPr>
      <w:r>
        <w:t>Action on fundamentals</w:t>
      </w:r>
      <w:r w:rsidR="00E90650">
        <w:t>, including:</w:t>
      </w:r>
    </w:p>
    <w:p w14:paraId="7B08FD14" w14:textId="667DD063" w:rsidR="00F830EA" w:rsidRDefault="00F830EA" w:rsidP="00C66106">
      <w:pPr>
        <w:pStyle w:val="ListBullet"/>
      </w:pPr>
      <w:r>
        <w:t>Publicly call for a permanent and adequate increase to JobSeeker</w:t>
      </w:r>
      <w:r w:rsidR="00042074">
        <w:t xml:space="preserve"> and related income support </w:t>
      </w:r>
      <w:r>
        <w:t>payments to enable people to cover all basic costs, including keeping a roof over their heads</w:t>
      </w:r>
    </w:p>
    <w:p w14:paraId="22E1D07E" w14:textId="193E0DFB" w:rsidR="00F830EA" w:rsidRDefault="00F830EA" w:rsidP="00C66106">
      <w:pPr>
        <w:pStyle w:val="ListBullet"/>
      </w:pPr>
      <w:r>
        <w:t xml:space="preserve">Incorporate all economic, social, and cultural rights in the </w:t>
      </w:r>
      <w:r w:rsidRPr="00821F55">
        <w:rPr>
          <w:i/>
          <w:iCs/>
        </w:rPr>
        <w:t>Human Rights Act 2004</w:t>
      </w:r>
      <w:r>
        <w:t xml:space="preserve"> </w:t>
      </w:r>
      <w:r w:rsidR="00043DC8">
        <w:t xml:space="preserve">(ACT) </w:t>
      </w:r>
      <w:r>
        <w:t>including: the right to housing; the right to an adequate standard of living; the right to physical and mental health</w:t>
      </w:r>
      <w:r w:rsidR="00BD22B8">
        <w:t>;</w:t>
      </w:r>
      <w:r>
        <w:t xml:space="preserve"> and the right to a healthy environment</w:t>
      </w:r>
    </w:p>
    <w:p w14:paraId="4C083EB9" w14:textId="454E77AB" w:rsidR="00F830EA" w:rsidRDefault="00F830EA" w:rsidP="00C66106">
      <w:pPr>
        <w:pStyle w:val="ListBullet"/>
      </w:pPr>
      <w:r>
        <w:t>Conduct a full needs analysis to understand Canberra’s demographic changes, increasing complexity of needs (including an aging population; growing number of births; greater diversity) and the changed Canberra geography</w:t>
      </w:r>
    </w:p>
    <w:p w14:paraId="730CC97C" w14:textId="77777777" w:rsidR="00515E5B" w:rsidRDefault="00F830EA" w:rsidP="00C66106">
      <w:pPr>
        <w:pStyle w:val="ListBullet"/>
      </w:pPr>
      <w:r>
        <w:t>Adequately fund community services that play a vital role in preventing, reducing, and alleviating the impacts of poverty and disadvantage in the ACT</w:t>
      </w:r>
    </w:p>
    <w:p w14:paraId="735B2DF3" w14:textId="09073157" w:rsidR="00F830EA" w:rsidRDefault="00515E5B" w:rsidP="00C66106">
      <w:pPr>
        <w:pStyle w:val="ListBullet"/>
      </w:pPr>
      <w:bookmarkStart w:id="6" w:name="_Hlk51048671"/>
      <w:r>
        <w:t>Ensur</w:t>
      </w:r>
      <w:r w:rsidR="00352094">
        <w:t>e</w:t>
      </w:r>
      <w:r>
        <w:t xml:space="preserve"> </w:t>
      </w:r>
      <w:r w:rsidR="00474C3D">
        <w:t xml:space="preserve">that revenue </w:t>
      </w:r>
      <w:r w:rsidR="009D746B">
        <w:t xml:space="preserve">is collected </w:t>
      </w:r>
      <w:r w:rsidR="000B0363">
        <w:t>in a way that is progressive, equitable, efficient</w:t>
      </w:r>
      <w:r w:rsidR="00B56937">
        <w:t xml:space="preserve">, </w:t>
      </w:r>
      <w:r w:rsidR="000B0363">
        <w:t xml:space="preserve">and sufficient </w:t>
      </w:r>
      <w:r w:rsidR="004516CA">
        <w:t>to fund</w:t>
      </w:r>
      <w:r w:rsidR="008E2575" w:rsidRPr="008E2575">
        <w:t xml:space="preserve"> quality services</w:t>
      </w:r>
      <w:r w:rsidR="0036751C">
        <w:t xml:space="preserve"> and infrastructure</w:t>
      </w:r>
      <w:r w:rsidR="008E2575" w:rsidRPr="008E2575">
        <w:t xml:space="preserve"> that benefit the whole Canberra community</w:t>
      </w:r>
      <w:r w:rsidR="00352094">
        <w:t xml:space="preserve"> in a just and fair</w:t>
      </w:r>
      <w:r w:rsidR="00332430">
        <w:t xml:space="preserve"> way</w:t>
      </w:r>
      <w:r w:rsidR="008B5AA7">
        <w:t xml:space="preserve">. </w:t>
      </w:r>
      <w:r w:rsidR="00AD30A6">
        <w:t xml:space="preserve">This must include targeted </w:t>
      </w:r>
      <w:r w:rsidR="00352B0A">
        <w:t>concessions</w:t>
      </w:r>
      <w:r w:rsidR="005F783D">
        <w:t xml:space="preserve"> </w:t>
      </w:r>
      <w:r w:rsidR="00867350">
        <w:t>that</w:t>
      </w:r>
      <w:r w:rsidR="00AD30A6">
        <w:t xml:space="preserve"> </w:t>
      </w:r>
      <w:r w:rsidR="00AC0AEA">
        <w:t xml:space="preserve">ease </w:t>
      </w:r>
      <w:r w:rsidR="008E2575" w:rsidRPr="008E2575">
        <w:t xml:space="preserve">cost of living </w:t>
      </w:r>
      <w:r w:rsidR="007C3317">
        <w:t xml:space="preserve">pressures </w:t>
      </w:r>
      <w:r w:rsidR="00AC0AEA">
        <w:t>for</w:t>
      </w:r>
      <w:r w:rsidR="007C3317">
        <w:t xml:space="preserve"> </w:t>
      </w:r>
      <w:r w:rsidR="00AD30A6">
        <w:t>low-income households</w:t>
      </w:r>
      <w:r w:rsidR="004516CA">
        <w:t xml:space="preserve"> and</w:t>
      </w:r>
      <w:r w:rsidR="00BC5CF7">
        <w:t xml:space="preserve"> targeted </w:t>
      </w:r>
      <w:r w:rsidR="00352B0A">
        <w:t>investment that</w:t>
      </w:r>
      <w:r w:rsidR="00AC0AEA">
        <w:t xml:space="preserve"> address</w:t>
      </w:r>
      <w:r w:rsidR="00352B0A">
        <w:t>es</w:t>
      </w:r>
      <w:r w:rsidR="00EF398B">
        <w:t xml:space="preserve"> </w:t>
      </w:r>
      <w:r w:rsidR="00502459">
        <w:t>the</w:t>
      </w:r>
      <w:r w:rsidR="00EF398B" w:rsidRPr="00EF398B">
        <w:t xml:space="preserve"> structural causes of poverty and disadvantage</w:t>
      </w:r>
      <w:r w:rsidR="008E2575" w:rsidRPr="008E2575">
        <w:t>.</w:t>
      </w:r>
    </w:p>
    <w:bookmarkEnd w:id="6"/>
    <w:p w14:paraId="0BFEAEF4" w14:textId="7761FC8C" w:rsidR="00F830EA" w:rsidRDefault="00F830EA" w:rsidP="00670167">
      <w:pPr>
        <w:pStyle w:val="Recommendationactions"/>
      </w:pPr>
      <w:r>
        <w:t>Action on financial assistance</w:t>
      </w:r>
      <w:r w:rsidR="00E90650">
        <w:t>, including:</w:t>
      </w:r>
    </w:p>
    <w:p w14:paraId="448A7ADE" w14:textId="4DBAE882" w:rsidR="00F830EA" w:rsidRDefault="00F830EA" w:rsidP="00C66106">
      <w:pPr>
        <w:pStyle w:val="ListBullet"/>
      </w:pPr>
      <w:r>
        <w:t>Review the ACT Targeted Assistance Strategy to ensure concessions and rebates are targeted to need</w:t>
      </w:r>
    </w:p>
    <w:p w14:paraId="0F986148" w14:textId="5FA0F57C" w:rsidR="00F830EA" w:rsidRDefault="00F830EA" w:rsidP="00C66106">
      <w:pPr>
        <w:pStyle w:val="ListBullet"/>
      </w:pPr>
      <w:r>
        <w:t>Recognise the contribution of older Canberrans to our community through a range of targeted supports and assistance points across the city</w:t>
      </w:r>
    </w:p>
    <w:p w14:paraId="63D8B755" w14:textId="5E6BF2BE" w:rsidR="00F830EA" w:rsidRDefault="00F830EA" w:rsidP="00C66106">
      <w:pPr>
        <w:pStyle w:val="ListBullet"/>
      </w:pPr>
      <w:r>
        <w:t>Extend financial and other support for all young people transitioning from care</w:t>
      </w:r>
    </w:p>
    <w:p w14:paraId="0BFE3038" w14:textId="5EE97D62" w:rsidR="00F830EA" w:rsidRDefault="00F830EA" w:rsidP="00C66106">
      <w:pPr>
        <w:pStyle w:val="ListBullet"/>
      </w:pPr>
      <w:r>
        <w:lastRenderedPageBreak/>
        <w:t>Increas</w:t>
      </w:r>
      <w:r w:rsidR="00EE5B56">
        <w:t>e</w:t>
      </w:r>
      <w:r>
        <w:t xml:space="preserve"> funding to financial counselling services. </w:t>
      </w:r>
    </w:p>
    <w:p w14:paraId="318C7CE2" w14:textId="680E4591" w:rsidR="00F830EA" w:rsidRDefault="00F830EA" w:rsidP="00670167">
      <w:pPr>
        <w:pStyle w:val="Recommendationactions"/>
      </w:pPr>
      <w:r>
        <w:t>Action on housing affordability</w:t>
      </w:r>
      <w:r w:rsidR="00E90650">
        <w:t>, including:</w:t>
      </w:r>
    </w:p>
    <w:p w14:paraId="759FA7D7" w14:textId="0E109BEA" w:rsidR="00F830EA" w:rsidRDefault="00F830EA" w:rsidP="00C66106">
      <w:pPr>
        <w:pStyle w:val="ListBullet"/>
      </w:pPr>
      <w:r>
        <w:t>Commit to implementation of ACTCOSS’s housing affordability policy recommendations, including</w:t>
      </w:r>
      <w:r w:rsidR="00A3787D">
        <w:t>:</w:t>
      </w:r>
    </w:p>
    <w:p w14:paraId="08F6D6B9" w14:textId="112EFAA2" w:rsidR="00F830EA" w:rsidRDefault="00F830EA" w:rsidP="00AF6456">
      <w:pPr>
        <w:pStyle w:val="ListBullet2"/>
      </w:pPr>
      <w:r>
        <w:t>Achieve the target of 15% of the Land Release Program for the supply of public, community, and affordable homes</w:t>
      </w:r>
    </w:p>
    <w:p w14:paraId="0098352D" w14:textId="5251CE5A" w:rsidR="00F830EA" w:rsidRDefault="00F830EA" w:rsidP="00AF6456">
      <w:pPr>
        <w:pStyle w:val="ListBullet2"/>
      </w:pPr>
      <w:r>
        <w:t>Provide further investment in additional public housing and renewal of current stock</w:t>
      </w:r>
    </w:p>
    <w:p w14:paraId="6A3CBB23" w14:textId="276637B3" w:rsidR="00F830EA" w:rsidRDefault="00F830EA" w:rsidP="00AF6456">
      <w:pPr>
        <w:pStyle w:val="ListBullet2"/>
      </w:pPr>
      <w:r>
        <w:t>Increase effective land transfers to ACT community housing providers and empower them to build more community and affordable housing</w:t>
      </w:r>
    </w:p>
    <w:p w14:paraId="36E42BF9" w14:textId="303393AF" w:rsidR="00F830EA" w:rsidRDefault="00F830EA" w:rsidP="00AF6456">
      <w:pPr>
        <w:pStyle w:val="ListBullet2"/>
      </w:pPr>
      <w:r>
        <w:t>Develop an Indigenous Housing Strategy for the ACT including a pathway to a community-controlled Aboriginal housing organisation.</w:t>
      </w:r>
    </w:p>
    <w:p w14:paraId="6A77B0DE" w14:textId="16EEE4ED" w:rsidR="00F830EA" w:rsidRDefault="00F830EA" w:rsidP="00670167">
      <w:pPr>
        <w:pStyle w:val="Recommendationactions"/>
      </w:pPr>
      <w:r>
        <w:t>Action on health costs</w:t>
      </w:r>
      <w:r w:rsidR="00E90650">
        <w:t>, including:</w:t>
      </w:r>
    </w:p>
    <w:p w14:paraId="1357EBBD" w14:textId="0A750B8E" w:rsidR="00327532" w:rsidRDefault="00327532" w:rsidP="00C66106">
      <w:pPr>
        <w:pStyle w:val="ListBullet"/>
      </w:pPr>
      <w:r>
        <w:t>Improve access to the public health system for Canberrans on low incomes</w:t>
      </w:r>
      <w:r w:rsidR="0053698C">
        <w:t xml:space="preserve"> and facing other health disadvantage</w:t>
      </w:r>
    </w:p>
    <w:p w14:paraId="0CC92472" w14:textId="50B037C2" w:rsidR="00F830EA" w:rsidRDefault="00F830EA" w:rsidP="00C66106">
      <w:pPr>
        <w:pStyle w:val="ListBullet"/>
      </w:pPr>
      <w:r>
        <w:t>Design and implement a Disability Health Strategy that addresses the poor health outcomes for people with disability that arise from economic disadvantage</w:t>
      </w:r>
    </w:p>
    <w:p w14:paraId="1B87DD31" w14:textId="7A4CD07C" w:rsidR="00F830EA" w:rsidRDefault="00F830EA" w:rsidP="00C66106">
      <w:pPr>
        <w:pStyle w:val="ListBullet"/>
      </w:pPr>
      <w:r>
        <w:t>Increase funding for sexual and reproductive health services to improve their affordability and availability.</w:t>
      </w:r>
    </w:p>
    <w:p w14:paraId="463D67FC" w14:textId="39971AC7" w:rsidR="00F830EA" w:rsidRDefault="00F830EA" w:rsidP="00670167">
      <w:pPr>
        <w:pStyle w:val="Recommendationactions"/>
      </w:pPr>
      <w:r>
        <w:t>Action on energy affordability</w:t>
      </w:r>
      <w:r w:rsidR="00746110">
        <w:t>, including:</w:t>
      </w:r>
    </w:p>
    <w:p w14:paraId="3CCAF774" w14:textId="7B3D88B6" w:rsidR="00F830EA" w:rsidRDefault="00F830EA" w:rsidP="00C66106">
      <w:pPr>
        <w:pStyle w:val="ListBullet"/>
      </w:pPr>
      <w:r>
        <w:t>Ensure the Utilities Concession and Utilities Hardship Fund eligibility are targeted toward need (including to asylum seekers through the ACT Services Access Card) and continue the Energy Support Voucher program by maintaining the Utilities Hardship Fund</w:t>
      </w:r>
    </w:p>
    <w:p w14:paraId="5183ECDD" w14:textId="57E85175" w:rsidR="00F830EA" w:rsidRDefault="00F830EA" w:rsidP="00C66106">
      <w:pPr>
        <w:pStyle w:val="ListBullet"/>
      </w:pPr>
      <w:r>
        <w:t xml:space="preserve">Implement the </w:t>
      </w:r>
      <w:r w:rsidR="007F6EB7">
        <w:t>Independent Competition and Regulatory Commission</w:t>
      </w:r>
      <w:r>
        <w:t>’s recommendation that ACT energy retailers provide their customers with regular ‘better offer notifications’ by mid-2021 at the latest</w:t>
      </w:r>
    </w:p>
    <w:p w14:paraId="4D22BE50" w14:textId="19D98881" w:rsidR="00F830EA" w:rsidRDefault="00F830EA" w:rsidP="00C66106">
      <w:pPr>
        <w:pStyle w:val="ListBullet"/>
      </w:pPr>
      <w:r>
        <w:t>Expand energy efficiency and productivity programs for low-income households (including private rental) and support the introduction of a National Low-income Energy Productivity Program in National Cabinet</w:t>
      </w:r>
    </w:p>
    <w:p w14:paraId="48EBEFB5" w14:textId="49567E5A" w:rsidR="00F830EA" w:rsidRDefault="00F830EA" w:rsidP="00C66106">
      <w:pPr>
        <w:pStyle w:val="ListBullet"/>
      </w:pPr>
      <w:r>
        <w:t>Introduce minimum energy performance requirements for rental properties before the end of 2021.</w:t>
      </w:r>
    </w:p>
    <w:p w14:paraId="1E57DB22" w14:textId="734F3350" w:rsidR="00F830EA" w:rsidRDefault="00F830EA" w:rsidP="00670167">
      <w:pPr>
        <w:pStyle w:val="Recommendationactions"/>
      </w:pPr>
      <w:r>
        <w:t>Action on transport costs</w:t>
      </w:r>
      <w:r w:rsidR="00746110">
        <w:t>, including:</w:t>
      </w:r>
    </w:p>
    <w:p w14:paraId="2B7E5BCE" w14:textId="163A2A19" w:rsidR="00F830EA" w:rsidRDefault="00F830EA" w:rsidP="00C66106">
      <w:pPr>
        <w:pStyle w:val="ListBullet"/>
      </w:pPr>
      <w:r>
        <w:t>Carry out a comprehensive community needs assessment to ensure transport design, planning, integration, and implementation address the needs of those with transport disadvantage</w:t>
      </w:r>
    </w:p>
    <w:p w14:paraId="2994A702" w14:textId="506DCE08" w:rsidR="00F830EA" w:rsidRDefault="00F830EA" w:rsidP="00C66106">
      <w:pPr>
        <w:pStyle w:val="ListBullet"/>
      </w:pPr>
      <w:r>
        <w:lastRenderedPageBreak/>
        <w:t>Invest in community transport at sustainable levels with long-term commitments so that providers can renew vehicle stock and plan across a multi-year timeframe. There should be a specific community needs analysis for community transport</w:t>
      </w:r>
    </w:p>
    <w:p w14:paraId="46D7C1E8" w14:textId="1F85F7A7" w:rsidR="00F830EA" w:rsidRDefault="00F830EA" w:rsidP="00C66106">
      <w:pPr>
        <w:pStyle w:val="ListBullet"/>
      </w:pPr>
      <w:r>
        <w:t>Improve other on-demand transport provision including lifting the cap on the ACT Taxi Subsidy Scheme for people with disabilities, as well as delivering full compliance with the Disability Discrimination Act Transport Standards across the bus network</w:t>
      </w:r>
    </w:p>
    <w:p w14:paraId="5E36B460" w14:textId="717A86F9" w:rsidR="00F830EA" w:rsidRDefault="00F830EA" w:rsidP="00C66106">
      <w:pPr>
        <w:pStyle w:val="ListBullet"/>
      </w:pPr>
      <w:r>
        <w:t>Improve the fairness and adequacy of transport-related concessions by extending concessions to learner, probationary and restricted driver’s licences, aligning the discount on licence fees for Health Care Card holders (currently 50% of costs) with Pension Card Holders (100%)</w:t>
      </w:r>
    </w:p>
    <w:p w14:paraId="73B2B192" w14:textId="0498FF56" w:rsidR="00F830EA" w:rsidRDefault="00F830EA" w:rsidP="00C66106">
      <w:pPr>
        <w:pStyle w:val="ListBullet"/>
      </w:pPr>
      <w:r>
        <w:t xml:space="preserve">Investigate the costs and benefits of making all public transport free through a cost benefit analysis. </w:t>
      </w:r>
    </w:p>
    <w:p w14:paraId="2953210E" w14:textId="784C286F" w:rsidR="00F830EA" w:rsidRDefault="00F830EA" w:rsidP="00670167">
      <w:pPr>
        <w:pStyle w:val="Recommendationactions"/>
      </w:pPr>
      <w:r>
        <w:t>Action on equal access to justice</w:t>
      </w:r>
      <w:r w:rsidR="00746110">
        <w:t>, including:</w:t>
      </w:r>
    </w:p>
    <w:p w14:paraId="7527E907" w14:textId="7C8849E6" w:rsidR="00F830EA" w:rsidRDefault="00F830EA" w:rsidP="00C66106">
      <w:pPr>
        <w:pStyle w:val="ListBullet"/>
      </w:pPr>
      <w:r>
        <w:t>Increase funding to community legal centres, mediation and individual advocacy supports to ensure equal access to justice for all ACT residents, including women and children, Aboriginal and/or Torres Strait Islander people and other Canberrans facing legal and financial disadvantage</w:t>
      </w:r>
    </w:p>
    <w:p w14:paraId="6C4DAFB2" w14:textId="1CB82E6D" w:rsidR="00F830EA" w:rsidRDefault="00F830EA" w:rsidP="00C66106">
      <w:pPr>
        <w:pStyle w:val="ListBullet"/>
      </w:pPr>
      <w:r>
        <w:t>Introduce an income-based approach to ACT Government fines, fees</w:t>
      </w:r>
      <w:r w:rsidR="00746110">
        <w:t>,</w:t>
      </w:r>
      <w:r>
        <w:t xml:space="preserve"> and other charges to ensure that penalties are not regressive.</w:t>
      </w:r>
    </w:p>
    <w:p w14:paraId="032ECBD3" w14:textId="00E54842" w:rsidR="00AB255D" w:rsidRPr="00CA7855" w:rsidRDefault="00F54FAF" w:rsidP="00F54FAF">
      <w:pPr>
        <w:pStyle w:val="Heading1-Pagebreakbefore"/>
      </w:pPr>
      <w:bookmarkStart w:id="7" w:name="_Toc51050139"/>
      <w:r w:rsidRPr="00CA7855">
        <w:lastRenderedPageBreak/>
        <w:t>Introduction</w:t>
      </w:r>
      <w:bookmarkEnd w:id="7"/>
    </w:p>
    <w:p w14:paraId="1E02C6F0" w14:textId="672441BB" w:rsidR="00C654DA" w:rsidRDefault="00C654DA" w:rsidP="00DB010E">
      <w:pPr>
        <w:pStyle w:val="BodyText"/>
      </w:pPr>
      <w:r>
        <w:t xml:space="preserve">The ACT Cost of Living Report series tracks changes in the cost of living for low-income households in the ACT. Low-income households tend to be hidden behind </w:t>
      </w:r>
      <w:r w:rsidR="00932D35">
        <w:t>the ACT’s</w:t>
      </w:r>
      <w:r>
        <w:t xml:space="preserve"> high average income and </w:t>
      </w:r>
      <w:r w:rsidR="00932D35">
        <w:t>through the</w:t>
      </w:r>
      <w:r>
        <w:t xml:space="preserve"> purposeful social mix of housing across Canberra’s suburbs. Closer analysis reveals that a si</w:t>
      </w:r>
      <w:r w:rsidR="006A3799">
        <w:t>gnificant</w:t>
      </w:r>
      <w:r>
        <w:t xml:space="preserve"> number of people in the ACT are living in low-income households with many living below the poverty line.</w:t>
      </w:r>
      <w:r w:rsidR="00354731">
        <w:t xml:space="preserve"> </w:t>
      </w:r>
      <w:r w:rsidR="00DC7604" w:rsidRPr="00DC7604">
        <w:t xml:space="preserve">To analyse the way that income and wealth are shared across households in </w:t>
      </w:r>
      <w:r w:rsidR="00DC7604" w:rsidRPr="00DB010E">
        <w:t>Australia</w:t>
      </w:r>
      <w:r w:rsidR="00DC7604" w:rsidRPr="00DC7604">
        <w:t>, households are ranked from lowest to highest income or wealth and then divided into five equal groups with 20% of the population in each group (quintiles).</w:t>
      </w:r>
      <w:r w:rsidR="00354731">
        <w:t xml:space="preserve"> In th</w:t>
      </w:r>
      <w:r w:rsidR="000B0FF4">
        <w:t>is</w:t>
      </w:r>
      <w:r w:rsidR="00354731">
        <w:t xml:space="preserve"> report we focus on</w:t>
      </w:r>
      <w:r w:rsidR="00B7558C">
        <w:t xml:space="preserve"> cost of living pressures for</w:t>
      </w:r>
      <w:r w:rsidR="00354731">
        <w:t xml:space="preserve"> those households </w:t>
      </w:r>
      <w:r w:rsidR="000F06D4">
        <w:t>whose income is in</w:t>
      </w:r>
      <w:r w:rsidR="00A4267E">
        <w:t xml:space="preserve"> the </w:t>
      </w:r>
      <w:r w:rsidR="00E34823">
        <w:t>bottom</w:t>
      </w:r>
      <w:r w:rsidR="00A4267E">
        <w:t xml:space="preserve"> 40% </w:t>
      </w:r>
      <w:r w:rsidR="0076663B">
        <w:t>–</w:t>
      </w:r>
      <w:r w:rsidR="00A4267E">
        <w:t xml:space="preserve"> or </w:t>
      </w:r>
      <w:r w:rsidR="00E3207F">
        <w:t xml:space="preserve">the </w:t>
      </w:r>
      <w:r w:rsidR="00D42C76">
        <w:t>first</w:t>
      </w:r>
      <w:r w:rsidR="00A4267E">
        <w:t xml:space="preserve"> two quintiles – of the income distribution</w:t>
      </w:r>
      <w:r w:rsidR="00E3207F">
        <w:t>.</w:t>
      </w:r>
      <w:r w:rsidR="00A4267E">
        <w:t xml:space="preserve"> </w:t>
      </w:r>
    </w:p>
    <w:p w14:paraId="42D8404B" w14:textId="42331DE9" w:rsidR="009C5A13" w:rsidRDefault="009C5A13" w:rsidP="009C5A13">
      <w:pPr>
        <w:pStyle w:val="BodyText"/>
      </w:pPr>
      <w:r>
        <w:t>Approximately 37,000 people live in low-income households in the ACT, representing 11% of the total population.</w:t>
      </w:r>
      <w:r>
        <w:rPr>
          <w:rStyle w:val="FootnoteReference"/>
        </w:rPr>
        <w:footnoteReference w:id="2"/>
      </w:r>
      <w:r>
        <w:t xml:space="preserve"> This includes almost 8,000 children, representing 12% of those aged 0-14.</w:t>
      </w:r>
      <w:r>
        <w:rPr>
          <w:rStyle w:val="FootnoteReference"/>
        </w:rPr>
        <w:footnoteReference w:id="3"/>
      </w:r>
      <w:r>
        <w:t xml:space="preserve"> Aboriginal and/or Torres Strait Islander people, people from culturally and linguistically diverse backgrounds, people with disability, single parent families, and women are over-represented in Canberra’s low-income households.</w:t>
      </w:r>
      <w:r>
        <w:rPr>
          <w:rStyle w:val="FootnoteReference"/>
        </w:rPr>
        <w:footnoteReference w:id="4"/>
      </w:r>
      <w:r>
        <w:t xml:space="preserve"> </w:t>
      </w:r>
      <w:r w:rsidR="009663F1">
        <w:t>It is estimated that there are almost 30,000 people living below the poverty line in the ACT, representing 8.6% of the total population.</w:t>
      </w:r>
      <w:r w:rsidR="009663F1">
        <w:rPr>
          <w:rStyle w:val="FootnoteReference"/>
        </w:rPr>
        <w:footnoteReference w:id="5"/>
      </w:r>
      <w:r w:rsidR="00756BC7" w:rsidRPr="00756BC7">
        <w:t xml:space="preserve"> </w:t>
      </w:r>
    </w:p>
    <w:p w14:paraId="056F2394" w14:textId="7FE53B28" w:rsidR="00C860AB" w:rsidRDefault="001379B2" w:rsidP="006A2307">
      <w:pPr>
        <w:pStyle w:val="BodyText"/>
      </w:pPr>
      <w:r>
        <w:t xml:space="preserve">In Australia, the poverty line has most recently been defined as a single adult living on less than $457 a week, </w:t>
      </w:r>
      <w:r w:rsidR="00B204C7">
        <w:t xml:space="preserve">$731 for a single </w:t>
      </w:r>
      <w:r w:rsidR="000C6680">
        <w:t xml:space="preserve">parent with two children, </w:t>
      </w:r>
      <w:r>
        <w:t>or $9</w:t>
      </w:r>
      <w:r w:rsidR="00CD0203">
        <w:t>60</w:t>
      </w:r>
      <w:r>
        <w:t xml:space="preserve"> for a couple with two children</w:t>
      </w:r>
      <w:r w:rsidR="00A9257C">
        <w:t>.</w:t>
      </w:r>
      <w:r>
        <w:rPr>
          <w:rStyle w:val="FootnoteReference"/>
        </w:rPr>
        <w:footnoteReference w:id="6"/>
      </w:r>
      <w:r>
        <w:t xml:space="preserve"> </w:t>
      </w:r>
      <w:r w:rsidR="00C860AB" w:rsidRPr="00C860AB">
        <w:t xml:space="preserve">This poverty line is set </w:t>
      </w:r>
      <w:r w:rsidR="00EF7FA6">
        <w:t xml:space="preserve">nationally </w:t>
      </w:r>
      <w:r w:rsidR="00C860AB" w:rsidRPr="00C860AB">
        <w:t>at 50% of the median incom</w:t>
      </w:r>
      <w:r w:rsidR="00EF7FA6">
        <w:t>e</w:t>
      </w:r>
      <w:r w:rsidR="00C860AB" w:rsidRPr="00C860AB">
        <w:t>. Compared to other states and territories, the ACT has the highest average weekly earnings.</w:t>
      </w:r>
      <w:r w:rsidR="00E91010">
        <w:rPr>
          <w:rStyle w:val="FootnoteReference"/>
        </w:rPr>
        <w:footnoteReference w:id="7"/>
      </w:r>
      <w:r w:rsidR="00EF7FA6">
        <w:t xml:space="preserve"> </w:t>
      </w:r>
      <w:r w:rsidR="00A847A6">
        <w:t xml:space="preserve">If we were to calculate an ACT-specific poverty line </w:t>
      </w:r>
      <w:r w:rsidR="00314993">
        <w:t>it would be likely to be higher</w:t>
      </w:r>
      <w:r w:rsidR="00242C27">
        <w:t xml:space="preserve"> than the national poverty line</w:t>
      </w:r>
      <w:r w:rsidR="00646184">
        <w:t>,</w:t>
      </w:r>
      <w:r w:rsidR="002026D2">
        <w:t xml:space="preserve"> </w:t>
      </w:r>
      <w:r w:rsidR="00303B09">
        <w:t>resulting in a higher ACT-specific</w:t>
      </w:r>
      <w:r w:rsidR="00046280">
        <w:t xml:space="preserve"> poverty rate.</w:t>
      </w:r>
    </w:p>
    <w:p w14:paraId="65B432AE" w14:textId="5F4C1930" w:rsidR="006A2307" w:rsidRDefault="00C55877" w:rsidP="00001FDB">
      <w:pPr>
        <w:pStyle w:val="BodyText"/>
        <w:keepNext/>
      </w:pPr>
      <w:r>
        <w:lastRenderedPageBreak/>
        <w:t xml:space="preserve">Groups that have </w:t>
      </w:r>
      <w:r w:rsidR="006A2307">
        <w:t xml:space="preserve">poverty rates well above </w:t>
      </w:r>
      <w:r w:rsidR="003131B4">
        <w:t xml:space="preserve">the Australian </w:t>
      </w:r>
      <w:r w:rsidR="006A2307">
        <w:t>average</w:t>
      </w:r>
      <w:r>
        <w:t xml:space="preserve"> include</w:t>
      </w:r>
      <w:r w:rsidR="006A2307">
        <w:t>:</w:t>
      </w:r>
    </w:p>
    <w:p w14:paraId="74B15242" w14:textId="4733C86D" w:rsidR="006A2307" w:rsidRDefault="006A2307" w:rsidP="00D54EBD">
      <w:pPr>
        <w:pStyle w:val="ListBullet"/>
        <w:tabs>
          <w:tab w:val="num" w:pos="567"/>
        </w:tabs>
      </w:pPr>
      <w:r>
        <w:t>People in households whose main income</w:t>
      </w:r>
      <w:r w:rsidR="00D54EBD">
        <w:t xml:space="preserve"> </w:t>
      </w:r>
      <w:r>
        <w:t>earner</w:t>
      </w:r>
      <w:r w:rsidR="00D54EBD">
        <w:t xml:space="preserve"> </w:t>
      </w:r>
      <w:r>
        <w:t>is unemployed (66%)</w:t>
      </w:r>
    </w:p>
    <w:p w14:paraId="0C1D2DC6" w14:textId="3AB38FA1" w:rsidR="006A2307" w:rsidRDefault="006A2307" w:rsidP="00C73149">
      <w:pPr>
        <w:pStyle w:val="ListBullet"/>
      </w:pPr>
      <w:r>
        <w:t>Public housing tenants (58%) (reflecting the highly targeted nature of public</w:t>
      </w:r>
      <w:r w:rsidR="00D54EBD">
        <w:t xml:space="preserve"> </w:t>
      </w:r>
      <w:r>
        <w:t>housing and its scarcity)</w:t>
      </w:r>
    </w:p>
    <w:p w14:paraId="637FE22B" w14:textId="1C027F07" w:rsidR="006A2307" w:rsidRDefault="006A2307" w:rsidP="00C73149">
      <w:pPr>
        <w:pStyle w:val="ListBullet"/>
      </w:pPr>
      <w:r>
        <w:t xml:space="preserve">People in households whose </w:t>
      </w:r>
      <w:r w:rsidR="00B03B05">
        <w:t>main income earner</w:t>
      </w:r>
      <w:r>
        <w:t xml:space="preserve"> is of working age and out of</w:t>
      </w:r>
      <w:r w:rsidR="00D54EBD">
        <w:t xml:space="preserve"> </w:t>
      </w:r>
      <w:r>
        <w:t>the labour force (45%)</w:t>
      </w:r>
    </w:p>
    <w:p w14:paraId="3C146ED4" w14:textId="2562D8FE" w:rsidR="006A2307" w:rsidRDefault="006A2307" w:rsidP="006A2307">
      <w:pPr>
        <w:pStyle w:val="ListBullet"/>
      </w:pPr>
      <w:r>
        <w:t>Children in sole parent households (44%)</w:t>
      </w:r>
    </w:p>
    <w:p w14:paraId="365C9067" w14:textId="00787A60" w:rsidR="006A2307" w:rsidRDefault="006A2307" w:rsidP="00C73149">
      <w:pPr>
        <w:pStyle w:val="ListBullet"/>
      </w:pPr>
      <w:r>
        <w:t xml:space="preserve">People in households whose </w:t>
      </w:r>
      <w:r w:rsidR="00B03B05">
        <w:t>main income earner</w:t>
      </w:r>
      <w:r>
        <w:t xml:space="preserve"> receives Youth Allowance</w:t>
      </w:r>
      <w:r w:rsidR="006A4D82">
        <w:t xml:space="preserve"> </w:t>
      </w:r>
      <w:r>
        <w:t>(43%), Newstart Allowance (57%), Parenting Payment (54%), or Disability</w:t>
      </w:r>
      <w:r w:rsidR="006A4D82">
        <w:t xml:space="preserve"> </w:t>
      </w:r>
      <w:r>
        <w:t>Support Pension (41%)</w:t>
      </w:r>
    </w:p>
    <w:p w14:paraId="14D6E27F" w14:textId="1CCF0D5F" w:rsidR="00C336D5" w:rsidRDefault="006A2307" w:rsidP="00C336D5">
      <w:pPr>
        <w:pStyle w:val="ListBullet"/>
      </w:pPr>
      <w:r>
        <w:t>People aged 65 years and over who are not homeowners</w:t>
      </w:r>
      <w:r w:rsidR="006A4D82">
        <w:t xml:space="preserve"> </w:t>
      </w:r>
      <w:r>
        <w:t>(39%).</w:t>
      </w:r>
      <w:r w:rsidR="00AE670E">
        <w:rPr>
          <w:rStyle w:val="FootnoteReference"/>
        </w:rPr>
        <w:footnoteReference w:id="8"/>
      </w:r>
    </w:p>
    <w:p w14:paraId="0F59962B" w14:textId="29D2D1C5" w:rsidR="00C654DA" w:rsidRDefault="002A39B7" w:rsidP="00C654DA">
      <w:pPr>
        <w:pStyle w:val="BodyText"/>
      </w:pPr>
      <w:r>
        <w:t>Unemployment and reliance on income support payments</w:t>
      </w:r>
      <w:r w:rsidR="00B74150">
        <w:t xml:space="preserve"> are major drivers of poverty in Australia. Before the </w:t>
      </w:r>
      <w:r w:rsidR="00E71A18">
        <w:t>Australian Government’s introduction of the Coronavirus Supplement in April 2020, i</w:t>
      </w:r>
      <w:r w:rsidR="00B74150">
        <w:t xml:space="preserve">ncome support payments for people seeking </w:t>
      </w:r>
      <w:r w:rsidR="003F6D90">
        <w:t>employment</w:t>
      </w:r>
      <w:r w:rsidR="004A4CAB">
        <w:t xml:space="preserve"> </w:t>
      </w:r>
      <w:r w:rsidR="009D0DFA">
        <w:t xml:space="preserve">were </w:t>
      </w:r>
      <w:r w:rsidR="00C117FC">
        <w:t xml:space="preserve">well </w:t>
      </w:r>
      <w:r w:rsidR="009D0DFA">
        <w:t xml:space="preserve">below the poverty line and </w:t>
      </w:r>
      <w:r w:rsidR="00E71A18">
        <w:t>had</w:t>
      </w:r>
      <w:r w:rsidR="00C654DA" w:rsidRPr="00D42598">
        <w:t xml:space="preserve"> not increased in real terms in </w:t>
      </w:r>
      <w:r w:rsidR="003F6D90">
        <w:t xml:space="preserve">over </w:t>
      </w:r>
      <w:r w:rsidR="00C654DA" w:rsidRPr="00D42598">
        <w:t>25 years.</w:t>
      </w:r>
      <w:r w:rsidR="00C654DA">
        <w:t xml:space="preserve"> As at December 201</w:t>
      </w:r>
      <w:r w:rsidR="002A0C6F">
        <w:t>9</w:t>
      </w:r>
      <w:r w:rsidR="00C654DA">
        <w:t xml:space="preserve">, there were </w:t>
      </w:r>
      <w:r w:rsidR="00BB1802">
        <w:t>just over 6,500</w:t>
      </w:r>
      <w:r w:rsidR="00C654DA">
        <w:t xml:space="preserve"> people </w:t>
      </w:r>
      <w:r w:rsidR="00285ECF">
        <w:t xml:space="preserve">in the ACT receiving </w:t>
      </w:r>
      <w:r w:rsidR="00995E46">
        <w:t>Newstart</w:t>
      </w:r>
      <w:r w:rsidR="00F64E1E">
        <w:t xml:space="preserve"> (now JobSeeker)</w:t>
      </w:r>
      <w:r w:rsidR="00995E46">
        <w:t xml:space="preserve"> or Youth Allowance payments while </w:t>
      </w:r>
      <w:r w:rsidR="00C446BB">
        <w:t>seeking employment</w:t>
      </w:r>
      <w:r w:rsidR="0056193C">
        <w:t xml:space="preserve"> </w:t>
      </w:r>
      <w:r w:rsidR="007108A9">
        <w:t>and</w:t>
      </w:r>
      <w:r w:rsidR="008E2FF7">
        <w:t xml:space="preserve"> were</w:t>
      </w:r>
      <w:r w:rsidR="00C654DA">
        <w:t xml:space="preserve"> thus at greatest risk of living in poverty.</w:t>
      </w:r>
      <w:r w:rsidR="00C654DA">
        <w:rPr>
          <w:rStyle w:val="FootnoteReference"/>
        </w:rPr>
        <w:footnoteReference w:id="9"/>
      </w:r>
      <w:r w:rsidR="00C654DA">
        <w:t xml:space="preserve"> </w:t>
      </w:r>
      <w:r w:rsidR="004F01F6">
        <w:t>By Ju</w:t>
      </w:r>
      <w:r w:rsidR="005A7485">
        <w:t>ly</w:t>
      </w:r>
      <w:r w:rsidR="004F01F6">
        <w:t xml:space="preserve"> 2020, this number had more than doubled</w:t>
      </w:r>
      <w:r w:rsidR="00F1440D">
        <w:t xml:space="preserve"> to </w:t>
      </w:r>
      <w:r w:rsidR="00BB1802">
        <w:t>almost 15,000</w:t>
      </w:r>
      <w:r w:rsidR="001E41AB">
        <w:t xml:space="preserve"> people</w:t>
      </w:r>
      <w:r w:rsidR="00883645">
        <w:t>.</w:t>
      </w:r>
      <w:r w:rsidR="00D623B9">
        <w:rPr>
          <w:rStyle w:val="FootnoteReference"/>
        </w:rPr>
        <w:footnoteReference w:id="10"/>
      </w:r>
      <w:r w:rsidR="00883645">
        <w:t xml:space="preserve"> </w:t>
      </w:r>
      <w:r w:rsidR="00C654DA">
        <w:t xml:space="preserve"> </w:t>
      </w:r>
    </w:p>
    <w:p w14:paraId="7AE2B214" w14:textId="1F8FF51D" w:rsidR="00C654DA" w:rsidRDefault="00C654DA" w:rsidP="00C654DA">
      <w:pPr>
        <w:pStyle w:val="BodyText"/>
      </w:pPr>
      <w:r>
        <w:t>This report adopts the methodology used by Councils of Social Service in South Australia and the Northern Territory. It draws on the latest Consumer Price Index (CPI) and Selected Living Cost Indexes (SLCI) data released by the Australian Bureau of Statistics (ABS) to show changes in the cost of living over the past 12 months</w:t>
      </w:r>
      <w:r w:rsidR="00983614">
        <w:t>. This year’s report also looks back at changes in the cost of living over the past five years</w:t>
      </w:r>
      <w:r>
        <w:t>. Explanatory notes about these indexes, their limitations and income support payment calculations are provided in the Appendix. This report highlights changes in the cost of living for those</w:t>
      </w:r>
      <w:r w:rsidR="00B03CFB">
        <w:t xml:space="preserve"> people who are</w:t>
      </w:r>
      <w:r>
        <w:t xml:space="preserve"> in receipt of income support. Tracking changes in the cost of living for these households is important as they have the least financial capacity to cope with rises in the cost of essential goods and services.</w:t>
      </w:r>
    </w:p>
    <w:p w14:paraId="5181CC2A" w14:textId="57F4B1B4" w:rsidR="008F7197" w:rsidRDefault="00C654DA" w:rsidP="00C654DA">
      <w:pPr>
        <w:pStyle w:val="BodyText"/>
      </w:pPr>
      <w:r>
        <w:t xml:space="preserve">The following sections of the report track changes in the CPI and SLCI, with a focus on the impact of these changes for people living in low-income households in the ACT. </w:t>
      </w:r>
      <w:bookmarkStart w:id="8" w:name="_Hlk5975130"/>
      <w:r>
        <w:t xml:space="preserve">Consistent with </w:t>
      </w:r>
      <w:r w:rsidR="00C927E0">
        <w:t>previous</w:t>
      </w:r>
      <w:r>
        <w:t xml:space="preserve"> report</w:t>
      </w:r>
      <w:r w:rsidR="00C927E0">
        <w:t>s</w:t>
      </w:r>
      <w:r>
        <w:t xml:space="preserve">, we find that </w:t>
      </w:r>
      <w:r w:rsidR="00875874">
        <w:t>changes in the</w:t>
      </w:r>
      <w:r>
        <w:t xml:space="preserve"> cost of living </w:t>
      </w:r>
      <w:r w:rsidR="00875874">
        <w:t>have continued</w:t>
      </w:r>
      <w:r>
        <w:t xml:space="preserve"> to hit Canberra’s low-income households the </w:t>
      </w:r>
      <w:r>
        <w:lastRenderedPageBreak/>
        <w:t xml:space="preserve">hardest. </w:t>
      </w:r>
      <w:r w:rsidR="00B43B2D">
        <w:t xml:space="preserve">Over the past year, and over the past five years, </w:t>
      </w:r>
      <w:r>
        <w:t xml:space="preserve">Canberra’s overall CPI </w:t>
      </w:r>
      <w:r w:rsidR="00CB2A55">
        <w:t>has been</w:t>
      </w:r>
      <w:r w:rsidR="00CE616F">
        <w:t xml:space="preserve"> largely</w:t>
      </w:r>
      <w:r w:rsidR="00CB2A55">
        <w:t xml:space="preserve"> </w:t>
      </w:r>
      <w:r w:rsidR="00CE616F">
        <w:t>in line with</w:t>
      </w:r>
      <w:r>
        <w:t xml:space="preserve"> the national rate. </w:t>
      </w:r>
      <w:r w:rsidR="007262F2">
        <w:t xml:space="preserve">However, </w:t>
      </w:r>
      <w:r w:rsidR="004E1A49">
        <w:t xml:space="preserve">there are three </w:t>
      </w:r>
      <w:r w:rsidR="009B1166">
        <w:t xml:space="preserve">key categories </w:t>
      </w:r>
      <w:r w:rsidR="005535E1">
        <w:t xml:space="preserve">of </w:t>
      </w:r>
      <w:r w:rsidR="004E1A49">
        <w:t xml:space="preserve">essential </w:t>
      </w:r>
      <w:r w:rsidR="005535E1">
        <w:t xml:space="preserve">goods and services </w:t>
      </w:r>
      <w:r w:rsidR="004E1A49">
        <w:t xml:space="preserve">where prices in Canberra </w:t>
      </w:r>
      <w:r w:rsidR="005535E1">
        <w:t xml:space="preserve">have increased at a rate </w:t>
      </w:r>
      <w:r w:rsidR="00C5750D">
        <w:t>above both</w:t>
      </w:r>
      <w:r w:rsidR="005535E1">
        <w:t xml:space="preserve"> the overall CPI and </w:t>
      </w:r>
      <w:r w:rsidR="00C5750D">
        <w:t>the national rate</w:t>
      </w:r>
      <w:r w:rsidR="007E770D">
        <w:t xml:space="preserve"> for the same category. </w:t>
      </w:r>
      <w:r w:rsidR="00DB3C45">
        <w:t>These categories are</w:t>
      </w:r>
      <w:r w:rsidR="007E770D">
        <w:t xml:space="preserve"> health, housing</w:t>
      </w:r>
      <w:r w:rsidR="001E0DA5">
        <w:t>,</w:t>
      </w:r>
      <w:r w:rsidR="007E770D">
        <w:t xml:space="preserve"> and energy</w:t>
      </w:r>
      <w:r w:rsidR="00182E24">
        <w:t xml:space="preserve">. </w:t>
      </w:r>
      <w:r w:rsidR="00255B77">
        <w:t xml:space="preserve">Our 2019 ACT Cost of Living Report included additional </w:t>
      </w:r>
      <w:r w:rsidR="008F7197">
        <w:t>discussion</w:t>
      </w:r>
      <w:r w:rsidR="00255B77">
        <w:t xml:space="preserve"> on energy affordability</w:t>
      </w:r>
      <w:r w:rsidR="008F7197">
        <w:t>.</w:t>
      </w:r>
      <w:r w:rsidR="004E33D9">
        <w:rPr>
          <w:rStyle w:val="FootnoteReference"/>
        </w:rPr>
        <w:footnoteReference w:id="11"/>
      </w:r>
      <w:r w:rsidR="00255B77">
        <w:t xml:space="preserve"> </w:t>
      </w:r>
      <w:r w:rsidR="008F7197">
        <w:t xml:space="preserve">In this </w:t>
      </w:r>
      <w:r w:rsidR="00182E24">
        <w:t>report</w:t>
      </w:r>
      <w:r w:rsidR="008F7197">
        <w:t xml:space="preserve"> we provide</w:t>
      </w:r>
      <w:r w:rsidR="00182E24">
        <w:t xml:space="preserve"> </w:t>
      </w:r>
      <w:r w:rsidR="008F7197">
        <w:t>additional</w:t>
      </w:r>
      <w:r w:rsidR="00182E24">
        <w:t xml:space="preserve"> discussion of housing affordability and </w:t>
      </w:r>
      <w:r w:rsidR="006A3431">
        <w:t xml:space="preserve">cost barriers to health </w:t>
      </w:r>
      <w:r w:rsidR="001E0DA5">
        <w:t>services in the ACT</w:t>
      </w:r>
      <w:r w:rsidR="00182E24">
        <w:t>.</w:t>
      </w:r>
    </w:p>
    <w:p w14:paraId="69AC824C" w14:textId="77777777" w:rsidR="00423873" w:rsidRDefault="00EE7ABD" w:rsidP="00C654DA">
      <w:pPr>
        <w:pStyle w:val="BodyText"/>
      </w:pPr>
      <w:r>
        <w:t>Consistent</w:t>
      </w:r>
      <w:r w:rsidR="00483FFD" w:rsidRPr="004C299E">
        <w:t xml:space="preserve"> with the rest of the ACT Cost of Living Report series, our primary analysis of </w:t>
      </w:r>
      <w:r w:rsidR="00B641C3">
        <w:t xml:space="preserve">is based on the change in the </w:t>
      </w:r>
      <w:r w:rsidR="00483FFD" w:rsidRPr="004C299E">
        <w:t>CPI and SLCI</w:t>
      </w:r>
      <w:r w:rsidR="004C299E" w:rsidRPr="004C299E">
        <w:t xml:space="preserve"> </w:t>
      </w:r>
      <w:r w:rsidR="00AA1A44">
        <w:t xml:space="preserve">over </w:t>
      </w:r>
      <w:r w:rsidR="004C299E" w:rsidRPr="004C299E">
        <w:t xml:space="preserve">a </w:t>
      </w:r>
      <w:r w:rsidR="00423507">
        <w:t>12-month</w:t>
      </w:r>
      <w:r w:rsidR="00AA1A44">
        <w:t xml:space="preserve"> period, </w:t>
      </w:r>
      <w:r w:rsidR="00B641C3">
        <w:t>from one December quarter to the next</w:t>
      </w:r>
      <w:r w:rsidR="00AA1A44">
        <w:t>. This report tracks change</w:t>
      </w:r>
      <w:r w:rsidR="004C299E" w:rsidRPr="004C299E">
        <w:t xml:space="preserve"> from December 2018 to December 2019.</w:t>
      </w:r>
      <w:r w:rsidR="004C299E">
        <w:t xml:space="preserve"> </w:t>
      </w:r>
      <w:r w:rsidR="001D6C26">
        <w:t>Since December 2019, t</w:t>
      </w:r>
      <w:r w:rsidR="00A82827">
        <w:t xml:space="preserve">he COVID-19 health emergency has </w:t>
      </w:r>
      <w:r w:rsidR="001D6C26">
        <w:t xml:space="preserve">had a major impact on </w:t>
      </w:r>
      <w:r w:rsidR="00022972">
        <w:t>prices</w:t>
      </w:r>
      <w:r w:rsidR="00764B3D">
        <w:t xml:space="preserve"> and on </w:t>
      </w:r>
      <w:r w:rsidR="00022972">
        <w:t>the rates of income support payments</w:t>
      </w:r>
      <w:r w:rsidR="00270C51">
        <w:t xml:space="preserve">. This report </w:t>
      </w:r>
      <w:r w:rsidR="00423507">
        <w:t>also</w:t>
      </w:r>
      <w:r w:rsidR="00270C51">
        <w:t xml:space="preserve"> includes analysis of changes to </w:t>
      </w:r>
      <w:r w:rsidR="005F104A">
        <w:t>incomes following the introduction of the Coronavirus Supplement by the Australian Government on 27 April 2020</w:t>
      </w:r>
      <w:r w:rsidR="00423507">
        <w:t>,</w:t>
      </w:r>
      <w:r w:rsidR="00081071">
        <w:t xml:space="preserve"> its </w:t>
      </w:r>
      <w:r w:rsidR="00B541EF">
        <w:t xml:space="preserve">reduction after 24 September 2020, and </w:t>
      </w:r>
      <w:r w:rsidR="00423507">
        <w:t>it</w:t>
      </w:r>
      <w:r w:rsidR="00587789">
        <w:t>s removal after</w:t>
      </w:r>
      <w:r w:rsidR="00CE2746">
        <w:t xml:space="preserve"> 31 December 2020. </w:t>
      </w:r>
    </w:p>
    <w:p w14:paraId="65D6ADE3" w14:textId="1716B527" w:rsidR="00C654DA" w:rsidRDefault="00C654DA" w:rsidP="00C654DA">
      <w:pPr>
        <w:pStyle w:val="BodyText"/>
      </w:pPr>
      <w:r w:rsidRPr="00C01807">
        <w:t xml:space="preserve">Our analysis of changes in the SLCI alongside changes in income support payments </w:t>
      </w:r>
      <w:r w:rsidR="00423873">
        <w:t xml:space="preserve">from </w:t>
      </w:r>
      <w:r w:rsidR="00911FCA" w:rsidRPr="00C01807">
        <w:t>December 2018 to December 2019</w:t>
      </w:r>
      <w:r w:rsidRPr="00C01807">
        <w:t xml:space="preserve"> highlights yet again that Newstart</w:t>
      </w:r>
      <w:r w:rsidR="00911FCA" w:rsidRPr="00C01807">
        <w:t xml:space="preserve"> (now JobSeeker)</w:t>
      </w:r>
      <w:r w:rsidRPr="00C01807">
        <w:t xml:space="preserve"> </w:t>
      </w:r>
      <w:r w:rsidR="003665EC" w:rsidRPr="00C01807">
        <w:t>had failed to keep up with changes in the cost of living for recipients</w:t>
      </w:r>
      <w:r w:rsidR="00B10A78">
        <w:t>,</w:t>
      </w:r>
      <w:r w:rsidR="00ED14EC" w:rsidRPr="00C01807">
        <w:t xml:space="preserve"> resulting in an effective reduction of income over the 12</w:t>
      </w:r>
      <w:r w:rsidR="00B10A78">
        <w:t>-</w:t>
      </w:r>
      <w:r w:rsidR="00ED14EC" w:rsidRPr="00C01807">
        <w:t>month period</w:t>
      </w:r>
      <w:r w:rsidRPr="00C01807">
        <w:t xml:space="preserve">. </w:t>
      </w:r>
      <w:r w:rsidR="00ED14EC" w:rsidRPr="00C01807">
        <w:t xml:space="preserve">The introduction of the $550 </w:t>
      </w:r>
      <w:r w:rsidR="006E03C4" w:rsidRPr="00C01807">
        <w:t xml:space="preserve">per fortnight Coronavirus Supplement </w:t>
      </w:r>
      <w:r w:rsidR="00B10A78">
        <w:t xml:space="preserve">in April 2020 </w:t>
      </w:r>
      <w:r w:rsidR="00336C31" w:rsidRPr="00C01807">
        <w:t xml:space="preserve">saw </w:t>
      </w:r>
      <w:r w:rsidR="00C02BFD" w:rsidRPr="00C01807">
        <w:t xml:space="preserve">these payments rise to a level </w:t>
      </w:r>
      <w:r w:rsidR="007F5D51" w:rsidRPr="00C01807">
        <w:t xml:space="preserve">above the poverty line and </w:t>
      </w:r>
      <w:r w:rsidR="00B10A78">
        <w:t xml:space="preserve">more </w:t>
      </w:r>
      <w:r w:rsidR="00C02BFD" w:rsidRPr="00C01807">
        <w:t>in line with living cos</w:t>
      </w:r>
      <w:r w:rsidR="007F5D51" w:rsidRPr="00C01807">
        <w:t>ts</w:t>
      </w:r>
      <w:r w:rsidR="00ED34BE" w:rsidRPr="00C01807">
        <w:t xml:space="preserve">. The pending reduction </w:t>
      </w:r>
      <w:r w:rsidR="005F61FE" w:rsidRPr="00C01807">
        <w:t xml:space="preserve">in the Coronavirus Supplement </w:t>
      </w:r>
      <w:r w:rsidR="00654069">
        <w:t xml:space="preserve">from 25 September 2020 </w:t>
      </w:r>
      <w:r w:rsidR="005F61FE" w:rsidRPr="00C01807">
        <w:t>will see incomes drop back below the poverty line</w:t>
      </w:r>
      <w:r w:rsidR="00F63526">
        <w:t xml:space="preserve"> and its complete withdrawal </w:t>
      </w:r>
      <w:r w:rsidR="004A068D">
        <w:t xml:space="preserve">after 31 December 2020 </w:t>
      </w:r>
      <w:r w:rsidR="00F63526">
        <w:t xml:space="preserve">would </w:t>
      </w:r>
      <w:r w:rsidR="004A068D">
        <w:t>see</w:t>
      </w:r>
      <w:r w:rsidR="00F63526">
        <w:t xml:space="preserve"> </w:t>
      </w:r>
      <w:r w:rsidR="00386E39">
        <w:t xml:space="preserve">weekly </w:t>
      </w:r>
      <w:r w:rsidR="009B517B">
        <w:t xml:space="preserve">incomes drop to </w:t>
      </w:r>
      <w:r w:rsidR="00017818">
        <w:t>as much as $222 below the poverty line.</w:t>
      </w:r>
    </w:p>
    <w:p w14:paraId="1243A8D2" w14:textId="085DE5DC" w:rsidR="007568BB" w:rsidRDefault="008379C9" w:rsidP="00C654DA">
      <w:pPr>
        <w:pStyle w:val="BodyText"/>
      </w:pPr>
      <w:r>
        <w:t>This report supports the recommendations of the Australian Council of Social Service (ACOSS) and the Raise the Rate for Good campaign</w:t>
      </w:r>
      <w:r w:rsidR="007568BB">
        <w:t xml:space="preserve"> by calling for the Australian Government to:</w:t>
      </w:r>
    </w:p>
    <w:p w14:paraId="59F25995" w14:textId="25800F31" w:rsidR="008379C9" w:rsidRDefault="007568BB" w:rsidP="001D2B1C">
      <w:pPr>
        <w:pStyle w:val="ListBullet"/>
      </w:pPr>
      <w:r>
        <w:t xml:space="preserve">Keep </w:t>
      </w:r>
      <w:r w:rsidR="009125C6" w:rsidRPr="009125C6">
        <w:t>the $550 per fortnight Coronavirus Supplement in place until our social security system is fixed for good so that it keeps people out of poverty</w:t>
      </w:r>
    </w:p>
    <w:p w14:paraId="5301BF24" w14:textId="01D41B37" w:rsidR="008379C9" w:rsidRDefault="008379C9" w:rsidP="001D2B1C">
      <w:pPr>
        <w:pStyle w:val="ListBullet"/>
      </w:pPr>
      <w:r w:rsidRPr="008379C9">
        <w:t>Set a minimum income floor across the working age payments system set at the current pension rate (including the Pension Supplement). This is currently $472 per week for a single person.</w:t>
      </w:r>
    </w:p>
    <w:p w14:paraId="4124C8D9" w14:textId="290347A2" w:rsidR="00917CD3" w:rsidRDefault="00917CD3" w:rsidP="00174599">
      <w:pPr>
        <w:pStyle w:val="BodyText"/>
      </w:pPr>
      <w:r>
        <w:t xml:space="preserve">In the lead up to the 2020 ACT Election, this report also sets out key actions </w:t>
      </w:r>
      <w:r w:rsidR="00174599">
        <w:t xml:space="preserve">that </w:t>
      </w:r>
      <w:r w:rsidR="0097643E">
        <w:t xml:space="preserve">will </w:t>
      </w:r>
      <w:r w:rsidR="00174599">
        <w:t>need to be undertaken by the next ACT Government to</w:t>
      </w:r>
      <w:r w:rsidR="000D1F18">
        <w:t xml:space="preserve"> address cost of living pressures </w:t>
      </w:r>
      <w:r w:rsidR="000162B8">
        <w:t>faced by</w:t>
      </w:r>
      <w:r w:rsidR="000D1F18">
        <w:t xml:space="preserve"> low-income households</w:t>
      </w:r>
      <w:r w:rsidR="000162B8">
        <w:t xml:space="preserve"> </w:t>
      </w:r>
      <w:r w:rsidR="00451427">
        <w:t>to achieve</w:t>
      </w:r>
      <w:r w:rsidR="000162B8">
        <w:t xml:space="preserve"> a</w:t>
      </w:r>
      <w:r w:rsidR="00174599" w:rsidRPr="00174599">
        <w:t xml:space="preserve"> just and fair Canberra</w:t>
      </w:r>
      <w:r w:rsidR="000D1F18">
        <w:t>.</w:t>
      </w:r>
      <w:r w:rsidR="00894060">
        <w:t xml:space="preserve"> The</w:t>
      </w:r>
      <w:r w:rsidR="000162B8">
        <w:t xml:space="preserve"> recommended</w:t>
      </w:r>
      <w:r w:rsidR="00894060">
        <w:t xml:space="preserve"> actions </w:t>
      </w:r>
      <w:r w:rsidR="004A10FE">
        <w:t>in this report</w:t>
      </w:r>
      <w:r w:rsidR="00894060">
        <w:t xml:space="preserve"> include measures to </w:t>
      </w:r>
      <w:r w:rsidR="00026B4D">
        <w:t>improve</w:t>
      </w:r>
      <w:r w:rsidR="00894060">
        <w:t xml:space="preserve"> the affordability of housing, health, transport, </w:t>
      </w:r>
      <w:r w:rsidR="00FD7FA0">
        <w:t xml:space="preserve">and energy and to ensure equal access to justice </w:t>
      </w:r>
      <w:r w:rsidR="0097643E">
        <w:t>for people on low</w:t>
      </w:r>
      <w:r w:rsidR="00B058E9">
        <w:t xml:space="preserve"> </w:t>
      </w:r>
      <w:r w:rsidR="0097643E">
        <w:t>incomes.</w:t>
      </w:r>
    </w:p>
    <w:p w14:paraId="10D11B33" w14:textId="1408D791" w:rsidR="00D8343F" w:rsidRPr="00CA7855" w:rsidRDefault="00BF4A14" w:rsidP="003B29DC">
      <w:pPr>
        <w:pStyle w:val="Heading1"/>
      </w:pPr>
      <w:bookmarkStart w:id="9" w:name="_Toc51050140"/>
      <w:bookmarkEnd w:id="8"/>
      <w:r w:rsidRPr="00BF4A14">
        <w:lastRenderedPageBreak/>
        <w:t>Tracking changes in the price of key goods and services: CPI</w:t>
      </w:r>
      <w:bookmarkEnd w:id="9"/>
    </w:p>
    <w:p w14:paraId="10170E7B" w14:textId="18EDB92B" w:rsidR="00E27F28" w:rsidRDefault="00124AB6" w:rsidP="00124AB6">
      <w:pPr>
        <w:pStyle w:val="BodyText"/>
      </w:pPr>
      <w:r w:rsidRPr="00DC0228">
        <w:t xml:space="preserve">The </w:t>
      </w:r>
      <w:r>
        <w:t>overall (or All Groups)</w:t>
      </w:r>
      <w:r w:rsidRPr="00DC0228">
        <w:t xml:space="preserve"> CPI figure covers many goods and services</w:t>
      </w:r>
      <w:r>
        <w:t xml:space="preserve">. Eleven </w:t>
      </w:r>
      <w:r w:rsidRPr="00DC0228">
        <w:t>major categories with over 100 individual goods and services mak</w:t>
      </w:r>
      <w:r>
        <w:t>e</w:t>
      </w:r>
      <w:r w:rsidRPr="00DC0228">
        <w:t xml:space="preserve"> up the CPI basket</w:t>
      </w:r>
      <w:r>
        <w:t xml:space="preserve">. </w:t>
      </w:r>
      <w:r w:rsidRPr="00DC0228">
        <w:t xml:space="preserve">There can be wide variations in the CPI for specific goods and services, which may impact </w:t>
      </w:r>
      <w:r w:rsidR="00710352">
        <w:t>different households</w:t>
      </w:r>
      <w:r w:rsidRPr="00DC0228">
        <w:t xml:space="preserve"> differently.</w:t>
      </w:r>
      <w:r>
        <w:t xml:space="preserve"> </w:t>
      </w:r>
      <w:r w:rsidRPr="00FE2018">
        <w:t xml:space="preserve">The overall CPI figure can be separated into </w:t>
      </w:r>
      <w:r>
        <w:t>its</w:t>
      </w:r>
      <w:r w:rsidRPr="00FE2018">
        <w:t xml:space="preserve"> component parts, allowing us to track changes in the price of key basic goods and services in the ACT and nationally. </w:t>
      </w:r>
    </w:p>
    <w:p w14:paraId="2F317F4F" w14:textId="6D75F240" w:rsidR="00E27F28" w:rsidRDefault="005D01F8" w:rsidP="00124AB6">
      <w:pPr>
        <w:pStyle w:val="BodyText"/>
      </w:pPr>
      <w:r>
        <w:t xml:space="preserve">It is useful to view the changes in CPI in relation to </w:t>
      </w:r>
      <w:r w:rsidR="00283448">
        <w:t xml:space="preserve">the proportion of </w:t>
      </w:r>
      <w:r w:rsidR="00872F78">
        <w:t>expenditure on different goods and services by low-income households</w:t>
      </w:r>
      <w:r w:rsidR="00842AD0">
        <w:t xml:space="preserve">. Table 1 shows the </w:t>
      </w:r>
      <w:r w:rsidR="00034ABD">
        <w:t>proportion of expenditure against different categories of goods and services by households across the income distribution in the ACT.</w:t>
      </w:r>
      <w:r w:rsidR="002D15D0">
        <w:t xml:space="preserve"> This shows that housing, food, and transport account for </w:t>
      </w:r>
      <w:r w:rsidR="00145553">
        <w:t>around half of household expenditure</w:t>
      </w:r>
      <w:r w:rsidR="00E66346">
        <w:t xml:space="preserve">. </w:t>
      </w:r>
      <w:r w:rsidR="004A5AAF">
        <w:t>It also shows th</w:t>
      </w:r>
      <w:r w:rsidR="008538B8">
        <w:t xml:space="preserve">e variation </w:t>
      </w:r>
      <w:r w:rsidR="00202217">
        <w:t xml:space="preserve">in expenditure by higher and lower income </w:t>
      </w:r>
      <w:r w:rsidR="00902718">
        <w:t>households</w:t>
      </w:r>
      <w:r w:rsidR="00202217">
        <w:t xml:space="preserve"> – for example</w:t>
      </w:r>
      <w:r w:rsidR="007928B7">
        <w:t>,</w:t>
      </w:r>
      <w:r w:rsidR="00202217">
        <w:t xml:space="preserve"> it shows that energy costs </w:t>
      </w:r>
      <w:r w:rsidR="007928B7">
        <w:t xml:space="preserve">account for </w:t>
      </w:r>
      <w:r w:rsidR="00202217">
        <w:t xml:space="preserve">a </w:t>
      </w:r>
      <w:r w:rsidR="00C84970">
        <w:t xml:space="preserve">larger proportion of expenditure for </w:t>
      </w:r>
      <w:r w:rsidR="00202217">
        <w:t>low-income h</w:t>
      </w:r>
      <w:r w:rsidR="00C84970">
        <w:t>ouseholds</w:t>
      </w:r>
      <w:r w:rsidR="001C7F1D">
        <w:t xml:space="preserve"> than for average- and high-income households in the ACT.</w:t>
      </w:r>
    </w:p>
    <w:p w14:paraId="0A7C772F" w14:textId="3F4B86DB" w:rsidR="00FD1D79" w:rsidRDefault="00FD1D79" w:rsidP="00575B22">
      <w:pPr>
        <w:pStyle w:val="Figuretitle"/>
      </w:pPr>
      <w:r>
        <w:t xml:space="preserve">Table 1 </w:t>
      </w:r>
      <w:r w:rsidR="002A3AC2">
        <w:t>Proportion of h</w:t>
      </w:r>
      <w:r w:rsidR="004D6C04">
        <w:t xml:space="preserve">ousehold expenditure, broad expenditure groups, equivalised </w:t>
      </w:r>
      <w:r w:rsidR="003A2D48">
        <w:t>disposable household income quintiles, ACT, 2015-16</w:t>
      </w:r>
      <w:r w:rsidR="00CE1DD4">
        <w:t xml:space="preserve"> (%)</w:t>
      </w:r>
      <w:r w:rsidR="002D412B" w:rsidRPr="00382503">
        <w:rPr>
          <w:rStyle w:val="FootnoteReference"/>
          <w:b w:val="0"/>
          <w:bCs/>
        </w:rPr>
        <w:footnoteReference w:id="12"/>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875"/>
        <w:gridCol w:w="875"/>
        <w:gridCol w:w="874"/>
        <w:gridCol w:w="874"/>
        <w:gridCol w:w="874"/>
        <w:gridCol w:w="874"/>
      </w:tblGrid>
      <w:tr w:rsidR="003E790B" w:rsidRPr="003E790B" w14:paraId="0906BEF3" w14:textId="77777777" w:rsidTr="003E4C30">
        <w:trPr>
          <w:trHeight w:val="290"/>
          <w:tblHeader/>
        </w:trPr>
        <w:tc>
          <w:tcPr>
            <w:tcW w:w="1914" w:type="pct"/>
            <w:tcBorders>
              <w:top w:val="single" w:sz="4" w:space="0" w:color="auto"/>
              <w:bottom w:val="single" w:sz="4" w:space="0" w:color="auto"/>
            </w:tcBorders>
            <w:noWrap/>
            <w:hideMark/>
          </w:tcPr>
          <w:p w14:paraId="6CDF4B97" w14:textId="77777777" w:rsidR="003E790B" w:rsidRPr="003E790B" w:rsidRDefault="003E790B" w:rsidP="003E790B">
            <w:pPr>
              <w:pStyle w:val="Tableheading"/>
            </w:pPr>
            <w:r w:rsidRPr="003E790B">
              <w:t>Goods and services</w:t>
            </w:r>
          </w:p>
        </w:tc>
        <w:tc>
          <w:tcPr>
            <w:tcW w:w="514" w:type="pct"/>
            <w:tcBorders>
              <w:top w:val="single" w:sz="4" w:space="0" w:color="auto"/>
              <w:bottom w:val="single" w:sz="4" w:space="0" w:color="auto"/>
            </w:tcBorders>
            <w:noWrap/>
            <w:hideMark/>
          </w:tcPr>
          <w:p w14:paraId="1B05DC92" w14:textId="6136C888" w:rsidR="003E790B" w:rsidRPr="003E790B" w:rsidRDefault="003E790B" w:rsidP="00834FD8">
            <w:pPr>
              <w:pStyle w:val="Tableheading"/>
            </w:pPr>
            <w:r>
              <w:t>Q1</w:t>
            </w:r>
            <w:r w:rsidR="009819A5">
              <w:t xml:space="preserve"> - low</w:t>
            </w:r>
          </w:p>
        </w:tc>
        <w:tc>
          <w:tcPr>
            <w:tcW w:w="514" w:type="pct"/>
            <w:tcBorders>
              <w:top w:val="single" w:sz="4" w:space="0" w:color="auto"/>
              <w:bottom w:val="single" w:sz="4" w:space="0" w:color="auto"/>
            </w:tcBorders>
            <w:hideMark/>
          </w:tcPr>
          <w:p w14:paraId="4AEB87EF" w14:textId="3069A33E" w:rsidR="003E790B" w:rsidRPr="003E790B" w:rsidRDefault="003E790B" w:rsidP="00834FD8">
            <w:pPr>
              <w:pStyle w:val="Tableheading"/>
            </w:pPr>
            <w:r>
              <w:t>Q2</w:t>
            </w:r>
          </w:p>
        </w:tc>
        <w:tc>
          <w:tcPr>
            <w:tcW w:w="514" w:type="pct"/>
            <w:tcBorders>
              <w:top w:val="single" w:sz="4" w:space="0" w:color="auto"/>
              <w:bottom w:val="single" w:sz="4" w:space="0" w:color="auto"/>
            </w:tcBorders>
            <w:hideMark/>
          </w:tcPr>
          <w:p w14:paraId="48CAACD2" w14:textId="1C22730A" w:rsidR="003E790B" w:rsidRPr="003E790B" w:rsidRDefault="003E790B" w:rsidP="00834FD8">
            <w:pPr>
              <w:pStyle w:val="Tableheading"/>
            </w:pPr>
            <w:r>
              <w:t>Q3</w:t>
            </w:r>
          </w:p>
        </w:tc>
        <w:tc>
          <w:tcPr>
            <w:tcW w:w="514" w:type="pct"/>
            <w:tcBorders>
              <w:top w:val="single" w:sz="4" w:space="0" w:color="auto"/>
              <w:bottom w:val="single" w:sz="4" w:space="0" w:color="auto"/>
            </w:tcBorders>
            <w:hideMark/>
          </w:tcPr>
          <w:p w14:paraId="2254DBB1" w14:textId="2DE20187" w:rsidR="003E790B" w:rsidRPr="003E790B" w:rsidRDefault="003E790B" w:rsidP="00834FD8">
            <w:pPr>
              <w:pStyle w:val="Tableheading"/>
            </w:pPr>
            <w:r>
              <w:t>Q4</w:t>
            </w:r>
          </w:p>
        </w:tc>
        <w:tc>
          <w:tcPr>
            <w:tcW w:w="514" w:type="pct"/>
            <w:tcBorders>
              <w:top w:val="single" w:sz="4" w:space="0" w:color="auto"/>
              <w:bottom w:val="single" w:sz="4" w:space="0" w:color="auto"/>
            </w:tcBorders>
            <w:hideMark/>
          </w:tcPr>
          <w:p w14:paraId="2C7CE241" w14:textId="5C2C441E" w:rsidR="003E790B" w:rsidRPr="003E790B" w:rsidRDefault="003E790B" w:rsidP="00834FD8">
            <w:pPr>
              <w:pStyle w:val="Tableheading"/>
            </w:pPr>
            <w:r>
              <w:t>Q5</w:t>
            </w:r>
            <w:r w:rsidR="009819A5">
              <w:t xml:space="preserve"> - high</w:t>
            </w:r>
          </w:p>
        </w:tc>
        <w:tc>
          <w:tcPr>
            <w:tcW w:w="514" w:type="pct"/>
            <w:tcBorders>
              <w:top w:val="single" w:sz="4" w:space="0" w:color="auto"/>
              <w:bottom w:val="single" w:sz="4" w:space="0" w:color="auto"/>
            </w:tcBorders>
            <w:noWrap/>
            <w:hideMark/>
          </w:tcPr>
          <w:p w14:paraId="4E009FFE" w14:textId="3552D064" w:rsidR="003E790B" w:rsidRPr="003E790B" w:rsidRDefault="009C2B7D" w:rsidP="00834FD8">
            <w:pPr>
              <w:pStyle w:val="Tableheading"/>
            </w:pPr>
            <w:r>
              <w:t>All</w:t>
            </w:r>
          </w:p>
        </w:tc>
      </w:tr>
      <w:tr w:rsidR="003E790B" w:rsidRPr="003E790B" w14:paraId="15C39F7F" w14:textId="77777777" w:rsidTr="003E4C30">
        <w:trPr>
          <w:trHeight w:val="290"/>
        </w:trPr>
        <w:tc>
          <w:tcPr>
            <w:tcW w:w="1914" w:type="pct"/>
            <w:tcBorders>
              <w:top w:val="single" w:sz="4" w:space="0" w:color="auto"/>
            </w:tcBorders>
            <w:shd w:val="clear" w:color="auto" w:fill="D9E2F3" w:themeFill="accent1" w:themeFillTint="33"/>
            <w:noWrap/>
            <w:hideMark/>
          </w:tcPr>
          <w:p w14:paraId="62D8246D" w14:textId="77777777" w:rsidR="003E790B" w:rsidRPr="003E790B" w:rsidRDefault="003E790B" w:rsidP="003E790B">
            <w:pPr>
              <w:pStyle w:val="TableBody"/>
            </w:pPr>
            <w:r w:rsidRPr="003E790B">
              <w:t>Current housing costs (selected dwelling)</w:t>
            </w:r>
          </w:p>
        </w:tc>
        <w:tc>
          <w:tcPr>
            <w:tcW w:w="514" w:type="pct"/>
            <w:tcBorders>
              <w:top w:val="single" w:sz="4" w:space="0" w:color="auto"/>
            </w:tcBorders>
            <w:shd w:val="clear" w:color="auto" w:fill="D9E2F3" w:themeFill="accent1" w:themeFillTint="33"/>
            <w:noWrap/>
            <w:vAlign w:val="center"/>
            <w:hideMark/>
          </w:tcPr>
          <w:p w14:paraId="18FA53A0" w14:textId="77777777" w:rsidR="003E790B" w:rsidRPr="003E790B" w:rsidRDefault="003E790B" w:rsidP="003E790B">
            <w:pPr>
              <w:pStyle w:val="TableBody"/>
              <w:jc w:val="right"/>
            </w:pPr>
            <w:r w:rsidRPr="003E790B">
              <w:t>23.2</w:t>
            </w:r>
          </w:p>
        </w:tc>
        <w:tc>
          <w:tcPr>
            <w:tcW w:w="514" w:type="pct"/>
            <w:tcBorders>
              <w:top w:val="single" w:sz="4" w:space="0" w:color="auto"/>
            </w:tcBorders>
            <w:shd w:val="clear" w:color="auto" w:fill="D9E2F3" w:themeFill="accent1" w:themeFillTint="33"/>
            <w:noWrap/>
            <w:vAlign w:val="center"/>
            <w:hideMark/>
          </w:tcPr>
          <w:p w14:paraId="5666D56D" w14:textId="77777777" w:rsidR="003E790B" w:rsidRPr="003E790B" w:rsidRDefault="003E790B" w:rsidP="003E790B">
            <w:pPr>
              <w:pStyle w:val="TableBody"/>
              <w:jc w:val="right"/>
            </w:pPr>
            <w:r w:rsidRPr="003E790B">
              <w:t>18.4</w:t>
            </w:r>
          </w:p>
        </w:tc>
        <w:tc>
          <w:tcPr>
            <w:tcW w:w="514" w:type="pct"/>
            <w:tcBorders>
              <w:top w:val="single" w:sz="4" w:space="0" w:color="auto"/>
            </w:tcBorders>
            <w:shd w:val="clear" w:color="auto" w:fill="D9E2F3" w:themeFill="accent1" w:themeFillTint="33"/>
            <w:noWrap/>
            <w:vAlign w:val="center"/>
            <w:hideMark/>
          </w:tcPr>
          <w:p w14:paraId="42168832" w14:textId="77777777" w:rsidR="003E790B" w:rsidRPr="003E790B" w:rsidRDefault="003E790B" w:rsidP="003E790B">
            <w:pPr>
              <w:pStyle w:val="TableBody"/>
              <w:jc w:val="right"/>
            </w:pPr>
            <w:r w:rsidRPr="003E790B">
              <w:t>22.3</w:t>
            </w:r>
          </w:p>
        </w:tc>
        <w:tc>
          <w:tcPr>
            <w:tcW w:w="514" w:type="pct"/>
            <w:tcBorders>
              <w:top w:val="single" w:sz="4" w:space="0" w:color="auto"/>
            </w:tcBorders>
            <w:shd w:val="clear" w:color="auto" w:fill="D9E2F3" w:themeFill="accent1" w:themeFillTint="33"/>
            <w:noWrap/>
            <w:vAlign w:val="center"/>
            <w:hideMark/>
          </w:tcPr>
          <w:p w14:paraId="7573B895" w14:textId="77777777" w:rsidR="003E790B" w:rsidRPr="003E790B" w:rsidRDefault="003E790B" w:rsidP="003E790B">
            <w:pPr>
              <w:pStyle w:val="TableBody"/>
              <w:jc w:val="right"/>
            </w:pPr>
            <w:r w:rsidRPr="003E790B">
              <w:t>13.6</w:t>
            </w:r>
          </w:p>
        </w:tc>
        <w:tc>
          <w:tcPr>
            <w:tcW w:w="514" w:type="pct"/>
            <w:tcBorders>
              <w:top w:val="single" w:sz="4" w:space="0" w:color="auto"/>
            </w:tcBorders>
            <w:shd w:val="clear" w:color="auto" w:fill="D9E2F3" w:themeFill="accent1" w:themeFillTint="33"/>
            <w:noWrap/>
            <w:vAlign w:val="center"/>
            <w:hideMark/>
          </w:tcPr>
          <w:p w14:paraId="737D24D6" w14:textId="77777777" w:rsidR="003E790B" w:rsidRPr="003E790B" w:rsidRDefault="003E790B" w:rsidP="003E790B">
            <w:pPr>
              <w:pStyle w:val="TableBody"/>
              <w:jc w:val="right"/>
            </w:pPr>
            <w:r w:rsidRPr="003E790B">
              <w:t>14.0</w:t>
            </w:r>
          </w:p>
        </w:tc>
        <w:tc>
          <w:tcPr>
            <w:tcW w:w="514" w:type="pct"/>
            <w:tcBorders>
              <w:top w:val="single" w:sz="4" w:space="0" w:color="auto"/>
            </w:tcBorders>
            <w:shd w:val="clear" w:color="auto" w:fill="D9E2F3" w:themeFill="accent1" w:themeFillTint="33"/>
            <w:noWrap/>
            <w:vAlign w:val="center"/>
            <w:hideMark/>
          </w:tcPr>
          <w:p w14:paraId="22FB178F" w14:textId="77777777" w:rsidR="003E790B" w:rsidRPr="003E790B" w:rsidRDefault="003E790B" w:rsidP="003E790B">
            <w:pPr>
              <w:pStyle w:val="TableBody"/>
              <w:jc w:val="right"/>
            </w:pPr>
            <w:r w:rsidRPr="003E790B">
              <w:t>17.7</w:t>
            </w:r>
          </w:p>
        </w:tc>
      </w:tr>
      <w:tr w:rsidR="003E790B" w:rsidRPr="003E790B" w14:paraId="0DB1165D" w14:textId="77777777" w:rsidTr="003E4C30">
        <w:trPr>
          <w:trHeight w:val="290"/>
        </w:trPr>
        <w:tc>
          <w:tcPr>
            <w:tcW w:w="1914" w:type="pct"/>
            <w:noWrap/>
            <w:hideMark/>
          </w:tcPr>
          <w:p w14:paraId="0CCA76C0" w14:textId="77777777" w:rsidR="003E790B" w:rsidRPr="003E790B" w:rsidRDefault="003E790B" w:rsidP="003E790B">
            <w:pPr>
              <w:pStyle w:val="TableBody"/>
            </w:pPr>
            <w:r w:rsidRPr="003E790B">
              <w:t>Food and non-alcoholic beverages</w:t>
            </w:r>
          </w:p>
        </w:tc>
        <w:tc>
          <w:tcPr>
            <w:tcW w:w="514" w:type="pct"/>
            <w:noWrap/>
            <w:vAlign w:val="center"/>
            <w:hideMark/>
          </w:tcPr>
          <w:p w14:paraId="4E3A4C49" w14:textId="77777777" w:rsidR="003E790B" w:rsidRPr="003E790B" w:rsidRDefault="003E790B" w:rsidP="003E790B">
            <w:pPr>
              <w:pStyle w:val="TableBody"/>
              <w:jc w:val="right"/>
            </w:pPr>
            <w:r w:rsidRPr="003E790B">
              <w:t>20.5</w:t>
            </w:r>
          </w:p>
        </w:tc>
        <w:tc>
          <w:tcPr>
            <w:tcW w:w="514" w:type="pct"/>
            <w:noWrap/>
            <w:vAlign w:val="center"/>
            <w:hideMark/>
          </w:tcPr>
          <w:p w14:paraId="2D8D70A0" w14:textId="77777777" w:rsidR="003E790B" w:rsidRPr="003E790B" w:rsidRDefault="003E790B" w:rsidP="003E790B">
            <w:pPr>
              <w:pStyle w:val="TableBody"/>
              <w:jc w:val="right"/>
            </w:pPr>
            <w:r w:rsidRPr="003E790B">
              <w:t>17.1</w:t>
            </w:r>
          </w:p>
        </w:tc>
        <w:tc>
          <w:tcPr>
            <w:tcW w:w="514" w:type="pct"/>
            <w:noWrap/>
            <w:vAlign w:val="center"/>
            <w:hideMark/>
          </w:tcPr>
          <w:p w14:paraId="26267761" w14:textId="77777777" w:rsidR="003E790B" w:rsidRPr="003E790B" w:rsidRDefault="003E790B" w:rsidP="003E790B">
            <w:pPr>
              <w:pStyle w:val="TableBody"/>
              <w:jc w:val="right"/>
            </w:pPr>
            <w:r w:rsidRPr="003E790B">
              <w:t>17.2</w:t>
            </w:r>
          </w:p>
        </w:tc>
        <w:tc>
          <w:tcPr>
            <w:tcW w:w="514" w:type="pct"/>
            <w:noWrap/>
            <w:vAlign w:val="center"/>
            <w:hideMark/>
          </w:tcPr>
          <w:p w14:paraId="2CBE8221" w14:textId="77777777" w:rsidR="003E790B" w:rsidRPr="003E790B" w:rsidRDefault="003E790B" w:rsidP="003E790B">
            <w:pPr>
              <w:pStyle w:val="TableBody"/>
              <w:jc w:val="right"/>
            </w:pPr>
            <w:r w:rsidRPr="003E790B">
              <w:t>15.1</w:t>
            </w:r>
          </w:p>
        </w:tc>
        <w:tc>
          <w:tcPr>
            <w:tcW w:w="514" w:type="pct"/>
            <w:noWrap/>
            <w:vAlign w:val="center"/>
            <w:hideMark/>
          </w:tcPr>
          <w:p w14:paraId="2393072E" w14:textId="77777777" w:rsidR="003E790B" w:rsidRPr="003E790B" w:rsidRDefault="003E790B" w:rsidP="003E790B">
            <w:pPr>
              <w:pStyle w:val="TableBody"/>
              <w:jc w:val="right"/>
            </w:pPr>
            <w:r w:rsidRPr="003E790B">
              <w:t>14.2</w:t>
            </w:r>
          </w:p>
        </w:tc>
        <w:tc>
          <w:tcPr>
            <w:tcW w:w="514" w:type="pct"/>
            <w:noWrap/>
            <w:vAlign w:val="center"/>
            <w:hideMark/>
          </w:tcPr>
          <w:p w14:paraId="5A87255C" w14:textId="77777777" w:rsidR="003E790B" w:rsidRPr="003E790B" w:rsidRDefault="003E790B" w:rsidP="003E790B">
            <w:pPr>
              <w:pStyle w:val="TableBody"/>
              <w:jc w:val="right"/>
            </w:pPr>
            <w:r w:rsidRPr="003E790B">
              <w:t>16.1</w:t>
            </w:r>
          </w:p>
        </w:tc>
      </w:tr>
      <w:tr w:rsidR="003E790B" w:rsidRPr="003E790B" w14:paraId="45F52CE6" w14:textId="77777777" w:rsidTr="003E4C30">
        <w:trPr>
          <w:trHeight w:val="290"/>
        </w:trPr>
        <w:tc>
          <w:tcPr>
            <w:tcW w:w="1914" w:type="pct"/>
            <w:shd w:val="clear" w:color="auto" w:fill="D9E2F3" w:themeFill="accent1" w:themeFillTint="33"/>
            <w:noWrap/>
            <w:hideMark/>
          </w:tcPr>
          <w:p w14:paraId="5DB39C64" w14:textId="77777777" w:rsidR="003E790B" w:rsidRPr="003E790B" w:rsidRDefault="003E790B" w:rsidP="003E790B">
            <w:pPr>
              <w:pStyle w:val="TableBody"/>
            </w:pPr>
            <w:r w:rsidRPr="003E790B">
              <w:t>Transport</w:t>
            </w:r>
          </w:p>
        </w:tc>
        <w:tc>
          <w:tcPr>
            <w:tcW w:w="514" w:type="pct"/>
            <w:shd w:val="clear" w:color="auto" w:fill="D9E2F3" w:themeFill="accent1" w:themeFillTint="33"/>
            <w:noWrap/>
            <w:vAlign w:val="center"/>
            <w:hideMark/>
          </w:tcPr>
          <w:p w14:paraId="4E83816B" w14:textId="77777777" w:rsidR="003E790B" w:rsidRPr="003E790B" w:rsidRDefault="003E790B" w:rsidP="003E790B">
            <w:pPr>
              <w:pStyle w:val="TableBody"/>
              <w:jc w:val="right"/>
            </w:pPr>
            <w:r w:rsidRPr="003E790B">
              <w:t>11.4</w:t>
            </w:r>
          </w:p>
        </w:tc>
        <w:tc>
          <w:tcPr>
            <w:tcW w:w="514" w:type="pct"/>
            <w:shd w:val="clear" w:color="auto" w:fill="D9E2F3" w:themeFill="accent1" w:themeFillTint="33"/>
            <w:noWrap/>
            <w:vAlign w:val="center"/>
            <w:hideMark/>
          </w:tcPr>
          <w:p w14:paraId="2608BE97" w14:textId="77777777" w:rsidR="003E790B" w:rsidRPr="003E790B" w:rsidRDefault="003E790B" w:rsidP="003E790B">
            <w:pPr>
              <w:pStyle w:val="TableBody"/>
              <w:jc w:val="right"/>
            </w:pPr>
            <w:r w:rsidRPr="003E790B">
              <w:t>12.4</w:t>
            </w:r>
          </w:p>
        </w:tc>
        <w:tc>
          <w:tcPr>
            <w:tcW w:w="514" w:type="pct"/>
            <w:shd w:val="clear" w:color="auto" w:fill="D9E2F3" w:themeFill="accent1" w:themeFillTint="33"/>
            <w:noWrap/>
            <w:vAlign w:val="center"/>
            <w:hideMark/>
          </w:tcPr>
          <w:p w14:paraId="38845CBB" w14:textId="77777777" w:rsidR="003E790B" w:rsidRPr="003E790B" w:rsidRDefault="003E790B" w:rsidP="003E790B">
            <w:pPr>
              <w:pStyle w:val="TableBody"/>
              <w:jc w:val="right"/>
            </w:pPr>
            <w:r w:rsidRPr="003E790B">
              <w:t>12.7</w:t>
            </w:r>
          </w:p>
        </w:tc>
        <w:tc>
          <w:tcPr>
            <w:tcW w:w="514" w:type="pct"/>
            <w:shd w:val="clear" w:color="auto" w:fill="D9E2F3" w:themeFill="accent1" w:themeFillTint="33"/>
            <w:noWrap/>
            <w:vAlign w:val="center"/>
            <w:hideMark/>
          </w:tcPr>
          <w:p w14:paraId="48E63C69" w14:textId="77777777" w:rsidR="003E790B" w:rsidRPr="003E790B" w:rsidRDefault="003E790B" w:rsidP="003E790B">
            <w:pPr>
              <w:pStyle w:val="TableBody"/>
              <w:jc w:val="right"/>
            </w:pPr>
            <w:r w:rsidRPr="003E790B">
              <w:t>16.5</w:t>
            </w:r>
          </w:p>
        </w:tc>
        <w:tc>
          <w:tcPr>
            <w:tcW w:w="514" w:type="pct"/>
            <w:shd w:val="clear" w:color="auto" w:fill="D9E2F3" w:themeFill="accent1" w:themeFillTint="33"/>
            <w:noWrap/>
            <w:vAlign w:val="center"/>
            <w:hideMark/>
          </w:tcPr>
          <w:p w14:paraId="43A8771D" w14:textId="77777777" w:rsidR="003E790B" w:rsidRPr="003E790B" w:rsidRDefault="003E790B" w:rsidP="003E790B">
            <w:pPr>
              <w:pStyle w:val="TableBody"/>
              <w:jc w:val="right"/>
            </w:pPr>
            <w:r w:rsidRPr="003E790B">
              <w:t>14.4</w:t>
            </w:r>
          </w:p>
        </w:tc>
        <w:tc>
          <w:tcPr>
            <w:tcW w:w="514" w:type="pct"/>
            <w:shd w:val="clear" w:color="auto" w:fill="D9E2F3" w:themeFill="accent1" w:themeFillTint="33"/>
            <w:noWrap/>
            <w:vAlign w:val="center"/>
            <w:hideMark/>
          </w:tcPr>
          <w:p w14:paraId="30EE6DC0" w14:textId="77777777" w:rsidR="003E790B" w:rsidRPr="003E790B" w:rsidRDefault="003E790B" w:rsidP="003E790B">
            <w:pPr>
              <w:pStyle w:val="TableBody"/>
              <w:jc w:val="right"/>
            </w:pPr>
            <w:r w:rsidRPr="003E790B">
              <w:t>13.4</w:t>
            </w:r>
          </w:p>
        </w:tc>
      </w:tr>
      <w:tr w:rsidR="003E790B" w:rsidRPr="003E790B" w14:paraId="75320B34" w14:textId="77777777" w:rsidTr="003E4C30">
        <w:trPr>
          <w:trHeight w:val="290"/>
        </w:trPr>
        <w:tc>
          <w:tcPr>
            <w:tcW w:w="1914" w:type="pct"/>
            <w:noWrap/>
            <w:hideMark/>
          </w:tcPr>
          <w:p w14:paraId="69C85EB3" w14:textId="77777777" w:rsidR="003E790B" w:rsidRPr="003E790B" w:rsidRDefault="003E790B" w:rsidP="003E790B">
            <w:pPr>
              <w:pStyle w:val="TableBody"/>
            </w:pPr>
            <w:r w:rsidRPr="003E790B">
              <w:t>Recreation</w:t>
            </w:r>
          </w:p>
        </w:tc>
        <w:tc>
          <w:tcPr>
            <w:tcW w:w="514" w:type="pct"/>
            <w:noWrap/>
            <w:vAlign w:val="center"/>
            <w:hideMark/>
          </w:tcPr>
          <w:p w14:paraId="46E5EF7D" w14:textId="77777777" w:rsidR="003E790B" w:rsidRPr="003E790B" w:rsidRDefault="003E790B" w:rsidP="003E790B">
            <w:pPr>
              <w:pStyle w:val="TableBody"/>
              <w:jc w:val="right"/>
            </w:pPr>
            <w:r w:rsidRPr="003E790B">
              <w:t>9.5</w:t>
            </w:r>
          </w:p>
        </w:tc>
        <w:tc>
          <w:tcPr>
            <w:tcW w:w="514" w:type="pct"/>
            <w:noWrap/>
            <w:vAlign w:val="center"/>
            <w:hideMark/>
          </w:tcPr>
          <w:p w14:paraId="7E216EEA" w14:textId="77777777" w:rsidR="003E790B" w:rsidRPr="003E790B" w:rsidRDefault="003E790B" w:rsidP="003E790B">
            <w:pPr>
              <w:pStyle w:val="TableBody"/>
              <w:jc w:val="right"/>
            </w:pPr>
            <w:r w:rsidRPr="003E790B">
              <w:t>10.7</w:t>
            </w:r>
          </w:p>
        </w:tc>
        <w:tc>
          <w:tcPr>
            <w:tcW w:w="514" w:type="pct"/>
            <w:noWrap/>
            <w:vAlign w:val="center"/>
            <w:hideMark/>
          </w:tcPr>
          <w:p w14:paraId="63A90569" w14:textId="77777777" w:rsidR="003E790B" w:rsidRPr="003E790B" w:rsidRDefault="003E790B" w:rsidP="003E790B">
            <w:pPr>
              <w:pStyle w:val="TableBody"/>
              <w:jc w:val="right"/>
            </w:pPr>
            <w:r w:rsidRPr="003E790B">
              <w:t>12.9</w:t>
            </w:r>
          </w:p>
        </w:tc>
        <w:tc>
          <w:tcPr>
            <w:tcW w:w="514" w:type="pct"/>
            <w:noWrap/>
            <w:vAlign w:val="center"/>
            <w:hideMark/>
          </w:tcPr>
          <w:p w14:paraId="66417777" w14:textId="77777777" w:rsidR="003E790B" w:rsidRPr="003E790B" w:rsidRDefault="003E790B" w:rsidP="003E790B">
            <w:pPr>
              <w:pStyle w:val="TableBody"/>
              <w:jc w:val="right"/>
            </w:pPr>
            <w:r w:rsidRPr="003E790B">
              <w:t>13.8</w:t>
            </w:r>
          </w:p>
        </w:tc>
        <w:tc>
          <w:tcPr>
            <w:tcW w:w="514" w:type="pct"/>
            <w:noWrap/>
            <w:vAlign w:val="center"/>
            <w:hideMark/>
          </w:tcPr>
          <w:p w14:paraId="789106C4" w14:textId="77777777" w:rsidR="003E790B" w:rsidRPr="003E790B" w:rsidRDefault="003E790B" w:rsidP="003E790B">
            <w:pPr>
              <w:pStyle w:val="TableBody"/>
              <w:jc w:val="right"/>
            </w:pPr>
            <w:r w:rsidRPr="003E790B">
              <w:t>22.1</w:t>
            </w:r>
          </w:p>
        </w:tc>
        <w:tc>
          <w:tcPr>
            <w:tcW w:w="514" w:type="pct"/>
            <w:noWrap/>
            <w:vAlign w:val="center"/>
            <w:hideMark/>
          </w:tcPr>
          <w:p w14:paraId="6EBD74AD" w14:textId="77777777" w:rsidR="003E790B" w:rsidRPr="003E790B" w:rsidRDefault="003E790B" w:rsidP="003E790B">
            <w:pPr>
              <w:pStyle w:val="TableBody"/>
              <w:jc w:val="right"/>
            </w:pPr>
            <w:r w:rsidRPr="003E790B">
              <w:t>14.4</w:t>
            </w:r>
          </w:p>
        </w:tc>
      </w:tr>
      <w:tr w:rsidR="003E790B" w:rsidRPr="003E790B" w14:paraId="3B48BE51" w14:textId="77777777" w:rsidTr="003E4C30">
        <w:trPr>
          <w:trHeight w:val="290"/>
        </w:trPr>
        <w:tc>
          <w:tcPr>
            <w:tcW w:w="1914" w:type="pct"/>
            <w:shd w:val="clear" w:color="auto" w:fill="D9E2F3" w:themeFill="accent1" w:themeFillTint="33"/>
            <w:noWrap/>
            <w:hideMark/>
          </w:tcPr>
          <w:p w14:paraId="1BE4BB8F" w14:textId="77777777" w:rsidR="003E790B" w:rsidRPr="003E790B" w:rsidRDefault="003E790B" w:rsidP="003E790B">
            <w:pPr>
              <w:pStyle w:val="TableBody"/>
            </w:pPr>
            <w:r w:rsidRPr="003E790B">
              <w:t>Household furnishings and equipment</w:t>
            </w:r>
          </w:p>
        </w:tc>
        <w:tc>
          <w:tcPr>
            <w:tcW w:w="514" w:type="pct"/>
            <w:shd w:val="clear" w:color="auto" w:fill="D9E2F3" w:themeFill="accent1" w:themeFillTint="33"/>
            <w:noWrap/>
            <w:vAlign w:val="center"/>
            <w:hideMark/>
          </w:tcPr>
          <w:p w14:paraId="30FC258E" w14:textId="77777777" w:rsidR="003E790B" w:rsidRPr="003E790B" w:rsidRDefault="003E790B" w:rsidP="003E790B">
            <w:pPr>
              <w:pStyle w:val="TableBody"/>
              <w:jc w:val="right"/>
            </w:pPr>
            <w:r w:rsidRPr="003E790B">
              <w:t>9.0</w:t>
            </w:r>
          </w:p>
        </w:tc>
        <w:tc>
          <w:tcPr>
            <w:tcW w:w="514" w:type="pct"/>
            <w:shd w:val="clear" w:color="auto" w:fill="D9E2F3" w:themeFill="accent1" w:themeFillTint="33"/>
            <w:noWrap/>
            <w:vAlign w:val="center"/>
            <w:hideMark/>
          </w:tcPr>
          <w:p w14:paraId="543992CC" w14:textId="77777777" w:rsidR="003E790B" w:rsidRPr="003E790B" w:rsidRDefault="003E790B" w:rsidP="003E790B">
            <w:pPr>
              <w:pStyle w:val="TableBody"/>
              <w:jc w:val="right"/>
            </w:pPr>
            <w:r w:rsidRPr="003E790B">
              <w:t>3.3</w:t>
            </w:r>
          </w:p>
        </w:tc>
        <w:tc>
          <w:tcPr>
            <w:tcW w:w="514" w:type="pct"/>
            <w:shd w:val="clear" w:color="auto" w:fill="D9E2F3" w:themeFill="accent1" w:themeFillTint="33"/>
            <w:noWrap/>
            <w:vAlign w:val="center"/>
            <w:hideMark/>
          </w:tcPr>
          <w:p w14:paraId="3FC190A0" w14:textId="77777777" w:rsidR="003E790B" w:rsidRPr="003E790B" w:rsidRDefault="003E790B" w:rsidP="003E790B">
            <w:pPr>
              <w:pStyle w:val="TableBody"/>
              <w:jc w:val="right"/>
            </w:pPr>
            <w:r w:rsidRPr="003E790B">
              <w:t>5.2</w:t>
            </w:r>
          </w:p>
        </w:tc>
        <w:tc>
          <w:tcPr>
            <w:tcW w:w="514" w:type="pct"/>
            <w:shd w:val="clear" w:color="auto" w:fill="D9E2F3" w:themeFill="accent1" w:themeFillTint="33"/>
            <w:noWrap/>
            <w:vAlign w:val="center"/>
            <w:hideMark/>
          </w:tcPr>
          <w:p w14:paraId="7FD60EE8" w14:textId="77777777" w:rsidR="003E790B" w:rsidRPr="003E790B" w:rsidRDefault="003E790B" w:rsidP="003E790B">
            <w:pPr>
              <w:pStyle w:val="TableBody"/>
              <w:jc w:val="right"/>
            </w:pPr>
            <w:r w:rsidRPr="003E790B">
              <w:t>3.9</w:t>
            </w:r>
          </w:p>
        </w:tc>
        <w:tc>
          <w:tcPr>
            <w:tcW w:w="514" w:type="pct"/>
            <w:shd w:val="clear" w:color="auto" w:fill="D9E2F3" w:themeFill="accent1" w:themeFillTint="33"/>
            <w:noWrap/>
            <w:vAlign w:val="center"/>
            <w:hideMark/>
          </w:tcPr>
          <w:p w14:paraId="5206D0BE" w14:textId="77777777" w:rsidR="003E790B" w:rsidRPr="003E790B" w:rsidRDefault="003E790B" w:rsidP="003E790B">
            <w:pPr>
              <w:pStyle w:val="TableBody"/>
              <w:jc w:val="right"/>
            </w:pPr>
            <w:r w:rsidRPr="003E790B">
              <w:t>3.4</w:t>
            </w:r>
          </w:p>
        </w:tc>
        <w:tc>
          <w:tcPr>
            <w:tcW w:w="514" w:type="pct"/>
            <w:shd w:val="clear" w:color="auto" w:fill="D9E2F3" w:themeFill="accent1" w:themeFillTint="33"/>
            <w:noWrap/>
            <w:vAlign w:val="center"/>
            <w:hideMark/>
          </w:tcPr>
          <w:p w14:paraId="6A82E99B" w14:textId="77777777" w:rsidR="003E790B" w:rsidRPr="003E790B" w:rsidRDefault="003E790B" w:rsidP="003E790B">
            <w:pPr>
              <w:pStyle w:val="TableBody"/>
              <w:jc w:val="right"/>
            </w:pPr>
            <w:r w:rsidRPr="003E790B">
              <w:t>4.5</w:t>
            </w:r>
          </w:p>
        </w:tc>
      </w:tr>
      <w:tr w:rsidR="003E790B" w:rsidRPr="003E790B" w14:paraId="2D0BBB30" w14:textId="77777777" w:rsidTr="003E4C30">
        <w:trPr>
          <w:trHeight w:val="290"/>
        </w:trPr>
        <w:tc>
          <w:tcPr>
            <w:tcW w:w="1914" w:type="pct"/>
            <w:noWrap/>
            <w:hideMark/>
          </w:tcPr>
          <w:p w14:paraId="70BA0F8D" w14:textId="77777777" w:rsidR="003E790B" w:rsidRPr="003E790B" w:rsidRDefault="003E790B" w:rsidP="003E790B">
            <w:pPr>
              <w:pStyle w:val="TableBody"/>
            </w:pPr>
            <w:r w:rsidRPr="003E790B">
              <w:t>Domestic fuel and power</w:t>
            </w:r>
          </w:p>
        </w:tc>
        <w:tc>
          <w:tcPr>
            <w:tcW w:w="514" w:type="pct"/>
            <w:noWrap/>
            <w:vAlign w:val="center"/>
            <w:hideMark/>
          </w:tcPr>
          <w:p w14:paraId="2CF3842B" w14:textId="77777777" w:rsidR="003E790B" w:rsidRPr="003E790B" w:rsidRDefault="003E790B" w:rsidP="003E790B">
            <w:pPr>
              <w:pStyle w:val="TableBody"/>
              <w:jc w:val="right"/>
            </w:pPr>
            <w:r w:rsidRPr="003E790B">
              <w:t>4.0</w:t>
            </w:r>
          </w:p>
        </w:tc>
        <w:tc>
          <w:tcPr>
            <w:tcW w:w="514" w:type="pct"/>
            <w:noWrap/>
            <w:vAlign w:val="center"/>
            <w:hideMark/>
          </w:tcPr>
          <w:p w14:paraId="1522277C" w14:textId="77777777" w:rsidR="003E790B" w:rsidRPr="003E790B" w:rsidRDefault="003E790B" w:rsidP="003E790B">
            <w:pPr>
              <w:pStyle w:val="TableBody"/>
              <w:jc w:val="right"/>
            </w:pPr>
            <w:r w:rsidRPr="003E790B">
              <w:t>4.4</w:t>
            </w:r>
          </w:p>
        </w:tc>
        <w:tc>
          <w:tcPr>
            <w:tcW w:w="514" w:type="pct"/>
            <w:noWrap/>
            <w:vAlign w:val="center"/>
            <w:hideMark/>
          </w:tcPr>
          <w:p w14:paraId="5A518CEC" w14:textId="77777777" w:rsidR="003E790B" w:rsidRPr="003E790B" w:rsidRDefault="003E790B" w:rsidP="003E790B">
            <w:pPr>
              <w:pStyle w:val="TableBody"/>
              <w:jc w:val="right"/>
            </w:pPr>
            <w:r w:rsidRPr="003E790B">
              <w:t>3.0</w:t>
            </w:r>
          </w:p>
        </w:tc>
        <w:tc>
          <w:tcPr>
            <w:tcW w:w="514" w:type="pct"/>
            <w:noWrap/>
            <w:vAlign w:val="center"/>
            <w:hideMark/>
          </w:tcPr>
          <w:p w14:paraId="05982184" w14:textId="77777777" w:rsidR="003E790B" w:rsidRPr="003E790B" w:rsidRDefault="003E790B" w:rsidP="003E790B">
            <w:pPr>
              <w:pStyle w:val="TableBody"/>
              <w:jc w:val="right"/>
            </w:pPr>
            <w:r w:rsidRPr="003E790B">
              <w:t>2.2</w:t>
            </w:r>
          </w:p>
        </w:tc>
        <w:tc>
          <w:tcPr>
            <w:tcW w:w="514" w:type="pct"/>
            <w:noWrap/>
            <w:vAlign w:val="center"/>
            <w:hideMark/>
          </w:tcPr>
          <w:p w14:paraId="384A6805" w14:textId="77777777" w:rsidR="003E790B" w:rsidRPr="003E790B" w:rsidRDefault="003E790B" w:rsidP="003E790B">
            <w:pPr>
              <w:pStyle w:val="TableBody"/>
              <w:jc w:val="right"/>
            </w:pPr>
            <w:r w:rsidRPr="003E790B">
              <w:t>2.4</w:t>
            </w:r>
          </w:p>
        </w:tc>
        <w:tc>
          <w:tcPr>
            <w:tcW w:w="514" w:type="pct"/>
            <w:noWrap/>
            <w:vAlign w:val="center"/>
            <w:hideMark/>
          </w:tcPr>
          <w:p w14:paraId="198561F5" w14:textId="77777777" w:rsidR="003E790B" w:rsidRPr="003E790B" w:rsidRDefault="003E790B" w:rsidP="003E790B">
            <w:pPr>
              <w:pStyle w:val="TableBody"/>
              <w:jc w:val="right"/>
            </w:pPr>
            <w:r w:rsidRPr="003E790B">
              <w:t>2.8</w:t>
            </w:r>
          </w:p>
        </w:tc>
      </w:tr>
      <w:tr w:rsidR="003E790B" w:rsidRPr="003E790B" w14:paraId="4482CCFA" w14:textId="77777777" w:rsidTr="003E4C30">
        <w:trPr>
          <w:trHeight w:val="290"/>
        </w:trPr>
        <w:tc>
          <w:tcPr>
            <w:tcW w:w="1914" w:type="pct"/>
            <w:shd w:val="clear" w:color="auto" w:fill="D9E2F3" w:themeFill="accent1" w:themeFillTint="33"/>
            <w:noWrap/>
            <w:hideMark/>
          </w:tcPr>
          <w:p w14:paraId="3618E958" w14:textId="77777777" w:rsidR="003E790B" w:rsidRPr="003E790B" w:rsidRDefault="003E790B" w:rsidP="003E790B">
            <w:pPr>
              <w:pStyle w:val="TableBody"/>
            </w:pPr>
            <w:r w:rsidRPr="003E790B">
              <w:t>Miscellaneous goods and services</w:t>
            </w:r>
          </w:p>
        </w:tc>
        <w:tc>
          <w:tcPr>
            <w:tcW w:w="514" w:type="pct"/>
            <w:shd w:val="clear" w:color="auto" w:fill="D9E2F3" w:themeFill="accent1" w:themeFillTint="33"/>
            <w:noWrap/>
            <w:vAlign w:val="center"/>
            <w:hideMark/>
          </w:tcPr>
          <w:p w14:paraId="74BCA4B1" w14:textId="77777777" w:rsidR="003E790B" w:rsidRPr="003E790B" w:rsidRDefault="003E790B" w:rsidP="003E790B">
            <w:pPr>
              <w:pStyle w:val="TableBody"/>
              <w:jc w:val="right"/>
            </w:pPr>
            <w:r w:rsidRPr="003E790B">
              <w:t>3.9</w:t>
            </w:r>
          </w:p>
        </w:tc>
        <w:tc>
          <w:tcPr>
            <w:tcW w:w="514" w:type="pct"/>
            <w:shd w:val="clear" w:color="auto" w:fill="D9E2F3" w:themeFill="accent1" w:themeFillTint="33"/>
            <w:noWrap/>
            <w:vAlign w:val="center"/>
            <w:hideMark/>
          </w:tcPr>
          <w:p w14:paraId="0406FE56" w14:textId="77777777" w:rsidR="003E790B" w:rsidRPr="003E790B" w:rsidRDefault="003E790B" w:rsidP="003E790B">
            <w:pPr>
              <w:pStyle w:val="TableBody"/>
              <w:jc w:val="right"/>
            </w:pPr>
            <w:r w:rsidRPr="003E790B">
              <w:t>4.2</w:t>
            </w:r>
          </w:p>
        </w:tc>
        <w:tc>
          <w:tcPr>
            <w:tcW w:w="514" w:type="pct"/>
            <w:shd w:val="clear" w:color="auto" w:fill="D9E2F3" w:themeFill="accent1" w:themeFillTint="33"/>
            <w:noWrap/>
            <w:vAlign w:val="center"/>
            <w:hideMark/>
          </w:tcPr>
          <w:p w14:paraId="1B57C93D" w14:textId="77777777" w:rsidR="003E790B" w:rsidRPr="003E790B" w:rsidRDefault="003E790B" w:rsidP="003E790B">
            <w:pPr>
              <w:pStyle w:val="TableBody"/>
              <w:jc w:val="right"/>
            </w:pPr>
            <w:r w:rsidRPr="003E790B">
              <w:t>9.2</w:t>
            </w:r>
          </w:p>
        </w:tc>
        <w:tc>
          <w:tcPr>
            <w:tcW w:w="514" w:type="pct"/>
            <w:shd w:val="clear" w:color="auto" w:fill="D9E2F3" w:themeFill="accent1" w:themeFillTint="33"/>
            <w:noWrap/>
            <w:vAlign w:val="center"/>
            <w:hideMark/>
          </w:tcPr>
          <w:p w14:paraId="11CFF225" w14:textId="77777777" w:rsidR="003E790B" w:rsidRPr="003E790B" w:rsidRDefault="003E790B" w:rsidP="003E790B">
            <w:pPr>
              <w:pStyle w:val="TableBody"/>
              <w:jc w:val="right"/>
            </w:pPr>
            <w:r w:rsidRPr="003E790B">
              <w:t>7.9</w:t>
            </w:r>
          </w:p>
        </w:tc>
        <w:tc>
          <w:tcPr>
            <w:tcW w:w="514" w:type="pct"/>
            <w:shd w:val="clear" w:color="auto" w:fill="D9E2F3" w:themeFill="accent1" w:themeFillTint="33"/>
            <w:noWrap/>
            <w:vAlign w:val="center"/>
            <w:hideMark/>
          </w:tcPr>
          <w:p w14:paraId="718925C4" w14:textId="77777777" w:rsidR="003E790B" w:rsidRPr="003E790B" w:rsidRDefault="003E790B" w:rsidP="003E790B">
            <w:pPr>
              <w:pStyle w:val="TableBody"/>
              <w:jc w:val="right"/>
            </w:pPr>
            <w:r w:rsidRPr="003E790B">
              <w:t>12.4</w:t>
            </w:r>
          </w:p>
        </w:tc>
        <w:tc>
          <w:tcPr>
            <w:tcW w:w="514" w:type="pct"/>
            <w:shd w:val="clear" w:color="auto" w:fill="D9E2F3" w:themeFill="accent1" w:themeFillTint="33"/>
            <w:noWrap/>
            <w:vAlign w:val="center"/>
            <w:hideMark/>
          </w:tcPr>
          <w:p w14:paraId="357AD67A" w14:textId="77777777" w:rsidR="003E790B" w:rsidRPr="003E790B" w:rsidRDefault="003E790B" w:rsidP="003E790B">
            <w:pPr>
              <w:pStyle w:val="TableBody"/>
              <w:jc w:val="right"/>
            </w:pPr>
            <w:r w:rsidRPr="003E790B">
              <w:t>8.5</w:t>
            </w:r>
          </w:p>
        </w:tc>
      </w:tr>
      <w:tr w:rsidR="003E790B" w:rsidRPr="003E790B" w14:paraId="79D789F6" w14:textId="77777777" w:rsidTr="003E4C30">
        <w:trPr>
          <w:trHeight w:val="290"/>
        </w:trPr>
        <w:tc>
          <w:tcPr>
            <w:tcW w:w="1914" w:type="pct"/>
            <w:noWrap/>
            <w:hideMark/>
          </w:tcPr>
          <w:p w14:paraId="68FE77AC" w14:textId="77777777" w:rsidR="003E790B" w:rsidRPr="003E790B" w:rsidRDefault="003E790B" w:rsidP="003E790B">
            <w:pPr>
              <w:pStyle w:val="TableBody"/>
            </w:pPr>
            <w:r w:rsidRPr="003E790B">
              <w:t>Communication</w:t>
            </w:r>
          </w:p>
        </w:tc>
        <w:tc>
          <w:tcPr>
            <w:tcW w:w="514" w:type="pct"/>
            <w:noWrap/>
            <w:vAlign w:val="center"/>
            <w:hideMark/>
          </w:tcPr>
          <w:p w14:paraId="0541EE0F" w14:textId="77777777" w:rsidR="003E790B" w:rsidRPr="003E790B" w:rsidRDefault="003E790B" w:rsidP="003E790B">
            <w:pPr>
              <w:pStyle w:val="TableBody"/>
              <w:jc w:val="right"/>
            </w:pPr>
            <w:r w:rsidRPr="003E790B">
              <w:t>3.8</w:t>
            </w:r>
          </w:p>
        </w:tc>
        <w:tc>
          <w:tcPr>
            <w:tcW w:w="514" w:type="pct"/>
            <w:noWrap/>
            <w:vAlign w:val="center"/>
            <w:hideMark/>
          </w:tcPr>
          <w:p w14:paraId="4D56707E" w14:textId="77777777" w:rsidR="003E790B" w:rsidRPr="003E790B" w:rsidRDefault="003E790B" w:rsidP="003E790B">
            <w:pPr>
              <w:pStyle w:val="TableBody"/>
              <w:jc w:val="right"/>
            </w:pPr>
            <w:r w:rsidRPr="003E790B">
              <w:t>3.1</w:t>
            </w:r>
          </w:p>
        </w:tc>
        <w:tc>
          <w:tcPr>
            <w:tcW w:w="514" w:type="pct"/>
            <w:noWrap/>
            <w:vAlign w:val="center"/>
            <w:hideMark/>
          </w:tcPr>
          <w:p w14:paraId="082670B6" w14:textId="77777777" w:rsidR="003E790B" w:rsidRPr="003E790B" w:rsidRDefault="003E790B" w:rsidP="003E790B">
            <w:pPr>
              <w:pStyle w:val="TableBody"/>
              <w:jc w:val="right"/>
            </w:pPr>
            <w:r w:rsidRPr="003E790B">
              <w:t>2.9</w:t>
            </w:r>
          </w:p>
        </w:tc>
        <w:tc>
          <w:tcPr>
            <w:tcW w:w="514" w:type="pct"/>
            <w:noWrap/>
            <w:vAlign w:val="center"/>
            <w:hideMark/>
          </w:tcPr>
          <w:p w14:paraId="45BEAEEA" w14:textId="77777777" w:rsidR="003E790B" w:rsidRPr="003E790B" w:rsidRDefault="003E790B" w:rsidP="003E790B">
            <w:pPr>
              <w:pStyle w:val="TableBody"/>
              <w:jc w:val="right"/>
            </w:pPr>
            <w:r w:rsidRPr="003E790B">
              <w:t>2.8</w:t>
            </w:r>
          </w:p>
        </w:tc>
        <w:tc>
          <w:tcPr>
            <w:tcW w:w="514" w:type="pct"/>
            <w:noWrap/>
            <w:vAlign w:val="center"/>
            <w:hideMark/>
          </w:tcPr>
          <w:p w14:paraId="3F4914B5" w14:textId="77777777" w:rsidR="003E790B" w:rsidRPr="003E790B" w:rsidRDefault="003E790B" w:rsidP="003E790B">
            <w:pPr>
              <w:pStyle w:val="TableBody"/>
              <w:jc w:val="right"/>
            </w:pPr>
            <w:r w:rsidRPr="003E790B">
              <w:t>2.4</w:t>
            </w:r>
          </w:p>
        </w:tc>
        <w:tc>
          <w:tcPr>
            <w:tcW w:w="514" w:type="pct"/>
            <w:noWrap/>
            <w:vAlign w:val="center"/>
            <w:hideMark/>
          </w:tcPr>
          <w:p w14:paraId="71AC4B74" w14:textId="77777777" w:rsidR="003E790B" w:rsidRPr="003E790B" w:rsidRDefault="003E790B" w:rsidP="003E790B">
            <w:pPr>
              <w:pStyle w:val="TableBody"/>
              <w:jc w:val="right"/>
            </w:pPr>
            <w:r w:rsidRPr="003E790B">
              <w:t>2.8</w:t>
            </w:r>
          </w:p>
        </w:tc>
      </w:tr>
      <w:tr w:rsidR="003E790B" w:rsidRPr="003E790B" w14:paraId="534DD8EC" w14:textId="77777777" w:rsidTr="003E4C30">
        <w:trPr>
          <w:trHeight w:val="290"/>
        </w:trPr>
        <w:tc>
          <w:tcPr>
            <w:tcW w:w="1914" w:type="pct"/>
            <w:shd w:val="clear" w:color="auto" w:fill="D9E2F3" w:themeFill="accent1" w:themeFillTint="33"/>
            <w:noWrap/>
            <w:hideMark/>
          </w:tcPr>
          <w:p w14:paraId="5CD4A710" w14:textId="77777777" w:rsidR="003E790B" w:rsidRPr="003E790B" w:rsidRDefault="003E790B" w:rsidP="003E790B">
            <w:pPr>
              <w:pStyle w:val="TableBody"/>
            </w:pPr>
            <w:r w:rsidRPr="003E790B">
              <w:t>Medical care and health expenses</w:t>
            </w:r>
          </w:p>
        </w:tc>
        <w:tc>
          <w:tcPr>
            <w:tcW w:w="514" w:type="pct"/>
            <w:shd w:val="clear" w:color="auto" w:fill="D9E2F3" w:themeFill="accent1" w:themeFillTint="33"/>
            <w:noWrap/>
            <w:vAlign w:val="center"/>
            <w:hideMark/>
          </w:tcPr>
          <w:p w14:paraId="651A0506" w14:textId="77777777" w:rsidR="003E790B" w:rsidRPr="003E790B" w:rsidRDefault="003E790B" w:rsidP="003E790B">
            <w:pPr>
              <w:pStyle w:val="TableBody"/>
              <w:jc w:val="right"/>
            </w:pPr>
            <w:r w:rsidRPr="003E790B">
              <w:t>3.4</w:t>
            </w:r>
          </w:p>
        </w:tc>
        <w:tc>
          <w:tcPr>
            <w:tcW w:w="514" w:type="pct"/>
            <w:shd w:val="clear" w:color="auto" w:fill="D9E2F3" w:themeFill="accent1" w:themeFillTint="33"/>
            <w:noWrap/>
            <w:vAlign w:val="center"/>
            <w:hideMark/>
          </w:tcPr>
          <w:p w14:paraId="323FACD1" w14:textId="77777777" w:rsidR="003E790B" w:rsidRPr="003E790B" w:rsidRDefault="003E790B" w:rsidP="003E790B">
            <w:pPr>
              <w:pStyle w:val="TableBody"/>
              <w:jc w:val="right"/>
            </w:pPr>
            <w:r w:rsidRPr="003E790B">
              <w:t>5.7</w:t>
            </w:r>
          </w:p>
        </w:tc>
        <w:tc>
          <w:tcPr>
            <w:tcW w:w="514" w:type="pct"/>
            <w:shd w:val="clear" w:color="auto" w:fill="D9E2F3" w:themeFill="accent1" w:themeFillTint="33"/>
            <w:noWrap/>
            <w:vAlign w:val="center"/>
            <w:hideMark/>
          </w:tcPr>
          <w:p w14:paraId="4FD5AE82" w14:textId="77777777" w:rsidR="003E790B" w:rsidRPr="003E790B" w:rsidRDefault="003E790B" w:rsidP="003E790B">
            <w:pPr>
              <w:pStyle w:val="TableBody"/>
              <w:jc w:val="right"/>
            </w:pPr>
            <w:r w:rsidRPr="003E790B">
              <w:t>4.5</w:t>
            </w:r>
          </w:p>
        </w:tc>
        <w:tc>
          <w:tcPr>
            <w:tcW w:w="514" w:type="pct"/>
            <w:shd w:val="clear" w:color="auto" w:fill="D9E2F3" w:themeFill="accent1" w:themeFillTint="33"/>
            <w:noWrap/>
            <w:vAlign w:val="center"/>
            <w:hideMark/>
          </w:tcPr>
          <w:p w14:paraId="5394903C" w14:textId="77777777" w:rsidR="003E790B" w:rsidRPr="003E790B" w:rsidRDefault="003E790B" w:rsidP="003E790B">
            <w:pPr>
              <w:pStyle w:val="TableBody"/>
              <w:jc w:val="right"/>
            </w:pPr>
            <w:r w:rsidRPr="003E790B">
              <w:t>7.1</w:t>
            </w:r>
          </w:p>
        </w:tc>
        <w:tc>
          <w:tcPr>
            <w:tcW w:w="514" w:type="pct"/>
            <w:shd w:val="clear" w:color="auto" w:fill="D9E2F3" w:themeFill="accent1" w:themeFillTint="33"/>
            <w:noWrap/>
            <w:vAlign w:val="center"/>
            <w:hideMark/>
          </w:tcPr>
          <w:p w14:paraId="056E33EE" w14:textId="77777777" w:rsidR="003E790B" w:rsidRPr="003E790B" w:rsidRDefault="003E790B" w:rsidP="003E790B">
            <w:pPr>
              <w:pStyle w:val="TableBody"/>
              <w:jc w:val="right"/>
            </w:pPr>
            <w:r w:rsidRPr="003E790B">
              <w:t>5.4</w:t>
            </w:r>
          </w:p>
        </w:tc>
        <w:tc>
          <w:tcPr>
            <w:tcW w:w="514" w:type="pct"/>
            <w:shd w:val="clear" w:color="auto" w:fill="D9E2F3" w:themeFill="accent1" w:themeFillTint="33"/>
            <w:noWrap/>
            <w:vAlign w:val="center"/>
            <w:hideMark/>
          </w:tcPr>
          <w:p w14:paraId="6FCAD4AD" w14:textId="77777777" w:rsidR="003E790B" w:rsidRPr="003E790B" w:rsidRDefault="003E790B" w:rsidP="003E790B">
            <w:pPr>
              <w:pStyle w:val="TableBody"/>
              <w:jc w:val="right"/>
            </w:pPr>
            <w:r w:rsidRPr="003E790B">
              <w:t>5.5</w:t>
            </w:r>
          </w:p>
        </w:tc>
      </w:tr>
      <w:tr w:rsidR="003E790B" w:rsidRPr="003E790B" w14:paraId="22C69808" w14:textId="77777777" w:rsidTr="003E4C30">
        <w:trPr>
          <w:trHeight w:val="290"/>
        </w:trPr>
        <w:tc>
          <w:tcPr>
            <w:tcW w:w="1914" w:type="pct"/>
            <w:noWrap/>
            <w:hideMark/>
          </w:tcPr>
          <w:p w14:paraId="6C87BB1C" w14:textId="77777777" w:rsidR="003E790B" w:rsidRPr="003E790B" w:rsidRDefault="003E790B" w:rsidP="003E790B">
            <w:pPr>
              <w:pStyle w:val="TableBody"/>
            </w:pPr>
            <w:r w:rsidRPr="003E790B">
              <w:lastRenderedPageBreak/>
              <w:t>Clothing and footwear</w:t>
            </w:r>
          </w:p>
        </w:tc>
        <w:tc>
          <w:tcPr>
            <w:tcW w:w="514" w:type="pct"/>
            <w:noWrap/>
            <w:vAlign w:val="center"/>
            <w:hideMark/>
          </w:tcPr>
          <w:p w14:paraId="2E221829" w14:textId="77777777" w:rsidR="003E790B" w:rsidRPr="003E790B" w:rsidRDefault="003E790B" w:rsidP="003E790B">
            <w:pPr>
              <w:pStyle w:val="TableBody"/>
              <w:jc w:val="right"/>
            </w:pPr>
            <w:r w:rsidRPr="003E790B">
              <w:t>3.3</w:t>
            </w:r>
          </w:p>
        </w:tc>
        <w:tc>
          <w:tcPr>
            <w:tcW w:w="514" w:type="pct"/>
            <w:noWrap/>
            <w:vAlign w:val="center"/>
            <w:hideMark/>
          </w:tcPr>
          <w:p w14:paraId="6D05A174" w14:textId="77777777" w:rsidR="003E790B" w:rsidRPr="003E790B" w:rsidRDefault="003E790B" w:rsidP="003E790B">
            <w:pPr>
              <w:pStyle w:val="TableBody"/>
              <w:jc w:val="right"/>
            </w:pPr>
            <w:r w:rsidRPr="003E790B">
              <w:t>3.0</w:t>
            </w:r>
          </w:p>
        </w:tc>
        <w:tc>
          <w:tcPr>
            <w:tcW w:w="514" w:type="pct"/>
            <w:noWrap/>
            <w:vAlign w:val="center"/>
            <w:hideMark/>
          </w:tcPr>
          <w:p w14:paraId="0C0FC0B3" w14:textId="77777777" w:rsidR="003E790B" w:rsidRPr="003E790B" w:rsidRDefault="003E790B" w:rsidP="003E790B">
            <w:pPr>
              <w:pStyle w:val="TableBody"/>
              <w:jc w:val="right"/>
            </w:pPr>
            <w:r w:rsidRPr="003E790B">
              <w:t>4.6</w:t>
            </w:r>
          </w:p>
        </w:tc>
        <w:tc>
          <w:tcPr>
            <w:tcW w:w="514" w:type="pct"/>
            <w:noWrap/>
            <w:vAlign w:val="center"/>
            <w:hideMark/>
          </w:tcPr>
          <w:p w14:paraId="536059AF" w14:textId="77777777" w:rsidR="003E790B" w:rsidRPr="003E790B" w:rsidRDefault="003E790B" w:rsidP="003E790B">
            <w:pPr>
              <w:pStyle w:val="TableBody"/>
              <w:jc w:val="right"/>
            </w:pPr>
            <w:r w:rsidRPr="003E790B">
              <w:t>3.6</w:t>
            </w:r>
          </w:p>
        </w:tc>
        <w:tc>
          <w:tcPr>
            <w:tcW w:w="514" w:type="pct"/>
            <w:noWrap/>
            <w:vAlign w:val="center"/>
            <w:hideMark/>
          </w:tcPr>
          <w:p w14:paraId="325D736E" w14:textId="77777777" w:rsidR="003E790B" w:rsidRPr="003E790B" w:rsidRDefault="003E790B" w:rsidP="003E790B">
            <w:pPr>
              <w:pStyle w:val="TableBody"/>
              <w:jc w:val="right"/>
            </w:pPr>
            <w:r w:rsidRPr="003E790B">
              <w:t>2.5</w:t>
            </w:r>
          </w:p>
        </w:tc>
        <w:tc>
          <w:tcPr>
            <w:tcW w:w="514" w:type="pct"/>
            <w:noWrap/>
            <w:vAlign w:val="center"/>
            <w:hideMark/>
          </w:tcPr>
          <w:p w14:paraId="4622092B" w14:textId="77777777" w:rsidR="003E790B" w:rsidRPr="003E790B" w:rsidRDefault="003E790B" w:rsidP="003E790B">
            <w:pPr>
              <w:pStyle w:val="TableBody"/>
              <w:jc w:val="right"/>
            </w:pPr>
            <w:r w:rsidRPr="003E790B">
              <w:t>3.2</w:t>
            </w:r>
          </w:p>
        </w:tc>
      </w:tr>
      <w:tr w:rsidR="003E790B" w:rsidRPr="003E790B" w14:paraId="767BD837" w14:textId="77777777" w:rsidTr="003E4C30">
        <w:trPr>
          <w:trHeight w:val="290"/>
        </w:trPr>
        <w:tc>
          <w:tcPr>
            <w:tcW w:w="1914" w:type="pct"/>
            <w:shd w:val="clear" w:color="auto" w:fill="D9E2F3" w:themeFill="accent1" w:themeFillTint="33"/>
            <w:noWrap/>
            <w:hideMark/>
          </w:tcPr>
          <w:p w14:paraId="37C3237A" w14:textId="77777777" w:rsidR="003E790B" w:rsidRPr="003E790B" w:rsidRDefault="003E790B" w:rsidP="003E790B">
            <w:pPr>
              <w:pStyle w:val="TableBody"/>
            </w:pPr>
            <w:r w:rsidRPr="003E790B">
              <w:t>Household services and operation</w:t>
            </w:r>
          </w:p>
        </w:tc>
        <w:tc>
          <w:tcPr>
            <w:tcW w:w="514" w:type="pct"/>
            <w:shd w:val="clear" w:color="auto" w:fill="D9E2F3" w:themeFill="accent1" w:themeFillTint="33"/>
            <w:noWrap/>
            <w:vAlign w:val="center"/>
            <w:hideMark/>
          </w:tcPr>
          <w:p w14:paraId="5434DE7A" w14:textId="77777777" w:rsidR="003E790B" w:rsidRPr="003E790B" w:rsidRDefault="003E790B" w:rsidP="003E790B">
            <w:pPr>
              <w:pStyle w:val="TableBody"/>
              <w:jc w:val="right"/>
            </w:pPr>
            <w:r w:rsidRPr="003E790B">
              <w:t>2.6</w:t>
            </w:r>
          </w:p>
        </w:tc>
        <w:tc>
          <w:tcPr>
            <w:tcW w:w="514" w:type="pct"/>
            <w:shd w:val="clear" w:color="auto" w:fill="D9E2F3" w:themeFill="accent1" w:themeFillTint="33"/>
            <w:noWrap/>
            <w:vAlign w:val="center"/>
            <w:hideMark/>
          </w:tcPr>
          <w:p w14:paraId="0B47E263" w14:textId="77777777" w:rsidR="003E790B" w:rsidRPr="003E790B" w:rsidRDefault="003E790B" w:rsidP="003E790B">
            <w:pPr>
              <w:pStyle w:val="TableBody"/>
              <w:jc w:val="right"/>
            </w:pPr>
            <w:r w:rsidRPr="003E790B">
              <w:t>5.2</w:t>
            </w:r>
          </w:p>
        </w:tc>
        <w:tc>
          <w:tcPr>
            <w:tcW w:w="514" w:type="pct"/>
            <w:shd w:val="clear" w:color="auto" w:fill="D9E2F3" w:themeFill="accent1" w:themeFillTint="33"/>
            <w:noWrap/>
            <w:vAlign w:val="center"/>
            <w:hideMark/>
          </w:tcPr>
          <w:p w14:paraId="5FC4B14D" w14:textId="77777777" w:rsidR="003E790B" w:rsidRPr="003E790B" w:rsidRDefault="003E790B" w:rsidP="003E790B">
            <w:pPr>
              <w:pStyle w:val="TableBody"/>
              <w:jc w:val="right"/>
            </w:pPr>
            <w:r w:rsidRPr="003E790B">
              <w:t>3.5</w:t>
            </w:r>
          </w:p>
        </w:tc>
        <w:tc>
          <w:tcPr>
            <w:tcW w:w="514" w:type="pct"/>
            <w:shd w:val="clear" w:color="auto" w:fill="D9E2F3" w:themeFill="accent1" w:themeFillTint="33"/>
            <w:noWrap/>
            <w:vAlign w:val="center"/>
            <w:hideMark/>
          </w:tcPr>
          <w:p w14:paraId="17D2BFCD" w14:textId="77777777" w:rsidR="003E790B" w:rsidRPr="003E790B" w:rsidRDefault="003E790B" w:rsidP="003E790B">
            <w:pPr>
              <w:pStyle w:val="TableBody"/>
              <w:jc w:val="right"/>
            </w:pPr>
            <w:r w:rsidRPr="003E790B">
              <w:t>3.7</w:t>
            </w:r>
          </w:p>
        </w:tc>
        <w:tc>
          <w:tcPr>
            <w:tcW w:w="514" w:type="pct"/>
            <w:shd w:val="clear" w:color="auto" w:fill="D9E2F3" w:themeFill="accent1" w:themeFillTint="33"/>
            <w:noWrap/>
            <w:vAlign w:val="center"/>
            <w:hideMark/>
          </w:tcPr>
          <w:p w14:paraId="0B14D35F" w14:textId="77777777" w:rsidR="003E790B" w:rsidRPr="003E790B" w:rsidRDefault="003E790B" w:rsidP="003E790B">
            <w:pPr>
              <w:pStyle w:val="TableBody"/>
              <w:jc w:val="right"/>
            </w:pPr>
            <w:r w:rsidRPr="003E790B">
              <w:t>2.4</w:t>
            </w:r>
          </w:p>
        </w:tc>
        <w:tc>
          <w:tcPr>
            <w:tcW w:w="514" w:type="pct"/>
            <w:shd w:val="clear" w:color="auto" w:fill="D9E2F3" w:themeFill="accent1" w:themeFillTint="33"/>
            <w:noWrap/>
            <w:vAlign w:val="center"/>
            <w:hideMark/>
          </w:tcPr>
          <w:p w14:paraId="38FDAA52" w14:textId="77777777" w:rsidR="003E790B" w:rsidRPr="003E790B" w:rsidRDefault="003E790B" w:rsidP="003E790B">
            <w:pPr>
              <w:pStyle w:val="TableBody"/>
              <w:jc w:val="right"/>
            </w:pPr>
            <w:r w:rsidRPr="003E790B">
              <w:t>3.1</w:t>
            </w:r>
          </w:p>
        </w:tc>
      </w:tr>
      <w:tr w:rsidR="003E790B" w:rsidRPr="003E790B" w14:paraId="451B694D" w14:textId="77777777" w:rsidTr="003E4C30">
        <w:trPr>
          <w:trHeight w:val="290"/>
        </w:trPr>
        <w:tc>
          <w:tcPr>
            <w:tcW w:w="1914" w:type="pct"/>
            <w:noWrap/>
            <w:hideMark/>
          </w:tcPr>
          <w:p w14:paraId="08229A50" w14:textId="77777777" w:rsidR="003E790B" w:rsidRPr="003E790B" w:rsidRDefault="003E790B" w:rsidP="003E790B">
            <w:pPr>
              <w:pStyle w:val="TableBody"/>
            </w:pPr>
            <w:r w:rsidRPr="003E790B">
              <w:t>Alcoholic beverages</w:t>
            </w:r>
          </w:p>
        </w:tc>
        <w:tc>
          <w:tcPr>
            <w:tcW w:w="514" w:type="pct"/>
            <w:noWrap/>
            <w:vAlign w:val="center"/>
            <w:hideMark/>
          </w:tcPr>
          <w:p w14:paraId="3286AAEE" w14:textId="77777777" w:rsidR="003E790B" w:rsidRPr="003E790B" w:rsidRDefault="003E790B" w:rsidP="003E790B">
            <w:pPr>
              <w:pStyle w:val="TableBody"/>
              <w:jc w:val="right"/>
            </w:pPr>
            <w:r w:rsidRPr="003E790B">
              <w:t>1.6</w:t>
            </w:r>
          </w:p>
        </w:tc>
        <w:tc>
          <w:tcPr>
            <w:tcW w:w="514" w:type="pct"/>
            <w:noWrap/>
            <w:vAlign w:val="center"/>
            <w:hideMark/>
          </w:tcPr>
          <w:p w14:paraId="73584B51" w14:textId="77777777" w:rsidR="003E790B" w:rsidRPr="003E790B" w:rsidRDefault="003E790B" w:rsidP="003E790B">
            <w:pPr>
              <w:pStyle w:val="TableBody"/>
              <w:jc w:val="right"/>
            </w:pPr>
            <w:r w:rsidRPr="003E790B">
              <w:t>2.3</w:t>
            </w:r>
          </w:p>
        </w:tc>
        <w:tc>
          <w:tcPr>
            <w:tcW w:w="514" w:type="pct"/>
            <w:noWrap/>
            <w:vAlign w:val="center"/>
            <w:hideMark/>
          </w:tcPr>
          <w:p w14:paraId="1D4E60FB" w14:textId="77777777" w:rsidR="003E790B" w:rsidRPr="003E790B" w:rsidRDefault="003E790B" w:rsidP="003E790B">
            <w:pPr>
              <w:pStyle w:val="TableBody"/>
              <w:jc w:val="right"/>
            </w:pPr>
            <w:r w:rsidRPr="003E790B">
              <w:t>2.2</w:t>
            </w:r>
          </w:p>
        </w:tc>
        <w:tc>
          <w:tcPr>
            <w:tcW w:w="514" w:type="pct"/>
            <w:noWrap/>
            <w:vAlign w:val="center"/>
            <w:hideMark/>
          </w:tcPr>
          <w:p w14:paraId="62EB4F14" w14:textId="77777777" w:rsidR="003E790B" w:rsidRPr="003E790B" w:rsidRDefault="003E790B" w:rsidP="003E790B">
            <w:pPr>
              <w:pStyle w:val="TableBody"/>
              <w:jc w:val="right"/>
            </w:pPr>
            <w:r w:rsidRPr="003E790B">
              <w:t>2.1</w:t>
            </w:r>
          </w:p>
        </w:tc>
        <w:tc>
          <w:tcPr>
            <w:tcW w:w="514" w:type="pct"/>
            <w:noWrap/>
            <w:vAlign w:val="center"/>
            <w:hideMark/>
          </w:tcPr>
          <w:p w14:paraId="7845A08F" w14:textId="77777777" w:rsidR="003E790B" w:rsidRPr="003E790B" w:rsidRDefault="003E790B" w:rsidP="003E790B">
            <w:pPr>
              <w:pStyle w:val="TableBody"/>
              <w:jc w:val="right"/>
            </w:pPr>
            <w:r w:rsidRPr="003E790B">
              <w:t>1.6</w:t>
            </w:r>
          </w:p>
        </w:tc>
        <w:tc>
          <w:tcPr>
            <w:tcW w:w="514" w:type="pct"/>
            <w:noWrap/>
            <w:vAlign w:val="center"/>
            <w:hideMark/>
          </w:tcPr>
          <w:p w14:paraId="222D762D" w14:textId="77777777" w:rsidR="003E790B" w:rsidRPr="003E790B" w:rsidRDefault="003E790B" w:rsidP="003E790B">
            <w:pPr>
              <w:pStyle w:val="TableBody"/>
              <w:jc w:val="right"/>
            </w:pPr>
            <w:r w:rsidRPr="003E790B">
              <w:t>1.8</w:t>
            </w:r>
          </w:p>
        </w:tc>
      </w:tr>
      <w:tr w:rsidR="003E790B" w:rsidRPr="003E790B" w14:paraId="1BC0ABAF" w14:textId="77777777" w:rsidTr="003E4C30">
        <w:trPr>
          <w:trHeight w:val="290"/>
        </w:trPr>
        <w:tc>
          <w:tcPr>
            <w:tcW w:w="1914" w:type="pct"/>
            <w:shd w:val="clear" w:color="auto" w:fill="D9E2F3" w:themeFill="accent1" w:themeFillTint="33"/>
            <w:noWrap/>
            <w:hideMark/>
          </w:tcPr>
          <w:p w14:paraId="47A3775A" w14:textId="77777777" w:rsidR="003E790B" w:rsidRPr="003E790B" w:rsidRDefault="003E790B" w:rsidP="003E790B">
            <w:pPr>
              <w:pStyle w:val="TableBody"/>
            </w:pPr>
            <w:r w:rsidRPr="003E790B">
              <w:t>Education</w:t>
            </w:r>
          </w:p>
        </w:tc>
        <w:tc>
          <w:tcPr>
            <w:tcW w:w="514" w:type="pct"/>
            <w:shd w:val="clear" w:color="auto" w:fill="D9E2F3" w:themeFill="accent1" w:themeFillTint="33"/>
            <w:noWrap/>
            <w:vAlign w:val="center"/>
            <w:hideMark/>
          </w:tcPr>
          <w:p w14:paraId="6526A35E" w14:textId="77777777" w:rsidR="003E790B" w:rsidRPr="003E790B" w:rsidRDefault="003E790B" w:rsidP="003E790B">
            <w:pPr>
              <w:pStyle w:val="TableBody"/>
              <w:jc w:val="right"/>
            </w:pPr>
            <w:r w:rsidRPr="003E790B">
              <w:t>1.6</w:t>
            </w:r>
          </w:p>
        </w:tc>
        <w:tc>
          <w:tcPr>
            <w:tcW w:w="514" w:type="pct"/>
            <w:shd w:val="clear" w:color="auto" w:fill="D9E2F3" w:themeFill="accent1" w:themeFillTint="33"/>
            <w:noWrap/>
            <w:vAlign w:val="center"/>
            <w:hideMark/>
          </w:tcPr>
          <w:p w14:paraId="165627AA" w14:textId="77777777" w:rsidR="003E790B" w:rsidRPr="003E790B" w:rsidRDefault="003E790B" w:rsidP="003E790B">
            <w:pPr>
              <w:pStyle w:val="TableBody"/>
              <w:jc w:val="right"/>
            </w:pPr>
            <w:r w:rsidRPr="003E790B">
              <w:t>6.3</w:t>
            </w:r>
          </w:p>
        </w:tc>
        <w:tc>
          <w:tcPr>
            <w:tcW w:w="514" w:type="pct"/>
            <w:shd w:val="clear" w:color="auto" w:fill="D9E2F3" w:themeFill="accent1" w:themeFillTint="33"/>
            <w:noWrap/>
            <w:vAlign w:val="center"/>
            <w:hideMark/>
          </w:tcPr>
          <w:p w14:paraId="023C686C" w14:textId="77777777" w:rsidR="003E790B" w:rsidRPr="003E790B" w:rsidRDefault="003E790B" w:rsidP="003E790B">
            <w:pPr>
              <w:pStyle w:val="TableBody"/>
              <w:jc w:val="right"/>
            </w:pPr>
            <w:r w:rsidRPr="003E790B">
              <w:t>3.4</w:t>
            </w:r>
          </w:p>
        </w:tc>
        <w:tc>
          <w:tcPr>
            <w:tcW w:w="514" w:type="pct"/>
            <w:shd w:val="clear" w:color="auto" w:fill="D9E2F3" w:themeFill="accent1" w:themeFillTint="33"/>
            <w:noWrap/>
            <w:vAlign w:val="center"/>
            <w:hideMark/>
          </w:tcPr>
          <w:p w14:paraId="627EAB88" w14:textId="77777777" w:rsidR="003E790B" w:rsidRPr="003E790B" w:rsidRDefault="003E790B" w:rsidP="003E790B">
            <w:pPr>
              <w:pStyle w:val="TableBody"/>
              <w:jc w:val="right"/>
            </w:pPr>
            <w:r w:rsidRPr="003E790B">
              <w:t>3.2</w:t>
            </w:r>
          </w:p>
        </w:tc>
        <w:tc>
          <w:tcPr>
            <w:tcW w:w="514" w:type="pct"/>
            <w:shd w:val="clear" w:color="auto" w:fill="D9E2F3" w:themeFill="accent1" w:themeFillTint="33"/>
            <w:noWrap/>
            <w:vAlign w:val="center"/>
            <w:hideMark/>
          </w:tcPr>
          <w:p w14:paraId="3087785F" w14:textId="77777777" w:rsidR="003E790B" w:rsidRPr="003E790B" w:rsidRDefault="003E790B" w:rsidP="003E790B">
            <w:pPr>
              <w:pStyle w:val="TableBody"/>
              <w:jc w:val="right"/>
            </w:pPr>
            <w:r w:rsidRPr="003E790B">
              <w:t>4.6</w:t>
            </w:r>
          </w:p>
        </w:tc>
        <w:tc>
          <w:tcPr>
            <w:tcW w:w="514" w:type="pct"/>
            <w:shd w:val="clear" w:color="auto" w:fill="D9E2F3" w:themeFill="accent1" w:themeFillTint="33"/>
            <w:noWrap/>
            <w:vAlign w:val="center"/>
            <w:hideMark/>
          </w:tcPr>
          <w:p w14:paraId="58219792" w14:textId="77777777" w:rsidR="003E790B" w:rsidRPr="003E790B" w:rsidRDefault="003E790B" w:rsidP="003E790B">
            <w:pPr>
              <w:pStyle w:val="TableBody"/>
              <w:jc w:val="right"/>
            </w:pPr>
            <w:r w:rsidRPr="003E790B">
              <w:t>3.6</w:t>
            </w:r>
          </w:p>
        </w:tc>
      </w:tr>
      <w:tr w:rsidR="003E790B" w:rsidRPr="003E790B" w14:paraId="6C71162B" w14:textId="77777777" w:rsidTr="003E4C30">
        <w:trPr>
          <w:trHeight w:val="290"/>
        </w:trPr>
        <w:tc>
          <w:tcPr>
            <w:tcW w:w="1914" w:type="pct"/>
            <w:noWrap/>
            <w:hideMark/>
          </w:tcPr>
          <w:p w14:paraId="498724C7" w14:textId="77777777" w:rsidR="003E790B" w:rsidRPr="003E790B" w:rsidRDefault="003E790B" w:rsidP="003E790B">
            <w:pPr>
              <w:pStyle w:val="TableBody"/>
            </w:pPr>
            <w:r w:rsidRPr="003E790B">
              <w:t>Personal care</w:t>
            </w:r>
          </w:p>
        </w:tc>
        <w:tc>
          <w:tcPr>
            <w:tcW w:w="514" w:type="pct"/>
            <w:noWrap/>
            <w:vAlign w:val="center"/>
            <w:hideMark/>
          </w:tcPr>
          <w:p w14:paraId="609AB5B7" w14:textId="77777777" w:rsidR="003E790B" w:rsidRPr="003E790B" w:rsidRDefault="003E790B" w:rsidP="003E790B">
            <w:pPr>
              <w:pStyle w:val="TableBody"/>
              <w:jc w:val="right"/>
            </w:pPr>
            <w:r w:rsidRPr="003E790B">
              <w:t>1.3</w:t>
            </w:r>
          </w:p>
        </w:tc>
        <w:tc>
          <w:tcPr>
            <w:tcW w:w="514" w:type="pct"/>
            <w:noWrap/>
            <w:vAlign w:val="center"/>
            <w:hideMark/>
          </w:tcPr>
          <w:p w14:paraId="2A3A1C00" w14:textId="77777777" w:rsidR="003E790B" w:rsidRPr="003E790B" w:rsidRDefault="003E790B" w:rsidP="003E790B">
            <w:pPr>
              <w:pStyle w:val="TableBody"/>
              <w:jc w:val="right"/>
            </w:pPr>
            <w:r w:rsidRPr="003E790B">
              <w:t>2.7</w:t>
            </w:r>
          </w:p>
        </w:tc>
        <w:tc>
          <w:tcPr>
            <w:tcW w:w="514" w:type="pct"/>
            <w:noWrap/>
            <w:vAlign w:val="center"/>
            <w:hideMark/>
          </w:tcPr>
          <w:p w14:paraId="125102C5" w14:textId="77777777" w:rsidR="003E790B" w:rsidRPr="003E790B" w:rsidRDefault="003E790B" w:rsidP="003E790B">
            <w:pPr>
              <w:pStyle w:val="TableBody"/>
              <w:jc w:val="right"/>
            </w:pPr>
            <w:r w:rsidRPr="003E790B">
              <w:t>2.0</w:t>
            </w:r>
          </w:p>
        </w:tc>
        <w:tc>
          <w:tcPr>
            <w:tcW w:w="514" w:type="pct"/>
            <w:noWrap/>
            <w:vAlign w:val="center"/>
            <w:hideMark/>
          </w:tcPr>
          <w:p w14:paraId="48E40014" w14:textId="77777777" w:rsidR="003E790B" w:rsidRPr="003E790B" w:rsidRDefault="003E790B" w:rsidP="003E790B">
            <w:pPr>
              <w:pStyle w:val="TableBody"/>
              <w:jc w:val="right"/>
            </w:pPr>
            <w:r w:rsidRPr="003E790B">
              <w:t>1.6</w:t>
            </w:r>
          </w:p>
        </w:tc>
        <w:tc>
          <w:tcPr>
            <w:tcW w:w="514" w:type="pct"/>
            <w:noWrap/>
            <w:vAlign w:val="center"/>
            <w:hideMark/>
          </w:tcPr>
          <w:p w14:paraId="6DE3E82A" w14:textId="77777777" w:rsidR="003E790B" w:rsidRPr="003E790B" w:rsidRDefault="003E790B" w:rsidP="003E790B">
            <w:pPr>
              <w:pStyle w:val="TableBody"/>
              <w:jc w:val="right"/>
            </w:pPr>
            <w:r w:rsidRPr="003E790B">
              <w:t>1.5</w:t>
            </w:r>
          </w:p>
        </w:tc>
        <w:tc>
          <w:tcPr>
            <w:tcW w:w="514" w:type="pct"/>
            <w:noWrap/>
            <w:vAlign w:val="center"/>
            <w:hideMark/>
          </w:tcPr>
          <w:p w14:paraId="5B4E787C" w14:textId="77777777" w:rsidR="003E790B" w:rsidRPr="003E790B" w:rsidRDefault="003E790B" w:rsidP="003E790B">
            <w:pPr>
              <w:pStyle w:val="TableBody"/>
              <w:jc w:val="right"/>
            </w:pPr>
            <w:r w:rsidRPr="003E790B">
              <w:t>1.7</w:t>
            </w:r>
          </w:p>
        </w:tc>
      </w:tr>
      <w:tr w:rsidR="003E790B" w:rsidRPr="003E790B" w14:paraId="410B4041" w14:textId="77777777" w:rsidTr="005869E0">
        <w:trPr>
          <w:trHeight w:val="290"/>
        </w:trPr>
        <w:tc>
          <w:tcPr>
            <w:tcW w:w="1914" w:type="pct"/>
            <w:tcBorders>
              <w:bottom w:val="single" w:sz="4" w:space="0" w:color="auto"/>
            </w:tcBorders>
            <w:shd w:val="clear" w:color="auto" w:fill="D9E2F3" w:themeFill="accent1" w:themeFillTint="33"/>
            <w:noWrap/>
            <w:hideMark/>
          </w:tcPr>
          <w:p w14:paraId="496C69C1" w14:textId="77777777" w:rsidR="003E790B" w:rsidRPr="003E790B" w:rsidRDefault="003E790B" w:rsidP="003E790B">
            <w:pPr>
              <w:pStyle w:val="TableBody"/>
            </w:pPr>
            <w:r w:rsidRPr="003E790B">
              <w:t>Tobacco products</w:t>
            </w:r>
          </w:p>
        </w:tc>
        <w:tc>
          <w:tcPr>
            <w:tcW w:w="514" w:type="pct"/>
            <w:tcBorders>
              <w:bottom w:val="single" w:sz="4" w:space="0" w:color="auto"/>
            </w:tcBorders>
            <w:shd w:val="clear" w:color="auto" w:fill="D9E2F3" w:themeFill="accent1" w:themeFillTint="33"/>
            <w:noWrap/>
            <w:vAlign w:val="center"/>
            <w:hideMark/>
          </w:tcPr>
          <w:p w14:paraId="5F21EDF3" w14:textId="77777777" w:rsidR="003E790B" w:rsidRPr="003E790B" w:rsidRDefault="003E790B" w:rsidP="003E790B">
            <w:pPr>
              <w:pStyle w:val="TableBody"/>
              <w:jc w:val="right"/>
            </w:pPr>
            <w:r w:rsidRPr="003E790B">
              <w:t>0.3</w:t>
            </w:r>
          </w:p>
        </w:tc>
        <w:tc>
          <w:tcPr>
            <w:tcW w:w="514" w:type="pct"/>
            <w:tcBorders>
              <w:bottom w:val="single" w:sz="4" w:space="0" w:color="auto"/>
            </w:tcBorders>
            <w:shd w:val="clear" w:color="auto" w:fill="D9E2F3" w:themeFill="accent1" w:themeFillTint="33"/>
            <w:noWrap/>
            <w:vAlign w:val="center"/>
            <w:hideMark/>
          </w:tcPr>
          <w:p w14:paraId="33B25F24" w14:textId="77777777" w:rsidR="003E790B" w:rsidRPr="003E790B" w:rsidRDefault="003E790B" w:rsidP="003E790B">
            <w:pPr>
              <w:pStyle w:val="TableBody"/>
              <w:jc w:val="right"/>
            </w:pPr>
            <w:r w:rsidRPr="003E790B">
              <w:t>1.1</w:t>
            </w:r>
          </w:p>
        </w:tc>
        <w:tc>
          <w:tcPr>
            <w:tcW w:w="514" w:type="pct"/>
            <w:tcBorders>
              <w:bottom w:val="single" w:sz="4" w:space="0" w:color="auto"/>
            </w:tcBorders>
            <w:shd w:val="clear" w:color="auto" w:fill="D9E2F3" w:themeFill="accent1" w:themeFillTint="33"/>
            <w:noWrap/>
            <w:vAlign w:val="center"/>
            <w:hideMark/>
          </w:tcPr>
          <w:p w14:paraId="5CF8B614" w14:textId="77777777" w:rsidR="003E790B" w:rsidRPr="003E790B" w:rsidRDefault="003E790B" w:rsidP="003E790B">
            <w:pPr>
              <w:pStyle w:val="TableBody"/>
              <w:jc w:val="right"/>
            </w:pPr>
            <w:r w:rsidRPr="003E790B">
              <w:t>0.8</w:t>
            </w:r>
          </w:p>
        </w:tc>
        <w:tc>
          <w:tcPr>
            <w:tcW w:w="514" w:type="pct"/>
            <w:tcBorders>
              <w:bottom w:val="single" w:sz="4" w:space="0" w:color="auto"/>
            </w:tcBorders>
            <w:shd w:val="clear" w:color="auto" w:fill="D9E2F3" w:themeFill="accent1" w:themeFillTint="33"/>
            <w:noWrap/>
            <w:vAlign w:val="center"/>
            <w:hideMark/>
          </w:tcPr>
          <w:p w14:paraId="4C6DFA7A" w14:textId="77777777" w:rsidR="003E790B" w:rsidRPr="003E790B" w:rsidRDefault="003E790B" w:rsidP="003E790B">
            <w:pPr>
              <w:pStyle w:val="TableBody"/>
              <w:jc w:val="right"/>
            </w:pPr>
            <w:r w:rsidRPr="003E790B">
              <w:t>0.2</w:t>
            </w:r>
          </w:p>
        </w:tc>
        <w:tc>
          <w:tcPr>
            <w:tcW w:w="514" w:type="pct"/>
            <w:tcBorders>
              <w:bottom w:val="single" w:sz="4" w:space="0" w:color="auto"/>
            </w:tcBorders>
            <w:shd w:val="clear" w:color="auto" w:fill="D9E2F3" w:themeFill="accent1" w:themeFillTint="33"/>
            <w:noWrap/>
            <w:vAlign w:val="center"/>
            <w:hideMark/>
          </w:tcPr>
          <w:p w14:paraId="322EF2A9" w14:textId="77777777" w:rsidR="003E790B" w:rsidRPr="003E790B" w:rsidRDefault="003E790B" w:rsidP="003E790B">
            <w:pPr>
              <w:pStyle w:val="TableBody"/>
              <w:jc w:val="right"/>
            </w:pPr>
            <w:r w:rsidRPr="003E790B">
              <w:t>0.1</w:t>
            </w:r>
          </w:p>
        </w:tc>
        <w:tc>
          <w:tcPr>
            <w:tcW w:w="514" w:type="pct"/>
            <w:tcBorders>
              <w:bottom w:val="single" w:sz="4" w:space="0" w:color="auto"/>
            </w:tcBorders>
            <w:shd w:val="clear" w:color="auto" w:fill="D9E2F3" w:themeFill="accent1" w:themeFillTint="33"/>
            <w:noWrap/>
            <w:vAlign w:val="center"/>
            <w:hideMark/>
          </w:tcPr>
          <w:p w14:paraId="4E201D27" w14:textId="77777777" w:rsidR="003E790B" w:rsidRPr="003E790B" w:rsidRDefault="003E790B" w:rsidP="003E790B">
            <w:pPr>
              <w:pStyle w:val="TableBody"/>
              <w:jc w:val="right"/>
            </w:pPr>
            <w:r w:rsidRPr="003E790B">
              <w:t>0.4</w:t>
            </w:r>
          </w:p>
        </w:tc>
      </w:tr>
      <w:tr w:rsidR="009C2B7D" w:rsidRPr="003E790B" w14:paraId="5BEF0C74" w14:textId="77777777" w:rsidTr="005869E0">
        <w:trPr>
          <w:trHeight w:val="290"/>
        </w:trPr>
        <w:tc>
          <w:tcPr>
            <w:tcW w:w="1914" w:type="pct"/>
            <w:tcBorders>
              <w:top w:val="single" w:sz="4" w:space="0" w:color="auto"/>
              <w:bottom w:val="single" w:sz="4" w:space="0" w:color="auto"/>
            </w:tcBorders>
            <w:noWrap/>
          </w:tcPr>
          <w:p w14:paraId="53A2F04F" w14:textId="13F8222E" w:rsidR="009C2B7D" w:rsidRPr="003E790B" w:rsidRDefault="009C2B7D" w:rsidP="003E790B">
            <w:pPr>
              <w:pStyle w:val="TableBody"/>
            </w:pPr>
            <w:r>
              <w:t>Total</w:t>
            </w:r>
          </w:p>
        </w:tc>
        <w:tc>
          <w:tcPr>
            <w:tcW w:w="514" w:type="pct"/>
            <w:tcBorders>
              <w:top w:val="single" w:sz="4" w:space="0" w:color="auto"/>
              <w:bottom w:val="single" w:sz="4" w:space="0" w:color="auto"/>
            </w:tcBorders>
            <w:noWrap/>
            <w:vAlign w:val="center"/>
          </w:tcPr>
          <w:p w14:paraId="2CE9DC0B" w14:textId="7D0B0E5A" w:rsidR="009C2B7D" w:rsidRPr="003E790B" w:rsidRDefault="009C2B7D" w:rsidP="003E790B">
            <w:pPr>
              <w:pStyle w:val="TableBody"/>
              <w:jc w:val="right"/>
            </w:pPr>
            <w:r>
              <w:t>100.0</w:t>
            </w:r>
          </w:p>
        </w:tc>
        <w:tc>
          <w:tcPr>
            <w:tcW w:w="514" w:type="pct"/>
            <w:tcBorders>
              <w:top w:val="single" w:sz="4" w:space="0" w:color="auto"/>
              <w:bottom w:val="single" w:sz="4" w:space="0" w:color="auto"/>
            </w:tcBorders>
            <w:noWrap/>
            <w:vAlign w:val="center"/>
          </w:tcPr>
          <w:p w14:paraId="22AB6791" w14:textId="7574533F" w:rsidR="009C2B7D" w:rsidRPr="003E790B" w:rsidRDefault="009C2B7D" w:rsidP="003E790B">
            <w:pPr>
              <w:pStyle w:val="TableBody"/>
              <w:jc w:val="right"/>
            </w:pPr>
            <w:r>
              <w:t>100.0</w:t>
            </w:r>
          </w:p>
        </w:tc>
        <w:tc>
          <w:tcPr>
            <w:tcW w:w="514" w:type="pct"/>
            <w:tcBorders>
              <w:top w:val="single" w:sz="4" w:space="0" w:color="auto"/>
              <w:bottom w:val="single" w:sz="4" w:space="0" w:color="auto"/>
            </w:tcBorders>
            <w:noWrap/>
            <w:vAlign w:val="center"/>
          </w:tcPr>
          <w:p w14:paraId="24B0E9CA" w14:textId="25A72758" w:rsidR="009C2B7D" w:rsidRPr="003E790B" w:rsidRDefault="009C2B7D" w:rsidP="003E790B">
            <w:pPr>
              <w:pStyle w:val="TableBody"/>
              <w:jc w:val="right"/>
            </w:pPr>
            <w:r>
              <w:t>100.0</w:t>
            </w:r>
          </w:p>
        </w:tc>
        <w:tc>
          <w:tcPr>
            <w:tcW w:w="514" w:type="pct"/>
            <w:tcBorders>
              <w:top w:val="single" w:sz="4" w:space="0" w:color="auto"/>
              <w:bottom w:val="single" w:sz="4" w:space="0" w:color="auto"/>
            </w:tcBorders>
            <w:noWrap/>
            <w:vAlign w:val="center"/>
          </w:tcPr>
          <w:p w14:paraId="3205A221" w14:textId="6B943672" w:rsidR="009C2B7D" w:rsidRPr="003E790B" w:rsidRDefault="009C2B7D" w:rsidP="003E790B">
            <w:pPr>
              <w:pStyle w:val="TableBody"/>
              <w:jc w:val="right"/>
            </w:pPr>
            <w:r>
              <w:t>100.0</w:t>
            </w:r>
          </w:p>
        </w:tc>
        <w:tc>
          <w:tcPr>
            <w:tcW w:w="514" w:type="pct"/>
            <w:tcBorders>
              <w:top w:val="single" w:sz="4" w:space="0" w:color="auto"/>
              <w:bottom w:val="single" w:sz="4" w:space="0" w:color="auto"/>
            </w:tcBorders>
            <w:noWrap/>
            <w:vAlign w:val="center"/>
          </w:tcPr>
          <w:p w14:paraId="1D29AB39" w14:textId="6C557BF8" w:rsidR="009C2B7D" w:rsidRPr="003E790B" w:rsidRDefault="009C2B7D" w:rsidP="003E790B">
            <w:pPr>
              <w:pStyle w:val="TableBody"/>
              <w:jc w:val="right"/>
            </w:pPr>
            <w:r>
              <w:t>100.0</w:t>
            </w:r>
          </w:p>
        </w:tc>
        <w:tc>
          <w:tcPr>
            <w:tcW w:w="514" w:type="pct"/>
            <w:tcBorders>
              <w:top w:val="single" w:sz="4" w:space="0" w:color="auto"/>
              <w:bottom w:val="single" w:sz="4" w:space="0" w:color="auto"/>
            </w:tcBorders>
            <w:noWrap/>
            <w:vAlign w:val="center"/>
          </w:tcPr>
          <w:p w14:paraId="629A7E60" w14:textId="56A18D3D" w:rsidR="009C2B7D" w:rsidRPr="003E790B" w:rsidRDefault="009C2B7D" w:rsidP="003E790B">
            <w:pPr>
              <w:pStyle w:val="TableBody"/>
              <w:jc w:val="right"/>
            </w:pPr>
            <w:r>
              <w:t>100.0</w:t>
            </w:r>
          </w:p>
        </w:tc>
      </w:tr>
    </w:tbl>
    <w:p w14:paraId="15FB1332" w14:textId="0A15C6CC" w:rsidR="00124AB6" w:rsidRDefault="00124AB6" w:rsidP="00156D30">
      <w:pPr>
        <w:pStyle w:val="BodyText"/>
        <w:spacing w:before="240"/>
      </w:pPr>
      <w:r w:rsidRPr="00313AEE">
        <w:t xml:space="preserve">Table </w:t>
      </w:r>
      <w:r w:rsidR="00A91FB3" w:rsidRPr="00313AEE">
        <w:t>2</w:t>
      </w:r>
      <w:r w:rsidR="0069305D">
        <w:t xml:space="preserve"> and </w:t>
      </w:r>
      <w:r w:rsidR="0069305D" w:rsidRPr="007E6D94">
        <w:t>Figure</w:t>
      </w:r>
      <w:r w:rsidR="00695513" w:rsidRPr="007E6D94">
        <w:t>s 1 and 2</w:t>
      </w:r>
      <w:r w:rsidRPr="00FE2018">
        <w:t xml:space="preserve"> show the upward and downward trends</w:t>
      </w:r>
      <w:r>
        <w:t xml:space="preserve"> in prices</w:t>
      </w:r>
      <w:r w:rsidRPr="00FE2018">
        <w:t xml:space="preserve"> across key areas of </w:t>
      </w:r>
      <w:r>
        <w:t xml:space="preserve">household </w:t>
      </w:r>
      <w:r w:rsidRPr="00FE2018">
        <w:t>expenditure</w:t>
      </w:r>
      <w:r w:rsidR="00695513">
        <w:t xml:space="preserve"> in Canberra and nationally</w:t>
      </w:r>
      <w:r w:rsidRPr="00FE2018">
        <w:t xml:space="preserve"> over the past </w:t>
      </w:r>
      <w:r w:rsidR="00C357B3">
        <w:t>12 months and five years</w:t>
      </w:r>
      <w:r>
        <w:t>.</w:t>
      </w:r>
    </w:p>
    <w:p w14:paraId="534B9B27" w14:textId="1F795809" w:rsidR="00FD7413" w:rsidRDefault="00FD7413" w:rsidP="000B6364">
      <w:pPr>
        <w:pStyle w:val="Figuretitle"/>
      </w:pPr>
      <w:r>
        <w:t>Table 2</w:t>
      </w:r>
      <w:r w:rsidR="000B6364">
        <w:t xml:space="preserve"> </w:t>
      </w:r>
      <w:r w:rsidR="000B6364" w:rsidRPr="000B6364">
        <w:t>CPI changes for key household expenditure areas, Canberra and Australia, Dec 201</w:t>
      </w:r>
      <w:r w:rsidR="003D3347">
        <w:t>8</w:t>
      </w:r>
      <w:r w:rsidR="000B6364" w:rsidRPr="000B6364">
        <w:t xml:space="preserve"> – Dec 201</w:t>
      </w:r>
      <w:r w:rsidR="003D3347">
        <w:t>9</w:t>
      </w:r>
      <w:r w:rsidR="000B6364">
        <w:t xml:space="preserve"> </w:t>
      </w:r>
      <w:r w:rsidR="0027500B">
        <w:t>&amp;</w:t>
      </w:r>
      <w:r w:rsidR="000B6364">
        <w:t xml:space="preserve"> </w:t>
      </w:r>
      <w:r w:rsidR="003D3347">
        <w:t>Dec 2014 – Dec 2019</w:t>
      </w:r>
      <w:r w:rsidR="0027500B" w:rsidRPr="001B5E9B">
        <w:rPr>
          <w:rStyle w:val="FootnoteReference"/>
          <w:b w:val="0"/>
          <w:bCs/>
        </w:rPr>
        <w:footnoteReference w:id="13"/>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1548"/>
        <w:gridCol w:w="1546"/>
        <w:gridCol w:w="1546"/>
        <w:gridCol w:w="1546"/>
      </w:tblGrid>
      <w:tr w:rsidR="00105A87" w:rsidRPr="001943F6" w14:paraId="2A1EAA92" w14:textId="77777777" w:rsidTr="00293705">
        <w:trPr>
          <w:trHeight w:val="580"/>
          <w:tblHeader/>
        </w:trPr>
        <w:tc>
          <w:tcPr>
            <w:tcW w:w="1363" w:type="pct"/>
            <w:tcBorders>
              <w:top w:val="single" w:sz="4" w:space="0" w:color="auto"/>
              <w:bottom w:val="single" w:sz="4" w:space="0" w:color="auto"/>
            </w:tcBorders>
            <w:shd w:val="clear" w:color="auto" w:fill="auto"/>
            <w:hideMark/>
          </w:tcPr>
          <w:p w14:paraId="2E9D355E" w14:textId="23BEF6BC" w:rsidR="00105A87" w:rsidRPr="00B666A2" w:rsidRDefault="00105A87" w:rsidP="00105A87">
            <w:pPr>
              <w:pStyle w:val="Tableheading"/>
              <w:rPr>
                <w:sz w:val="16"/>
                <w:szCs w:val="16"/>
              </w:rPr>
            </w:pPr>
            <w:r w:rsidRPr="00B666A2">
              <w:rPr>
                <w:sz w:val="16"/>
                <w:szCs w:val="16"/>
              </w:rPr>
              <w:t>Cost of Living area</w:t>
            </w:r>
          </w:p>
        </w:tc>
        <w:tc>
          <w:tcPr>
            <w:tcW w:w="910" w:type="pct"/>
            <w:tcBorders>
              <w:top w:val="single" w:sz="4" w:space="0" w:color="auto"/>
              <w:bottom w:val="single" w:sz="4" w:space="0" w:color="auto"/>
            </w:tcBorders>
            <w:shd w:val="clear" w:color="auto" w:fill="auto"/>
            <w:hideMark/>
          </w:tcPr>
          <w:p w14:paraId="57183F06" w14:textId="4A209D7E" w:rsidR="007578B3" w:rsidRPr="00B666A2" w:rsidRDefault="00105A87" w:rsidP="009A311D">
            <w:pPr>
              <w:pStyle w:val="Tableheading"/>
              <w:jc w:val="center"/>
              <w:rPr>
                <w:sz w:val="16"/>
                <w:szCs w:val="16"/>
                <w:lang w:val="fr-BE"/>
              </w:rPr>
            </w:pPr>
            <w:r w:rsidRPr="00B666A2">
              <w:rPr>
                <w:sz w:val="16"/>
                <w:szCs w:val="16"/>
                <w:lang w:val="fr-BE"/>
              </w:rPr>
              <w:t>Canberra CPI Change</w:t>
            </w:r>
            <w:r w:rsidR="00ED05DD" w:rsidRPr="00B666A2">
              <w:rPr>
                <w:sz w:val="16"/>
                <w:szCs w:val="16"/>
                <w:lang w:val="fr-BE"/>
              </w:rPr>
              <w:t xml:space="preserve"> </w:t>
            </w:r>
            <w:r w:rsidR="00575B22" w:rsidRPr="00B666A2">
              <w:rPr>
                <w:sz w:val="16"/>
                <w:szCs w:val="16"/>
                <w:lang w:val="fr-BE"/>
              </w:rPr>
              <w:t>-</w:t>
            </w:r>
            <w:r w:rsidR="00ED05DD" w:rsidRPr="00B666A2">
              <w:rPr>
                <w:sz w:val="16"/>
                <w:szCs w:val="16"/>
                <w:lang w:val="fr-BE"/>
              </w:rPr>
              <w:t xml:space="preserve"> 1yr</w:t>
            </w:r>
          </w:p>
          <w:p w14:paraId="5C2F154D" w14:textId="358A3AA4" w:rsidR="00105A87" w:rsidRPr="00B666A2" w:rsidRDefault="00105A87" w:rsidP="009A311D">
            <w:pPr>
              <w:pStyle w:val="Tableheading"/>
              <w:jc w:val="center"/>
              <w:rPr>
                <w:sz w:val="16"/>
                <w:szCs w:val="16"/>
                <w:lang w:val="fr-BE"/>
              </w:rPr>
            </w:pPr>
            <w:r w:rsidRPr="00B666A2">
              <w:rPr>
                <w:sz w:val="16"/>
                <w:szCs w:val="16"/>
                <w:lang w:val="fr-BE"/>
              </w:rPr>
              <w:t>Dec18-Dec19</w:t>
            </w:r>
          </w:p>
          <w:p w14:paraId="601531A9" w14:textId="7C62334F" w:rsidR="00EC1403" w:rsidRPr="00B666A2" w:rsidRDefault="00EC1403" w:rsidP="009A311D">
            <w:pPr>
              <w:pStyle w:val="Tableheading"/>
              <w:jc w:val="center"/>
              <w:rPr>
                <w:sz w:val="16"/>
                <w:szCs w:val="16"/>
              </w:rPr>
            </w:pPr>
            <w:r w:rsidRPr="00B666A2">
              <w:rPr>
                <w:sz w:val="16"/>
                <w:szCs w:val="16"/>
              </w:rPr>
              <w:t>(%)</w:t>
            </w:r>
          </w:p>
        </w:tc>
        <w:tc>
          <w:tcPr>
            <w:tcW w:w="909" w:type="pct"/>
            <w:tcBorders>
              <w:top w:val="single" w:sz="4" w:space="0" w:color="auto"/>
              <w:bottom w:val="single" w:sz="4" w:space="0" w:color="auto"/>
            </w:tcBorders>
            <w:shd w:val="clear" w:color="auto" w:fill="auto"/>
            <w:hideMark/>
          </w:tcPr>
          <w:p w14:paraId="1F5C39D1" w14:textId="30305B05" w:rsidR="00ED05DD" w:rsidRPr="00B666A2" w:rsidRDefault="00105A87" w:rsidP="009A311D">
            <w:pPr>
              <w:pStyle w:val="Tableheading"/>
              <w:jc w:val="center"/>
              <w:rPr>
                <w:sz w:val="16"/>
                <w:szCs w:val="16"/>
              </w:rPr>
            </w:pPr>
            <w:r w:rsidRPr="00B666A2">
              <w:rPr>
                <w:sz w:val="16"/>
                <w:szCs w:val="16"/>
              </w:rPr>
              <w:t>Australia CPI Change</w:t>
            </w:r>
            <w:r w:rsidR="00482AF8" w:rsidRPr="00B666A2">
              <w:rPr>
                <w:sz w:val="16"/>
                <w:szCs w:val="16"/>
              </w:rPr>
              <w:t xml:space="preserve"> - 1yr</w:t>
            </w:r>
          </w:p>
          <w:p w14:paraId="576FA776" w14:textId="3EBD4E47" w:rsidR="00105A87" w:rsidRPr="00B666A2" w:rsidRDefault="00105A87" w:rsidP="009A311D">
            <w:pPr>
              <w:pStyle w:val="Tableheading"/>
              <w:jc w:val="center"/>
              <w:rPr>
                <w:sz w:val="16"/>
                <w:szCs w:val="16"/>
              </w:rPr>
            </w:pPr>
            <w:r w:rsidRPr="00B666A2">
              <w:rPr>
                <w:sz w:val="16"/>
                <w:szCs w:val="16"/>
              </w:rPr>
              <w:t>Dec18-Dec19</w:t>
            </w:r>
          </w:p>
          <w:p w14:paraId="281F0A6B" w14:textId="5F9DFBEE" w:rsidR="00EC1403" w:rsidRPr="00B666A2" w:rsidRDefault="00EC1403" w:rsidP="009A311D">
            <w:pPr>
              <w:pStyle w:val="Tableheading"/>
              <w:jc w:val="center"/>
              <w:rPr>
                <w:sz w:val="16"/>
                <w:szCs w:val="16"/>
              </w:rPr>
            </w:pPr>
            <w:r w:rsidRPr="00B666A2">
              <w:rPr>
                <w:sz w:val="16"/>
                <w:szCs w:val="16"/>
              </w:rPr>
              <w:t>(%)</w:t>
            </w:r>
          </w:p>
        </w:tc>
        <w:tc>
          <w:tcPr>
            <w:tcW w:w="909" w:type="pct"/>
            <w:tcBorders>
              <w:top w:val="single" w:sz="4" w:space="0" w:color="auto"/>
              <w:bottom w:val="single" w:sz="4" w:space="0" w:color="auto"/>
            </w:tcBorders>
            <w:shd w:val="clear" w:color="auto" w:fill="auto"/>
            <w:hideMark/>
          </w:tcPr>
          <w:p w14:paraId="406406EF" w14:textId="6046B9F9" w:rsidR="00ED05DD" w:rsidRPr="00B666A2" w:rsidRDefault="00105A87" w:rsidP="009A311D">
            <w:pPr>
              <w:pStyle w:val="Tableheading"/>
              <w:jc w:val="center"/>
              <w:rPr>
                <w:sz w:val="16"/>
                <w:szCs w:val="16"/>
                <w:lang w:val="fr-BE"/>
              </w:rPr>
            </w:pPr>
            <w:r w:rsidRPr="00B666A2">
              <w:rPr>
                <w:sz w:val="16"/>
                <w:szCs w:val="16"/>
                <w:lang w:val="fr-BE"/>
              </w:rPr>
              <w:t xml:space="preserve">Canberra CPI change </w:t>
            </w:r>
            <w:r w:rsidR="00575B22" w:rsidRPr="00B666A2">
              <w:rPr>
                <w:sz w:val="16"/>
                <w:szCs w:val="16"/>
                <w:lang w:val="fr-BE"/>
              </w:rPr>
              <w:t>-</w:t>
            </w:r>
            <w:r w:rsidR="00482AF8" w:rsidRPr="00B666A2">
              <w:rPr>
                <w:sz w:val="16"/>
                <w:szCs w:val="16"/>
                <w:lang w:val="fr-BE"/>
              </w:rPr>
              <w:t xml:space="preserve"> 5yrs</w:t>
            </w:r>
          </w:p>
          <w:p w14:paraId="2D6C5752" w14:textId="237A01CC" w:rsidR="00105A87" w:rsidRPr="00B666A2" w:rsidRDefault="00105A87" w:rsidP="009A311D">
            <w:pPr>
              <w:pStyle w:val="Tableheading"/>
              <w:jc w:val="center"/>
              <w:rPr>
                <w:sz w:val="16"/>
                <w:szCs w:val="16"/>
                <w:lang w:val="fr-BE"/>
              </w:rPr>
            </w:pPr>
            <w:r w:rsidRPr="00B666A2">
              <w:rPr>
                <w:sz w:val="16"/>
                <w:szCs w:val="16"/>
                <w:lang w:val="fr-BE"/>
              </w:rPr>
              <w:t>Dec14-Dec19</w:t>
            </w:r>
          </w:p>
          <w:p w14:paraId="49DF8589" w14:textId="105A802E" w:rsidR="00EC1403" w:rsidRPr="00B666A2" w:rsidRDefault="00EC1403" w:rsidP="009A311D">
            <w:pPr>
              <w:pStyle w:val="Tableheading"/>
              <w:jc w:val="center"/>
              <w:rPr>
                <w:sz w:val="16"/>
                <w:szCs w:val="16"/>
              </w:rPr>
            </w:pPr>
            <w:r w:rsidRPr="00B666A2">
              <w:rPr>
                <w:sz w:val="16"/>
                <w:szCs w:val="16"/>
              </w:rPr>
              <w:t>(%)</w:t>
            </w:r>
          </w:p>
        </w:tc>
        <w:tc>
          <w:tcPr>
            <w:tcW w:w="909" w:type="pct"/>
            <w:tcBorders>
              <w:top w:val="single" w:sz="4" w:space="0" w:color="auto"/>
              <w:bottom w:val="single" w:sz="4" w:space="0" w:color="auto"/>
            </w:tcBorders>
            <w:shd w:val="clear" w:color="auto" w:fill="auto"/>
            <w:hideMark/>
          </w:tcPr>
          <w:p w14:paraId="1565CAAD" w14:textId="565FB1AF" w:rsidR="00ED05DD" w:rsidRPr="00B666A2" w:rsidRDefault="00105A87" w:rsidP="009A311D">
            <w:pPr>
              <w:pStyle w:val="Tableheading"/>
              <w:jc w:val="center"/>
              <w:rPr>
                <w:sz w:val="16"/>
                <w:szCs w:val="16"/>
                <w:lang w:val="fr-BE"/>
              </w:rPr>
            </w:pPr>
            <w:r w:rsidRPr="00B666A2">
              <w:rPr>
                <w:sz w:val="16"/>
                <w:szCs w:val="16"/>
                <w:lang w:val="fr-BE"/>
              </w:rPr>
              <w:t xml:space="preserve">Australia CPI Change </w:t>
            </w:r>
            <w:r w:rsidR="00575B22" w:rsidRPr="00B666A2">
              <w:rPr>
                <w:sz w:val="16"/>
                <w:szCs w:val="16"/>
                <w:lang w:val="fr-BE"/>
              </w:rPr>
              <w:t>-</w:t>
            </w:r>
            <w:r w:rsidR="00482AF8" w:rsidRPr="00B666A2">
              <w:rPr>
                <w:sz w:val="16"/>
                <w:szCs w:val="16"/>
                <w:lang w:val="fr-BE"/>
              </w:rPr>
              <w:t xml:space="preserve"> 5yrs</w:t>
            </w:r>
          </w:p>
          <w:p w14:paraId="7FA18E81" w14:textId="1541C7E8" w:rsidR="00105A87" w:rsidRPr="00B666A2" w:rsidRDefault="00105A87" w:rsidP="009A311D">
            <w:pPr>
              <w:pStyle w:val="Tableheading"/>
              <w:jc w:val="center"/>
              <w:rPr>
                <w:sz w:val="16"/>
                <w:szCs w:val="16"/>
                <w:lang w:val="fr-BE"/>
              </w:rPr>
            </w:pPr>
            <w:r w:rsidRPr="00B666A2">
              <w:rPr>
                <w:sz w:val="16"/>
                <w:szCs w:val="16"/>
                <w:lang w:val="fr-BE"/>
              </w:rPr>
              <w:t>Dec14-Dec19</w:t>
            </w:r>
          </w:p>
          <w:p w14:paraId="1F12AA5E" w14:textId="731C0C7B" w:rsidR="00EC1403" w:rsidRPr="00B666A2" w:rsidRDefault="00EC1403" w:rsidP="009A311D">
            <w:pPr>
              <w:pStyle w:val="Tableheading"/>
              <w:jc w:val="center"/>
              <w:rPr>
                <w:sz w:val="16"/>
                <w:szCs w:val="16"/>
              </w:rPr>
            </w:pPr>
            <w:r w:rsidRPr="00B666A2">
              <w:rPr>
                <w:sz w:val="16"/>
                <w:szCs w:val="16"/>
              </w:rPr>
              <w:t>(%)</w:t>
            </w:r>
          </w:p>
        </w:tc>
      </w:tr>
      <w:tr w:rsidR="00105A87" w:rsidRPr="001943F6" w14:paraId="2DA07D71" w14:textId="77777777" w:rsidTr="00293705">
        <w:trPr>
          <w:trHeight w:val="13"/>
        </w:trPr>
        <w:tc>
          <w:tcPr>
            <w:tcW w:w="1363" w:type="pct"/>
            <w:tcBorders>
              <w:top w:val="single" w:sz="4" w:space="0" w:color="auto"/>
            </w:tcBorders>
            <w:shd w:val="clear" w:color="auto" w:fill="D9E2F3" w:themeFill="accent1" w:themeFillTint="33"/>
            <w:hideMark/>
          </w:tcPr>
          <w:p w14:paraId="28DE2258" w14:textId="248928CD" w:rsidR="00105A87" w:rsidRPr="00B666A2" w:rsidRDefault="00105A87" w:rsidP="00105A87">
            <w:pPr>
              <w:pStyle w:val="TableBody"/>
              <w:rPr>
                <w:b/>
                <w:sz w:val="16"/>
                <w:szCs w:val="16"/>
              </w:rPr>
            </w:pPr>
            <w:r w:rsidRPr="00B666A2">
              <w:rPr>
                <w:b/>
                <w:sz w:val="16"/>
                <w:szCs w:val="16"/>
              </w:rPr>
              <w:t xml:space="preserve">Food &amp; Non-Alcoholic Beverages </w:t>
            </w:r>
          </w:p>
        </w:tc>
        <w:tc>
          <w:tcPr>
            <w:tcW w:w="910" w:type="pct"/>
            <w:tcBorders>
              <w:top w:val="single" w:sz="4" w:space="0" w:color="auto"/>
            </w:tcBorders>
            <w:shd w:val="clear" w:color="auto" w:fill="D9E2F3" w:themeFill="accent1" w:themeFillTint="33"/>
            <w:noWrap/>
            <w:hideMark/>
          </w:tcPr>
          <w:p w14:paraId="6CD8599D" w14:textId="77777777" w:rsidR="00105A87" w:rsidRPr="00B666A2" w:rsidRDefault="00105A87" w:rsidP="00105A87">
            <w:pPr>
              <w:pStyle w:val="TableBody"/>
              <w:jc w:val="right"/>
              <w:rPr>
                <w:b/>
                <w:sz w:val="16"/>
                <w:szCs w:val="16"/>
              </w:rPr>
            </w:pPr>
            <w:r w:rsidRPr="00B666A2">
              <w:rPr>
                <w:b/>
                <w:sz w:val="16"/>
                <w:szCs w:val="16"/>
              </w:rPr>
              <w:t>2.7</w:t>
            </w:r>
          </w:p>
        </w:tc>
        <w:tc>
          <w:tcPr>
            <w:tcW w:w="909" w:type="pct"/>
            <w:tcBorders>
              <w:top w:val="single" w:sz="4" w:space="0" w:color="auto"/>
            </w:tcBorders>
            <w:shd w:val="clear" w:color="auto" w:fill="D9E2F3" w:themeFill="accent1" w:themeFillTint="33"/>
            <w:noWrap/>
            <w:hideMark/>
          </w:tcPr>
          <w:p w14:paraId="42F2DF76" w14:textId="77777777" w:rsidR="00105A87" w:rsidRPr="00B666A2" w:rsidRDefault="00105A87" w:rsidP="00105A87">
            <w:pPr>
              <w:pStyle w:val="TableBody"/>
              <w:jc w:val="right"/>
              <w:rPr>
                <w:b/>
                <w:sz w:val="16"/>
                <w:szCs w:val="16"/>
              </w:rPr>
            </w:pPr>
            <w:r w:rsidRPr="00B666A2">
              <w:rPr>
                <w:b/>
                <w:sz w:val="16"/>
                <w:szCs w:val="16"/>
              </w:rPr>
              <w:t>2.6</w:t>
            </w:r>
          </w:p>
        </w:tc>
        <w:tc>
          <w:tcPr>
            <w:tcW w:w="909" w:type="pct"/>
            <w:tcBorders>
              <w:top w:val="single" w:sz="4" w:space="0" w:color="auto"/>
            </w:tcBorders>
            <w:shd w:val="clear" w:color="auto" w:fill="B4C6E7" w:themeFill="accent1" w:themeFillTint="66"/>
            <w:noWrap/>
            <w:hideMark/>
          </w:tcPr>
          <w:p w14:paraId="7A737C6B" w14:textId="77777777" w:rsidR="00105A87" w:rsidRPr="00B666A2" w:rsidRDefault="00105A87" w:rsidP="00105A87">
            <w:pPr>
              <w:pStyle w:val="TableBody"/>
              <w:jc w:val="right"/>
              <w:rPr>
                <w:b/>
                <w:sz w:val="16"/>
                <w:szCs w:val="16"/>
              </w:rPr>
            </w:pPr>
            <w:r w:rsidRPr="00B666A2">
              <w:rPr>
                <w:b/>
                <w:sz w:val="16"/>
                <w:szCs w:val="16"/>
              </w:rPr>
              <w:t>6.2</w:t>
            </w:r>
          </w:p>
        </w:tc>
        <w:tc>
          <w:tcPr>
            <w:tcW w:w="909" w:type="pct"/>
            <w:tcBorders>
              <w:top w:val="single" w:sz="4" w:space="0" w:color="auto"/>
            </w:tcBorders>
            <w:shd w:val="clear" w:color="auto" w:fill="B4C6E7" w:themeFill="accent1" w:themeFillTint="66"/>
            <w:noWrap/>
            <w:hideMark/>
          </w:tcPr>
          <w:p w14:paraId="3B790ACF" w14:textId="77777777" w:rsidR="00105A87" w:rsidRPr="00B666A2" w:rsidRDefault="00105A87" w:rsidP="00105A87">
            <w:pPr>
              <w:pStyle w:val="TableBody"/>
              <w:jc w:val="right"/>
              <w:rPr>
                <w:b/>
                <w:sz w:val="16"/>
                <w:szCs w:val="16"/>
              </w:rPr>
            </w:pPr>
            <w:r w:rsidRPr="00B666A2">
              <w:rPr>
                <w:b/>
                <w:sz w:val="16"/>
                <w:szCs w:val="16"/>
              </w:rPr>
              <w:t>6.1</w:t>
            </w:r>
          </w:p>
        </w:tc>
      </w:tr>
      <w:tr w:rsidR="00105A87" w:rsidRPr="001943F6" w14:paraId="27E4AC25" w14:textId="77777777" w:rsidTr="00293705">
        <w:trPr>
          <w:trHeight w:val="306"/>
        </w:trPr>
        <w:tc>
          <w:tcPr>
            <w:tcW w:w="1363" w:type="pct"/>
            <w:shd w:val="clear" w:color="auto" w:fill="D9E2F3" w:themeFill="accent1" w:themeFillTint="33"/>
            <w:hideMark/>
          </w:tcPr>
          <w:p w14:paraId="736064F9" w14:textId="77777777" w:rsidR="00105A87" w:rsidRPr="00545AF1" w:rsidRDefault="00105A87" w:rsidP="007578B3">
            <w:pPr>
              <w:pStyle w:val="Table-ListBullet"/>
              <w:rPr>
                <w:sz w:val="16"/>
                <w:szCs w:val="16"/>
              </w:rPr>
            </w:pPr>
            <w:r w:rsidRPr="00545AF1">
              <w:rPr>
                <w:sz w:val="16"/>
                <w:szCs w:val="16"/>
              </w:rPr>
              <w:t>Bread and cereal products</w:t>
            </w:r>
          </w:p>
        </w:tc>
        <w:tc>
          <w:tcPr>
            <w:tcW w:w="910" w:type="pct"/>
            <w:shd w:val="clear" w:color="auto" w:fill="D9E2F3" w:themeFill="accent1" w:themeFillTint="33"/>
            <w:noWrap/>
            <w:hideMark/>
          </w:tcPr>
          <w:p w14:paraId="540E8710" w14:textId="77777777" w:rsidR="00105A87" w:rsidRPr="00B666A2" w:rsidRDefault="00105A87" w:rsidP="00105A87">
            <w:pPr>
              <w:pStyle w:val="TableBody"/>
              <w:jc w:val="right"/>
              <w:rPr>
                <w:b/>
                <w:sz w:val="16"/>
                <w:szCs w:val="16"/>
              </w:rPr>
            </w:pPr>
            <w:r w:rsidRPr="00B666A2">
              <w:rPr>
                <w:b/>
                <w:sz w:val="16"/>
                <w:szCs w:val="16"/>
              </w:rPr>
              <w:t>3.5</w:t>
            </w:r>
          </w:p>
        </w:tc>
        <w:tc>
          <w:tcPr>
            <w:tcW w:w="909" w:type="pct"/>
            <w:shd w:val="clear" w:color="auto" w:fill="D9E2F3" w:themeFill="accent1" w:themeFillTint="33"/>
            <w:noWrap/>
            <w:hideMark/>
          </w:tcPr>
          <w:p w14:paraId="4C6057B0" w14:textId="77777777" w:rsidR="00105A87" w:rsidRPr="00B666A2" w:rsidRDefault="00105A87" w:rsidP="00105A87">
            <w:pPr>
              <w:pStyle w:val="TableBody"/>
              <w:jc w:val="right"/>
              <w:rPr>
                <w:b/>
                <w:sz w:val="16"/>
                <w:szCs w:val="16"/>
              </w:rPr>
            </w:pPr>
            <w:r w:rsidRPr="00B666A2">
              <w:rPr>
                <w:b/>
                <w:sz w:val="16"/>
                <w:szCs w:val="16"/>
              </w:rPr>
              <w:t>3.6</w:t>
            </w:r>
          </w:p>
        </w:tc>
        <w:tc>
          <w:tcPr>
            <w:tcW w:w="909" w:type="pct"/>
            <w:shd w:val="clear" w:color="auto" w:fill="B4C6E7" w:themeFill="accent1" w:themeFillTint="66"/>
            <w:noWrap/>
            <w:hideMark/>
          </w:tcPr>
          <w:p w14:paraId="2710E3D7" w14:textId="77777777" w:rsidR="00105A87" w:rsidRPr="00B666A2" w:rsidRDefault="00105A87" w:rsidP="00105A87">
            <w:pPr>
              <w:pStyle w:val="TableBody"/>
              <w:jc w:val="right"/>
              <w:rPr>
                <w:b/>
                <w:sz w:val="16"/>
                <w:szCs w:val="16"/>
              </w:rPr>
            </w:pPr>
            <w:r w:rsidRPr="00B666A2">
              <w:rPr>
                <w:b/>
                <w:sz w:val="16"/>
                <w:szCs w:val="16"/>
              </w:rPr>
              <w:t>0.3</w:t>
            </w:r>
          </w:p>
        </w:tc>
        <w:tc>
          <w:tcPr>
            <w:tcW w:w="909" w:type="pct"/>
            <w:shd w:val="clear" w:color="auto" w:fill="B4C6E7" w:themeFill="accent1" w:themeFillTint="66"/>
            <w:noWrap/>
            <w:hideMark/>
          </w:tcPr>
          <w:p w14:paraId="4E016DF8" w14:textId="77777777" w:rsidR="00105A87" w:rsidRPr="00B666A2" w:rsidRDefault="00105A87" w:rsidP="00105A87">
            <w:pPr>
              <w:pStyle w:val="TableBody"/>
              <w:jc w:val="right"/>
              <w:rPr>
                <w:b/>
                <w:sz w:val="16"/>
                <w:szCs w:val="16"/>
              </w:rPr>
            </w:pPr>
            <w:r w:rsidRPr="00B666A2">
              <w:rPr>
                <w:b/>
                <w:sz w:val="16"/>
                <w:szCs w:val="16"/>
              </w:rPr>
              <w:t>0.5</w:t>
            </w:r>
          </w:p>
        </w:tc>
      </w:tr>
      <w:tr w:rsidR="00105A87" w:rsidRPr="001943F6" w14:paraId="700FCD58" w14:textId="77777777" w:rsidTr="00293705">
        <w:trPr>
          <w:trHeight w:val="88"/>
        </w:trPr>
        <w:tc>
          <w:tcPr>
            <w:tcW w:w="1363" w:type="pct"/>
            <w:shd w:val="clear" w:color="auto" w:fill="D9E2F3" w:themeFill="accent1" w:themeFillTint="33"/>
            <w:hideMark/>
          </w:tcPr>
          <w:p w14:paraId="23572F55" w14:textId="77777777" w:rsidR="00105A87" w:rsidRPr="00545AF1" w:rsidRDefault="00105A87" w:rsidP="007578B3">
            <w:pPr>
              <w:pStyle w:val="Table-ListBullet"/>
              <w:rPr>
                <w:sz w:val="16"/>
                <w:szCs w:val="16"/>
              </w:rPr>
            </w:pPr>
            <w:r w:rsidRPr="00545AF1">
              <w:rPr>
                <w:sz w:val="16"/>
                <w:szCs w:val="16"/>
              </w:rPr>
              <w:t>Meat and seafoods</w:t>
            </w:r>
          </w:p>
        </w:tc>
        <w:tc>
          <w:tcPr>
            <w:tcW w:w="910" w:type="pct"/>
            <w:shd w:val="clear" w:color="auto" w:fill="D9E2F3" w:themeFill="accent1" w:themeFillTint="33"/>
            <w:noWrap/>
            <w:hideMark/>
          </w:tcPr>
          <w:p w14:paraId="62BF9D6E" w14:textId="77777777" w:rsidR="00105A87" w:rsidRPr="00B666A2" w:rsidRDefault="00105A87" w:rsidP="00105A87">
            <w:pPr>
              <w:pStyle w:val="TableBody"/>
              <w:jc w:val="right"/>
              <w:rPr>
                <w:b/>
                <w:sz w:val="16"/>
                <w:szCs w:val="16"/>
              </w:rPr>
            </w:pPr>
            <w:r w:rsidRPr="00B666A2">
              <w:rPr>
                <w:b/>
                <w:sz w:val="16"/>
                <w:szCs w:val="16"/>
              </w:rPr>
              <w:t>5.2</w:t>
            </w:r>
          </w:p>
        </w:tc>
        <w:tc>
          <w:tcPr>
            <w:tcW w:w="909" w:type="pct"/>
            <w:shd w:val="clear" w:color="auto" w:fill="D9E2F3" w:themeFill="accent1" w:themeFillTint="33"/>
            <w:noWrap/>
            <w:hideMark/>
          </w:tcPr>
          <w:p w14:paraId="6C075EB9" w14:textId="77777777" w:rsidR="00105A87" w:rsidRPr="00B666A2" w:rsidRDefault="00105A87" w:rsidP="00105A87">
            <w:pPr>
              <w:pStyle w:val="TableBody"/>
              <w:jc w:val="right"/>
              <w:rPr>
                <w:b/>
                <w:sz w:val="16"/>
                <w:szCs w:val="16"/>
              </w:rPr>
            </w:pPr>
            <w:r w:rsidRPr="00B666A2">
              <w:rPr>
                <w:b/>
                <w:sz w:val="16"/>
                <w:szCs w:val="16"/>
              </w:rPr>
              <w:t>5.5</w:t>
            </w:r>
          </w:p>
        </w:tc>
        <w:tc>
          <w:tcPr>
            <w:tcW w:w="909" w:type="pct"/>
            <w:shd w:val="clear" w:color="auto" w:fill="B4C6E7" w:themeFill="accent1" w:themeFillTint="66"/>
            <w:noWrap/>
            <w:hideMark/>
          </w:tcPr>
          <w:p w14:paraId="71C9D045" w14:textId="77777777" w:rsidR="00105A87" w:rsidRPr="00B666A2" w:rsidRDefault="00105A87" w:rsidP="00105A87">
            <w:pPr>
              <w:pStyle w:val="TableBody"/>
              <w:jc w:val="right"/>
              <w:rPr>
                <w:b/>
                <w:sz w:val="16"/>
                <w:szCs w:val="16"/>
              </w:rPr>
            </w:pPr>
            <w:r w:rsidRPr="00B666A2">
              <w:rPr>
                <w:b/>
                <w:sz w:val="16"/>
                <w:szCs w:val="16"/>
              </w:rPr>
              <w:t>11.3</w:t>
            </w:r>
          </w:p>
        </w:tc>
        <w:tc>
          <w:tcPr>
            <w:tcW w:w="909" w:type="pct"/>
            <w:shd w:val="clear" w:color="auto" w:fill="B4C6E7" w:themeFill="accent1" w:themeFillTint="66"/>
            <w:noWrap/>
            <w:hideMark/>
          </w:tcPr>
          <w:p w14:paraId="6647EB03" w14:textId="77777777" w:rsidR="00105A87" w:rsidRPr="00B666A2" w:rsidRDefault="00105A87" w:rsidP="00105A87">
            <w:pPr>
              <w:pStyle w:val="TableBody"/>
              <w:jc w:val="right"/>
              <w:rPr>
                <w:b/>
                <w:sz w:val="16"/>
                <w:szCs w:val="16"/>
              </w:rPr>
            </w:pPr>
            <w:r w:rsidRPr="00B666A2">
              <w:rPr>
                <w:b/>
                <w:sz w:val="16"/>
                <w:szCs w:val="16"/>
              </w:rPr>
              <w:t>14.6</w:t>
            </w:r>
          </w:p>
        </w:tc>
      </w:tr>
      <w:tr w:rsidR="00105A87" w:rsidRPr="001943F6" w14:paraId="422F9E0A" w14:textId="77777777" w:rsidTr="00293705">
        <w:trPr>
          <w:trHeight w:val="13"/>
        </w:trPr>
        <w:tc>
          <w:tcPr>
            <w:tcW w:w="1363" w:type="pct"/>
            <w:shd w:val="clear" w:color="auto" w:fill="D9E2F3" w:themeFill="accent1" w:themeFillTint="33"/>
            <w:hideMark/>
          </w:tcPr>
          <w:p w14:paraId="6F4FBBF9" w14:textId="77777777" w:rsidR="00105A87" w:rsidRPr="00545AF1" w:rsidRDefault="00105A87" w:rsidP="007578B3">
            <w:pPr>
              <w:pStyle w:val="Table-ListBullet"/>
              <w:rPr>
                <w:sz w:val="16"/>
                <w:szCs w:val="16"/>
              </w:rPr>
            </w:pPr>
            <w:r w:rsidRPr="00545AF1">
              <w:rPr>
                <w:sz w:val="16"/>
                <w:szCs w:val="16"/>
              </w:rPr>
              <w:t>Dairy &amp; related products</w:t>
            </w:r>
          </w:p>
        </w:tc>
        <w:tc>
          <w:tcPr>
            <w:tcW w:w="910" w:type="pct"/>
            <w:shd w:val="clear" w:color="auto" w:fill="D9E2F3" w:themeFill="accent1" w:themeFillTint="33"/>
            <w:noWrap/>
            <w:hideMark/>
          </w:tcPr>
          <w:p w14:paraId="60EB41AE" w14:textId="77777777" w:rsidR="00105A87" w:rsidRPr="00B666A2" w:rsidRDefault="00105A87" w:rsidP="00105A87">
            <w:pPr>
              <w:pStyle w:val="TableBody"/>
              <w:jc w:val="right"/>
              <w:rPr>
                <w:b/>
                <w:sz w:val="16"/>
                <w:szCs w:val="16"/>
              </w:rPr>
            </w:pPr>
            <w:r w:rsidRPr="00B666A2">
              <w:rPr>
                <w:b/>
                <w:sz w:val="16"/>
                <w:szCs w:val="16"/>
              </w:rPr>
              <w:t>4.4</w:t>
            </w:r>
          </w:p>
        </w:tc>
        <w:tc>
          <w:tcPr>
            <w:tcW w:w="909" w:type="pct"/>
            <w:shd w:val="clear" w:color="auto" w:fill="D9E2F3" w:themeFill="accent1" w:themeFillTint="33"/>
            <w:noWrap/>
            <w:hideMark/>
          </w:tcPr>
          <w:p w14:paraId="3C43A4BA" w14:textId="77777777" w:rsidR="00105A87" w:rsidRPr="00B666A2" w:rsidRDefault="00105A87" w:rsidP="00105A87">
            <w:pPr>
              <w:pStyle w:val="TableBody"/>
              <w:jc w:val="right"/>
              <w:rPr>
                <w:b/>
                <w:sz w:val="16"/>
                <w:szCs w:val="16"/>
              </w:rPr>
            </w:pPr>
            <w:r w:rsidRPr="00B666A2">
              <w:rPr>
                <w:b/>
                <w:sz w:val="16"/>
                <w:szCs w:val="16"/>
              </w:rPr>
              <w:t>4.9</w:t>
            </w:r>
          </w:p>
        </w:tc>
        <w:tc>
          <w:tcPr>
            <w:tcW w:w="909" w:type="pct"/>
            <w:shd w:val="clear" w:color="auto" w:fill="B4C6E7" w:themeFill="accent1" w:themeFillTint="66"/>
            <w:noWrap/>
            <w:hideMark/>
          </w:tcPr>
          <w:p w14:paraId="0A13385C" w14:textId="77777777" w:rsidR="00105A87" w:rsidRPr="00B666A2" w:rsidRDefault="00105A87" w:rsidP="00105A87">
            <w:pPr>
              <w:pStyle w:val="TableBody"/>
              <w:jc w:val="right"/>
              <w:rPr>
                <w:b/>
                <w:sz w:val="16"/>
                <w:szCs w:val="16"/>
              </w:rPr>
            </w:pPr>
            <w:r w:rsidRPr="00B666A2">
              <w:rPr>
                <w:b/>
                <w:sz w:val="16"/>
                <w:szCs w:val="16"/>
              </w:rPr>
              <w:t>0.4</w:t>
            </w:r>
          </w:p>
        </w:tc>
        <w:tc>
          <w:tcPr>
            <w:tcW w:w="909" w:type="pct"/>
            <w:shd w:val="clear" w:color="auto" w:fill="B4C6E7" w:themeFill="accent1" w:themeFillTint="66"/>
            <w:noWrap/>
            <w:hideMark/>
          </w:tcPr>
          <w:p w14:paraId="1E65CB29" w14:textId="77777777" w:rsidR="00105A87" w:rsidRPr="00B666A2" w:rsidRDefault="00105A87" w:rsidP="00105A87">
            <w:pPr>
              <w:pStyle w:val="TableBody"/>
              <w:jc w:val="right"/>
              <w:rPr>
                <w:b/>
                <w:sz w:val="16"/>
                <w:szCs w:val="16"/>
              </w:rPr>
            </w:pPr>
            <w:r w:rsidRPr="00B666A2">
              <w:rPr>
                <w:b/>
                <w:sz w:val="16"/>
                <w:szCs w:val="16"/>
              </w:rPr>
              <w:t>2.9</w:t>
            </w:r>
          </w:p>
        </w:tc>
      </w:tr>
      <w:tr w:rsidR="00105A87" w:rsidRPr="001943F6" w14:paraId="7681075A" w14:textId="77777777" w:rsidTr="00293705">
        <w:trPr>
          <w:trHeight w:val="13"/>
        </w:trPr>
        <w:tc>
          <w:tcPr>
            <w:tcW w:w="1363" w:type="pct"/>
            <w:shd w:val="clear" w:color="auto" w:fill="D9E2F3" w:themeFill="accent1" w:themeFillTint="33"/>
            <w:hideMark/>
          </w:tcPr>
          <w:p w14:paraId="114F59BC" w14:textId="77777777" w:rsidR="00105A87" w:rsidRPr="00545AF1" w:rsidRDefault="00105A87" w:rsidP="007578B3">
            <w:pPr>
              <w:pStyle w:val="Table-ListBullet"/>
              <w:rPr>
                <w:sz w:val="16"/>
                <w:szCs w:val="16"/>
              </w:rPr>
            </w:pPr>
            <w:r w:rsidRPr="00545AF1">
              <w:rPr>
                <w:sz w:val="16"/>
                <w:szCs w:val="16"/>
              </w:rPr>
              <w:t>Fruit and vegetables</w:t>
            </w:r>
          </w:p>
        </w:tc>
        <w:tc>
          <w:tcPr>
            <w:tcW w:w="910" w:type="pct"/>
            <w:shd w:val="clear" w:color="auto" w:fill="D9E2F3" w:themeFill="accent1" w:themeFillTint="33"/>
            <w:noWrap/>
            <w:hideMark/>
          </w:tcPr>
          <w:p w14:paraId="2C324A81" w14:textId="77777777" w:rsidR="00105A87" w:rsidRPr="00B666A2" w:rsidRDefault="00105A87" w:rsidP="00105A87">
            <w:pPr>
              <w:pStyle w:val="TableBody"/>
              <w:jc w:val="right"/>
              <w:rPr>
                <w:b/>
                <w:sz w:val="16"/>
                <w:szCs w:val="16"/>
              </w:rPr>
            </w:pPr>
            <w:r w:rsidRPr="00B666A2">
              <w:rPr>
                <w:b/>
                <w:sz w:val="16"/>
                <w:szCs w:val="16"/>
              </w:rPr>
              <w:t>2.9</w:t>
            </w:r>
          </w:p>
        </w:tc>
        <w:tc>
          <w:tcPr>
            <w:tcW w:w="909" w:type="pct"/>
            <w:shd w:val="clear" w:color="auto" w:fill="D9E2F3" w:themeFill="accent1" w:themeFillTint="33"/>
            <w:noWrap/>
            <w:hideMark/>
          </w:tcPr>
          <w:p w14:paraId="2060FC19" w14:textId="77777777" w:rsidR="00105A87" w:rsidRPr="00B666A2" w:rsidRDefault="00105A87" w:rsidP="00105A87">
            <w:pPr>
              <w:pStyle w:val="TableBody"/>
              <w:jc w:val="right"/>
              <w:rPr>
                <w:b/>
                <w:sz w:val="16"/>
                <w:szCs w:val="16"/>
              </w:rPr>
            </w:pPr>
            <w:r w:rsidRPr="00B666A2">
              <w:rPr>
                <w:b/>
                <w:sz w:val="16"/>
                <w:szCs w:val="16"/>
              </w:rPr>
              <w:t>2.4</w:t>
            </w:r>
          </w:p>
        </w:tc>
        <w:tc>
          <w:tcPr>
            <w:tcW w:w="909" w:type="pct"/>
            <w:shd w:val="clear" w:color="auto" w:fill="B4C6E7" w:themeFill="accent1" w:themeFillTint="66"/>
            <w:noWrap/>
            <w:hideMark/>
          </w:tcPr>
          <w:p w14:paraId="43B41EA1" w14:textId="77777777" w:rsidR="00105A87" w:rsidRPr="00B666A2" w:rsidRDefault="00105A87" w:rsidP="00105A87">
            <w:pPr>
              <w:pStyle w:val="TableBody"/>
              <w:jc w:val="right"/>
              <w:rPr>
                <w:b/>
                <w:sz w:val="16"/>
                <w:szCs w:val="16"/>
              </w:rPr>
            </w:pPr>
            <w:r w:rsidRPr="00B666A2">
              <w:rPr>
                <w:b/>
                <w:sz w:val="16"/>
                <w:szCs w:val="16"/>
              </w:rPr>
              <w:t>3.6</w:t>
            </w:r>
          </w:p>
        </w:tc>
        <w:tc>
          <w:tcPr>
            <w:tcW w:w="909" w:type="pct"/>
            <w:shd w:val="clear" w:color="auto" w:fill="B4C6E7" w:themeFill="accent1" w:themeFillTint="66"/>
            <w:noWrap/>
            <w:hideMark/>
          </w:tcPr>
          <w:p w14:paraId="7007CE44" w14:textId="77777777" w:rsidR="00105A87" w:rsidRPr="00B666A2" w:rsidRDefault="00105A87" w:rsidP="00105A87">
            <w:pPr>
              <w:pStyle w:val="TableBody"/>
              <w:jc w:val="right"/>
              <w:rPr>
                <w:b/>
                <w:sz w:val="16"/>
                <w:szCs w:val="16"/>
              </w:rPr>
            </w:pPr>
            <w:r w:rsidRPr="00B666A2">
              <w:rPr>
                <w:b/>
                <w:sz w:val="16"/>
                <w:szCs w:val="16"/>
              </w:rPr>
              <w:t>5.5</w:t>
            </w:r>
          </w:p>
        </w:tc>
      </w:tr>
      <w:tr w:rsidR="00105A87" w:rsidRPr="001943F6" w14:paraId="058626C8" w14:textId="77777777" w:rsidTr="00293705">
        <w:trPr>
          <w:trHeight w:val="13"/>
        </w:trPr>
        <w:tc>
          <w:tcPr>
            <w:tcW w:w="1363" w:type="pct"/>
            <w:shd w:val="clear" w:color="auto" w:fill="D9E2F3" w:themeFill="accent1" w:themeFillTint="33"/>
            <w:hideMark/>
          </w:tcPr>
          <w:p w14:paraId="67FD9C51" w14:textId="77777777" w:rsidR="00105A87" w:rsidRPr="00545AF1" w:rsidRDefault="00105A87" w:rsidP="007578B3">
            <w:pPr>
              <w:pStyle w:val="Table-ListBullet"/>
              <w:rPr>
                <w:sz w:val="16"/>
                <w:szCs w:val="16"/>
              </w:rPr>
            </w:pPr>
            <w:r w:rsidRPr="00545AF1">
              <w:rPr>
                <w:sz w:val="16"/>
                <w:szCs w:val="16"/>
              </w:rPr>
              <w:t>Food products n.e.c.</w:t>
            </w:r>
          </w:p>
        </w:tc>
        <w:tc>
          <w:tcPr>
            <w:tcW w:w="910" w:type="pct"/>
            <w:shd w:val="clear" w:color="auto" w:fill="D9E2F3" w:themeFill="accent1" w:themeFillTint="33"/>
            <w:noWrap/>
            <w:hideMark/>
          </w:tcPr>
          <w:p w14:paraId="0762C91D" w14:textId="77777777" w:rsidR="00105A87" w:rsidRPr="00B666A2" w:rsidRDefault="00105A87" w:rsidP="00105A87">
            <w:pPr>
              <w:pStyle w:val="TableBody"/>
              <w:jc w:val="right"/>
              <w:rPr>
                <w:b/>
                <w:sz w:val="16"/>
                <w:szCs w:val="16"/>
              </w:rPr>
            </w:pPr>
            <w:r w:rsidRPr="00B666A2">
              <w:rPr>
                <w:b/>
                <w:sz w:val="16"/>
                <w:szCs w:val="16"/>
              </w:rPr>
              <w:t>0.8</w:t>
            </w:r>
          </w:p>
        </w:tc>
        <w:tc>
          <w:tcPr>
            <w:tcW w:w="909" w:type="pct"/>
            <w:shd w:val="clear" w:color="auto" w:fill="D9E2F3" w:themeFill="accent1" w:themeFillTint="33"/>
            <w:noWrap/>
            <w:hideMark/>
          </w:tcPr>
          <w:p w14:paraId="73CA1069" w14:textId="77777777" w:rsidR="00105A87" w:rsidRPr="00B666A2" w:rsidRDefault="00105A87" w:rsidP="00105A87">
            <w:pPr>
              <w:pStyle w:val="TableBody"/>
              <w:jc w:val="right"/>
              <w:rPr>
                <w:b/>
                <w:sz w:val="16"/>
                <w:szCs w:val="16"/>
              </w:rPr>
            </w:pPr>
            <w:r w:rsidRPr="00B666A2">
              <w:rPr>
                <w:b/>
                <w:sz w:val="16"/>
                <w:szCs w:val="16"/>
              </w:rPr>
              <w:t>1.0</w:t>
            </w:r>
          </w:p>
        </w:tc>
        <w:tc>
          <w:tcPr>
            <w:tcW w:w="909" w:type="pct"/>
            <w:shd w:val="clear" w:color="auto" w:fill="B4C6E7" w:themeFill="accent1" w:themeFillTint="66"/>
            <w:noWrap/>
            <w:hideMark/>
          </w:tcPr>
          <w:p w14:paraId="29E472CC" w14:textId="77777777" w:rsidR="00105A87" w:rsidRPr="00B666A2" w:rsidRDefault="00105A87" w:rsidP="00105A87">
            <w:pPr>
              <w:pStyle w:val="TableBody"/>
              <w:jc w:val="right"/>
              <w:rPr>
                <w:b/>
                <w:sz w:val="16"/>
                <w:szCs w:val="16"/>
              </w:rPr>
            </w:pPr>
            <w:r w:rsidRPr="00B666A2">
              <w:rPr>
                <w:b/>
                <w:sz w:val="16"/>
                <w:szCs w:val="16"/>
              </w:rPr>
              <w:t>-1.6</w:t>
            </w:r>
          </w:p>
        </w:tc>
        <w:tc>
          <w:tcPr>
            <w:tcW w:w="909" w:type="pct"/>
            <w:shd w:val="clear" w:color="auto" w:fill="B4C6E7" w:themeFill="accent1" w:themeFillTint="66"/>
            <w:noWrap/>
            <w:hideMark/>
          </w:tcPr>
          <w:p w14:paraId="3C14D041" w14:textId="77777777" w:rsidR="00105A87" w:rsidRPr="00B666A2" w:rsidRDefault="00105A87" w:rsidP="00105A87">
            <w:pPr>
              <w:pStyle w:val="TableBody"/>
              <w:jc w:val="right"/>
              <w:rPr>
                <w:b/>
                <w:sz w:val="16"/>
                <w:szCs w:val="16"/>
              </w:rPr>
            </w:pPr>
            <w:r w:rsidRPr="00B666A2">
              <w:rPr>
                <w:b/>
                <w:sz w:val="16"/>
                <w:szCs w:val="16"/>
              </w:rPr>
              <w:t>-0.9</w:t>
            </w:r>
          </w:p>
        </w:tc>
      </w:tr>
      <w:tr w:rsidR="00105A87" w:rsidRPr="001943F6" w14:paraId="5E91219D" w14:textId="77777777" w:rsidTr="00293705">
        <w:trPr>
          <w:trHeight w:val="13"/>
        </w:trPr>
        <w:tc>
          <w:tcPr>
            <w:tcW w:w="1363" w:type="pct"/>
            <w:shd w:val="clear" w:color="auto" w:fill="D9E2F3" w:themeFill="accent1" w:themeFillTint="33"/>
            <w:hideMark/>
          </w:tcPr>
          <w:p w14:paraId="0A5C71F1" w14:textId="77777777" w:rsidR="00105A87" w:rsidRPr="00545AF1" w:rsidRDefault="00105A87" w:rsidP="007578B3">
            <w:pPr>
              <w:pStyle w:val="Table-ListBullet"/>
              <w:rPr>
                <w:sz w:val="16"/>
                <w:szCs w:val="16"/>
              </w:rPr>
            </w:pPr>
            <w:r w:rsidRPr="00545AF1">
              <w:rPr>
                <w:sz w:val="16"/>
                <w:szCs w:val="16"/>
              </w:rPr>
              <w:t>Non-alcoholic beverages</w:t>
            </w:r>
          </w:p>
        </w:tc>
        <w:tc>
          <w:tcPr>
            <w:tcW w:w="910" w:type="pct"/>
            <w:shd w:val="clear" w:color="auto" w:fill="D9E2F3" w:themeFill="accent1" w:themeFillTint="33"/>
            <w:noWrap/>
            <w:hideMark/>
          </w:tcPr>
          <w:p w14:paraId="178BCF0B" w14:textId="77777777" w:rsidR="00105A87" w:rsidRPr="00B666A2" w:rsidRDefault="00105A87" w:rsidP="00105A87">
            <w:pPr>
              <w:pStyle w:val="TableBody"/>
              <w:jc w:val="right"/>
              <w:rPr>
                <w:b/>
                <w:sz w:val="16"/>
                <w:szCs w:val="16"/>
              </w:rPr>
            </w:pPr>
            <w:r w:rsidRPr="00B666A2">
              <w:rPr>
                <w:b/>
                <w:sz w:val="16"/>
                <w:szCs w:val="16"/>
              </w:rPr>
              <w:t>-0.6</w:t>
            </w:r>
          </w:p>
        </w:tc>
        <w:tc>
          <w:tcPr>
            <w:tcW w:w="909" w:type="pct"/>
            <w:shd w:val="clear" w:color="auto" w:fill="D9E2F3" w:themeFill="accent1" w:themeFillTint="33"/>
            <w:noWrap/>
            <w:hideMark/>
          </w:tcPr>
          <w:p w14:paraId="69929E14" w14:textId="77777777" w:rsidR="00105A87" w:rsidRPr="00B666A2" w:rsidRDefault="00105A87" w:rsidP="00105A87">
            <w:pPr>
              <w:pStyle w:val="TableBody"/>
              <w:jc w:val="right"/>
              <w:rPr>
                <w:b/>
                <w:sz w:val="16"/>
                <w:szCs w:val="16"/>
              </w:rPr>
            </w:pPr>
            <w:r w:rsidRPr="00B666A2">
              <w:rPr>
                <w:b/>
                <w:sz w:val="16"/>
                <w:szCs w:val="16"/>
              </w:rPr>
              <w:t>-0.3</w:t>
            </w:r>
          </w:p>
        </w:tc>
        <w:tc>
          <w:tcPr>
            <w:tcW w:w="909" w:type="pct"/>
            <w:shd w:val="clear" w:color="auto" w:fill="B4C6E7" w:themeFill="accent1" w:themeFillTint="66"/>
            <w:noWrap/>
            <w:hideMark/>
          </w:tcPr>
          <w:p w14:paraId="38C7513D" w14:textId="77777777" w:rsidR="00105A87" w:rsidRPr="00B666A2" w:rsidRDefault="00105A87" w:rsidP="00105A87">
            <w:pPr>
              <w:pStyle w:val="TableBody"/>
              <w:jc w:val="right"/>
              <w:rPr>
                <w:b/>
                <w:sz w:val="16"/>
                <w:szCs w:val="16"/>
              </w:rPr>
            </w:pPr>
            <w:r w:rsidRPr="00B666A2">
              <w:rPr>
                <w:b/>
                <w:sz w:val="16"/>
                <w:szCs w:val="16"/>
              </w:rPr>
              <w:t>1.2</w:t>
            </w:r>
          </w:p>
        </w:tc>
        <w:tc>
          <w:tcPr>
            <w:tcW w:w="909" w:type="pct"/>
            <w:shd w:val="clear" w:color="auto" w:fill="B4C6E7" w:themeFill="accent1" w:themeFillTint="66"/>
            <w:noWrap/>
            <w:hideMark/>
          </w:tcPr>
          <w:p w14:paraId="5184612F" w14:textId="77777777" w:rsidR="00105A87" w:rsidRPr="00B666A2" w:rsidRDefault="00105A87" w:rsidP="00105A87">
            <w:pPr>
              <w:pStyle w:val="TableBody"/>
              <w:jc w:val="right"/>
              <w:rPr>
                <w:b/>
                <w:sz w:val="16"/>
                <w:szCs w:val="16"/>
              </w:rPr>
            </w:pPr>
            <w:r w:rsidRPr="00B666A2">
              <w:rPr>
                <w:b/>
                <w:sz w:val="16"/>
                <w:szCs w:val="16"/>
              </w:rPr>
              <w:t>-1.3</w:t>
            </w:r>
          </w:p>
        </w:tc>
      </w:tr>
      <w:tr w:rsidR="00105A87" w:rsidRPr="001943F6" w14:paraId="20AC66EF" w14:textId="77777777" w:rsidTr="00293705">
        <w:trPr>
          <w:trHeight w:val="13"/>
        </w:trPr>
        <w:tc>
          <w:tcPr>
            <w:tcW w:w="1363" w:type="pct"/>
            <w:shd w:val="clear" w:color="auto" w:fill="D9E2F3" w:themeFill="accent1" w:themeFillTint="33"/>
            <w:hideMark/>
          </w:tcPr>
          <w:p w14:paraId="624E4809" w14:textId="77777777" w:rsidR="00105A87" w:rsidRPr="00545AF1" w:rsidRDefault="00105A87" w:rsidP="007578B3">
            <w:pPr>
              <w:pStyle w:val="Table-ListBullet"/>
              <w:rPr>
                <w:sz w:val="16"/>
                <w:szCs w:val="16"/>
              </w:rPr>
            </w:pPr>
            <w:r w:rsidRPr="00545AF1">
              <w:rPr>
                <w:sz w:val="16"/>
                <w:szCs w:val="16"/>
              </w:rPr>
              <w:t>Meals out and takeaway foods</w:t>
            </w:r>
          </w:p>
        </w:tc>
        <w:tc>
          <w:tcPr>
            <w:tcW w:w="910" w:type="pct"/>
            <w:shd w:val="clear" w:color="auto" w:fill="D9E2F3" w:themeFill="accent1" w:themeFillTint="33"/>
            <w:noWrap/>
            <w:hideMark/>
          </w:tcPr>
          <w:p w14:paraId="702E745C" w14:textId="77777777" w:rsidR="00105A87" w:rsidRPr="00B666A2" w:rsidRDefault="00105A87" w:rsidP="00105A87">
            <w:pPr>
              <w:pStyle w:val="TableBody"/>
              <w:jc w:val="right"/>
              <w:rPr>
                <w:b/>
                <w:sz w:val="16"/>
                <w:szCs w:val="16"/>
              </w:rPr>
            </w:pPr>
            <w:r w:rsidRPr="00B666A2">
              <w:rPr>
                <w:b/>
                <w:sz w:val="16"/>
                <w:szCs w:val="16"/>
              </w:rPr>
              <w:t>2.3</w:t>
            </w:r>
          </w:p>
        </w:tc>
        <w:tc>
          <w:tcPr>
            <w:tcW w:w="909" w:type="pct"/>
            <w:shd w:val="clear" w:color="auto" w:fill="D9E2F3" w:themeFill="accent1" w:themeFillTint="33"/>
            <w:noWrap/>
            <w:hideMark/>
          </w:tcPr>
          <w:p w14:paraId="4132D2BA" w14:textId="77777777" w:rsidR="00105A87" w:rsidRPr="00B666A2" w:rsidRDefault="00105A87" w:rsidP="00105A87">
            <w:pPr>
              <w:pStyle w:val="TableBody"/>
              <w:jc w:val="right"/>
              <w:rPr>
                <w:b/>
                <w:sz w:val="16"/>
                <w:szCs w:val="16"/>
              </w:rPr>
            </w:pPr>
            <w:r w:rsidRPr="00B666A2">
              <w:rPr>
                <w:b/>
                <w:sz w:val="16"/>
                <w:szCs w:val="16"/>
              </w:rPr>
              <w:t>2.1</w:t>
            </w:r>
          </w:p>
        </w:tc>
        <w:tc>
          <w:tcPr>
            <w:tcW w:w="909" w:type="pct"/>
            <w:shd w:val="clear" w:color="auto" w:fill="B4C6E7" w:themeFill="accent1" w:themeFillTint="66"/>
            <w:noWrap/>
            <w:hideMark/>
          </w:tcPr>
          <w:p w14:paraId="55CAF339" w14:textId="77777777" w:rsidR="00105A87" w:rsidRPr="00B666A2" w:rsidRDefault="00105A87" w:rsidP="00105A87">
            <w:pPr>
              <w:pStyle w:val="TableBody"/>
              <w:jc w:val="right"/>
              <w:rPr>
                <w:b/>
                <w:sz w:val="16"/>
                <w:szCs w:val="16"/>
              </w:rPr>
            </w:pPr>
            <w:r w:rsidRPr="00B666A2">
              <w:rPr>
                <w:b/>
                <w:sz w:val="16"/>
                <w:szCs w:val="16"/>
              </w:rPr>
              <w:t>12.4</w:t>
            </w:r>
          </w:p>
        </w:tc>
        <w:tc>
          <w:tcPr>
            <w:tcW w:w="909" w:type="pct"/>
            <w:shd w:val="clear" w:color="auto" w:fill="B4C6E7" w:themeFill="accent1" w:themeFillTint="66"/>
            <w:noWrap/>
            <w:hideMark/>
          </w:tcPr>
          <w:p w14:paraId="65E1C0C0" w14:textId="77777777" w:rsidR="00105A87" w:rsidRPr="00B666A2" w:rsidRDefault="00105A87" w:rsidP="00105A87">
            <w:pPr>
              <w:pStyle w:val="TableBody"/>
              <w:jc w:val="right"/>
              <w:rPr>
                <w:b/>
                <w:sz w:val="16"/>
                <w:szCs w:val="16"/>
              </w:rPr>
            </w:pPr>
            <w:r w:rsidRPr="00B666A2">
              <w:rPr>
                <w:b/>
                <w:sz w:val="16"/>
                <w:szCs w:val="16"/>
              </w:rPr>
              <w:t>10.4</w:t>
            </w:r>
          </w:p>
        </w:tc>
      </w:tr>
      <w:tr w:rsidR="00105A87" w:rsidRPr="001943F6" w14:paraId="7013D041" w14:textId="77777777" w:rsidTr="00293705">
        <w:trPr>
          <w:trHeight w:val="13"/>
        </w:trPr>
        <w:tc>
          <w:tcPr>
            <w:tcW w:w="1363" w:type="pct"/>
            <w:hideMark/>
          </w:tcPr>
          <w:p w14:paraId="3B5B9EB8" w14:textId="3818EEBC" w:rsidR="00105A87" w:rsidRPr="00B666A2" w:rsidRDefault="00105A87" w:rsidP="00105A87">
            <w:pPr>
              <w:pStyle w:val="TableBody"/>
              <w:rPr>
                <w:b/>
                <w:sz w:val="16"/>
                <w:szCs w:val="16"/>
              </w:rPr>
            </w:pPr>
            <w:r w:rsidRPr="00B666A2">
              <w:rPr>
                <w:b/>
                <w:sz w:val="16"/>
                <w:szCs w:val="16"/>
              </w:rPr>
              <w:t xml:space="preserve">Alcohol &amp; Tobacco </w:t>
            </w:r>
          </w:p>
        </w:tc>
        <w:tc>
          <w:tcPr>
            <w:tcW w:w="910" w:type="pct"/>
            <w:noWrap/>
            <w:hideMark/>
          </w:tcPr>
          <w:p w14:paraId="44E4C56C" w14:textId="77777777" w:rsidR="00105A87" w:rsidRPr="00B666A2" w:rsidRDefault="00105A87" w:rsidP="00105A87">
            <w:pPr>
              <w:pStyle w:val="TableBody"/>
              <w:jc w:val="right"/>
              <w:rPr>
                <w:b/>
                <w:sz w:val="16"/>
                <w:szCs w:val="16"/>
              </w:rPr>
            </w:pPr>
            <w:r w:rsidRPr="00B666A2">
              <w:rPr>
                <w:b/>
                <w:sz w:val="16"/>
                <w:szCs w:val="16"/>
              </w:rPr>
              <w:t>5.2</w:t>
            </w:r>
          </w:p>
        </w:tc>
        <w:tc>
          <w:tcPr>
            <w:tcW w:w="909" w:type="pct"/>
            <w:noWrap/>
            <w:hideMark/>
          </w:tcPr>
          <w:p w14:paraId="17768C24" w14:textId="77777777" w:rsidR="00105A87" w:rsidRPr="00B666A2" w:rsidRDefault="00105A87" w:rsidP="00105A87">
            <w:pPr>
              <w:pStyle w:val="TableBody"/>
              <w:jc w:val="right"/>
              <w:rPr>
                <w:b/>
                <w:sz w:val="16"/>
                <w:szCs w:val="16"/>
              </w:rPr>
            </w:pPr>
            <w:r w:rsidRPr="00B666A2">
              <w:rPr>
                <w:b/>
                <w:sz w:val="16"/>
                <w:szCs w:val="16"/>
              </w:rPr>
              <w:t>6.5</w:t>
            </w:r>
          </w:p>
        </w:tc>
        <w:tc>
          <w:tcPr>
            <w:tcW w:w="909" w:type="pct"/>
            <w:noWrap/>
            <w:hideMark/>
          </w:tcPr>
          <w:p w14:paraId="39EAF4A1" w14:textId="77777777" w:rsidR="00105A87" w:rsidRPr="00B666A2" w:rsidRDefault="00105A87" w:rsidP="00105A87">
            <w:pPr>
              <w:pStyle w:val="TableBody"/>
              <w:jc w:val="right"/>
              <w:rPr>
                <w:b/>
                <w:sz w:val="16"/>
                <w:szCs w:val="16"/>
              </w:rPr>
            </w:pPr>
            <w:r w:rsidRPr="00B666A2">
              <w:rPr>
                <w:b/>
                <w:sz w:val="16"/>
                <w:szCs w:val="16"/>
              </w:rPr>
              <w:t>32.4</w:t>
            </w:r>
          </w:p>
        </w:tc>
        <w:tc>
          <w:tcPr>
            <w:tcW w:w="909" w:type="pct"/>
            <w:noWrap/>
            <w:hideMark/>
          </w:tcPr>
          <w:p w14:paraId="05B79D22" w14:textId="77777777" w:rsidR="00105A87" w:rsidRPr="00B666A2" w:rsidRDefault="00105A87" w:rsidP="00105A87">
            <w:pPr>
              <w:pStyle w:val="TableBody"/>
              <w:jc w:val="right"/>
              <w:rPr>
                <w:b/>
                <w:sz w:val="16"/>
                <w:szCs w:val="16"/>
              </w:rPr>
            </w:pPr>
            <w:r w:rsidRPr="00B666A2">
              <w:rPr>
                <w:b/>
                <w:sz w:val="16"/>
                <w:szCs w:val="16"/>
              </w:rPr>
              <w:t>37.7</w:t>
            </w:r>
          </w:p>
        </w:tc>
      </w:tr>
      <w:tr w:rsidR="00105A87" w:rsidRPr="001943F6" w14:paraId="6DE81D77" w14:textId="77777777" w:rsidTr="00293705">
        <w:trPr>
          <w:trHeight w:val="13"/>
        </w:trPr>
        <w:tc>
          <w:tcPr>
            <w:tcW w:w="1363" w:type="pct"/>
            <w:hideMark/>
          </w:tcPr>
          <w:p w14:paraId="20EBF013" w14:textId="77777777" w:rsidR="00105A87" w:rsidRPr="00B666A2" w:rsidRDefault="00105A87" w:rsidP="007578B3">
            <w:pPr>
              <w:pStyle w:val="Table-ListBullet"/>
              <w:rPr>
                <w:b/>
                <w:sz w:val="16"/>
                <w:szCs w:val="16"/>
              </w:rPr>
            </w:pPr>
            <w:r w:rsidRPr="00B666A2">
              <w:rPr>
                <w:b/>
                <w:sz w:val="16"/>
                <w:szCs w:val="16"/>
              </w:rPr>
              <w:lastRenderedPageBreak/>
              <w:t xml:space="preserve">Alcohol </w:t>
            </w:r>
          </w:p>
        </w:tc>
        <w:tc>
          <w:tcPr>
            <w:tcW w:w="910" w:type="pct"/>
            <w:noWrap/>
            <w:hideMark/>
          </w:tcPr>
          <w:p w14:paraId="1665C73F" w14:textId="77777777" w:rsidR="00105A87" w:rsidRPr="00B666A2" w:rsidRDefault="00105A87" w:rsidP="00105A87">
            <w:pPr>
              <w:pStyle w:val="TableBody"/>
              <w:jc w:val="right"/>
              <w:rPr>
                <w:b/>
                <w:sz w:val="16"/>
                <w:szCs w:val="16"/>
              </w:rPr>
            </w:pPr>
            <w:r w:rsidRPr="00B666A2">
              <w:rPr>
                <w:b/>
                <w:sz w:val="16"/>
                <w:szCs w:val="16"/>
              </w:rPr>
              <w:t>1.0</w:t>
            </w:r>
          </w:p>
        </w:tc>
        <w:tc>
          <w:tcPr>
            <w:tcW w:w="909" w:type="pct"/>
            <w:noWrap/>
            <w:hideMark/>
          </w:tcPr>
          <w:p w14:paraId="59997428" w14:textId="77777777" w:rsidR="00105A87" w:rsidRPr="00B666A2" w:rsidRDefault="00105A87" w:rsidP="00105A87">
            <w:pPr>
              <w:pStyle w:val="TableBody"/>
              <w:jc w:val="right"/>
              <w:rPr>
                <w:b/>
                <w:sz w:val="16"/>
                <w:szCs w:val="16"/>
              </w:rPr>
            </w:pPr>
            <w:r w:rsidRPr="00B666A2">
              <w:rPr>
                <w:b/>
                <w:sz w:val="16"/>
                <w:szCs w:val="16"/>
              </w:rPr>
              <w:t>1.4</w:t>
            </w:r>
          </w:p>
        </w:tc>
        <w:tc>
          <w:tcPr>
            <w:tcW w:w="909" w:type="pct"/>
            <w:noWrap/>
            <w:hideMark/>
          </w:tcPr>
          <w:p w14:paraId="6F0A0C2D" w14:textId="77777777" w:rsidR="00105A87" w:rsidRPr="00B666A2" w:rsidRDefault="00105A87" w:rsidP="00105A87">
            <w:pPr>
              <w:pStyle w:val="TableBody"/>
              <w:jc w:val="right"/>
              <w:rPr>
                <w:b/>
                <w:sz w:val="16"/>
                <w:szCs w:val="16"/>
              </w:rPr>
            </w:pPr>
            <w:r w:rsidRPr="00B666A2">
              <w:rPr>
                <w:b/>
                <w:sz w:val="16"/>
                <w:szCs w:val="16"/>
              </w:rPr>
              <w:t>8.2</w:t>
            </w:r>
          </w:p>
        </w:tc>
        <w:tc>
          <w:tcPr>
            <w:tcW w:w="909" w:type="pct"/>
            <w:noWrap/>
            <w:hideMark/>
          </w:tcPr>
          <w:p w14:paraId="6F821EE5" w14:textId="77777777" w:rsidR="00105A87" w:rsidRPr="00B666A2" w:rsidRDefault="00105A87" w:rsidP="00105A87">
            <w:pPr>
              <w:pStyle w:val="TableBody"/>
              <w:jc w:val="right"/>
              <w:rPr>
                <w:b/>
                <w:sz w:val="16"/>
                <w:szCs w:val="16"/>
              </w:rPr>
            </w:pPr>
            <w:r w:rsidRPr="00B666A2">
              <w:rPr>
                <w:b/>
                <w:sz w:val="16"/>
                <w:szCs w:val="16"/>
              </w:rPr>
              <w:t>7.9</w:t>
            </w:r>
          </w:p>
        </w:tc>
      </w:tr>
      <w:tr w:rsidR="00105A87" w:rsidRPr="001943F6" w14:paraId="3D8106BA" w14:textId="77777777" w:rsidTr="00293705">
        <w:trPr>
          <w:trHeight w:val="23"/>
        </w:trPr>
        <w:tc>
          <w:tcPr>
            <w:tcW w:w="1363" w:type="pct"/>
            <w:hideMark/>
          </w:tcPr>
          <w:p w14:paraId="54405DF3" w14:textId="77777777" w:rsidR="00105A87" w:rsidRPr="00B666A2" w:rsidRDefault="00105A87" w:rsidP="007578B3">
            <w:pPr>
              <w:pStyle w:val="Table-ListBullet"/>
              <w:rPr>
                <w:b/>
                <w:sz w:val="16"/>
                <w:szCs w:val="16"/>
              </w:rPr>
            </w:pPr>
            <w:r w:rsidRPr="00B666A2">
              <w:rPr>
                <w:b/>
                <w:sz w:val="16"/>
                <w:szCs w:val="16"/>
              </w:rPr>
              <w:t>Tobacco</w:t>
            </w:r>
          </w:p>
        </w:tc>
        <w:tc>
          <w:tcPr>
            <w:tcW w:w="910" w:type="pct"/>
            <w:noWrap/>
            <w:hideMark/>
          </w:tcPr>
          <w:p w14:paraId="44611C40" w14:textId="77777777" w:rsidR="00105A87" w:rsidRPr="00B666A2" w:rsidRDefault="00105A87" w:rsidP="00105A87">
            <w:pPr>
              <w:pStyle w:val="TableBody"/>
              <w:jc w:val="right"/>
              <w:rPr>
                <w:b/>
                <w:sz w:val="16"/>
                <w:szCs w:val="16"/>
              </w:rPr>
            </w:pPr>
            <w:r w:rsidRPr="00B666A2">
              <w:rPr>
                <w:b/>
                <w:sz w:val="16"/>
                <w:szCs w:val="16"/>
              </w:rPr>
              <w:t>14.0</w:t>
            </w:r>
          </w:p>
        </w:tc>
        <w:tc>
          <w:tcPr>
            <w:tcW w:w="909" w:type="pct"/>
            <w:noWrap/>
            <w:hideMark/>
          </w:tcPr>
          <w:p w14:paraId="5C85AF72" w14:textId="77777777" w:rsidR="00105A87" w:rsidRPr="00B666A2" w:rsidRDefault="00105A87" w:rsidP="00105A87">
            <w:pPr>
              <w:pStyle w:val="TableBody"/>
              <w:jc w:val="right"/>
              <w:rPr>
                <w:b/>
                <w:sz w:val="16"/>
                <w:szCs w:val="16"/>
              </w:rPr>
            </w:pPr>
            <w:r w:rsidRPr="00B666A2">
              <w:rPr>
                <w:b/>
                <w:sz w:val="16"/>
                <w:szCs w:val="16"/>
              </w:rPr>
              <w:t>14.0</w:t>
            </w:r>
          </w:p>
        </w:tc>
        <w:tc>
          <w:tcPr>
            <w:tcW w:w="909" w:type="pct"/>
            <w:noWrap/>
            <w:hideMark/>
          </w:tcPr>
          <w:p w14:paraId="0FA88D59" w14:textId="77777777" w:rsidR="00105A87" w:rsidRPr="00B666A2" w:rsidRDefault="00105A87" w:rsidP="00105A87">
            <w:pPr>
              <w:pStyle w:val="TableBody"/>
              <w:jc w:val="right"/>
              <w:rPr>
                <w:b/>
                <w:sz w:val="16"/>
                <w:szCs w:val="16"/>
              </w:rPr>
            </w:pPr>
            <w:r w:rsidRPr="00B666A2">
              <w:rPr>
                <w:b/>
                <w:sz w:val="16"/>
                <w:szCs w:val="16"/>
              </w:rPr>
              <w:t>94.3</w:t>
            </w:r>
          </w:p>
        </w:tc>
        <w:tc>
          <w:tcPr>
            <w:tcW w:w="909" w:type="pct"/>
            <w:noWrap/>
            <w:hideMark/>
          </w:tcPr>
          <w:p w14:paraId="50433625" w14:textId="77777777" w:rsidR="00105A87" w:rsidRPr="00B666A2" w:rsidRDefault="00105A87" w:rsidP="00105A87">
            <w:pPr>
              <w:pStyle w:val="TableBody"/>
              <w:jc w:val="right"/>
              <w:rPr>
                <w:b/>
                <w:sz w:val="16"/>
                <w:szCs w:val="16"/>
              </w:rPr>
            </w:pPr>
            <w:r w:rsidRPr="00B666A2">
              <w:rPr>
                <w:b/>
                <w:sz w:val="16"/>
                <w:szCs w:val="16"/>
              </w:rPr>
              <w:t>93.6</w:t>
            </w:r>
          </w:p>
        </w:tc>
      </w:tr>
      <w:tr w:rsidR="00105A87" w:rsidRPr="001943F6" w14:paraId="6081A3F1" w14:textId="77777777" w:rsidTr="00293705">
        <w:trPr>
          <w:trHeight w:val="290"/>
        </w:trPr>
        <w:tc>
          <w:tcPr>
            <w:tcW w:w="1363" w:type="pct"/>
            <w:shd w:val="clear" w:color="auto" w:fill="D9E2F3" w:themeFill="accent1" w:themeFillTint="33"/>
            <w:hideMark/>
          </w:tcPr>
          <w:p w14:paraId="0AEB4F61" w14:textId="6DCECE41" w:rsidR="00105A87" w:rsidRPr="00B666A2" w:rsidRDefault="00105A87" w:rsidP="00105A87">
            <w:pPr>
              <w:pStyle w:val="TableBody"/>
              <w:rPr>
                <w:b/>
                <w:sz w:val="16"/>
                <w:szCs w:val="16"/>
              </w:rPr>
            </w:pPr>
            <w:r w:rsidRPr="00B666A2">
              <w:rPr>
                <w:b/>
                <w:sz w:val="16"/>
                <w:szCs w:val="16"/>
              </w:rPr>
              <w:t>Clothing &amp; Footwear</w:t>
            </w:r>
          </w:p>
        </w:tc>
        <w:tc>
          <w:tcPr>
            <w:tcW w:w="910" w:type="pct"/>
            <w:shd w:val="clear" w:color="auto" w:fill="D9E2F3" w:themeFill="accent1" w:themeFillTint="33"/>
            <w:noWrap/>
            <w:hideMark/>
          </w:tcPr>
          <w:p w14:paraId="0050F556" w14:textId="77777777" w:rsidR="00105A87" w:rsidRPr="00B666A2" w:rsidRDefault="00105A87" w:rsidP="00105A87">
            <w:pPr>
              <w:pStyle w:val="TableBody"/>
              <w:jc w:val="right"/>
              <w:rPr>
                <w:b/>
                <w:sz w:val="16"/>
                <w:szCs w:val="16"/>
              </w:rPr>
            </w:pPr>
            <w:r w:rsidRPr="00B666A2">
              <w:rPr>
                <w:b/>
                <w:sz w:val="16"/>
                <w:szCs w:val="16"/>
              </w:rPr>
              <w:t>0.2</w:t>
            </w:r>
          </w:p>
        </w:tc>
        <w:tc>
          <w:tcPr>
            <w:tcW w:w="909" w:type="pct"/>
            <w:shd w:val="clear" w:color="auto" w:fill="D9E2F3" w:themeFill="accent1" w:themeFillTint="33"/>
            <w:noWrap/>
            <w:hideMark/>
          </w:tcPr>
          <w:p w14:paraId="3CE0A774" w14:textId="77777777" w:rsidR="00105A87" w:rsidRPr="00B666A2" w:rsidRDefault="00105A87" w:rsidP="00105A87">
            <w:pPr>
              <w:pStyle w:val="TableBody"/>
              <w:jc w:val="right"/>
              <w:rPr>
                <w:b/>
                <w:sz w:val="16"/>
                <w:szCs w:val="16"/>
              </w:rPr>
            </w:pPr>
            <w:r w:rsidRPr="00B666A2">
              <w:rPr>
                <w:b/>
                <w:sz w:val="16"/>
                <w:szCs w:val="16"/>
              </w:rPr>
              <w:t>1.4</w:t>
            </w:r>
          </w:p>
        </w:tc>
        <w:tc>
          <w:tcPr>
            <w:tcW w:w="909" w:type="pct"/>
            <w:shd w:val="clear" w:color="auto" w:fill="B4C6E7" w:themeFill="accent1" w:themeFillTint="66"/>
            <w:noWrap/>
            <w:hideMark/>
          </w:tcPr>
          <w:p w14:paraId="1184E45D" w14:textId="77777777" w:rsidR="00105A87" w:rsidRPr="00B666A2" w:rsidRDefault="00105A87" w:rsidP="00105A87">
            <w:pPr>
              <w:pStyle w:val="TableBody"/>
              <w:jc w:val="right"/>
              <w:rPr>
                <w:b/>
                <w:sz w:val="16"/>
                <w:szCs w:val="16"/>
              </w:rPr>
            </w:pPr>
            <w:r w:rsidRPr="00B666A2">
              <w:rPr>
                <w:b/>
                <w:sz w:val="16"/>
                <w:szCs w:val="16"/>
              </w:rPr>
              <w:t>-3.9</w:t>
            </w:r>
          </w:p>
        </w:tc>
        <w:tc>
          <w:tcPr>
            <w:tcW w:w="909" w:type="pct"/>
            <w:shd w:val="clear" w:color="auto" w:fill="B4C6E7" w:themeFill="accent1" w:themeFillTint="66"/>
            <w:noWrap/>
            <w:hideMark/>
          </w:tcPr>
          <w:p w14:paraId="32396FC5" w14:textId="77777777" w:rsidR="00105A87" w:rsidRPr="00B666A2" w:rsidRDefault="00105A87" w:rsidP="00105A87">
            <w:pPr>
              <w:pStyle w:val="TableBody"/>
              <w:jc w:val="right"/>
              <w:rPr>
                <w:b/>
                <w:sz w:val="16"/>
                <w:szCs w:val="16"/>
              </w:rPr>
            </w:pPr>
            <w:r w:rsidRPr="00B666A2">
              <w:rPr>
                <w:b/>
                <w:sz w:val="16"/>
                <w:szCs w:val="16"/>
              </w:rPr>
              <w:t>-2.6</w:t>
            </w:r>
          </w:p>
        </w:tc>
      </w:tr>
      <w:tr w:rsidR="00105A87" w:rsidRPr="001943F6" w14:paraId="6C5D5D8F" w14:textId="77777777" w:rsidTr="00293705">
        <w:trPr>
          <w:trHeight w:val="13"/>
        </w:trPr>
        <w:tc>
          <w:tcPr>
            <w:tcW w:w="1363" w:type="pct"/>
            <w:hideMark/>
          </w:tcPr>
          <w:p w14:paraId="5CE293A1" w14:textId="2E4960FE" w:rsidR="00105A87" w:rsidRPr="00B666A2" w:rsidRDefault="00105A87" w:rsidP="00105A87">
            <w:pPr>
              <w:pStyle w:val="TableBody"/>
              <w:rPr>
                <w:b/>
                <w:sz w:val="16"/>
                <w:szCs w:val="16"/>
              </w:rPr>
            </w:pPr>
            <w:r w:rsidRPr="00B666A2">
              <w:rPr>
                <w:b/>
                <w:bCs/>
                <w:sz w:val="16"/>
                <w:szCs w:val="16"/>
              </w:rPr>
              <w:t xml:space="preserve">Housing </w:t>
            </w:r>
          </w:p>
        </w:tc>
        <w:tc>
          <w:tcPr>
            <w:tcW w:w="910" w:type="pct"/>
            <w:noWrap/>
            <w:hideMark/>
          </w:tcPr>
          <w:p w14:paraId="7B46807F" w14:textId="77777777" w:rsidR="00105A87" w:rsidRPr="00B666A2" w:rsidRDefault="00105A87" w:rsidP="00105A87">
            <w:pPr>
              <w:pStyle w:val="TableBody"/>
              <w:jc w:val="right"/>
              <w:rPr>
                <w:b/>
                <w:sz w:val="16"/>
                <w:szCs w:val="16"/>
              </w:rPr>
            </w:pPr>
            <w:r w:rsidRPr="00B666A2">
              <w:rPr>
                <w:b/>
                <w:sz w:val="16"/>
                <w:szCs w:val="16"/>
              </w:rPr>
              <w:t>2.4</w:t>
            </w:r>
          </w:p>
        </w:tc>
        <w:tc>
          <w:tcPr>
            <w:tcW w:w="909" w:type="pct"/>
            <w:noWrap/>
            <w:hideMark/>
          </w:tcPr>
          <w:p w14:paraId="5ABC6F63" w14:textId="77777777" w:rsidR="00105A87" w:rsidRPr="00B666A2" w:rsidRDefault="00105A87" w:rsidP="00105A87">
            <w:pPr>
              <w:pStyle w:val="TableBody"/>
              <w:jc w:val="right"/>
              <w:rPr>
                <w:b/>
                <w:sz w:val="16"/>
                <w:szCs w:val="16"/>
              </w:rPr>
            </w:pPr>
            <w:r w:rsidRPr="00B666A2">
              <w:rPr>
                <w:b/>
                <w:sz w:val="16"/>
                <w:szCs w:val="16"/>
              </w:rPr>
              <w:t>0.2</w:t>
            </w:r>
          </w:p>
        </w:tc>
        <w:tc>
          <w:tcPr>
            <w:tcW w:w="909" w:type="pct"/>
            <w:noWrap/>
            <w:hideMark/>
          </w:tcPr>
          <w:p w14:paraId="0A0A0E7F" w14:textId="77777777" w:rsidR="00105A87" w:rsidRPr="00B666A2" w:rsidRDefault="00105A87" w:rsidP="00105A87">
            <w:pPr>
              <w:pStyle w:val="TableBody"/>
              <w:jc w:val="right"/>
              <w:rPr>
                <w:b/>
                <w:sz w:val="16"/>
                <w:szCs w:val="16"/>
              </w:rPr>
            </w:pPr>
            <w:r w:rsidRPr="00B666A2">
              <w:rPr>
                <w:b/>
                <w:sz w:val="16"/>
                <w:szCs w:val="16"/>
              </w:rPr>
              <w:t>14.9</w:t>
            </w:r>
          </w:p>
        </w:tc>
        <w:tc>
          <w:tcPr>
            <w:tcW w:w="909" w:type="pct"/>
            <w:noWrap/>
            <w:hideMark/>
          </w:tcPr>
          <w:p w14:paraId="3EDAD655" w14:textId="77777777" w:rsidR="00105A87" w:rsidRPr="00B666A2" w:rsidRDefault="00105A87" w:rsidP="00105A87">
            <w:pPr>
              <w:pStyle w:val="TableBody"/>
              <w:jc w:val="right"/>
              <w:rPr>
                <w:b/>
                <w:sz w:val="16"/>
                <w:szCs w:val="16"/>
              </w:rPr>
            </w:pPr>
            <w:r w:rsidRPr="00B666A2">
              <w:rPr>
                <w:b/>
                <w:sz w:val="16"/>
                <w:szCs w:val="16"/>
              </w:rPr>
              <w:t>9.6</w:t>
            </w:r>
          </w:p>
        </w:tc>
      </w:tr>
      <w:tr w:rsidR="00105A87" w:rsidRPr="001943F6" w14:paraId="7E8F3DD4" w14:textId="77777777" w:rsidTr="00293705">
        <w:trPr>
          <w:trHeight w:val="290"/>
        </w:trPr>
        <w:tc>
          <w:tcPr>
            <w:tcW w:w="1363" w:type="pct"/>
            <w:hideMark/>
          </w:tcPr>
          <w:p w14:paraId="7464B870" w14:textId="77777777" w:rsidR="00105A87" w:rsidRPr="00545AF1" w:rsidRDefault="00105A87" w:rsidP="007578B3">
            <w:pPr>
              <w:pStyle w:val="Table-ListBullet"/>
              <w:rPr>
                <w:sz w:val="16"/>
                <w:szCs w:val="16"/>
              </w:rPr>
            </w:pPr>
            <w:r w:rsidRPr="00545AF1">
              <w:rPr>
                <w:sz w:val="16"/>
                <w:szCs w:val="16"/>
              </w:rPr>
              <w:t>Rents</w:t>
            </w:r>
          </w:p>
        </w:tc>
        <w:tc>
          <w:tcPr>
            <w:tcW w:w="910" w:type="pct"/>
            <w:noWrap/>
            <w:hideMark/>
          </w:tcPr>
          <w:p w14:paraId="57049B1F" w14:textId="77777777" w:rsidR="00105A87" w:rsidRPr="00B666A2" w:rsidRDefault="00105A87" w:rsidP="00105A87">
            <w:pPr>
              <w:pStyle w:val="TableBody"/>
              <w:jc w:val="right"/>
              <w:rPr>
                <w:b/>
                <w:sz w:val="16"/>
                <w:szCs w:val="16"/>
              </w:rPr>
            </w:pPr>
            <w:r w:rsidRPr="00B666A2">
              <w:rPr>
                <w:b/>
                <w:sz w:val="16"/>
                <w:szCs w:val="16"/>
              </w:rPr>
              <w:t>2.7</w:t>
            </w:r>
          </w:p>
        </w:tc>
        <w:tc>
          <w:tcPr>
            <w:tcW w:w="909" w:type="pct"/>
            <w:noWrap/>
            <w:hideMark/>
          </w:tcPr>
          <w:p w14:paraId="66BFC69B" w14:textId="77777777" w:rsidR="00105A87" w:rsidRPr="00B666A2" w:rsidRDefault="00105A87" w:rsidP="00105A87">
            <w:pPr>
              <w:pStyle w:val="TableBody"/>
              <w:jc w:val="right"/>
              <w:rPr>
                <w:b/>
                <w:sz w:val="16"/>
                <w:szCs w:val="16"/>
              </w:rPr>
            </w:pPr>
            <w:r w:rsidRPr="00B666A2">
              <w:rPr>
                <w:b/>
                <w:sz w:val="16"/>
                <w:szCs w:val="16"/>
              </w:rPr>
              <w:t>0.2</w:t>
            </w:r>
          </w:p>
        </w:tc>
        <w:tc>
          <w:tcPr>
            <w:tcW w:w="909" w:type="pct"/>
            <w:noWrap/>
            <w:hideMark/>
          </w:tcPr>
          <w:p w14:paraId="66331A0C" w14:textId="77777777" w:rsidR="00105A87" w:rsidRPr="00B666A2" w:rsidRDefault="00105A87" w:rsidP="00105A87">
            <w:pPr>
              <w:pStyle w:val="TableBody"/>
              <w:jc w:val="right"/>
              <w:rPr>
                <w:b/>
                <w:sz w:val="16"/>
                <w:szCs w:val="16"/>
              </w:rPr>
            </w:pPr>
            <w:r w:rsidRPr="00B666A2">
              <w:rPr>
                <w:b/>
                <w:sz w:val="16"/>
                <w:szCs w:val="16"/>
              </w:rPr>
              <w:t>7.1</w:t>
            </w:r>
          </w:p>
        </w:tc>
        <w:tc>
          <w:tcPr>
            <w:tcW w:w="909" w:type="pct"/>
            <w:noWrap/>
            <w:hideMark/>
          </w:tcPr>
          <w:p w14:paraId="517B3439" w14:textId="77777777" w:rsidR="00105A87" w:rsidRPr="00B666A2" w:rsidRDefault="00105A87" w:rsidP="00105A87">
            <w:pPr>
              <w:pStyle w:val="TableBody"/>
              <w:jc w:val="right"/>
              <w:rPr>
                <w:b/>
                <w:sz w:val="16"/>
                <w:szCs w:val="16"/>
              </w:rPr>
            </w:pPr>
            <w:r w:rsidRPr="00B666A2">
              <w:rPr>
                <w:b/>
                <w:sz w:val="16"/>
                <w:szCs w:val="16"/>
              </w:rPr>
              <w:t>3.7</w:t>
            </w:r>
          </w:p>
        </w:tc>
      </w:tr>
      <w:tr w:rsidR="005014DB" w:rsidRPr="001943F6" w14:paraId="64AB1613" w14:textId="77777777" w:rsidTr="00293705">
        <w:trPr>
          <w:trHeight w:val="196"/>
        </w:trPr>
        <w:tc>
          <w:tcPr>
            <w:tcW w:w="1363" w:type="pct"/>
          </w:tcPr>
          <w:p w14:paraId="40FB6B97" w14:textId="571483D6" w:rsidR="005014DB" w:rsidRPr="00545AF1" w:rsidRDefault="001D1ED9" w:rsidP="007578B3">
            <w:pPr>
              <w:pStyle w:val="Table-ListBullet"/>
              <w:rPr>
                <w:sz w:val="16"/>
                <w:szCs w:val="16"/>
              </w:rPr>
            </w:pPr>
            <w:r w:rsidRPr="001D1ED9">
              <w:rPr>
                <w:sz w:val="16"/>
                <w:szCs w:val="16"/>
              </w:rPr>
              <w:t>New dwelling purchase</w:t>
            </w:r>
          </w:p>
        </w:tc>
        <w:tc>
          <w:tcPr>
            <w:tcW w:w="910" w:type="pct"/>
            <w:noWrap/>
          </w:tcPr>
          <w:p w14:paraId="085B4C83" w14:textId="40FE35BF" w:rsidR="005014DB" w:rsidRPr="00B666A2" w:rsidRDefault="001D1ED9" w:rsidP="00105A87">
            <w:pPr>
              <w:pStyle w:val="TableBody"/>
              <w:jc w:val="right"/>
              <w:rPr>
                <w:b/>
                <w:bCs/>
                <w:sz w:val="16"/>
                <w:szCs w:val="16"/>
              </w:rPr>
            </w:pPr>
            <w:r w:rsidRPr="001D1ED9">
              <w:rPr>
                <w:b/>
                <w:bCs/>
                <w:sz w:val="16"/>
                <w:szCs w:val="16"/>
              </w:rPr>
              <w:t>1.2</w:t>
            </w:r>
          </w:p>
        </w:tc>
        <w:tc>
          <w:tcPr>
            <w:tcW w:w="909" w:type="pct"/>
            <w:noWrap/>
          </w:tcPr>
          <w:p w14:paraId="3192EA19" w14:textId="423C1CD2" w:rsidR="005014DB" w:rsidRPr="00B666A2" w:rsidRDefault="001D1ED9" w:rsidP="00105A87">
            <w:pPr>
              <w:pStyle w:val="TableBody"/>
              <w:jc w:val="right"/>
              <w:rPr>
                <w:b/>
                <w:bCs/>
                <w:sz w:val="16"/>
                <w:szCs w:val="16"/>
              </w:rPr>
            </w:pPr>
            <w:r w:rsidRPr="001D1ED9">
              <w:rPr>
                <w:b/>
                <w:bCs/>
                <w:sz w:val="16"/>
                <w:szCs w:val="16"/>
              </w:rPr>
              <w:t>-0.1</w:t>
            </w:r>
          </w:p>
        </w:tc>
        <w:tc>
          <w:tcPr>
            <w:tcW w:w="909" w:type="pct"/>
            <w:noWrap/>
          </w:tcPr>
          <w:p w14:paraId="6C2B96DF" w14:textId="219A6D0D" w:rsidR="005014DB" w:rsidRPr="00B666A2" w:rsidRDefault="000B0E7B" w:rsidP="00105A87">
            <w:pPr>
              <w:pStyle w:val="TableBody"/>
              <w:jc w:val="right"/>
              <w:rPr>
                <w:b/>
                <w:bCs/>
                <w:sz w:val="16"/>
                <w:szCs w:val="16"/>
              </w:rPr>
            </w:pPr>
            <w:r w:rsidRPr="000B0E7B">
              <w:rPr>
                <w:b/>
                <w:bCs/>
                <w:sz w:val="16"/>
                <w:szCs w:val="16"/>
              </w:rPr>
              <w:t>9.3</w:t>
            </w:r>
          </w:p>
        </w:tc>
        <w:tc>
          <w:tcPr>
            <w:tcW w:w="909" w:type="pct"/>
            <w:noWrap/>
          </w:tcPr>
          <w:p w14:paraId="5F47E863" w14:textId="58BE8361" w:rsidR="005014DB" w:rsidRPr="00B666A2" w:rsidRDefault="000B0E7B" w:rsidP="00105A87">
            <w:pPr>
              <w:pStyle w:val="TableBody"/>
              <w:jc w:val="right"/>
              <w:rPr>
                <w:b/>
                <w:bCs/>
                <w:sz w:val="16"/>
                <w:szCs w:val="16"/>
              </w:rPr>
            </w:pPr>
            <w:r w:rsidRPr="000B0E7B">
              <w:rPr>
                <w:b/>
                <w:bCs/>
                <w:sz w:val="16"/>
                <w:szCs w:val="16"/>
              </w:rPr>
              <w:t>10.6</w:t>
            </w:r>
          </w:p>
        </w:tc>
      </w:tr>
      <w:tr w:rsidR="00105A87" w:rsidRPr="001943F6" w14:paraId="21FD8B19" w14:textId="77777777" w:rsidTr="00293705">
        <w:trPr>
          <w:trHeight w:val="196"/>
        </w:trPr>
        <w:tc>
          <w:tcPr>
            <w:tcW w:w="1363" w:type="pct"/>
            <w:hideMark/>
          </w:tcPr>
          <w:p w14:paraId="037A15CB" w14:textId="2F306380" w:rsidR="00105A87" w:rsidRPr="00545AF1" w:rsidRDefault="00105A87" w:rsidP="007578B3">
            <w:pPr>
              <w:pStyle w:val="Table-ListBullet"/>
              <w:rPr>
                <w:sz w:val="16"/>
                <w:szCs w:val="16"/>
              </w:rPr>
            </w:pPr>
            <w:r w:rsidRPr="00545AF1">
              <w:rPr>
                <w:sz w:val="16"/>
                <w:szCs w:val="16"/>
              </w:rPr>
              <w:t xml:space="preserve">Property rates </w:t>
            </w:r>
            <w:r w:rsidR="000D6546" w:rsidRPr="00545AF1">
              <w:rPr>
                <w:sz w:val="16"/>
                <w:szCs w:val="16"/>
              </w:rPr>
              <w:t>&amp;</w:t>
            </w:r>
            <w:r w:rsidRPr="00545AF1">
              <w:rPr>
                <w:sz w:val="16"/>
                <w:szCs w:val="16"/>
              </w:rPr>
              <w:t xml:space="preserve"> charges</w:t>
            </w:r>
          </w:p>
        </w:tc>
        <w:tc>
          <w:tcPr>
            <w:tcW w:w="910" w:type="pct"/>
            <w:noWrap/>
            <w:hideMark/>
          </w:tcPr>
          <w:p w14:paraId="7DA2D1E7" w14:textId="77777777" w:rsidR="00105A87" w:rsidRPr="00B666A2" w:rsidRDefault="00105A87" w:rsidP="00105A87">
            <w:pPr>
              <w:pStyle w:val="TableBody"/>
              <w:jc w:val="right"/>
              <w:rPr>
                <w:b/>
                <w:sz w:val="16"/>
                <w:szCs w:val="16"/>
              </w:rPr>
            </w:pPr>
            <w:r w:rsidRPr="00B666A2">
              <w:rPr>
                <w:b/>
                <w:sz w:val="16"/>
                <w:szCs w:val="16"/>
              </w:rPr>
              <w:t>7.9</w:t>
            </w:r>
          </w:p>
        </w:tc>
        <w:tc>
          <w:tcPr>
            <w:tcW w:w="909" w:type="pct"/>
            <w:noWrap/>
            <w:hideMark/>
          </w:tcPr>
          <w:p w14:paraId="6A5B7DDB" w14:textId="77777777" w:rsidR="00105A87" w:rsidRPr="00B666A2" w:rsidRDefault="00105A87" w:rsidP="00105A87">
            <w:pPr>
              <w:pStyle w:val="TableBody"/>
              <w:jc w:val="right"/>
              <w:rPr>
                <w:b/>
                <w:sz w:val="16"/>
                <w:szCs w:val="16"/>
              </w:rPr>
            </w:pPr>
            <w:r w:rsidRPr="00B666A2">
              <w:rPr>
                <w:b/>
                <w:sz w:val="16"/>
                <w:szCs w:val="16"/>
              </w:rPr>
              <w:t>2.5</w:t>
            </w:r>
          </w:p>
        </w:tc>
        <w:tc>
          <w:tcPr>
            <w:tcW w:w="909" w:type="pct"/>
            <w:noWrap/>
            <w:hideMark/>
          </w:tcPr>
          <w:p w14:paraId="52F82CF9" w14:textId="77777777" w:rsidR="00105A87" w:rsidRPr="00B666A2" w:rsidRDefault="00105A87" w:rsidP="00105A87">
            <w:pPr>
              <w:pStyle w:val="TableBody"/>
              <w:jc w:val="right"/>
              <w:rPr>
                <w:b/>
                <w:sz w:val="16"/>
                <w:szCs w:val="16"/>
              </w:rPr>
            </w:pPr>
            <w:r w:rsidRPr="00B666A2">
              <w:rPr>
                <w:b/>
                <w:sz w:val="16"/>
                <w:szCs w:val="16"/>
              </w:rPr>
              <w:t>51.7</w:t>
            </w:r>
          </w:p>
        </w:tc>
        <w:tc>
          <w:tcPr>
            <w:tcW w:w="909" w:type="pct"/>
            <w:noWrap/>
            <w:hideMark/>
          </w:tcPr>
          <w:p w14:paraId="15E2344F" w14:textId="77777777" w:rsidR="00105A87" w:rsidRPr="00B666A2" w:rsidRDefault="00105A87" w:rsidP="00105A87">
            <w:pPr>
              <w:pStyle w:val="TableBody"/>
              <w:jc w:val="right"/>
              <w:rPr>
                <w:b/>
                <w:sz w:val="16"/>
                <w:szCs w:val="16"/>
              </w:rPr>
            </w:pPr>
            <w:r w:rsidRPr="00B666A2">
              <w:rPr>
                <w:b/>
                <w:sz w:val="16"/>
                <w:szCs w:val="16"/>
              </w:rPr>
              <w:t>17.0</w:t>
            </w:r>
          </w:p>
        </w:tc>
      </w:tr>
      <w:tr w:rsidR="00105A87" w:rsidRPr="001943F6" w14:paraId="587576E5" w14:textId="77777777" w:rsidTr="00293705">
        <w:trPr>
          <w:trHeight w:val="290"/>
        </w:trPr>
        <w:tc>
          <w:tcPr>
            <w:tcW w:w="1363" w:type="pct"/>
            <w:hideMark/>
          </w:tcPr>
          <w:p w14:paraId="7AE5F100" w14:textId="77777777" w:rsidR="00105A87" w:rsidRPr="00545AF1" w:rsidRDefault="00105A87" w:rsidP="007578B3">
            <w:pPr>
              <w:pStyle w:val="Table-ListBullet"/>
              <w:rPr>
                <w:sz w:val="16"/>
                <w:szCs w:val="16"/>
              </w:rPr>
            </w:pPr>
            <w:r w:rsidRPr="00545AF1">
              <w:rPr>
                <w:sz w:val="16"/>
                <w:szCs w:val="16"/>
              </w:rPr>
              <w:t>Utilities</w:t>
            </w:r>
          </w:p>
        </w:tc>
        <w:tc>
          <w:tcPr>
            <w:tcW w:w="910" w:type="pct"/>
            <w:noWrap/>
            <w:hideMark/>
          </w:tcPr>
          <w:p w14:paraId="625B78BF" w14:textId="77777777" w:rsidR="00105A87" w:rsidRPr="00B666A2" w:rsidRDefault="00105A87" w:rsidP="00105A87">
            <w:pPr>
              <w:pStyle w:val="TableBody"/>
              <w:jc w:val="right"/>
              <w:rPr>
                <w:b/>
                <w:sz w:val="16"/>
                <w:szCs w:val="16"/>
              </w:rPr>
            </w:pPr>
            <w:r w:rsidRPr="00B666A2">
              <w:rPr>
                <w:b/>
                <w:sz w:val="16"/>
                <w:szCs w:val="16"/>
              </w:rPr>
              <w:t>2.0</w:t>
            </w:r>
          </w:p>
        </w:tc>
        <w:tc>
          <w:tcPr>
            <w:tcW w:w="909" w:type="pct"/>
            <w:noWrap/>
            <w:hideMark/>
          </w:tcPr>
          <w:p w14:paraId="6A341904" w14:textId="77777777" w:rsidR="00105A87" w:rsidRPr="00B666A2" w:rsidRDefault="00105A87" w:rsidP="00105A87">
            <w:pPr>
              <w:pStyle w:val="TableBody"/>
              <w:jc w:val="right"/>
              <w:rPr>
                <w:b/>
                <w:sz w:val="16"/>
                <w:szCs w:val="16"/>
              </w:rPr>
            </w:pPr>
            <w:r w:rsidRPr="00B666A2">
              <w:rPr>
                <w:b/>
                <w:sz w:val="16"/>
                <w:szCs w:val="16"/>
              </w:rPr>
              <w:t>-1.0</w:t>
            </w:r>
          </w:p>
        </w:tc>
        <w:tc>
          <w:tcPr>
            <w:tcW w:w="909" w:type="pct"/>
            <w:noWrap/>
            <w:hideMark/>
          </w:tcPr>
          <w:p w14:paraId="6BB0A24A" w14:textId="77777777" w:rsidR="00105A87" w:rsidRPr="00B666A2" w:rsidRDefault="00105A87" w:rsidP="00105A87">
            <w:pPr>
              <w:pStyle w:val="TableBody"/>
              <w:jc w:val="right"/>
              <w:rPr>
                <w:b/>
                <w:sz w:val="16"/>
                <w:szCs w:val="16"/>
              </w:rPr>
            </w:pPr>
            <w:r w:rsidRPr="00B666A2">
              <w:rPr>
                <w:b/>
                <w:sz w:val="16"/>
                <w:szCs w:val="16"/>
              </w:rPr>
              <w:t>22.1</w:t>
            </w:r>
          </w:p>
        </w:tc>
        <w:tc>
          <w:tcPr>
            <w:tcW w:w="909" w:type="pct"/>
            <w:noWrap/>
            <w:hideMark/>
          </w:tcPr>
          <w:p w14:paraId="724EEA0A" w14:textId="77777777" w:rsidR="00105A87" w:rsidRPr="00B666A2" w:rsidRDefault="00105A87" w:rsidP="00105A87">
            <w:pPr>
              <w:pStyle w:val="TableBody"/>
              <w:jc w:val="right"/>
              <w:rPr>
                <w:b/>
                <w:sz w:val="16"/>
                <w:szCs w:val="16"/>
              </w:rPr>
            </w:pPr>
            <w:r w:rsidRPr="00B666A2">
              <w:rPr>
                <w:b/>
                <w:sz w:val="16"/>
                <w:szCs w:val="16"/>
              </w:rPr>
              <w:t>13.7</w:t>
            </w:r>
          </w:p>
        </w:tc>
      </w:tr>
      <w:tr w:rsidR="00105A87" w:rsidRPr="001943F6" w14:paraId="1855D320" w14:textId="77777777" w:rsidTr="00293705">
        <w:trPr>
          <w:trHeight w:val="13"/>
        </w:trPr>
        <w:tc>
          <w:tcPr>
            <w:tcW w:w="1363" w:type="pct"/>
            <w:hideMark/>
          </w:tcPr>
          <w:p w14:paraId="3376F7BB" w14:textId="77777777" w:rsidR="00105A87" w:rsidRPr="00B666A2" w:rsidRDefault="00105A87" w:rsidP="007E6D4D">
            <w:pPr>
              <w:pStyle w:val="Table-ListBullet2"/>
              <w:rPr>
                <w:i/>
                <w:sz w:val="16"/>
                <w:szCs w:val="16"/>
              </w:rPr>
            </w:pPr>
            <w:r w:rsidRPr="00B666A2">
              <w:rPr>
                <w:i/>
                <w:sz w:val="16"/>
                <w:szCs w:val="16"/>
              </w:rPr>
              <w:t>Water &amp; sewerage</w:t>
            </w:r>
          </w:p>
        </w:tc>
        <w:tc>
          <w:tcPr>
            <w:tcW w:w="910" w:type="pct"/>
            <w:noWrap/>
            <w:hideMark/>
          </w:tcPr>
          <w:p w14:paraId="760AA110" w14:textId="77777777" w:rsidR="00105A87" w:rsidRPr="00B666A2" w:rsidRDefault="00105A87" w:rsidP="00105A87">
            <w:pPr>
              <w:pStyle w:val="TableBody"/>
              <w:jc w:val="right"/>
              <w:rPr>
                <w:b/>
                <w:sz w:val="16"/>
                <w:szCs w:val="16"/>
              </w:rPr>
            </w:pPr>
            <w:r w:rsidRPr="00B666A2">
              <w:rPr>
                <w:b/>
                <w:sz w:val="16"/>
                <w:szCs w:val="16"/>
              </w:rPr>
              <w:t>1.6</w:t>
            </w:r>
          </w:p>
        </w:tc>
        <w:tc>
          <w:tcPr>
            <w:tcW w:w="909" w:type="pct"/>
            <w:noWrap/>
            <w:hideMark/>
          </w:tcPr>
          <w:p w14:paraId="10D1E4BE" w14:textId="77777777" w:rsidR="00105A87" w:rsidRPr="00B666A2" w:rsidRDefault="00105A87" w:rsidP="00105A87">
            <w:pPr>
              <w:pStyle w:val="TableBody"/>
              <w:jc w:val="right"/>
              <w:rPr>
                <w:b/>
                <w:sz w:val="16"/>
                <w:szCs w:val="16"/>
              </w:rPr>
            </w:pPr>
            <w:r w:rsidRPr="00B666A2">
              <w:rPr>
                <w:b/>
                <w:sz w:val="16"/>
                <w:szCs w:val="16"/>
              </w:rPr>
              <w:t>2.9</w:t>
            </w:r>
          </w:p>
        </w:tc>
        <w:tc>
          <w:tcPr>
            <w:tcW w:w="909" w:type="pct"/>
            <w:noWrap/>
            <w:hideMark/>
          </w:tcPr>
          <w:p w14:paraId="5F40FF4C" w14:textId="77777777" w:rsidR="00105A87" w:rsidRPr="00B666A2" w:rsidRDefault="00105A87" w:rsidP="00105A87">
            <w:pPr>
              <w:pStyle w:val="TableBody"/>
              <w:jc w:val="right"/>
              <w:rPr>
                <w:b/>
                <w:sz w:val="16"/>
                <w:szCs w:val="16"/>
              </w:rPr>
            </w:pPr>
            <w:r w:rsidRPr="00B666A2">
              <w:rPr>
                <w:b/>
                <w:sz w:val="16"/>
                <w:szCs w:val="16"/>
              </w:rPr>
              <w:t>5.4</w:t>
            </w:r>
          </w:p>
        </w:tc>
        <w:tc>
          <w:tcPr>
            <w:tcW w:w="909" w:type="pct"/>
            <w:noWrap/>
            <w:hideMark/>
          </w:tcPr>
          <w:p w14:paraId="5B8F023D" w14:textId="77777777" w:rsidR="00105A87" w:rsidRPr="00B666A2" w:rsidRDefault="00105A87" w:rsidP="00105A87">
            <w:pPr>
              <w:pStyle w:val="TableBody"/>
              <w:jc w:val="right"/>
              <w:rPr>
                <w:b/>
                <w:sz w:val="16"/>
                <w:szCs w:val="16"/>
              </w:rPr>
            </w:pPr>
            <w:r w:rsidRPr="00B666A2">
              <w:rPr>
                <w:b/>
                <w:sz w:val="16"/>
                <w:szCs w:val="16"/>
              </w:rPr>
              <w:t>8.1</w:t>
            </w:r>
          </w:p>
        </w:tc>
      </w:tr>
      <w:tr w:rsidR="00105A87" w:rsidRPr="001943F6" w14:paraId="77836BF9" w14:textId="77777777" w:rsidTr="00293705">
        <w:trPr>
          <w:trHeight w:val="290"/>
        </w:trPr>
        <w:tc>
          <w:tcPr>
            <w:tcW w:w="1363" w:type="pct"/>
            <w:hideMark/>
          </w:tcPr>
          <w:p w14:paraId="718BC14B" w14:textId="77777777" w:rsidR="00105A87" w:rsidRPr="00B666A2" w:rsidRDefault="00105A87" w:rsidP="007E6D4D">
            <w:pPr>
              <w:pStyle w:val="Table-ListBullet2"/>
              <w:tabs>
                <w:tab w:val="num" w:pos="567"/>
              </w:tabs>
              <w:rPr>
                <w:i/>
                <w:sz w:val="16"/>
                <w:szCs w:val="16"/>
              </w:rPr>
            </w:pPr>
            <w:r w:rsidRPr="00B666A2">
              <w:rPr>
                <w:i/>
                <w:sz w:val="16"/>
                <w:szCs w:val="16"/>
              </w:rPr>
              <w:t>Electricity</w:t>
            </w:r>
          </w:p>
        </w:tc>
        <w:tc>
          <w:tcPr>
            <w:tcW w:w="910" w:type="pct"/>
            <w:noWrap/>
            <w:hideMark/>
          </w:tcPr>
          <w:p w14:paraId="19833D01" w14:textId="77777777" w:rsidR="00105A87" w:rsidRPr="00B666A2" w:rsidRDefault="00105A87" w:rsidP="00105A87">
            <w:pPr>
              <w:pStyle w:val="TableBody"/>
              <w:jc w:val="right"/>
              <w:rPr>
                <w:b/>
                <w:sz w:val="16"/>
                <w:szCs w:val="16"/>
              </w:rPr>
            </w:pPr>
            <w:r w:rsidRPr="00B666A2">
              <w:rPr>
                <w:b/>
                <w:sz w:val="16"/>
                <w:szCs w:val="16"/>
              </w:rPr>
              <w:t>0.4</w:t>
            </w:r>
          </w:p>
        </w:tc>
        <w:tc>
          <w:tcPr>
            <w:tcW w:w="909" w:type="pct"/>
            <w:noWrap/>
            <w:hideMark/>
          </w:tcPr>
          <w:p w14:paraId="5AC8126C" w14:textId="77777777" w:rsidR="00105A87" w:rsidRPr="00B666A2" w:rsidRDefault="00105A87" w:rsidP="00105A87">
            <w:pPr>
              <w:pStyle w:val="TableBody"/>
              <w:jc w:val="right"/>
              <w:rPr>
                <w:b/>
                <w:sz w:val="16"/>
                <w:szCs w:val="16"/>
              </w:rPr>
            </w:pPr>
            <w:r w:rsidRPr="00B666A2">
              <w:rPr>
                <w:b/>
                <w:sz w:val="16"/>
                <w:szCs w:val="16"/>
              </w:rPr>
              <w:t>-3.5</w:t>
            </w:r>
          </w:p>
        </w:tc>
        <w:tc>
          <w:tcPr>
            <w:tcW w:w="909" w:type="pct"/>
            <w:noWrap/>
            <w:hideMark/>
          </w:tcPr>
          <w:p w14:paraId="4877A8E1" w14:textId="77777777" w:rsidR="00105A87" w:rsidRPr="00B666A2" w:rsidRDefault="00105A87" w:rsidP="00105A87">
            <w:pPr>
              <w:pStyle w:val="TableBody"/>
              <w:jc w:val="right"/>
              <w:rPr>
                <w:b/>
                <w:sz w:val="16"/>
                <w:szCs w:val="16"/>
              </w:rPr>
            </w:pPr>
            <w:r w:rsidRPr="00B666A2">
              <w:rPr>
                <w:b/>
                <w:sz w:val="16"/>
                <w:szCs w:val="16"/>
              </w:rPr>
              <w:t>25.1</w:t>
            </w:r>
          </w:p>
        </w:tc>
        <w:tc>
          <w:tcPr>
            <w:tcW w:w="909" w:type="pct"/>
            <w:noWrap/>
            <w:hideMark/>
          </w:tcPr>
          <w:p w14:paraId="31968BF1" w14:textId="77777777" w:rsidR="00105A87" w:rsidRPr="00B666A2" w:rsidRDefault="00105A87" w:rsidP="00105A87">
            <w:pPr>
              <w:pStyle w:val="TableBody"/>
              <w:jc w:val="right"/>
              <w:rPr>
                <w:b/>
                <w:sz w:val="16"/>
                <w:szCs w:val="16"/>
              </w:rPr>
            </w:pPr>
            <w:r w:rsidRPr="00B666A2">
              <w:rPr>
                <w:b/>
                <w:sz w:val="16"/>
                <w:szCs w:val="16"/>
              </w:rPr>
              <w:t>15.3</w:t>
            </w:r>
          </w:p>
        </w:tc>
      </w:tr>
      <w:tr w:rsidR="00105A87" w:rsidRPr="001943F6" w14:paraId="76251E33" w14:textId="77777777" w:rsidTr="00293705">
        <w:trPr>
          <w:trHeight w:val="13"/>
        </w:trPr>
        <w:tc>
          <w:tcPr>
            <w:tcW w:w="1363" w:type="pct"/>
            <w:hideMark/>
          </w:tcPr>
          <w:p w14:paraId="22D4D6AA" w14:textId="3D0E0CB8" w:rsidR="00105A87" w:rsidRPr="00B666A2" w:rsidRDefault="00105A87" w:rsidP="007E6D4D">
            <w:pPr>
              <w:pStyle w:val="Table-ListBullet2"/>
              <w:tabs>
                <w:tab w:val="num" w:pos="567"/>
              </w:tabs>
              <w:rPr>
                <w:i/>
                <w:sz w:val="16"/>
                <w:szCs w:val="16"/>
              </w:rPr>
            </w:pPr>
            <w:r w:rsidRPr="00B666A2">
              <w:rPr>
                <w:i/>
                <w:iCs/>
                <w:sz w:val="16"/>
                <w:szCs w:val="16"/>
              </w:rPr>
              <w:t xml:space="preserve">Gas </w:t>
            </w:r>
          </w:p>
        </w:tc>
        <w:tc>
          <w:tcPr>
            <w:tcW w:w="910" w:type="pct"/>
            <w:noWrap/>
            <w:hideMark/>
          </w:tcPr>
          <w:p w14:paraId="5A3BFF3D" w14:textId="77777777" w:rsidR="00105A87" w:rsidRPr="00B666A2" w:rsidRDefault="00105A87" w:rsidP="00105A87">
            <w:pPr>
              <w:pStyle w:val="TableBody"/>
              <w:jc w:val="right"/>
              <w:rPr>
                <w:b/>
                <w:sz w:val="16"/>
                <w:szCs w:val="16"/>
              </w:rPr>
            </w:pPr>
            <w:r w:rsidRPr="00B666A2">
              <w:rPr>
                <w:b/>
                <w:sz w:val="16"/>
                <w:szCs w:val="16"/>
              </w:rPr>
              <w:t>4.0</w:t>
            </w:r>
          </w:p>
        </w:tc>
        <w:tc>
          <w:tcPr>
            <w:tcW w:w="909" w:type="pct"/>
            <w:noWrap/>
            <w:hideMark/>
          </w:tcPr>
          <w:p w14:paraId="4ABBABF0" w14:textId="77777777" w:rsidR="00105A87" w:rsidRPr="00B666A2" w:rsidRDefault="00105A87" w:rsidP="00105A87">
            <w:pPr>
              <w:pStyle w:val="TableBody"/>
              <w:jc w:val="right"/>
              <w:rPr>
                <w:b/>
                <w:sz w:val="16"/>
                <w:szCs w:val="16"/>
              </w:rPr>
            </w:pPr>
            <w:r w:rsidRPr="00B666A2">
              <w:rPr>
                <w:b/>
                <w:sz w:val="16"/>
                <w:szCs w:val="16"/>
              </w:rPr>
              <w:t>1.4</w:t>
            </w:r>
          </w:p>
        </w:tc>
        <w:tc>
          <w:tcPr>
            <w:tcW w:w="909" w:type="pct"/>
            <w:noWrap/>
            <w:hideMark/>
          </w:tcPr>
          <w:p w14:paraId="1CBFFBCB" w14:textId="77777777" w:rsidR="00105A87" w:rsidRPr="00B666A2" w:rsidRDefault="00105A87" w:rsidP="00105A87">
            <w:pPr>
              <w:pStyle w:val="TableBody"/>
              <w:jc w:val="right"/>
              <w:rPr>
                <w:b/>
                <w:sz w:val="16"/>
                <w:szCs w:val="16"/>
              </w:rPr>
            </w:pPr>
            <w:r w:rsidRPr="00B666A2">
              <w:rPr>
                <w:b/>
                <w:sz w:val="16"/>
                <w:szCs w:val="16"/>
              </w:rPr>
              <w:t>30.7</w:t>
            </w:r>
          </w:p>
        </w:tc>
        <w:tc>
          <w:tcPr>
            <w:tcW w:w="909" w:type="pct"/>
            <w:noWrap/>
            <w:hideMark/>
          </w:tcPr>
          <w:p w14:paraId="0C2B59EA" w14:textId="77777777" w:rsidR="00105A87" w:rsidRPr="00B666A2" w:rsidRDefault="00105A87" w:rsidP="00105A87">
            <w:pPr>
              <w:pStyle w:val="TableBody"/>
              <w:jc w:val="right"/>
              <w:rPr>
                <w:b/>
                <w:sz w:val="16"/>
                <w:szCs w:val="16"/>
              </w:rPr>
            </w:pPr>
            <w:r w:rsidRPr="00B666A2">
              <w:rPr>
                <w:b/>
                <w:sz w:val="16"/>
                <w:szCs w:val="16"/>
              </w:rPr>
              <w:t>16.2</w:t>
            </w:r>
          </w:p>
        </w:tc>
      </w:tr>
      <w:tr w:rsidR="00105A87" w:rsidRPr="001943F6" w14:paraId="591A59A3" w14:textId="77777777" w:rsidTr="00293705">
        <w:trPr>
          <w:trHeight w:val="13"/>
        </w:trPr>
        <w:tc>
          <w:tcPr>
            <w:tcW w:w="1363" w:type="pct"/>
            <w:shd w:val="clear" w:color="auto" w:fill="D9E2F3" w:themeFill="accent1" w:themeFillTint="33"/>
            <w:hideMark/>
          </w:tcPr>
          <w:p w14:paraId="0F9E2A6C" w14:textId="544D8B2A" w:rsidR="00105A87" w:rsidRPr="00B666A2" w:rsidRDefault="00105A87" w:rsidP="00105A87">
            <w:pPr>
              <w:pStyle w:val="TableBody"/>
              <w:rPr>
                <w:b/>
                <w:sz w:val="16"/>
                <w:szCs w:val="16"/>
              </w:rPr>
            </w:pPr>
            <w:r w:rsidRPr="00B666A2">
              <w:rPr>
                <w:b/>
                <w:sz w:val="16"/>
                <w:szCs w:val="16"/>
              </w:rPr>
              <w:t>Furnishings, household equipment/ services</w:t>
            </w:r>
          </w:p>
        </w:tc>
        <w:tc>
          <w:tcPr>
            <w:tcW w:w="910" w:type="pct"/>
            <w:shd w:val="clear" w:color="auto" w:fill="D9E2F3" w:themeFill="accent1" w:themeFillTint="33"/>
            <w:noWrap/>
            <w:hideMark/>
          </w:tcPr>
          <w:p w14:paraId="41CE37AB" w14:textId="77777777" w:rsidR="00105A87" w:rsidRPr="00B666A2" w:rsidRDefault="00105A87" w:rsidP="00105A87">
            <w:pPr>
              <w:pStyle w:val="TableBody"/>
              <w:jc w:val="right"/>
              <w:rPr>
                <w:b/>
                <w:sz w:val="16"/>
                <w:szCs w:val="16"/>
              </w:rPr>
            </w:pPr>
            <w:r w:rsidRPr="00B666A2">
              <w:rPr>
                <w:b/>
                <w:sz w:val="16"/>
                <w:szCs w:val="16"/>
              </w:rPr>
              <w:t>1.4</w:t>
            </w:r>
          </w:p>
        </w:tc>
        <w:tc>
          <w:tcPr>
            <w:tcW w:w="909" w:type="pct"/>
            <w:shd w:val="clear" w:color="auto" w:fill="D9E2F3" w:themeFill="accent1" w:themeFillTint="33"/>
            <w:noWrap/>
            <w:hideMark/>
          </w:tcPr>
          <w:p w14:paraId="1F3A6B12" w14:textId="77777777" w:rsidR="00105A87" w:rsidRPr="00B666A2" w:rsidRDefault="00105A87" w:rsidP="00105A87">
            <w:pPr>
              <w:pStyle w:val="TableBody"/>
              <w:jc w:val="right"/>
              <w:rPr>
                <w:b/>
                <w:sz w:val="16"/>
                <w:szCs w:val="16"/>
              </w:rPr>
            </w:pPr>
            <w:r w:rsidRPr="00B666A2">
              <w:rPr>
                <w:b/>
                <w:sz w:val="16"/>
                <w:szCs w:val="16"/>
              </w:rPr>
              <w:t>1.1</w:t>
            </w:r>
          </w:p>
        </w:tc>
        <w:tc>
          <w:tcPr>
            <w:tcW w:w="909" w:type="pct"/>
            <w:shd w:val="clear" w:color="auto" w:fill="B4C6E7" w:themeFill="accent1" w:themeFillTint="66"/>
            <w:noWrap/>
            <w:hideMark/>
          </w:tcPr>
          <w:p w14:paraId="1F2A641D" w14:textId="77777777" w:rsidR="00105A87" w:rsidRPr="00B666A2" w:rsidRDefault="00105A87" w:rsidP="00105A87">
            <w:pPr>
              <w:pStyle w:val="TableBody"/>
              <w:jc w:val="right"/>
              <w:rPr>
                <w:b/>
                <w:sz w:val="16"/>
                <w:szCs w:val="16"/>
              </w:rPr>
            </w:pPr>
            <w:r w:rsidRPr="00B666A2">
              <w:rPr>
                <w:b/>
                <w:sz w:val="16"/>
                <w:szCs w:val="16"/>
              </w:rPr>
              <w:t>4.2</w:t>
            </w:r>
          </w:p>
        </w:tc>
        <w:tc>
          <w:tcPr>
            <w:tcW w:w="909" w:type="pct"/>
            <w:shd w:val="clear" w:color="auto" w:fill="B4C6E7" w:themeFill="accent1" w:themeFillTint="66"/>
            <w:noWrap/>
            <w:hideMark/>
          </w:tcPr>
          <w:p w14:paraId="384F6675" w14:textId="77777777" w:rsidR="00105A87" w:rsidRPr="00B666A2" w:rsidRDefault="00105A87" w:rsidP="00105A87">
            <w:pPr>
              <w:pStyle w:val="TableBody"/>
              <w:jc w:val="right"/>
              <w:rPr>
                <w:b/>
                <w:sz w:val="16"/>
                <w:szCs w:val="16"/>
              </w:rPr>
            </w:pPr>
            <w:r w:rsidRPr="00B666A2">
              <w:rPr>
                <w:b/>
                <w:sz w:val="16"/>
                <w:szCs w:val="16"/>
              </w:rPr>
              <w:t>2.0</w:t>
            </w:r>
          </w:p>
        </w:tc>
      </w:tr>
      <w:tr w:rsidR="00105A87" w:rsidRPr="001943F6" w14:paraId="3E38E0ED" w14:textId="77777777" w:rsidTr="00293705">
        <w:trPr>
          <w:trHeight w:val="290"/>
        </w:trPr>
        <w:tc>
          <w:tcPr>
            <w:tcW w:w="1363" w:type="pct"/>
            <w:hideMark/>
          </w:tcPr>
          <w:p w14:paraId="54D86518" w14:textId="3A03702C" w:rsidR="00105A87" w:rsidRPr="00B666A2" w:rsidRDefault="002B6355" w:rsidP="00105A87">
            <w:pPr>
              <w:pStyle w:val="TableBody"/>
              <w:rPr>
                <w:b/>
                <w:sz w:val="16"/>
                <w:szCs w:val="16"/>
              </w:rPr>
            </w:pPr>
            <w:r w:rsidRPr="00B666A2">
              <w:rPr>
                <w:b/>
                <w:sz w:val="16"/>
                <w:szCs w:val="16"/>
              </w:rPr>
              <w:t>Childcare</w:t>
            </w:r>
          </w:p>
        </w:tc>
        <w:tc>
          <w:tcPr>
            <w:tcW w:w="910" w:type="pct"/>
            <w:noWrap/>
            <w:hideMark/>
          </w:tcPr>
          <w:p w14:paraId="0CAB3FE2" w14:textId="77777777" w:rsidR="00105A87" w:rsidRPr="00B666A2" w:rsidRDefault="00105A87" w:rsidP="00105A87">
            <w:pPr>
              <w:pStyle w:val="TableBody"/>
              <w:jc w:val="right"/>
              <w:rPr>
                <w:b/>
                <w:sz w:val="16"/>
                <w:szCs w:val="16"/>
              </w:rPr>
            </w:pPr>
            <w:r w:rsidRPr="00B666A2">
              <w:rPr>
                <w:b/>
                <w:sz w:val="16"/>
                <w:szCs w:val="16"/>
              </w:rPr>
              <w:t>8.3</w:t>
            </w:r>
          </w:p>
        </w:tc>
        <w:tc>
          <w:tcPr>
            <w:tcW w:w="909" w:type="pct"/>
            <w:noWrap/>
            <w:hideMark/>
          </w:tcPr>
          <w:p w14:paraId="20BE85BD" w14:textId="77777777" w:rsidR="00105A87" w:rsidRPr="00B666A2" w:rsidRDefault="00105A87" w:rsidP="00105A87">
            <w:pPr>
              <w:pStyle w:val="TableBody"/>
              <w:jc w:val="right"/>
              <w:rPr>
                <w:b/>
                <w:sz w:val="16"/>
                <w:szCs w:val="16"/>
              </w:rPr>
            </w:pPr>
            <w:r w:rsidRPr="00B666A2">
              <w:rPr>
                <w:b/>
                <w:sz w:val="16"/>
                <w:szCs w:val="16"/>
              </w:rPr>
              <w:t>7.2</w:t>
            </w:r>
          </w:p>
        </w:tc>
        <w:tc>
          <w:tcPr>
            <w:tcW w:w="909" w:type="pct"/>
            <w:noWrap/>
            <w:hideMark/>
          </w:tcPr>
          <w:p w14:paraId="481D65D2" w14:textId="77777777" w:rsidR="00105A87" w:rsidRPr="00B666A2" w:rsidRDefault="00105A87" w:rsidP="00105A87">
            <w:pPr>
              <w:pStyle w:val="TableBody"/>
              <w:jc w:val="right"/>
              <w:rPr>
                <w:b/>
                <w:sz w:val="16"/>
                <w:szCs w:val="16"/>
              </w:rPr>
            </w:pPr>
            <w:r w:rsidRPr="00B666A2">
              <w:rPr>
                <w:b/>
                <w:sz w:val="16"/>
                <w:szCs w:val="16"/>
              </w:rPr>
              <w:t>13.1</w:t>
            </w:r>
          </w:p>
        </w:tc>
        <w:tc>
          <w:tcPr>
            <w:tcW w:w="909" w:type="pct"/>
            <w:noWrap/>
            <w:hideMark/>
          </w:tcPr>
          <w:p w14:paraId="2AD8120A" w14:textId="77777777" w:rsidR="00105A87" w:rsidRPr="00B666A2" w:rsidRDefault="00105A87" w:rsidP="00105A87">
            <w:pPr>
              <w:pStyle w:val="TableBody"/>
              <w:jc w:val="right"/>
              <w:rPr>
                <w:b/>
                <w:sz w:val="16"/>
                <w:szCs w:val="16"/>
              </w:rPr>
            </w:pPr>
            <w:r w:rsidRPr="00B666A2">
              <w:rPr>
                <w:b/>
                <w:sz w:val="16"/>
                <w:szCs w:val="16"/>
              </w:rPr>
              <w:t>21.3</w:t>
            </w:r>
          </w:p>
        </w:tc>
      </w:tr>
      <w:tr w:rsidR="00105A87" w:rsidRPr="001943F6" w14:paraId="28383606" w14:textId="77777777" w:rsidTr="00293705">
        <w:trPr>
          <w:trHeight w:val="13"/>
        </w:trPr>
        <w:tc>
          <w:tcPr>
            <w:tcW w:w="1363" w:type="pct"/>
            <w:shd w:val="clear" w:color="auto" w:fill="D9E2F3" w:themeFill="accent1" w:themeFillTint="33"/>
            <w:hideMark/>
          </w:tcPr>
          <w:p w14:paraId="1F5C6B99" w14:textId="072977B1" w:rsidR="00105A87" w:rsidRPr="00B666A2" w:rsidRDefault="00105A87" w:rsidP="00105A87">
            <w:pPr>
              <w:pStyle w:val="TableBody"/>
              <w:rPr>
                <w:b/>
                <w:sz w:val="16"/>
                <w:szCs w:val="16"/>
              </w:rPr>
            </w:pPr>
            <w:r w:rsidRPr="00B666A2">
              <w:rPr>
                <w:b/>
                <w:sz w:val="16"/>
                <w:szCs w:val="16"/>
              </w:rPr>
              <w:t>Health</w:t>
            </w:r>
          </w:p>
        </w:tc>
        <w:tc>
          <w:tcPr>
            <w:tcW w:w="910" w:type="pct"/>
            <w:shd w:val="clear" w:color="auto" w:fill="D9E2F3" w:themeFill="accent1" w:themeFillTint="33"/>
            <w:noWrap/>
            <w:hideMark/>
          </w:tcPr>
          <w:p w14:paraId="37988E12" w14:textId="77777777" w:rsidR="00105A87" w:rsidRPr="00B666A2" w:rsidRDefault="00105A87" w:rsidP="00105A87">
            <w:pPr>
              <w:pStyle w:val="TableBody"/>
              <w:jc w:val="right"/>
              <w:rPr>
                <w:b/>
                <w:sz w:val="16"/>
                <w:szCs w:val="16"/>
              </w:rPr>
            </w:pPr>
            <w:r w:rsidRPr="00B666A2">
              <w:rPr>
                <w:b/>
                <w:sz w:val="16"/>
                <w:szCs w:val="16"/>
              </w:rPr>
              <w:t>3.2</w:t>
            </w:r>
          </w:p>
        </w:tc>
        <w:tc>
          <w:tcPr>
            <w:tcW w:w="909" w:type="pct"/>
            <w:shd w:val="clear" w:color="auto" w:fill="D9E2F3" w:themeFill="accent1" w:themeFillTint="33"/>
            <w:noWrap/>
            <w:hideMark/>
          </w:tcPr>
          <w:p w14:paraId="728F18EF" w14:textId="77777777" w:rsidR="00105A87" w:rsidRPr="00B666A2" w:rsidRDefault="00105A87" w:rsidP="00105A87">
            <w:pPr>
              <w:pStyle w:val="TableBody"/>
              <w:jc w:val="right"/>
              <w:rPr>
                <w:b/>
                <w:sz w:val="16"/>
                <w:szCs w:val="16"/>
              </w:rPr>
            </w:pPr>
            <w:r w:rsidRPr="00B666A2">
              <w:rPr>
                <w:b/>
                <w:sz w:val="16"/>
                <w:szCs w:val="16"/>
              </w:rPr>
              <w:t>3.2</w:t>
            </w:r>
          </w:p>
        </w:tc>
        <w:tc>
          <w:tcPr>
            <w:tcW w:w="909" w:type="pct"/>
            <w:shd w:val="clear" w:color="auto" w:fill="B4C6E7" w:themeFill="accent1" w:themeFillTint="66"/>
            <w:noWrap/>
            <w:hideMark/>
          </w:tcPr>
          <w:p w14:paraId="76BC8534" w14:textId="77777777" w:rsidR="00105A87" w:rsidRPr="00B666A2" w:rsidRDefault="00105A87" w:rsidP="00105A87">
            <w:pPr>
              <w:pStyle w:val="TableBody"/>
              <w:jc w:val="right"/>
              <w:rPr>
                <w:b/>
                <w:sz w:val="16"/>
                <w:szCs w:val="16"/>
              </w:rPr>
            </w:pPr>
            <w:r w:rsidRPr="00B666A2">
              <w:rPr>
                <w:b/>
                <w:sz w:val="16"/>
                <w:szCs w:val="16"/>
              </w:rPr>
              <w:t>22.0</w:t>
            </w:r>
          </w:p>
        </w:tc>
        <w:tc>
          <w:tcPr>
            <w:tcW w:w="909" w:type="pct"/>
            <w:shd w:val="clear" w:color="auto" w:fill="B4C6E7" w:themeFill="accent1" w:themeFillTint="66"/>
            <w:noWrap/>
            <w:hideMark/>
          </w:tcPr>
          <w:p w14:paraId="394F09D0" w14:textId="77777777" w:rsidR="00105A87" w:rsidRPr="00B666A2" w:rsidRDefault="00105A87" w:rsidP="00105A87">
            <w:pPr>
              <w:pStyle w:val="TableBody"/>
              <w:jc w:val="right"/>
              <w:rPr>
                <w:b/>
                <w:sz w:val="16"/>
                <w:szCs w:val="16"/>
              </w:rPr>
            </w:pPr>
            <w:r w:rsidRPr="00B666A2">
              <w:rPr>
                <w:b/>
                <w:sz w:val="16"/>
                <w:szCs w:val="16"/>
              </w:rPr>
              <w:t>21.0</w:t>
            </w:r>
          </w:p>
        </w:tc>
      </w:tr>
      <w:tr w:rsidR="00105A87" w:rsidRPr="001943F6" w14:paraId="775C55C5" w14:textId="77777777" w:rsidTr="00293705">
        <w:trPr>
          <w:trHeight w:val="290"/>
        </w:trPr>
        <w:tc>
          <w:tcPr>
            <w:tcW w:w="1363" w:type="pct"/>
            <w:hideMark/>
          </w:tcPr>
          <w:p w14:paraId="53FD807C" w14:textId="758DF89F" w:rsidR="00105A87" w:rsidRPr="00B666A2" w:rsidRDefault="00105A87" w:rsidP="00105A87">
            <w:pPr>
              <w:pStyle w:val="TableBody"/>
              <w:rPr>
                <w:b/>
                <w:sz w:val="16"/>
                <w:szCs w:val="16"/>
              </w:rPr>
            </w:pPr>
            <w:r w:rsidRPr="00B666A2">
              <w:rPr>
                <w:b/>
                <w:sz w:val="16"/>
                <w:szCs w:val="16"/>
              </w:rPr>
              <w:t>Transport</w:t>
            </w:r>
          </w:p>
        </w:tc>
        <w:tc>
          <w:tcPr>
            <w:tcW w:w="910" w:type="pct"/>
            <w:noWrap/>
            <w:hideMark/>
          </w:tcPr>
          <w:p w14:paraId="3F36F076" w14:textId="77777777" w:rsidR="00105A87" w:rsidRPr="00B666A2" w:rsidRDefault="00105A87" w:rsidP="00105A87">
            <w:pPr>
              <w:pStyle w:val="TableBody"/>
              <w:jc w:val="right"/>
              <w:rPr>
                <w:b/>
                <w:sz w:val="16"/>
                <w:szCs w:val="16"/>
              </w:rPr>
            </w:pPr>
            <w:r w:rsidRPr="00B666A2">
              <w:rPr>
                <w:b/>
                <w:sz w:val="16"/>
                <w:szCs w:val="16"/>
              </w:rPr>
              <w:t>-0.3</w:t>
            </w:r>
          </w:p>
        </w:tc>
        <w:tc>
          <w:tcPr>
            <w:tcW w:w="909" w:type="pct"/>
            <w:noWrap/>
            <w:hideMark/>
          </w:tcPr>
          <w:p w14:paraId="39B3A96C" w14:textId="77777777" w:rsidR="00105A87" w:rsidRPr="00B666A2" w:rsidRDefault="00105A87" w:rsidP="00105A87">
            <w:pPr>
              <w:pStyle w:val="TableBody"/>
              <w:jc w:val="right"/>
              <w:rPr>
                <w:b/>
                <w:sz w:val="16"/>
                <w:szCs w:val="16"/>
              </w:rPr>
            </w:pPr>
            <w:r w:rsidRPr="00B666A2">
              <w:rPr>
                <w:b/>
                <w:sz w:val="16"/>
                <w:szCs w:val="16"/>
              </w:rPr>
              <w:t>2.8</w:t>
            </w:r>
          </w:p>
        </w:tc>
        <w:tc>
          <w:tcPr>
            <w:tcW w:w="909" w:type="pct"/>
            <w:noWrap/>
            <w:hideMark/>
          </w:tcPr>
          <w:p w14:paraId="3C7763CF" w14:textId="77777777" w:rsidR="00105A87" w:rsidRPr="00B666A2" w:rsidRDefault="00105A87" w:rsidP="00105A87">
            <w:pPr>
              <w:pStyle w:val="TableBody"/>
              <w:jc w:val="right"/>
              <w:rPr>
                <w:b/>
                <w:sz w:val="16"/>
                <w:szCs w:val="16"/>
              </w:rPr>
            </w:pPr>
            <w:r w:rsidRPr="00B666A2">
              <w:rPr>
                <w:b/>
                <w:sz w:val="16"/>
                <w:szCs w:val="16"/>
              </w:rPr>
              <w:t>6.9</w:t>
            </w:r>
          </w:p>
        </w:tc>
        <w:tc>
          <w:tcPr>
            <w:tcW w:w="909" w:type="pct"/>
            <w:noWrap/>
            <w:hideMark/>
          </w:tcPr>
          <w:p w14:paraId="4B3CD24B" w14:textId="77777777" w:rsidR="00105A87" w:rsidRPr="00B666A2" w:rsidRDefault="00105A87" w:rsidP="00105A87">
            <w:pPr>
              <w:pStyle w:val="TableBody"/>
              <w:jc w:val="right"/>
              <w:rPr>
                <w:b/>
                <w:sz w:val="16"/>
                <w:szCs w:val="16"/>
              </w:rPr>
            </w:pPr>
            <w:r w:rsidRPr="00B666A2">
              <w:rPr>
                <w:b/>
                <w:sz w:val="16"/>
                <w:szCs w:val="16"/>
              </w:rPr>
              <w:t>7.3</w:t>
            </w:r>
          </w:p>
        </w:tc>
      </w:tr>
      <w:tr w:rsidR="00105A87" w:rsidRPr="001943F6" w14:paraId="27E7A71F" w14:textId="77777777" w:rsidTr="00293705">
        <w:trPr>
          <w:trHeight w:val="290"/>
        </w:trPr>
        <w:tc>
          <w:tcPr>
            <w:tcW w:w="1363" w:type="pct"/>
            <w:hideMark/>
          </w:tcPr>
          <w:p w14:paraId="12EB8FBC" w14:textId="77777777" w:rsidR="00105A87" w:rsidRPr="00545AF1" w:rsidRDefault="00105A87" w:rsidP="007E6D4D">
            <w:pPr>
              <w:pStyle w:val="Table-ListBullet"/>
              <w:rPr>
                <w:sz w:val="16"/>
                <w:szCs w:val="16"/>
              </w:rPr>
            </w:pPr>
            <w:r w:rsidRPr="00545AF1">
              <w:rPr>
                <w:sz w:val="16"/>
                <w:szCs w:val="16"/>
              </w:rPr>
              <w:t xml:space="preserve">Automotive Fuel </w:t>
            </w:r>
          </w:p>
        </w:tc>
        <w:tc>
          <w:tcPr>
            <w:tcW w:w="910" w:type="pct"/>
            <w:noWrap/>
            <w:hideMark/>
          </w:tcPr>
          <w:p w14:paraId="71F5E248" w14:textId="77777777" w:rsidR="00105A87" w:rsidRPr="00B666A2" w:rsidRDefault="00105A87" w:rsidP="00105A87">
            <w:pPr>
              <w:pStyle w:val="TableBody"/>
              <w:jc w:val="right"/>
              <w:rPr>
                <w:b/>
                <w:sz w:val="16"/>
                <w:szCs w:val="16"/>
              </w:rPr>
            </w:pPr>
            <w:r w:rsidRPr="00B666A2">
              <w:rPr>
                <w:b/>
                <w:sz w:val="16"/>
                <w:szCs w:val="16"/>
              </w:rPr>
              <w:t>-6.1</w:t>
            </w:r>
          </w:p>
        </w:tc>
        <w:tc>
          <w:tcPr>
            <w:tcW w:w="909" w:type="pct"/>
            <w:noWrap/>
            <w:hideMark/>
          </w:tcPr>
          <w:p w14:paraId="00F6CCD6" w14:textId="77777777" w:rsidR="00105A87" w:rsidRPr="00B666A2" w:rsidRDefault="00105A87" w:rsidP="00105A87">
            <w:pPr>
              <w:pStyle w:val="TableBody"/>
              <w:jc w:val="right"/>
              <w:rPr>
                <w:b/>
                <w:sz w:val="16"/>
                <w:szCs w:val="16"/>
              </w:rPr>
            </w:pPr>
            <w:r w:rsidRPr="00B666A2">
              <w:rPr>
                <w:b/>
                <w:sz w:val="16"/>
                <w:szCs w:val="16"/>
              </w:rPr>
              <w:t>2.9</w:t>
            </w:r>
          </w:p>
        </w:tc>
        <w:tc>
          <w:tcPr>
            <w:tcW w:w="909" w:type="pct"/>
            <w:noWrap/>
            <w:hideMark/>
          </w:tcPr>
          <w:p w14:paraId="171CD7C8" w14:textId="77777777" w:rsidR="00105A87" w:rsidRPr="00B666A2" w:rsidRDefault="00105A87" w:rsidP="00105A87">
            <w:pPr>
              <w:pStyle w:val="TableBody"/>
              <w:jc w:val="right"/>
              <w:rPr>
                <w:b/>
                <w:sz w:val="16"/>
                <w:szCs w:val="16"/>
              </w:rPr>
            </w:pPr>
            <w:r w:rsidRPr="00B666A2">
              <w:rPr>
                <w:b/>
                <w:sz w:val="16"/>
                <w:szCs w:val="16"/>
              </w:rPr>
              <w:t>2.7</w:t>
            </w:r>
          </w:p>
        </w:tc>
        <w:tc>
          <w:tcPr>
            <w:tcW w:w="909" w:type="pct"/>
            <w:noWrap/>
            <w:hideMark/>
          </w:tcPr>
          <w:p w14:paraId="488EC350" w14:textId="77777777" w:rsidR="00105A87" w:rsidRPr="00B666A2" w:rsidRDefault="00105A87" w:rsidP="00105A87">
            <w:pPr>
              <w:pStyle w:val="TableBody"/>
              <w:jc w:val="right"/>
              <w:rPr>
                <w:b/>
                <w:sz w:val="16"/>
                <w:szCs w:val="16"/>
              </w:rPr>
            </w:pPr>
            <w:r w:rsidRPr="00B666A2">
              <w:rPr>
                <w:b/>
                <w:sz w:val="16"/>
                <w:szCs w:val="16"/>
              </w:rPr>
              <w:t>10.0</w:t>
            </w:r>
          </w:p>
        </w:tc>
      </w:tr>
      <w:tr w:rsidR="00105A87" w:rsidRPr="001943F6" w14:paraId="0F88A077" w14:textId="77777777" w:rsidTr="00293705">
        <w:trPr>
          <w:trHeight w:val="290"/>
        </w:trPr>
        <w:tc>
          <w:tcPr>
            <w:tcW w:w="1363" w:type="pct"/>
            <w:hideMark/>
          </w:tcPr>
          <w:p w14:paraId="7C95A312" w14:textId="77777777" w:rsidR="00105A87" w:rsidRPr="00545AF1" w:rsidRDefault="00105A87" w:rsidP="007E6D4D">
            <w:pPr>
              <w:pStyle w:val="Table-ListBullet"/>
              <w:rPr>
                <w:sz w:val="16"/>
                <w:szCs w:val="16"/>
              </w:rPr>
            </w:pPr>
            <w:r w:rsidRPr="00545AF1">
              <w:rPr>
                <w:sz w:val="16"/>
                <w:szCs w:val="16"/>
              </w:rPr>
              <w:t>Public Transport</w:t>
            </w:r>
          </w:p>
        </w:tc>
        <w:tc>
          <w:tcPr>
            <w:tcW w:w="910" w:type="pct"/>
            <w:noWrap/>
            <w:hideMark/>
          </w:tcPr>
          <w:p w14:paraId="139DF3C9" w14:textId="77777777" w:rsidR="00105A87" w:rsidRPr="00B666A2" w:rsidRDefault="00105A87" w:rsidP="00105A87">
            <w:pPr>
              <w:pStyle w:val="TableBody"/>
              <w:jc w:val="right"/>
              <w:rPr>
                <w:b/>
                <w:sz w:val="16"/>
                <w:szCs w:val="16"/>
              </w:rPr>
            </w:pPr>
            <w:r w:rsidRPr="00B666A2">
              <w:rPr>
                <w:b/>
                <w:sz w:val="16"/>
                <w:szCs w:val="16"/>
              </w:rPr>
              <w:t>2.7</w:t>
            </w:r>
          </w:p>
        </w:tc>
        <w:tc>
          <w:tcPr>
            <w:tcW w:w="909" w:type="pct"/>
            <w:noWrap/>
            <w:hideMark/>
          </w:tcPr>
          <w:p w14:paraId="2D9E1E71" w14:textId="77777777" w:rsidR="00105A87" w:rsidRPr="00B666A2" w:rsidRDefault="00105A87" w:rsidP="00105A87">
            <w:pPr>
              <w:pStyle w:val="TableBody"/>
              <w:jc w:val="right"/>
              <w:rPr>
                <w:b/>
                <w:sz w:val="16"/>
                <w:szCs w:val="16"/>
              </w:rPr>
            </w:pPr>
            <w:r w:rsidRPr="00B666A2">
              <w:rPr>
                <w:b/>
                <w:sz w:val="16"/>
                <w:szCs w:val="16"/>
              </w:rPr>
              <w:t>2.2</w:t>
            </w:r>
          </w:p>
        </w:tc>
        <w:tc>
          <w:tcPr>
            <w:tcW w:w="909" w:type="pct"/>
            <w:noWrap/>
            <w:hideMark/>
          </w:tcPr>
          <w:p w14:paraId="2602A646" w14:textId="77777777" w:rsidR="00105A87" w:rsidRPr="00B666A2" w:rsidRDefault="00105A87" w:rsidP="00105A87">
            <w:pPr>
              <w:pStyle w:val="TableBody"/>
              <w:jc w:val="right"/>
              <w:rPr>
                <w:b/>
                <w:sz w:val="16"/>
                <w:szCs w:val="16"/>
              </w:rPr>
            </w:pPr>
            <w:r w:rsidRPr="00B666A2">
              <w:rPr>
                <w:b/>
                <w:sz w:val="16"/>
                <w:szCs w:val="16"/>
              </w:rPr>
              <w:t>9.1</w:t>
            </w:r>
          </w:p>
        </w:tc>
        <w:tc>
          <w:tcPr>
            <w:tcW w:w="909" w:type="pct"/>
            <w:noWrap/>
            <w:hideMark/>
          </w:tcPr>
          <w:p w14:paraId="4EB1A15F" w14:textId="77777777" w:rsidR="00105A87" w:rsidRPr="00B666A2" w:rsidRDefault="00105A87" w:rsidP="00105A87">
            <w:pPr>
              <w:pStyle w:val="TableBody"/>
              <w:jc w:val="right"/>
              <w:rPr>
                <w:b/>
                <w:sz w:val="16"/>
                <w:szCs w:val="16"/>
              </w:rPr>
            </w:pPr>
            <w:r w:rsidRPr="00B666A2">
              <w:rPr>
                <w:b/>
                <w:sz w:val="16"/>
                <w:szCs w:val="16"/>
              </w:rPr>
              <w:t>4.2</w:t>
            </w:r>
          </w:p>
        </w:tc>
      </w:tr>
      <w:tr w:rsidR="00105A87" w:rsidRPr="001943F6" w14:paraId="2FA08F89" w14:textId="77777777" w:rsidTr="00293705">
        <w:trPr>
          <w:trHeight w:val="290"/>
        </w:trPr>
        <w:tc>
          <w:tcPr>
            <w:tcW w:w="1363" w:type="pct"/>
            <w:shd w:val="clear" w:color="auto" w:fill="D9E2F3" w:themeFill="accent1" w:themeFillTint="33"/>
            <w:hideMark/>
          </w:tcPr>
          <w:p w14:paraId="71221367" w14:textId="2DE32F62" w:rsidR="00105A87" w:rsidRPr="00B666A2" w:rsidRDefault="00105A87" w:rsidP="00105A87">
            <w:pPr>
              <w:pStyle w:val="TableBody"/>
              <w:rPr>
                <w:b/>
                <w:sz w:val="16"/>
                <w:szCs w:val="16"/>
              </w:rPr>
            </w:pPr>
            <w:r w:rsidRPr="00B666A2">
              <w:rPr>
                <w:b/>
                <w:sz w:val="16"/>
                <w:szCs w:val="16"/>
              </w:rPr>
              <w:t>Communication</w:t>
            </w:r>
          </w:p>
        </w:tc>
        <w:tc>
          <w:tcPr>
            <w:tcW w:w="910" w:type="pct"/>
            <w:shd w:val="clear" w:color="auto" w:fill="D9E2F3" w:themeFill="accent1" w:themeFillTint="33"/>
            <w:noWrap/>
            <w:hideMark/>
          </w:tcPr>
          <w:p w14:paraId="434F3FD8" w14:textId="77777777" w:rsidR="00105A87" w:rsidRPr="00B666A2" w:rsidRDefault="00105A87" w:rsidP="00105A87">
            <w:pPr>
              <w:pStyle w:val="TableBody"/>
              <w:jc w:val="right"/>
              <w:rPr>
                <w:b/>
                <w:sz w:val="16"/>
                <w:szCs w:val="16"/>
              </w:rPr>
            </w:pPr>
            <w:r w:rsidRPr="00B666A2">
              <w:rPr>
                <w:b/>
                <w:sz w:val="16"/>
                <w:szCs w:val="16"/>
              </w:rPr>
              <w:t>-3.6</w:t>
            </w:r>
          </w:p>
        </w:tc>
        <w:tc>
          <w:tcPr>
            <w:tcW w:w="909" w:type="pct"/>
            <w:shd w:val="clear" w:color="auto" w:fill="D9E2F3" w:themeFill="accent1" w:themeFillTint="33"/>
            <w:noWrap/>
            <w:hideMark/>
          </w:tcPr>
          <w:p w14:paraId="52510AD3" w14:textId="77777777" w:rsidR="00105A87" w:rsidRPr="00B666A2" w:rsidRDefault="00105A87" w:rsidP="00105A87">
            <w:pPr>
              <w:pStyle w:val="TableBody"/>
              <w:jc w:val="right"/>
              <w:rPr>
                <w:b/>
                <w:sz w:val="16"/>
                <w:szCs w:val="16"/>
              </w:rPr>
            </w:pPr>
            <w:r w:rsidRPr="00B666A2">
              <w:rPr>
                <w:b/>
                <w:sz w:val="16"/>
                <w:szCs w:val="16"/>
              </w:rPr>
              <w:t>-3.8</w:t>
            </w:r>
          </w:p>
        </w:tc>
        <w:tc>
          <w:tcPr>
            <w:tcW w:w="909" w:type="pct"/>
            <w:shd w:val="clear" w:color="auto" w:fill="B4C6E7" w:themeFill="accent1" w:themeFillTint="66"/>
            <w:noWrap/>
            <w:hideMark/>
          </w:tcPr>
          <w:p w14:paraId="0A1913D4" w14:textId="77777777" w:rsidR="00105A87" w:rsidRPr="00B666A2" w:rsidRDefault="00105A87" w:rsidP="00105A87">
            <w:pPr>
              <w:pStyle w:val="TableBody"/>
              <w:jc w:val="right"/>
              <w:rPr>
                <w:b/>
                <w:sz w:val="16"/>
                <w:szCs w:val="16"/>
              </w:rPr>
            </w:pPr>
            <w:r w:rsidRPr="00B666A2">
              <w:rPr>
                <w:b/>
                <w:sz w:val="16"/>
                <w:szCs w:val="16"/>
              </w:rPr>
              <w:t>-21.3</w:t>
            </w:r>
          </w:p>
        </w:tc>
        <w:tc>
          <w:tcPr>
            <w:tcW w:w="909" w:type="pct"/>
            <w:shd w:val="clear" w:color="auto" w:fill="B4C6E7" w:themeFill="accent1" w:themeFillTint="66"/>
            <w:noWrap/>
            <w:hideMark/>
          </w:tcPr>
          <w:p w14:paraId="7F1A50F4" w14:textId="77777777" w:rsidR="00105A87" w:rsidRPr="00B666A2" w:rsidRDefault="00105A87" w:rsidP="00105A87">
            <w:pPr>
              <w:pStyle w:val="TableBody"/>
              <w:jc w:val="right"/>
              <w:rPr>
                <w:b/>
                <w:sz w:val="16"/>
                <w:szCs w:val="16"/>
              </w:rPr>
            </w:pPr>
            <w:r w:rsidRPr="00B666A2">
              <w:rPr>
                <w:b/>
                <w:sz w:val="16"/>
                <w:szCs w:val="16"/>
              </w:rPr>
              <w:t>-21.6</w:t>
            </w:r>
          </w:p>
        </w:tc>
      </w:tr>
      <w:tr w:rsidR="00105A87" w:rsidRPr="001943F6" w14:paraId="1C9DDDC3" w14:textId="77777777" w:rsidTr="00293705">
        <w:trPr>
          <w:trHeight w:val="13"/>
        </w:trPr>
        <w:tc>
          <w:tcPr>
            <w:tcW w:w="1363" w:type="pct"/>
            <w:hideMark/>
          </w:tcPr>
          <w:p w14:paraId="0950C1BA" w14:textId="77777777" w:rsidR="00105A87" w:rsidRPr="00545AF1" w:rsidRDefault="00105A87" w:rsidP="000D061F">
            <w:pPr>
              <w:pStyle w:val="Table-ListBullet"/>
              <w:rPr>
                <w:sz w:val="16"/>
                <w:szCs w:val="16"/>
              </w:rPr>
            </w:pPr>
            <w:r w:rsidRPr="00545AF1">
              <w:rPr>
                <w:sz w:val="16"/>
                <w:szCs w:val="16"/>
              </w:rPr>
              <w:t>Telecommunication Equipment &amp; Services</w:t>
            </w:r>
          </w:p>
        </w:tc>
        <w:tc>
          <w:tcPr>
            <w:tcW w:w="910" w:type="pct"/>
            <w:noWrap/>
            <w:hideMark/>
          </w:tcPr>
          <w:p w14:paraId="7A24C0FA" w14:textId="77777777" w:rsidR="00105A87" w:rsidRPr="00B666A2" w:rsidRDefault="00105A87" w:rsidP="00105A87">
            <w:pPr>
              <w:pStyle w:val="TableBody"/>
              <w:jc w:val="right"/>
              <w:rPr>
                <w:b/>
                <w:sz w:val="16"/>
                <w:szCs w:val="16"/>
              </w:rPr>
            </w:pPr>
            <w:r w:rsidRPr="00B666A2">
              <w:rPr>
                <w:b/>
                <w:sz w:val="16"/>
                <w:szCs w:val="16"/>
              </w:rPr>
              <w:t>-3.7</w:t>
            </w:r>
          </w:p>
        </w:tc>
        <w:tc>
          <w:tcPr>
            <w:tcW w:w="909" w:type="pct"/>
            <w:noWrap/>
            <w:hideMark/>
          </w:tcPr>
          <w:p w14:paraId="6F0C30CD" w14:textId="77777777" w:rsidR="00105A87" w:rsidRPr="00B666A2" w:rsidRDefault="00105A87" w:rsidP="00105A87">
            <w:pPr>
              <w:pStyle w:val="TableBody"/>
              <w:jc w:val="right"/>
              <w:rPr>
                <w:b/>
                <w:sz w:val="16"/>
                <w:szCs w:val="16"/>
              </w:rPr>
            </w:pPr>
            <w:r w:rsidRPr="00B666A2">
              <w:rPr>
                <w:b/>
                <w:sz w:val="16"/>
                <w:szCs w:val="16"/>
              </w:rPr>
              <w:t>-3.9</w:t>
            </w:r>
          </w:p>
        </w:tc>
        <w:tc>
          <w:tcPr>
            <w:tcW w:w="909" w:type="pct"/>
            <w:noWrap/>
            <w:hideMark/>
          </w:tcPr>
          <w:p w14:paraId="41B91D96" w14:textId="77777777" w:rsidR="00105A87" w:rsidRPr="00B666A2" w:rsidRDefault="00105A87" w:rsidP="00105A87">
            <w:pPr>
              <w:pStyle w:val="TableBody"/>
              <w:jc w:val="right"/>
              <w:rPr>
                <w:b/>
                <w:sz w:val="16"/>
                <w:szCs w:val="16"/>
              </w:rPr>
            </w:pPr>
            <w:r w:rsidRPr="00B666A2">
              <w:rPr>
                <w:b/>
                <w:sz w:val="16"/>
                <w:szCs w:val="16"/>
              </w:rPr>
              <w:t>-22.9</w:t>
            </w:r>
          </w:p>
        </w:tc>
        <w:tc>
          <w:tcPr>
            <w:tcW w:w="909" w:type="pct"/>
            <w:noWrap/>
            <w:hideMark/>
          </w:tcPr>
          <w:p w14:paraId="75B0D9BB" w14:textId="77777777" w:rsidR="00105A87" w:rsidRPr="00B666A2" w:rsidRDefault="00105A87" w:rsidP="00105A87">
            <w:pPr>
              <w:pStyle w:val="TableBody"/>
              <w:jc w:val="right"/>
              <w:rPr>
                <w:b/>
                <w:sz w:val="16"/>
                <w:szCs w:val="16"/>
              </w:rPr>
            </w:pPr>
            <w:r w:rsidRPr="00B666A2">
              <w:rPr>
                <w:b/>
                <w:sz w:val="16"/>
                <w:szCs w:val="16"/>
              </w:rPr>
              <w:t>-22.8</w:t>
            </w:r>
          </w:p>
        </w:tc>
      </w:tr>
      <w:tr w:rsidR="00105A87" w:rsidRPr="001943F6" w14:paraId="5C92C7A2" w14:textId="77777777" w:rsidTr="00293705">
        <w:trPr>
          <w:trHeight w:val="13"/>
        </w:trPr>
        <w:tc>
          <w:tcPr>
            <w:tcW w:w="1363" w:type="pct"/>
            <w:shd w:val="clear" w:color="auto" w:fill="D9E2F3" w:themeFill="accent1" w:themeFillTint="33"/>
            <w:hideMark/>
          </w:tcPr>
          <w:p w14:paraId="1A51AC46" w14:textId="30CEE441" w:rsidR="00105A87" w:rsidRPr="00B666A2" w:rsidRDefault="00105A87" w:rsidP="00105A87">
            <w:pPr>
              <w:pStyle w:val="TableBody"/>
              <w:rPr>
                <w:b/>
                <w:sz w:val="16"/>
                <w:szCs w:val="16"/>
              </w:rPr>
            </w:pPr>
            <w:r w:rsidRPr="00B666A2">
              <w:rPr>
                <w:b/>
                <w:sz w:val="16"/>
                <w:szCs w:val="16"/>
              </w:rPr>
              <w:t>Recreation &amp; culture</w:t>
            </w:r>
          </w:p>
        </w:tc>
        <w:tc>
          <w:tcPr>
            <w:tcW w:w="910" w:type="pct"/>
            <w:shd w:val="clear" w:color="auto" w:fill="D9E2F3" w:themeFill="accent1" w:themeFillTint="33"/>
            <w:noWrap/>
            <w:hideMark/>
          </w:tcPr>
          <w:p w14:paraId="4A4AA650" w14:textId="77777777" w:rsidR="00105A87" w:rsidRPr="00B666A2" w:rsidRDefault="00105A87" w:rsidP="00105A87">
            <w:pPr>
              <w:pStyle w:val="TableBody"/>
              <w:jc w:val="right"/>
              <w:rPr>
                <w:b/>
                <w:sz w:val="16"/>
                <w:szCs w:val="16"/>
              </w:rPr>
            </w:pPr>
            <w:r w:rsidRPr="00B666A2">
              <w:rPr>
                <w:b/>
                <w:sz w:val="16"/>
                <w:szCs w:val="16"/>
              </w:rPr>
              <w:t>1.7</w:t>
            </w:r>
          </w:p>
        </w:tc>
        <w:tc>
          <w:tcPr>
            <w:tcW w:w="909" w:type="pct"/>
            <w:shd w:val="clear" w:color="auto" w:fill="D9E2F3" w:themeFill="accent1" w:themeFillTint="33"/>
            <w:noWrap/>
            <w:hideMark/>
          </w:tcPr>
          <w:p w14:paraId="2CDB1D56" w14:textId="77777777" w:rsidR="00105A87" w:rsidRPr="00B666A2" w:rsidRDefault="00105A87" w:rsidP="00105A87">
            <w:pPr>
              <w:pStyle w:val="TableBody"/>
              <w:jc w:val="right"/>
              <w:rPr>
                <w:b/>
                <w:sz w:val="16"/>
                <w:szCs w:val="16"/>
              </w:rPr>
            </w:pPr>
            <w:r w:rsidRPr="00B666A2">
              <w:rPr>
                <w:b/>
                <w:sz w:val="16"/>
                <w:szCs w:val="16"/>
              </w:rPr>
              <w:t>1.5</w:t>
            </w:r>
          </w:p>
        </w:tc>
        <w:tc>
          <w:tcPr>
            <w:tcW w:w="909" w:type="pct"/>
            <w:shd w:val="clear" w:color="auto" w:fill="B4C6E7" w:themeFill="accent1" w:themeFillTint="66"/>
            <w:noWrap/>
            <w:hideMark/>
          </w:tcPr>
          <w:p w14:paraId="6D0130A6" w14:textId="77777777" w:rsidR="00105A87" w:rsidRPr="00B666A2" w:rsidRDefault="00105A87" w:rsidP="00105A87">
            <w:pPr>
              <w:pStyle w:val="TableBody"/>
              <w:jc w:val="right"/>
              <w:rPr>
                <w:b/>
                <w:sz w:val="16"/>
                <w:szCs w:val="16"/>
              </w:rPr>
            </w:pPr>
            <w:r w:rsidRPr="00B666A2">
              <w:rPr>
                <w:b/>
                <w:sz w:val="16"/>
                <w:szCs w:val="16"/>
              </w:rPr>
              <w:t>7.0</w:t>
            </w:r>
          </w:p>
        </w:tc>
        <w:tc>
          <w:tcPr>
            <w:tcW w:w="909" w:type="pct"/>
            <w:shd w:val="clear" w:color="auto" w:fill="B4C6E7" w:themeFill="accent1" w:themeFillTint="66"/>
            <w:noWrap/>
            <w:hideMark/>
          </w:tcPr>
          <w:p w14:paraId="61B44A49" w14:textId="77777777" w:rsidR="00105A87" w:rsidRPr="00B666A2" w:rsidRDefault="00105A87" w:rsidP="00105A87">
            <w:pPr>
              <w:pStyle w:val="TableBody"/>
              <w:jc w:val="right"/>
              <w:rPr>
                <w:b/>
                <w:sz w:val="16"/>
                <w:szCs w:val="16"/>
              </w:rPr>
            </w:pPr>
            <w:r w:rsidRPr="00B666A2">
              <w:rPr>
                <w:b/>
                <w:sz w:val="16"/>
                <w:szCs w:val="16"/>
              </w:rPr>
              <w:t>4.9</w:t>
            </w:r>
          </w:p>
        </w:tc>
      </w:tr>
      <w:tr w:rsidR="00105A87" w:rsidRPr="001943F6" w14:paraId="597854B4" w14:textId="77777777" w:rsidTr="00293705">
        <w:trPr>
          <w:trHeight w:val="13"/>
        </w:trPr>
        <w:tc>
          <w:tcPr>
            <w:tcW w:w="1363" w:type="pct"/>
            <w:shd w:val="clear" w:color="auto" w:fill="D9E2F3" w:themeFill="accent1" w:themeFillTint="33"/>
            <w:hideMark/>
          </w:tcPr>
          <w:p w14:paraId="7F005D4E" w14:textId="77777777" w:rsidR="00105A87" w:rsidRPr="00545AF1" w:rsidRDefault="00105A87" w:rsidP="007E6D4D">
            <w:pPr>
              <w:pStyle w:val="Table-ListBullet"/>
              <w:rPr>
                <w:sz w:val="16"/>
                <w:szCs w:val="16"/>
              </w:rPr>
            </w:pPr>
            <w:r w:rsidRPr="00545AF1">
              <w:rPr>
                <w:sz w:val="16"/>
                <w:szCs w:val="16"/>
              </w:rPr>
              <w:t>Audio, visual and computing equipment</w:t>
            </w:r>
          </w:p>
        </w:tc>
        <w:tc>
          <w:tcPr>
            <w:tcW w:w="910" w:type="pct"/>
            <w:shd w:val="clear" w:color="auto" w:fill="D9E2F3" w:themeFill="accent1" w:themeFillTint="33"/>
            <w:noWrap/>
            <w:hideMark/>
          </w:tcPr>
          <w:p w14:paraId="4C088334" w14:textId="77777777" w:rsidR="00105A87" w:rsidRPr="00B666A2" w:rsidRDefault="00105A87" w:rsidP="00105A87">
            <w:pPr>
              <w:pStyle w:val="TableBody"/>
              <w:jc w:val="right"/>
              <w:rPr>
                <w:b/>
                <w:sz w:val="16"/>
                <w:szCs w:val="16"/>
              </w:rPr>
            </w:pPr>
            <w:r w:rsidRPr="00B666A2">
              <w:rPr>
                <w:b/>
                <w:sz w:val="16"/>
                <w:szCs w:val="16"/>
              </w:rPr>
              <w:t>-5.6</w:t>
            </w:r>
          </w:p>
        </w:tc>
        <w:tc>
          <w:tcPr>
            <w:tcW w:w="909" w:type="pct"/>
            <w:shd w:val="clear" w:color="auto" w:fill="D9E2F3" w:themeFill="accent1" w:themeFillTint="33"/>
            <w:noWrap/>
            <w:hideMark/>
          </w:tcPr>
          <w:p w14:paraId="7D9E441E" w14:textId="77777777" w:rsidR="00105A87" w:rsidRPr="00B666A2" w:rsidRDefault="00105A87" w:rsidP="00105A87">
            <w:pPr>
              <w:pStyle w:val="TableBody"/>
              <w:jc w:val="right"/>
              <w:rPr>
                <w:b/>
                <w:sz w:val="16"/>
                <w:szCs w:val="16"/>
              </w:rPr>
            </w:pPr>
            <w:r w:rsidRPr="00B666A2">
              <w:rPr>
                <w:b/>
                <w:sz w:val="16"/>
                <w:szCs w:val="16"/>
              </w:rPr>
              <w:t>-4.9</w:t>
            </w:r>
          </w:p>
        </w:tc>
        <w:tc>
          <w:tcPr>
            <w:tcW w:w="909" w:type="pct"/>
            <w:shd w:val="clear" w:color="auto" w:fill="B4C6E7" w:themeFill="accent1" w:themeFillTint="66"/>
            <w:noWrap/>
            <w:hideMark/>
          </w:tcPr>
          <w:p w14:paraId="3BA8381F" w14:textId="77777777" w:rsidR="00105A87" w:rsidRPr="00B666A2" w:rsidRDefault="00105A87" w:rsidP="00105A87">
            <w:pPr>
              <w:pStyle w:val="TableBody"/>
              <w:jc w:val="right"/>
              <w:rPr>
                <w:b/>
                <w:sz w:val="16"/>
                <w:szCs w:val="16"/>
              </w:rPr>
            </w:pPr>
            <w:r w:rsidRPr="00B666A2">
              <w:rPr>
                <w:b/>
                <w:sz w:val="16"/>
                <w:szCs w:val="16"/>
              </w:rPr>
              <w:t>-28.3</w:t>
            </w:r>
          </w:p>
        </w:tc>
        <w:tc>
          <w:tcPr>
            <w:tcW w:w="909" w:type="pct"/>
            <w:shd w:val="clear" w:color="auto" w:fill="B4C6E7" w:themeFill="accent1" w:themeFillTint="66"/>
            <w:noWrap/>
            <w:hideMark/>
          </w:tcPr>
          <w:p w14:paraId="3F7DD59A" w14:textId="77777777" w:rsidR="00105A87" w:rsidRPr="00B666A2" w:rsidRDefault="00105A87" w:rsidP="00105A87">
            <w:pPr>
              <w:pStyle w:val="TableBody"/>
              <w:jc w:val="right"/>
              <w:rPr>
                <w:b/>
                <w:sz w:val="16"/>
                <w:szCs w:val="16"/>
              </w:rPr>
            </w:pPr>
            <w:r w:rsidRPr="00B666A2">
              <w:rPr>
                <w:b/>
                <w:sz w:val="16"/>
                <w:szCs w:val="16"/>
              </w:rPr>
              <w:t>-31.1</w:t>
            </w:r>
          </w:p>
        </w:tc>
      </w:tr>
      <w:tr w:rsidR="00105A87" w:rsidRPr="001943F6" w14:paraId="6D01DBBF" w14:textId="77777777" w:rsidTr="00293705">
        <w:trPr>
          <w:trHeight w:val="42"/>
        </w:trPr>
        <w:tc>
          <w:tcPr>
            <w:tcW w:w="1363" w:type="pct"/>
            <w:shd w:val="clear" w:color="auto" w:fill="D9E2F3" w:themeFill="accent1" w:themeFillTint="33"/>
            <w:hideMark/>
          </w:tcPr>
          <w:p w14:paraId="24267B0E" w14:textId="77777777" w:rsidR="00105A87" w:rsidRPr="00545AF1" w:rsidRDefault="00105A87" w:rsidP="000D061F">
            <w:pPr>
              <w:pStyle w:val="Table-ListBullet"/>
              <w:rPr>
                <w:sz w:val="16"/>
                <w:szCs w:val="16"/>
              </w:rPr>
            </w:pPr>
            <w:r w:rsidRPr="00545AF1">
              <w:rPr>
                <w:sz w:val="16"/>
                <w:szCs w:val="16"/>
              </w:rPr>
              <w:t>Audio, visual and computing media &amp; services</w:t>
            </w:r>
          </w:p>
        </w:tc>
        <w:tc>
          <w:tcPr>
            <w:tcW w:w="910" w:type="pct"/>
            <w:shd w:val="clear" w:color="auto" w:fill="D9E2F3" w:themeFill="accent1" w:themeFillTint="33"/>
            <w:noWrap/>
            <w:hideMark/>
          </w:tcPr>
          <w:p w14:paraId="734B8D8B" w14:textId="77777777" w:rsidR="00105A87" w:rsidRPr="00B666A2" w:rsidRDefault="00105A87" w:rsidP="00105A87">
            <w:pPr>
              <w:pStyle w:val="TableBody"/>
              <w:jc w:val="right"/>
              <w:rPr>
                <w:b/>
                <w:sz w:val="16"/>
                <w:szCs w:val="16"/>
              </w:rPr>
            </w:pPr>
            <w:r w:rsidRPr="00B666A2">
              <w:rPr>
                <w:b/>
                <w:sz w:val="16"/>
                <w:szCs w:val="16"/>
              </w:rPr>
              <w:t>2.5</w:t>
            </w:r>
          </w:p>
        </w:tc>
        <w:tc>
          <w:tcPr>
            <w:tcW w:w="909" w:type="pct"/>
            <w:shd w:val="clear" w:color="auto" w:fill="D9E2F3" w:themeFill="accent1" w:themeFillTint="33"/>
            <w:noWrap/>
            <w:hideMark/>
          </w:tcPr>
          <w:p w14:paraId="3481F5F2" w14:textId="77777777" w:rsidR="00105A87" w:rsidRPr="00B666A2" w:rsidRDefault="00105A87" w:rsidP="00105A87">
            <w:pPr>
              <w:pStyle w:val="TableBody"/>
              <w:jc w:val="right"/>
              <w:rPr>
                <w:b/>
                <w:sz w:val="16"/>
                <w:szCs w:val="16"/>
              </w:rPr>
            </w:pPr>
            <w:r w:rsidRPr="00B666A2">
              <w:rPr>
                <w:b/>
                <w:sz w:val="16"/>
                <w:szCs w:val="16"/>
              </w:rPr>
              <w:t>1.7</w:t>
            </w:r>
          </w:p>
        </w:tc>
        <w:tc>
          <w:tcPr>
            <w:tcW w:w="909" w:type="pct"/>
            <w:shd w:val="clear" w:color="auto" w:fill="B4C6E7" w:themeFill="accent1" w:themeFillTint="66"/>
            <w:noWrap/>
            <w:hideMark/>
          </w:tcPr>
          <w:p w14:paraId="78C526D8" w14:textId="77777777" w:rsidR="00105A87" w:rsidRPr="00B666A2" w:rsidRDefault="00105A87" w:rsidP="00105A87">
            <w:pPr>
              <w:pStyle w:val="TableBody"/>
              <w:jc w:val="right"/>
              <w:rPr>
                <w:b/>
                <w:sz w:val="16"/>
                <w:szCs w:val="16"/>
              </w:rPr>
            </w:pPr>
            <w:r w:rsidRPr="00B666A2">
              <w:rPr>
                <w:b/>
                <w:sz w:val="16"/>
                <w:szCs w:val="16"/>
              </w:rPr>
              <w:t>6.7</w:t>
            </w:r>
          </w:p>
        </w:tc>
        <w:tc>
          <w:tcPr>
            <w:tcW w:w="909" w:type="pct"/>
            <w:shd w:val="clear" w:color="auto" w:fill="B4C6E7" w:themeFill="accent1" w:themeFillTint="66"/>
            <w:noWrap/>
            <w:hideMark/>
          </w:tcPr>
          <w:p w14:paraId="3E7015D2" w14:textId="77777777" w:rsidR="00105A87" w:rsidRPr="00B666A2" w:rsidRDefault="00105A87" w:rsidP="00105A87">
            <w:pPr>
              <w:pStyle w:val="TableBody"/>
              <w:jc w:val="right"/>
              <w:rPr>
                <w:b/>
                <w:sz w:val="16"/>
                <w:szCs w:val="16"/>
              </w:rPr>
            </w:pPr>
            <w:r w:rsidRPr="00B666A2">
              <w:rPr>
                <w:b/>
                <w:sz w:val="16"/>
                <w:szCs w:val="16"/>
              </w:rPr>
              <w:t>6.3</w:t>
            </w:r>
          </w:p>
        </w:tc>
      </w:tr>
      <w:tr w:rsidR="00105A87" w:rsidRPr="001943F6" w14:paraId="4308348F" w14:textId="77777777" w:rsidTr="00293705">
        <w:trPr>
          <w:trHeight w:val="290"/>
        </w:trPr>
        <w:tc>
          <w:tcPr>
            <w:tcW w:w="1363" w:type="pct"/>
            <w:hideMark/>
          </w:tcPr>
          <w:p w14:paraId="01A9C10D" w14:textId="29CF7BF9" w:rsidR="00105A87" w:rsidRPr="00B666A2" w:rsidRDefault="00105A87" w:rsidP="00105A87">
            <w:pPr>
              <w:pStyle w:val="TableBody"/>
              <w:rPr>
                <w:b/>
                <w:sz w:val="16"/>
                <w:szCs w:val="16"/>
              </w:rPr>
            </w:pPr>
            <w:r w:rsidRPr="00B666A2">
              <w:rPr>
                <w:b/>
                <w:sz w:val="16"/>
                <w:szCs w:val="16"/>
              </w:rPr>
              <w:t>Education</w:t>
            </w:r>
          </w:p>
        </w:tc>
        <w:tc>
          <w:tcPr>
            <w:tcW w:w="910" w:type="pct"/>
            <w:noWrap/>
            <w:hideMark/>
          </w:tcPr>
          <w:p w14:paraId="685FC3CC" w14:textId="77777777" w:rsidR="00105A87" w:rsidRPr="00B666A2" w:rsidRDefault="00105A87" w:rsidP="00105A87">
            <w:pPr>
              <w:pStyle w:val="TableBody"/>
              <w:jc w:val="right"/>
              <w:rPr>
                <w:b/>
                <w:sz w:val="16"/>
                <w:szCs w:val="16"/>
              </w:rPr>
            </w:pPr>
            <w:r w:rsidRPr="00B666A2">
              <w:rPr>
                <w:b/>
                <w:sz w:val="16"/>
                <w:szCs w:val="16"/>
              </w:rPr>
              <w:t>3.5</w:t>
            </w:r>
          </w:p>
        </w:tc>
        <w:tc>
          <w:tcPr>
            <w:tcW w:w="909" w:type="pct"/>
            <w:noWrap/>
            <w:hideMark/>
          </w:tcPr>
          <w:p w14:paraId="3CE74C2B" w14:textId="77777777" w:rsidR="00105A87" w:rsidRPr="00B666A2" w:rsidRDefault="00105A87" w:rsidP="00105A87">
            <w:pPr>
              <w:pStyle w:val="TableBody"/>
              <w:jc w:val="right"/>
              <w:rPr>
                <w:b/>
                <w:sz w:val="16"/>
                <w:szCs w:val="16"/>
              </w:rPr>
            </w:pPr>
            <w:r w:rsidRPr="00B666A2">
              <w:rPr>
                <w:b/>
                <w:sz w:val="16"/>
                <w:szCs w:val="16"/>
              </w:rPr>
              <w:t>2.9</w:t>
            </w:r>
          </w:p>
        </w:tc>
        <w:tc>
          <w:tcPr>
            <w:tcW w:w="909" w:type="pct"/>
            <w:noWrap/>
            <w:hideMark/>
          </w:tcPr>
          <w:p w14:paraId="1061D182" w14:textId="77777777" w:rsidR="00105A87" w:rsidRPr="00B666A2" w:rsidRDefault="00105A87" w:rsidP="00105A87">
            <w:pPr>
              <w:pStyle w:val="TableBody"/>
              <w:jc w:val="right"/>
              <w:rPr>
                <w:b/>
                <w:sz w:val="16"/>
                <w:szCs w:val="16"/>
              </w:rPr>
            </w:pPr>
            <w:r w:rsidRPr="00B666A2">
              <w:rPr>
                <w:b/>
                <w:sz w:val="16"/>
                <w:szCs w:val="16"/>
              </w:rPr>
              <w:t>17.7</w:t>
            </w:r>
          </w:p>
        </w:tc>
        <w:tc>
          <w:tcPr>
            <w:tcW w:w="909" w:type="pct"/>
            <w:noWrap/>
            <w:hideMark/>
          </w:tcPr>
          <w:p w14:paraId="13AF316F" w14:textId="77777777" w:rsidR="00105A87" w:rsidRPr="00B666A2" w:rsidRDefault="00105A87" w:rsidP="00105A87">
            <w:pPr>
              <w:pStyle w:val="TableBody"/>
              <w:jc w:val="right"/>
              <w:rPr>
                <w:b/>
                <w:sz w:val="16"/>
                <w:szCs w:val="16"/>
              </w:rPr>
            </w:pPr>
            <w:r w:rsidRPr="00B666A2">
              <w:rPr>
                <w:b/>
                <w:sz w:val="16"/>
                <w:szCs w:val="16"/>
              </w:rPr>
              <w:t>19.0</w:t>
            </w:r>
          </w:p>
        </w:tc>
      </w:tr>
      <w:tr w:rsidR="00105A87" w:rsidRPr="001943F6" w14:paraId="155B6200" w14:textId="77777777" w:rsidTr="00293705">
        <w:trPr>
          <w:trHeight w:val="13"/>
        </w:trPr>
        <w:tc>
          <w:tcPr>
            <w:tcW w:w="1363" w:type="pct"/>
            <w:shd w:val="clear" w:color="auto" w:fill="D9E2F3" w:themeFill="accent1" w:themeFillTint="33"/>
            <w:hideMark/>
          </w:tcPr>
          <w:p w14:paraId="080C40EC" w14:textId="1F25F455" w:rsidR="00105A87" w:rsidRPr="00B666A2" w:rsidRDefault="00105A87" w:rsidP="00105A87">
            <w:pPr>
              <w:pStyle w:val="TableBody"/>
              <w:rPr>
                <w:b/>
                <w:sz w:val="16"/>
                <w:szCs w:val="16"/>
              </w:rPr>
            </w:pPr>
            <w:r w:rsidRPr="00B666A2">
              <w:rPr>
                <w:b/>
                <w:sz w:val="16"/>
                <w:szCs w:val="16"/>
              </w:rPr>
              <w:t>Insurance &amp; financial services</w:t>
            </w:r>
          </w:p>
        </w:tc>
        <w:tc>
          <w:tcPr>
            <w:tcW w:w="910" w:type="pct"/>
            <w:shd w:val="clear" w:color="auto" w:fill="D9E2F3" w:themeFill="accent1" w:themeFillTint="33"/>
            <w:noWrap/>
            <w:hideMark/>
          </w:tcPr>
          <w:p w14:paraId="592351A9" w14:textId="77777777" w:rsidR="00105A87" w:rsidRPr="00B666A2" w:rsidRDefault="00105A87" w:rsidP="00105A87">
            <w:pPr>
              <w:pStyle w:val="TableBody"/>
              <w:jc w:val="right"/>
              <w:rPr>
                <w:b/>
                <w:sz w:val="16"/>
                <w:szCs w:val="16"/>
              </w:rPr>
            </w:pPr>
            <w:r w:rsidRPr="00B666A2">
              <w:rPr>
                <w:b/>
                <w:sz w:val="16"/>
                <w:szCs w:val="16"/>
              </w:rPr>
              <w:t>-4.0</w:t>
            </w:r>
          </w:p>
        </w:tc>
        <w:tc>
          <w:tcPr>
            <w:tcW w:w="909" w:type="pct"/>
            <w:shd w:val="clear" w:color="auto" w:fill="D9E2F3" w:themeFill="accent1" w:themeFillTint="33"/>
            <w:noWrap/>
            <w:hideMark/>
          </w:tcPr>
          <w:p w14:paraId="3B009584" w14:textId="77777777" w:rsidR="00105A87" w:rsidRPr="00B666A2" w:rsidRDefault="00105A87" w:rsidP="00105A87">
            <w:pPr>
              <w:pStyle w:val="TableBody"/>
              <w:jc w:val="right"/>
              <w:rPr>
                <w:b/>
                <w:sz w:val="16"/>
                <w:szCs w:val="16"/>
              </w:rPr>
            </w:pPr>
            <w:r w:rsidRPr="00B666A2">
              <w:rPr>
                <w:b/>
                <w:sz w:val="16"/>
                <w:szCs w:val="16"/>
              </w:rPr>
              <w:t>0.7</w:t>
            </w:r>
          </w:p>
        </w:tc>
        <w:tc>
          <w:tcPr>
            <w:tcW w:w="909" w:type="pct"/>
            <w:shd w:val="clear" w:color="auto" w:fill="B4C6E7" w:themeFill="accent1" w:themeFillTint="66"/>
            <w:noWrap/>
            <w:hideMark/>
          </w:tcPr>
          <w:p w14:paraId="2074A99E" w14:textId="77777777" w:rsidR="00105A87" w:rsidRPr="00B666A2" w:rsidRDefault="00105A87" w:rsidP="00105A87">
            <w:pPr>
              <w:pStyle w:val="TableBody"/>
              <w:jc w:val="right"/>
              <w:rPr>
                <w:b/>
                <w:sz w:val="16"/>
                <w:szCs w:val="16"/>
              </w:rPr>
            </w:pPr>
            <w:r w:rsidRPr="00B666A2">
              <w:rPr>
                <w:b/>
                <w:sz w:val="16"/>
                <w:szCs w:val="16"/>
              </w:rPr>
              <w:t>-3.6</w:t>
            </w:r>
          </w:p>
        </w:tc>
        <w:tc>
          <w:tcPr>
            <w:tcW w:w="909" w:type="pct"/>
            <w:shd w:val="clear" w:color="auto" w:fill="B4C6E7" w:themeFill="accent1" w:themeFillTint="66"/>
            <w:noWrap/>
            <w:hideMark/>
          </w:tcPr>
          <w:p w14:paraId="369BE2DF" w14:textId="77777777" w:rsidR="00105A87" w:rsidRPr="00B666A2" w:rsidRDefault="00105A87" w:rsidP="00105A87">
            <w:pPr>
              <w:pStyle w:val="TableBody"/>
              <w:jc w:val="right"/>
              <w:rPr>
                <w:b/>
                <w:sz w:val="16"/>
                <w:szCs w:val="16"/>
              </w:rPr>
            </w:pPr>
            <w:r w:rsidRPr="00B666A2">
              <w:rPr>
                <w:b/>
                <w:sz w:val="16"/>
                <w:szCs w:val="16"/>
              </w:rPr>
              <w:t>8.2</w:t>
            </w:r>
          </w:p>
        </w:tc>
      </w:tr>
      <w:tr w:rsidR="00105A87" w:rsidRPr="001943F6" w14:paraId="7AE7716D" w14:textId="77777777" w:rsidTr="00293705">
        <w:trPr>
          <w:trHeight w:val="290"/>
        </w:trPr>
        <w:tc>
          <w:tcPr>
            <w:tcW w:w="1363" w:type="pct"/>
            <w:tcBorders>
              <w:bottom w:val="single" w:sz="4" w:space="0" w:color="auto"/>
            </w:tcBorders>
            <w:shd w:val="clear" w:color="auto" w:fill="D9E2F3" w:themeFill="accent1" w:themeFillTint="33"/>
            <w:hideMark/>
          </w:tcPr>
          <w:p w14:paraId="2DCC5772" w14:textId="77777777" w:rsidR="00105A87" w:rsidRPr="00545AF1" w:rsidRDefault="00105A87" w:rsidP="000D061F">
            <w:pPr>
              <w:pStyle w:val="Table-ListBullet"/>
              <w:rPr>
                <w:sz w:val="16"/>
                <w:szCs w:val="16"/>
              </w:rPr>
            </w:pPr>
            <w:r w:rsidRPr="00545AF1">
              <w:rPr>
                <w:sz w:val="16"/>
                <w:szCs w:val="16"/>
              </w:rPr>
              <w:t>Insurance</w:t>
            </w:r>
          </w:p>
        </w:tc>
        <w:tc>
          <w:tcPr>
            <w:tcW w:w="910" w:type="pct"/>
            <w:tcBorders>
              <w:bottom w:val="single" w:sz="4" w:space="0" w:color="auto"/>
            </w:tcBorders>
            <w:shd w:val="clear" w:color="auto" w:fill="D9E2F3" w:themeFill="accent1" w:themeFillTint="33"/>
            <w:noWrap/>
            <w:hideMark/>
          </w:tcPr>
          <w:p w14:paraId="13438E74" w14:textId="77777777" w:rsidR="00105A87" w:rsidRPr="00B666A2" w:rsidRDefault="00105A87" w:rsidP="00105A87">
            <w:pPr>
              <w:pStyle w:val="TableBody"/>
              <w:jc w:val="right"/>
              <w:rPr>
                <w:b/>
                <w:sz w:val="16"/>
                <w:szCs w:val="16"/>
              </w:rPr>
            </w:pPr>
            <w:r w:rsidRPr="00B666A2">
              <w:rPr>
                <w:b/>
                <w:sz w:val="16"/>
                <w:szCs w:val="16"/>
              </w:rPr>
              <w:t>-0.2</w:t>
            </w:r>
          </w:p>
        </w:tc>
        <w:tc>
          <w:tcPr>
            <w:tcW w:w="909" w:type="pct"/>
            <w:tcBorders>
              <w:bottom w:val="single" w:sz="4" w:space="0" w:color="auto"/>
            </w:tcBorders>
            <w:shd w:val="clear" w:color="auto" w:fill="D9E2F3" w:themeFill="accent1" w:themeFillTint="33"/>
            <w:noWrap/>
            <w:hideMark/>
          </w:tcPr>
          <w:p w14:paraId="21BCAA0C" w14:textId="77777777" w:rsidR="00105A87" w:rsidRPr="00B666A2" w:rsidRDefault="00105A87" w:rsidP="00105A87">
            <w:pPr>
              <w:pStyle w:val="TableBody"/>
              <w:jc w:val="right"/>
              <w:rPr>
                <w:b/>
                <w:sz w:val="16"/>
                <w:szCs w:val="16"/>
              </w:rPr>
            </w:pPr>
            <w:r w:rsidRPr="00B666A2">
              <w:rPr>
                <w:b/>
                <w:sz w:val="16"/>
                <w:szCs w:val="16"/>
              </w:rPr>
              <w:t>0.7</w:t>
            </w:r>
          </w:p>
        </w:tc>
        <w:tc>
          <w:tcPr>
            <w:tcW w:w="909" w:type="pct"/>
            <w:tcBorders>
              <w:bottom w:val="single" w:sz="4" w:space="0" w:color="auto"/>
            </w:tcBorders>
            <w:shd w:val="clear" w:color="auto" w:fill="B4C6E7" w:themeFill="accent1" w:themeFillTint="66"/>
            <w:noWrap/>
            <w:hideMark/>
          </w:tcPr>
          <w:p w14:paraId="5DD440C9" w14:textId="77777777" w:rsidR="00105A87" w:rsidRPr="00B666A2" w:rsidRDefault="00105A87" w:rsidP="00105A87">
            <w:pPr>
              <w:pStyle w:val="TableBody"/>
              <w:jc w:val="right"/>
              <w:rPr>
                <w:b/>
                <w:sz w:val="16"/>
                <w:szCs w:val="16"/>
              </w:rPr>
            </w:pPr>
            <w:r w:rsidRPr="00B666A2">
              <w:rPr>
                <w:b/>
                <w:sz w:val="16"/>
                <w:szCs w:val="16"/>
              </w:rPr>
              <w:t>9.4</w:t>
            </w:r>
          </w:p>
        </w:tc>
        <w:tc>
          <w:tcPr>
            <w:tcW w:w="909" w:type="pct"/>
            <w:tcBorders>
              <w:bottom w:val="single" w:sz="4" w:space="0" w:color="auto"/>
            </w:tcBorders>
            <w:shd w:val="clear" w:color="auto" w:fill="B4C6E7" w:themeFill="accent1" w:themeFillTint="66"/>
            <w:noWrap/>
            <w:hideMark/>
          </w:tcPr>
          <w:p w14:paraId="32C6423A" w14:textId="77777777" w:rsidR="00105A87" w:rsidRPr="00B666A2" w:rsidRDefault="00105A87" w:rsidP="00105A87">
            <w:pPr>
              <w:pStyle w:val="TableBody"/>
              <w:jc w:val="right"/>
              <w:rPr>
                <w:b/>
                <w:sz w:val="16"/>
                <w:szCs w:val="16"/>
              </w:rPr>
            </w:pPr>
            <w:r w:rsidRPr="00B666A2">
              <w:rPr>
                <w:b/>
                <w:sz w:val="16"/>
                <w:szCs w:val="16"/>
              </w:rPr>
              <w:t>20.1</w:t>
            </w:r>
          </w:p>
        </w:tc>
      </w:tr>
      <w:tr w:rsidR="00105A87" w:rsidRPr="001943F6" w14:paraId="01EB81BC" w14:textId="77777777" w:rsidTr="00293705">
        <w:trPr>
          <w:trHeight w:val="290"/>
        </w:trPr>
        <w:tc>
          <w:tcPr>
            <w:tcW w:w="1363" w:type="pct"/>
            <w:tcBorders>
              <w:top w:val="single" w:sz="4" w:space="0" w:color="auto"/>
              <w:bottom w:val="single" w:sz="4" w:space="0" w:color="auto"/>
            </w:tcBorders>
            <w:hideMark/>
          </w:tcPr>
          <w:p w14:paraId="7A0F6164" w14:textId="51FF9015" w:rsidR="00105A87" w:rsidRPr="00B666A2" w:rsidRDefault="00105A87" w:rsidP="00105A87">
            <w:pPr>
              <w:pStyle w:val="TableBody"/>
              <w:rPr>
                <w:b/>
                <w:sz w:val="16"/>
                <w:szCs w:val="16"/>
              </w:rPr>
            </w:pPr>
            <w:r w:rsidRPr="00B666A2">
              <w:rPr>
                <w:b/>
                <w:sz w:val="16"/>
                <w:szCs w:val="16"/>
              </w:rPr>
              <w:t>CPI All Groups</w:t>
            </w:r>
          </w:p>
        </w:tc>
        <w:tc>
          <w:tcPr>
            <w:tcW w:w="910" w:type="pct"/>
            <w:tcBorders>
              <w:top w:val="single" w:sz="4" w:space="0" w:color="auto"/>
              <w:bottom w:val="single" w:sz="4" w:space="0" w:color="auto"/>
            </w:tcBorders>
            <w:noWrap/>
            <w:hideMark/>
          </w:tcPr>
          <w:p w14:paraId="3B18272C" w14:textId="77777777" w:rsidR="00105A87" w:rsidRPr="00B666A2" w:rsidRDefault="00105A87" w:rsidP="00105A87">
            <w:pPr>
              <w:pStyle w:val="TableBody"/>
              <w:jc w:val="right"/>
              <w:rPr>
                <w:b/>
                <w:sz w:val="16"/>
                <w:szCs w:val="16"/>
              </w:rPr>
            </w:pPr>
            <w:r w:rsidRPr="00B666A2">
              <w:rPr>
                <w:b/>
                <w:sz w:val="16"/>
                <w:szCs w:val="16"/>
              </w:rPr>
              <w:t>1.7</w:t>
            </w:r>
          </w:p>
        </w:tc>
        <w:tc>
          <w:tcPr>
            <w:tcW w:w="909" w:type="pct"/>
            <w:tcBorders>
              <w:top w:val="single" w:sz="4" w:space="0" w:color="auto"/>
              <w:bottom w:val="single" w:sz="4" w:space="0" w:color="auto"/>
            </w:tcBorders>
            <w:noWrap/>
            <w:hideMark/>
          </w:tcPr>
          <w:p w14:paraId="28A3A7EA" w14:textId="77777777" w:rsidR="00105A87" w:rsidRPr="00B666A2" w:rsidRDefault="00105A87" w:rsidP="00105A87">
            <w:pPr>
              <w:pStyle w:val="TableBody"/>
              <w:jc w:val="right"/>
              <w:rPr>
                <w:b/>
                <w:sz w:val="16"/>
                <w:szCs w:val="16"/>
              </w:rPr>
            </w:pPr>
            <w:r w:rsidRPr="00B666A2">
              <w:rPr>
                <w:b/>
                <w:sz w:val="16"/>
                <w:szCs w:val="16"/>
              </w:rPr>
              <w:t>1.8</w:t>
            </w:r>
          </w:p>
        </w:tc>
        <w:tc>
          <w:tcPr>
            <w:tcW w:w="909" w:type="pct"/>
            <w:tcBorders>
              <w:top w:val="single" w:sz="4" w:space="0" w:color="auto"/>
              <w:bottom w:val="single" w:sz="4" w:space="0" w:color="auto"/>
            </w:tcBorders>
            <w:noWrap/>
            <w:hideMark/>
          </w:tcPr>
          <w:p w14:paraId="296D8930" w14:textId="77777777" w:rsidR="00105A87" w:rsidRPr="00B666A2" w:rsidRDefault="00105A87" w:rsidP="00105A87">
            <w:pPr>
              <w:pStyle w:val="TableBody"/>
              <w:jc w:val="right"/>
              <w:rPr>
                <w:b/>
                <w:sz w:val="16"/>
                <w:szCs w:val="16"/>
              </w:rPr>
            </w:pPr>
            <w:r w:rsidRPr="00B666A2">
              <w:rPr>
                <w:b/>
                <w:sz w:val="16"/>
                <w:szCs w:val="16"/>
              </w:rPr>
              <w:t>9.2</w:t>
            </w:r>
          </w:p>
        </w:tc>
        <w:tc>
          <w:tcPr>
            <w:tcW w:w="909" w:type="pct"/>
            <w:tcBorders>
              <w:top w:val="single" w:sz="4" w:space="0" w:color="auto"/>
              <w:bottom w:val="single" w:sz="4" w:space="0" w:color="auto"/>
            </w:tcBorders>
            <w:noWrap/>
            <w:hideMark/>
          </w:tcPr>
          <w:p w14:paraId="6A34AD5C" w14:textId="77777777" w:rsidR="00105A87" w:rsidRPr="00B666A2" w:rsidRDefault="00105A87" w:rsidP="00105A87">
            <w:pPr>
              <w:pStyle w:val="TableBody"/>
              <w:jc w:val="right"/>
              <w:rPr>
                <w:b/>
                <w:sz w:val="16"/>
                <w:szCs w:val="16"/>
              </w:rPr>
            </w:pPr>
            <w:r w:rsidRPr="00B666A2">
              <w:rPr>
                <w:b/>
                <w:sz w:val="16"/>
                <w:szCs w:val="16"/>
              </w:rPr>
              <w:t>9.0</w:t>
            </w:r>
          </w:p>
        </w:tc>
      </w:tr>
    </w:tbl>
    <w:p w14:paraId="6749E786" w14:textId="68C684BB" w:rsidR="0022756C" w:rsidRDefault="005D0EB8" w:rsidP="007213B5">
      <w:pPr>
        <w:pStyle w:val="Figuretitle"/>
      </w:pPr>
      <w:r>
        <w:lastRenderedPageBreak/>
        <w:t xml:space="preserve">Figure 1 Change in </w:t>
      </w:r>
      <w:r w:rsidR="0093088B">
        <w:t xml:space="preserve">CPI </w:t>
      </w:r>
      <w:r w:rsidR="008252C2">
        <w:t>G</w:t>
      </w:r>
      <w:r w:rsidR="0093088B">
        <w:t>roups</w:t>
      </w:r>
      <w:r w:rsidR="008252C2">
        <w:t xml:space="preserve"> and CPI All Groups</w:t>
      </w:r>
      <w:r w:rsidR="0093088B">
        <w:t>, Canberra</w:t>
      </w:r>
      <w:r w:rsidR="007213B5">
        <w:t xml:space="preserve"> and Australia</w:t>
      </w:r>
      <w:r w:rsidR="0093088B">
        <w:t xml:space="preserve">, </w:t>
      </w:r>
      <w:r w:rsidR="007213B5">
        <w:t>Dec 2014 – Dec 2019</w:t>
      </w:r>
      <w:r w:rsidR="00091D00" w:rsidRPr="00846809">
        <w:rPr>
          <w:rStyle w:val="FootnoteReference"/>
          <w:b w:val="0"/>
          <w:bCs/>
        </w:rPr>
        <w:footnoteReference w:id="14"/>
      </w:r>
    </w:p>
    <w:p w14:paraId="0681F3D4" w14:textId="1C6D05E1" w:rsidR="003B6B7C" w:rsidRDefault="00155F60" w:rsidP="00124AB6">
      <w:pPr>
        <w:pStyle w:val="BodyText"/>
      </w:pPr>
      <w:r>
        <w:rPr>
          <w:noProof/>
        </w:rPr>
        <w:drawing>
          <wp:inline distT="0" distB="0" distL="0" distR="0" wp14:anchorId="10270796" wp14:editId="76D8CEB0">
            <wp:extent cx="5400000" cy="394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949200"/>
                    </a:xfrm>
                    <a:prstGeom prst="rect">
                      <a:avLst/>
                    </a:prstGeom>
                    <a:noFill/>
                  </pic:spPr>
                </pic:pic>
              </a:graphicData>
            </a:graphic>
          </wp:inline>
        </w:drawing>
      </w:r>
    </w:p>
    <w:p w14:paraId="6C96A9CE" w14:textId="23619009" w:rsidR="00242F40" w:rsidRDefault="00242F40" w:rsidP="00AE3377">
      <w:pPr>
        <w:pStyle w:val="Figuretitle"/>
      </w:pPr>
      <w:r>
        <w:lastRenderedPageBreak/>
        <w:t>Figure 2 Change in CPI sub-groups</w:t>
      </w:r>
      <w:r w:rsidR="008252C2">
        <w:t xml:space="preserve"> and </w:t>
      </w:r>
      <w:r w:rsidR="00A13BAF">
        <w:t>expenditure classes</w:t>
      </w:r>
      <w:r w:rsidR="008252C2">
        <w:t xml:space="preserve"> and CPI All Groups</w:t>
      </w:r>
      <w:r>
        <w:t xml:space="preserve">, Canberra and Australia, Dec 2014 </w:t>
      </w:r>
      <w:r w:rsidR="00AE3377">
        <w:t>– Dec 2019</w:t>
      </w:r>
      <w:r w:rsidR="00187393" w:rsidRPr="00846809">
        <w:rPr>
          <w:rStyle w:val="FootnoteReference"/>
          <w:b w:val="0"/>
          <w:bCs/>
        </w:rPr>
        <w:footnoteReference w:id="15"/>
      </w:r>
    </w:p>
    <w:p w14:paraId="1D5857C0" w14:textId="65A179A1" w:rsidR="007213B5" w:rsidRDefault="00D81EE6" w:rsidP="00124AB6">
      <w:pPr>
        <w:pStyle w:val="BodyText"/>
      </w:pPr>
      <w:r>
        <w:rPr>
          <w:noProof/>
        </w:rPr>
        <w:drawing>
          <wp:inline distT="0" distB="0" distL="0" distR="0" wp14:anchorId="5C2993B5" wp14:editId="01832404">
            <wp:extent cx="5400000" cy="425880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4258800"/>
                    </a:xfrm>
                    <a:prstGeom prst="rect">
                      <a:avLst/>
                    </a:prstGeom>
                    <a:noFill/>
                  </pic:spPr>
                </pic:pic>
              </a:graphicData>
            </a:graphic>
          </wp:inline>
        </w:drawing>
      </w:r>
    </w:p>
    <w:p w14:paraId="430B1D03" w14:textId="15668C22" w:rsidR="00C357B3" w:rsidRDefault="00D56237" w:rsidP="00124AB6">
      <w:pPr>
        <w:pStyle w:val="BodyText"/>
      </w:pPr>
      <w:r>
        <w:t>In the year from December 2018 to December 2019</w:t>
      </w:r>
      <w:r w:rsidR="001A1514">
        <w:t>,</w:t>
      </w:r>
      <w:r>
        <w:t xml:space="preserve"> the </w:t>
      </w:r>
      <w:r w:rsidR="00CF76B9">
        <w:t xml:space="preserve">overall CPI for Canberra </w:t>
      </w:r>
      <w:r w:rsidR="00325064">
        <w:t xml:space="preserve">increased by </w:t>
      </w:r>
      <w:r w:rsidR="00CF76B9">
        <w:t>1.7%</w:t>
      </w:r>
      <w:r w:rsidR="001843A2">
        <w:t xml:space="preserve"> – </w:t>
      </w:r>
      <w:r w:rsidR="00325064">
        <w:t xml:space="preserve">slightly </w:t>
      </w:r>
      <w:r w:rsidR="00FC13BB">
        <w:t>below</w:t>
      </w:r>
      <w:r w:rsidR="00325064">
        <w:t xml:space="preserve"> the national </w:t>
      </w:r>
      <w:r w:rsidR="00547806">
        <w:t xml:space="preserve">rate </w:t>
      </w:r>
      <w:r w:rsidR="00605191">
        <w:t>of</w:t>
      </w:r>
      <w:r w:rsidR="00CF76B9">
        <w:t xml:space="preserve"> 1.8%.</w:t>
      </w:r>
      <w:r w:rsidR="00940B10">
        <w:t xml:space="preserve"> A key area where Canberra prices increased above the national rate was housing (including utilities)</w:t>
      </w:r>
      <w:r w:rsidR="001B368B">
        <w:t xml:space="preserve">, with </w:t>
      </w:r>
      <w:r w:rsidR="003905D6">
        <w:t xml:space="preserve">a 2.4% increase compared to </w:t>
      </w:r>
      <w:r w:rsidR="007B789C">
        <w:t xml:space="preserve">0.2% nationally. </w:t>
      </w:r>
      <w:r w:rsidR="00605191">
        <w:t xml:space="preserve">This included a higher rate of increase in the </w:t>
      </w:r>
      <w:r w:rsidR="003F7B6D">
        <w:t xml:space="preserve">Canberra </w:t>
      </w:r>
      <w:r w:rsidR="00605191">
        <w:t xml:space="preserve">CPI for </w:t>
      </w:r>
      <w:r w:rsidR="005A7BCD">
        <w:t>rent (2.7% vs 0.2%)</w:t>
      </w:r>
      <w:r w:rsidR="00C34073">
        <w:t xml:space="preserve"> and utilities (2.0% vs -1.0%) – the latter was driven largely by the increase in the CPI for gas</w:t>
      </w:r>
      <w:r w:rsidR="003F7B6D">
        <w:t xml:space="preserve"> in Canberra</w:t>
      </w:r>
      <w:r w:rsidR="00C34073">
        <w:t xml:space="preserve"> (</w:t>
      </w:r>
      <w:r w:rsidR="003F7B6D">
        <w:t xml:space="preserve">4.0% vs </w:t>
      </w:r>
      <w:r w:rsidR="00193BF9">
        <w:t>1.4%).</w:t>
      </w:r>
    </w:p>
    <w:p w14:paraId="191E2109" w14:textId="6A536FC9" w:rsidR="009D13E1" w:rsidRDefault="007B0FE5" w:rsidP="00124AB6">
      <w:pPr>
        <w:pStyle w:val="BodyText"/>
      </w:pPr>
      <w:r>
        <w:t xml:space="preserve">When we look at changes in the CPI </w:t>
      </w:r>
      <w:r w:rsidR="007A7C9A">
        <w:t xml:space="preserve">for essential goods and services </w:t>
      </w:r>
      <w:r>
        <w:t xml:space="preserve">over the past five </w:t>
      </w:r>
      <w:r w:rsidR="003849B6">
        <w:t>years</w:t>
      </w:r>
      <w:r w:rsidR="009D13E1">
        <w:t xml:space="preserve"> </w:t>
      </w:r>
      <w:r w:rsidR="00667DBA">
        <w:t>across the</w:t>
      </w:r>
      <w:r w:rsidR="009D13E1">
        <w:t xml:space="preserve"> broad </w:t>
      </w:r>
      <w:r w:rsidR="00667DBA">
        <w:t>expenditure categories</w:t>
      </w:r>
      <w:r w:rsidR="003849B6">
        <w:t>,</w:t>
      </w:r>
      <w:r w:rsidR="00FD18D5">
        <w:t xml:space="preserve"> we see </w:t>
      </w:r>
      <w:r w:rsidR="00F86479">
        <w:t xml:space="preserve">that </w:t>
      </w:r>
      <w:r w:rsidR="00953280">
        <w:t>health</w:t>
      </w:r>
      <w:r w:rsidR="007C1DB6">
        <w:t xml:space="preserve"> (22.0% vs 21.0%)</w:t>
      </w:r>
      <w:r w:rsidR="00953280">
        <w:t>, education</w:t>
      </w:r>
      <w:r w:rsidR="007C1DB6">
        <w:t xml:space="preserve"> (</w:t>
      </w:r>
      <w:r w:rsidR="009A358D">
        <w:t xml:space="preserve">17.7% vs 19.0%), </w:t>
      </w:r>
      <w:r w:rsidR="00953280">
        <w:t>housing</w:t>
      </w:r>
      <w:r w:rsidR="009A358D">
        <w:t xml:space="preserve"> (</w:t>
      </w:r>
      <w:r w:rsidR="00FA5EC2">
        <w:t>14.9% vs 9.6%)</w:t>
      </w:r>
      <w:r w:rsidR="00953280">
        <w:t xml:space="preserve">, and childcare </w:t>
      </w:r>
      <w:r w:rsidR="00996EDE">
        <w:t xml:space="preserve">(13.1% vs 21.3%) </w:t>
      </w:r>
      <w:r w:rsidR="00953280">
        <w:t xml:space="preserve">have all increased above the overall CPI </w:t>
      </w:r>
      <w:r w:rsidR="00EB72DB">
        <w:t>in Canberra</w:t>
      </w:r>
      <w:r w:rsidR="00996EDE">
        <w:t xml:space="preserve"> (9.</w:t>
      </w:r>
      <w:r w:rsidR="009D13E1">
        <w:t>2%)</w:t>
      </w:r>
      <w:r w:rsidR="00EB72DB">
        <w:t xml:space="preserve"> and nationally</w:t>
      </w:r>
      <w:r w:rsidR="009D13E1">
        <w:t xml:space="preserve"> (9.0%)</w:t>
      </w:r>
      <w:r w:rsidR="0072678D">
        <w:t xml:space="preserve">. </w:t>
      </w:r>
      <w:r w:rsidR="00F25371">
        <w:t>Recreation and culture (</w:t>
      </w:r>
      <w:r w:rsidR="0004163A">
        <w:t xml:space="preserve">7.0% vs 4.9%), transport (6.9% vs 7.3%), </w:t>
      </w:r>
      <w:r w:rsidR="00B87568">
        <w:t>food (6.2% vs 6.1%), and furnishings (</w:t>
      </w:r>
      <w:r w:rsidR="00D73C08">
        <w:t>4.2% vs 2.0%) all increased but below the overall CPI.</w:t>
      </w:r>
      <w:r w:rsidR="00D11673">
        <w:t xml:space="preserve"> In Canberra, insurance and financial services</w:t>
      </w:r>
      <w:r w:rsidR="005E0937">
        <w:t xml:space="preserve"> prices fell while they increased nationally (-3.6% vs </w:t>
      </w:r>
      <w:r w:rsidR="0091544A">
        <w:t>8.2%). Clothing</w:t>
      </w:r>
      <w:r w:rsidR="00457ED6">
        <w:t xml:space="preserve"> </w:t>
      </w:r>
      <w:r w:rsidR="00C26F00">
        <w:t xml:space="preserve">and footwear </w:t>
      </w:r>
      <w:r w:rsidR="00457ED6">
        <w:t>prices fell slightly</w:t>
      </w:r>
      <w:r w:rsidR="0091544A">
        <w:t xml:space="preserve"> (</w:t>
      </w:r>
      <w:r w:rsidR="00457ED6">
        <w:t>-3.9% vs -2.6%) while communications prices fell significantly (</w:t>
      </w:r>
      <w:r w:rsidR="00C26F00">
        <w:t>-21.3% vs -21.6%).</w:t>
      </w:r>
      <w:r w:rsidR="00457ED6">
        <w:t xml:space="preserve"> </w:t>
      </w:r>
    </w:p>
    <w:p w14:paraId="4061F0C5" w14:textId="0CB45091" w:rsidR="00EA4600" w:rsidRDefault="00991799" w:rsidP="0085777E">
      <w:pPr>
        <w:pStyle w:val="BodyText"/>
      </w:pPr>
      <w:r>
        <w:lastRenderedPageBreak/>
        <w:t xml:space="preserve">When we look at </w:t>
      </w:r>
      <w:r w:rsidR="006771D3">
        <w:t>expenditure sub-categories</w:t>
      </w:r>
      <w:r w:rsidR="00396B6E">
        <w:t xml:space="preserve"> </w:t>
      </w:r>
      <w:r w:rsidR="00732F62">
        <w:t>of</w:t>
      </w:r>
      <w:r w:rsidR="00F46247">
        <w:t xml:space="preserve"> essential goods and services</w:t>
      </w:r>
      <w:r w:rsidR="00BF26F1">
        <w:t xml:space="preserve">, </w:t>
      </w:r>
      <w:r w:rsidR="00EA4600">
        <w:t xml:space="preserve">property rates and charges and </w:t>
      </w:r>
      <w:r w:rsidR="00435077">
        <w:t>energy prices</w:t>
      </w:r>
      <w:r w:rsidR="00732F62">
        <w:t xml:space="preserve"> </w:t>
      </w:r>
      <w:r w:rsidR="00BF26F1">
        <w:t xml:space="preserve">in Canberra </w:t>
      </w:r>
      <w:r w:rsidR="003F71F3">
        <w:t xml:space="preserve">stand out as </w:t>
      </w:r>
      <w:r w:rsidR="00BF26F1">
        <w:t>hav</w:t>
      </w:r>
      <w:r w:rsidR="003F71F3">
        <w:t>ing</w:t>
      </w:r>
      <w:r w:rsidR="00BF26F1">
        <w:t xml:space="preserve"> risen </w:t>
      </w:r>
      <w:r w:rsidR="009E6FA6">
        <w:t xml:space="preserve">well </w:t>
      </w:r>
      <w:r w:rsidR="00435077">
        <w:t>above the overall CPI and the national rate.</w:t>
      </w:r>
      <w:r w:rsidR="00BF26F1">
        <w:t xml:space="preserve"> </w:t>
      </w:r>
      <w:r w:rsidR="00472FF6">
        <w:t xml:space="preserve">The 51.7% increase in the CPI for property rates and charges </w:t>
      </w:r>
      <w:r w:rsidR="00156768">
        <w:t>in Canberra largely reflects the impact of the ACT Government</w:t>
      </w:r>
      <w:r w:rsidR="00397CE3">
        <w:t>’</w:t>
      </w:r>
      <w:r w:rsidR="00156768">
        <w:t>s tax reform program</w:t>
      </w:r>
      <w:r w:rsidR="00096EE9">
        <w:t xml:space="preserve"> which commenced in 2012</w:t>
      </w:r>
      <w:r w:rsidR="00156768">
        <w:t xml:space="preserve">. Under </w:t>
      </w:r>
      <w:r w:rsidR="00A261C7">
        <w:t>this tax reform</w:t>
      </w:r>
      <w:r w:rsidR="00156768">
        <w:t xml:space="preserve"> </w:t>
      </w:r>
      <w:r w:rsidR="00096EE9">
        <w:t>an</w:t>
      </w:r>
      <w:r w:rsidR="00156768">
        <w:t xml:space="preserve"> </w:t>
      </w:r>
      <w:r w:rsidR="00FA79F2">
        <w:t>increase in general rates is intended to be offset by reductions in stamp duty</w:t>
      </w:r>
      <w:r w:rsidR="00397CE3">
        <w:t>. Th</w:t>
      </w:r>
      <w:r w:rsidR="002A6230">
        <w:t>e impact of this</w:t>
      </w:r>
      <w:r w:rsidR="00397CE3">
        <w:t xml:space="preserve"> </w:t>
      </w:r>
      <w:r w:rsidR="002A6230">
        <w:t xml:space="preserve">tax reform </w:t>
      </w:r>
      <w:r w:rsidR="00397CE3">
        <w:t xml:space="preserve">is discussed </w:t>
      </w:r>
      <w:r w:rsidR="002A6230">
        <w:t>in more detail below</w:t>
      </w:r>
      <w:r w:rsidR="00397CE3">
        <w:t xml:space="preserve"> in relation to low-income homeowners.</w:t>
      </w:r>
    </w:p>
    <w:p w14:paraId="64383174" w14:textId="25AC333C" w:rsidR="00CA419F" w:rsidRDefault="00BF26F1" w:rsidP="0085777E">
      <w:pPr>
        <w:pStyle w:val="BodyText"/>
      </w:pPr>
      <w:r>
        <w:t>Over the past five years</w:t>
      </w:r>
      <w:r w:rsidR="000C7863">
        <w:t>,</w:t>
      </w:r>
      <w:r>
        <w:t xml:space="preserve"> </w:t>
      </w:r>
      <w:r w:rsidR="00117383">
        <w:t xml:space="preserve">electricity and gas prices in Canberra have increased by </w:t>
      </w:r>
      <w:r w:rsidR="008B273D">
        <w:t>25.1% and 30.7% respectively</w:t>
      </w:r>
      <w:r w:rsidR="00432ADA">
        <w:t>.</w:t>
      </w:r>
      <w:r w:rsidR="006D480F">
        <w:t xml:space="preserve"> </w:t>
      </w:r>
      <w:r w:rsidR="00F33066">
        <w:t>As is the case with other essential goods and services, low-income households tend to spend a greater proportion of their income on energy</w:t>
      </w:r>
      <w:r w:rsidR="00CF3599">
        <w:t xml:space="preserve"> meaning that these</w:t>
      </w:r>
      <w:r w:rsidR="00475C78">
        <w:t xml:space="preserve"> significant</w:t>
      </w:r>
      <w:r w:rsidR="00CF3599">
        <w:t xml:space="preserve"> price increases have had </w:t>
      </w:r>
      <w:r w:rsidR="009865B0">
        <w:t>a disproportionate</w:t>
      </w:r>
      <w:r w:rsidR="00CF3599">
        <w:t xml:space="preserve"> impact</w:t>
      </w:r>
      <w:r w:rsidR="00BD525B">
        <w:t>:</w:t>
      </w:r>
    </w:p>
    <w:p w14:paraId="6E3BEC0A" w14:textId="05C4C98D" w:rsidR="00F33066" w:rsidRDefault="00F33066" w:rsidP="00F33066">
      <w:pPr>
        <w:pStyle w:val="BlockText"/>
      </w:pPr>
      <w:r w:rsidRPr="00F33066">
        <w:t xml:space="preserve">Some groups are paying disproportionately more of their income on energy bills, and this has risen since 2008, contributing to an increase in inequality and poverty… On average, low-income households spend 6.4% of their income on energy, while high-income households [spend] an average of 1.5%. This is </w:t>
      </w:r>
      <w:proofErr w:type="gramStart"/>
      <w:r w:rsidRPr="00F33066">
        <w:t>despite the fact that</w:t>
      </w:r>
      <w:proofErr w:type="gramEnd"/>
      <w:r w:rsidRPr="00F33066">
        <w:t xml:space="preserve"> low-income households appear to use less energy, spending less in dollar terms per year… One in four [low-income households] are now paying over 8.8% of their income on energy (electricity or gas). This is up from 7.6% in 2008... Those </w:t>
      </w:r>
      <w:proofErr w:type="gramStart"/>
      <w:r w:rsidRPr="00F33066">
        <w:t>households</w:t>
      </w:r>
      <w:proofErr w:type="gramEnd"/>
      <w:r w:rsidRPr="00F33066">
        <w:t xml:space="preserve"> dependent on income support payments such as Newstart and similar allowances are hit hardest by high prices, with one in four of these households spending more than 9.7% of their incomes on energy</w:t>
      </w:r>
      <w:r w:rsidR="00CF3599">
        <w:t>.</w:t>
      </w:r>
      <w:r w:rsidR="005361DD">
        <w:rPr>
          <w:rStyle w:val="FootnoteReference"/>
        </w:rPr>
        <w:footnoteReference w:id="16"/>
      </w:r>
      <w:r w:rsidR="00CF3599">
        <w:t xml:space="preserve"> </w:t>
      </w:r>
    </w:p>
    <w:p w14:paraId="024A82A2" w14:textId="5ACE21C8" w:rsidR="008D42CD" w:rsidRDefault="00232DBA" w:rsidP="0085777E">
      <w:pPr>
        <w:pStyle w:val="BodyText"/>
      </w:pPr>
      <w:r>
        <w:t xml:space="preserve">There are some </w:t>
      </w:r>
      <w:r w:rsidR="009823F9">
        <w:t>mixed</w:t>
      </w:r>
      <w:r>
        <w:t xml:space="preserve"> signs </w:t>
      </w:r>
      <w:r w:rsidR="0095766A">
        <w:t>regarding the trend for</w:t>
      </w:r>
      <w:r w:rsidR="00982851">
        <w:t xml:space="preserve"> </w:t>
      </w:r>
      <w:r>
        <w:t>energy prices in the ACT</w:t>
      </w:r>
      <w:r w:rsidR="00F719D4">
        <w:t xml:space="preserve">. </w:t>
      </w:r>
      <w:r w:rsidR="00D95E8D">
        <w:t xml:space="preserve">A recent analysis found that </w:t>
      </w:r>
      <w:r w:rsidR="005D4E44">
        <w:t>from July 2019 to July 2020</w:t>
      </w:r>
      <w:r w:rsidR="00982851">
        <w:t>:</w:t>
      </w:r>
      <w:r w:rsidR="00A83588">
        <w:t xml:space="preserve"> </w:t>
      </w:r>
    </w:p>
    <w:p w14:paraId="784E2D17" w14:textId="28618EEB" w:rsidR="008D1663" w:rsidRDefault="00A652D8" w:rsidP="008D42CD">
      <w:pPr>
        <w:pStyle w:val="ListBullet"/>
      </w:pPr>
      <w:r>
        <w:t>T</w:t>
      </w:r>
      <w:r w:rsidR="0085777E">
        <w:t>he annual bill for households on ActewAGL’s regulated rate (single/flat rate tariff) has typically decreased by $75, or 3%</w:t>
      </w:r>
    </w:p>
    <w:p w14:paraId="157FD8D2" w14:textId="454130AF" w:rsidR="008D42CD" w:rsidRDefault="00A652D8" w:rsidP="008D42CD">
      <w:pPr>
        <w:pStyle w:val="ListBullet"/>
      </w:pPr>
      <w:r>
        <w:t>H</w:t>
      </w:r>
      <w:r w:rsidR="00823CBE" w:rsidRPr="00823CBE">
        <w:t>ouseholds’ annual gas costs have remained unchanged</w:t>
      </w:r>
    </w:p>
    <w:p w14:paraId="452DE1E5" w14:textId="26913C90" w:rsidR="00823CBE" w:rsidRDefault="00A652D8" w:rsidP="00105A87">
      <w:pPr>
        <w:pStyle w:val="ListBullet"/>
      </w:pPr>
      <w:r>
        <w:t>W</w:t>
      </w:r>
      <w:r w:rsidR="00DA0137">
        <w:t>hen combining ActewAGL’s regulated electricity rate and gas standing offer, the total cost of energy, for average consumption households, has decreased by 2% (or $70)</w:t>
      </w:r>
    </w:p>
    <w:p w14:paraId="70F5F6C0" w14:textId="16A260F7" w:rsidR="00BA4CCD" w:rsidRDefault="00A652D8" w:rsidP="00105A87">
      <w:pPr>
        <w:pStyle w:val="ListBullet"/>
      </w:pPr>
      <w:r>
        <w:t>O</w:t>
      </w:r>
      <w:r w:rsidR="00BA4CCD">
        <w:t>n average, a market offer bill (inclusive of discounts) is $2,120 for households using 8,000 kWh – a rise of $45, or 2%.</w:t>
      </w:r>
      <w:r w:rsidR="009C6DB6">
        <w:rPr>
          <w:rStyle w:val="FootnoteReference"/>
        </w:rPr>
        <w:footnoteReference w:id="17"/>
      </w:r>
    </w:p>
    <w:p w14:paraId="29F584C8" w14:textId="2FF095BC" w:rsidR="0095766A" w:rsidRDefault="00E2506D" w:rsidP="00E2506D">
      <w:pPr>
        <w:pStyle w:val="BodyText"/>
      </w:pPr>
      <w:r>
        <w:t>In June 2020, the Independent Competition and Regulatory Commission</w:t>
      </w:r>
      <w:r w:rsidR="00593932">
        <w:t xml:space="preserve"> </w:t>
      </w:r>
      <w:r>
        <w:t xml:space="preserve">(ICRC) </w:t>
      </w:r>
      <w:r w:rsidR="00C90926">
        <w:t xml:space="preserve">made its final </w:t>
      </w:r>
      <w:r w:rsidR="00C3757C">
        <w:t xml:space="preserve">determination on </w:t>
      </w:r>
      <w:r w:rsidR="004518C2">
        <w:t xml:space="preserve">ActewAGL’s </w:t>
      </w:r>
      <w:r w:rsidR="00270407">
        <w:t>regulated electricity rate</w:t>
      </w:r>
      <w:r w:rsidR="00C3757C">
        <w:t xml:space="preserve"> in the ACT</w:t>
      </w:r>
      <w:r w:rsidR="00C90926">
        <w:t xml:space="preserve">. </w:t>
      </w:r>
      <w:r w:rsidR="006D69E8">
        <w:t>This will mean that a</w:t>
      </w:r>
      <w:r w:rsidR="00C3757C" w:rsidRPr="00C3757C">
        <w:t xml:space="preserve"> typical customer on ActewAGL’s standing offer contracts will see a 2.56</w:t>
      </w:r>
      <w:r w:rsidR="00FB5477">
        <w:t xml:space="preserve">% </w:t>
      </w:r>
      <w:r w:rsidR="00C3757C" w:rsidRPr="00C3757C">
        <w:t>reduction in retail electricity prices in 2020-21</w:t>
      </w:r>
      <w:r w:rsidR="00FB5477">
        <w:t xml:space="preserve"> </w:t>
      </w:r>
      <w:r w:rsidR="009C6DB6">
        <w:lastRenderedPageBreak/>
        <w:t xml:space="preserve">equating to a reduction of </w:t>
      </w:r>
      <w:r w:rsidR="00FB5477" w:rsidRPr="00FB5477">
        <w:t>$43 in their annual bill</w:t>
      </w:r>
      <w:r w:rsidR="006D69E8">
        <w:t>.</w:t>
      </w:r>
      <w:r w:rsidR="00C75F3F">
        <w:rPr>
          <w:rStyle w:val="FootnoteReference"/>
        </w:rPr>
        <w:footnoteReference w:id="18"/>
      </w:r>
      <w:r w:rsidR="00FD0741">
        <w:t xml:space="preserve"> </w:t>
      </w:r>
      <w:r w:rsidR="00EE04A5" w:rsidRPr="00EE04A5">
        <w:t xml:space="preserve">While </w:t>
      </w:r>
      <w:r w:rsidR="00EE04A5">
        <w:t>this is welcome news</w:t>
      </w:r>
      <w:r w:rsidR="004A7A08">
        <w:t xml:space="preserve"> for ACT energy consumers</w:t>
      </w:r>
      <w:r w:rsidR="00EE04A5" w:rsidRPr="00EE04A5">
        <w:t xml:space="preserve">, the level of this decrease </w:t>
      </w:r>
      <w:r w:rsidR="004A7A08">
        <w:t>appears</w:t>
      </w:r>
      <w:r w:rsidR="00EE04A5" w:rsidRPr="00EE04A5">
        <w:t xml:space="preserve"> miniscule in comparison to the significant increases in energy prices experienced in the ACT over the past five to ten years.</w:t>
      </w:r>
      <w:r w:rsidR="004A7A08">
        <w:t xml:space="preserve"> </w:t>
      </w:r>
      <w:r w:rsidR="000134FD">
        <w:t>One way</w:t>
      </w:r>
      <w:r w:rsidR="0003248A">
        <w:t xml:space="preserve"> </w:t>
      </w:r>
      <w:r w:rsidR="00547430">
        <w:t xml:space="preserve">to support </w:t>
      </w:r>
      <w:r w:rsidR="000134FD">
        <w:t>households</w:t>
      </w:r>
      <w:r w:rsidR="00547430">
        <w:t xml:space="preserve"> to </w:t>
      </w:r>
      <w:r w:rsidR="000134FD">
        <w:t xml:space="preserve">further </w:t>
      </w:r>
      <w:r w:rsidR="00547430">
        <w:t>reduce their energy costs will be through the i</w:t>
      </w:r>
      <w:r w:rsidR="0003248A">
        <w:t>mplementation of</w:t>
      </w:r>
      <w:r w:rsidR="003366DF">
        <w:t xml:space="preserve"> the </w:t>
      </w:r>
      <w:r w:rsidR="00FD0741">
        <w:t>ICRC</w:t>
      </w:r>
      <w:r w:rsidR="003366DF">
        <w:t>’s</w:t>
      </w:r>
      <w:r w:rsidR="00FD0741">
        <w:t xml:space="preserve"> </w:t>
      </w:r>
      <w:r w:rsidR="003366DF">
        <w:t>recommendation</w:t>
      </w:r>
      <w:r w:rsidR="00602B33">
        <w:t xml:space="preserve"> that the ACT Government require electricity retailers to</w:t>
      </w:r>
      <w:r w:rsidR="008D32EB" w:rsidRPr="008D32EB">
        <w:t xml:space="preserve"> tell their customers if they have a plan that could reduce a customer’s bills</w:t>
      </w:r>
      <w:r w:rsidR="006764D8">
        <w:t>.</w:t>
      </w:r>
      <w:r w:rsidR="006764D8">
        <w:rPr>
          <w:rStyle w:val="FootnoteReference"/>
        </w:rPr>
        <w:footnoteReference w:id="19"/>
      </w:r>
    </w:p>
    <w:p w14:paraId="7C27EE5A" w14:textId="77777777" w:rsidR="00BC245C" w:rsidRDefault="00BC245C" w:rsidP="0023226B">
      <w:pPr>
        <w:pStyle w:val="Quote"/>
        <w:spacing w:after="120"/>
      </w:pPr>
      <w:r>
        <w:t>“</w:t>
      </w:r>
      <w:r w:rsidR="004629C5" w:rsidRPr="00765C10">
        <w:t xml:space="preserve">It’s expensive just to keep the house warmed. Sometimes I </w:t>
      </w:r>
      <w:proofErr w:type="gramStart"/>
      <w:r w:rsidR="004629C5" w:rsidRPr="00765C10">
        <w:t>have to</w:t>
      </w:r>
      <w:proofErr w:type="gramEnd"/>
      <w:r w:rsidR="004629C5" w:rsidRPr="00765C10">
        <w:t xml:space="preserve"> live off two</w:t>
      </w:r>
      <w:r w:rsidR="00A42345" w:rsidRPr="00765C10">
        <w:t>-</w:t>
      </w:r>
      <w:r w:rsidR="004629C5" w:rsidRPr="00765C10">
        <w:t>minute noodles just to pay rent, bills and expenses. We have shared care with my ex-</w:t>
      </w:r>
      <w:r w:rsidR="00A42345" w:rsidRPr="00765C10">
        <w:t>partner,</w:t>
      </w:r>
      <w:r w:rsidR="004629C5" w:rsidRPr="00765C10">
        <w:t xml:space="preserve"> so I always try and make sure my son has good food on his week and then on my week I skimp on food.</w:t>
      </w:r>
      <w:r>
        <w:t>”</w:t>
      </w:r>
      <w:r w:rsidR="004629C5" w:rsidRPr="00765C10">
        <w:t xml:space="preserve"> </w:t>
      </w:r>
    </w:p>
    <w:p w14:paraId="7866CC0A" w14:textId="3BAEB263" w:rsidR="004629C5" w:rsidRPr="00254634" w:rsidRDefault="00254634" w:rsidP="0023226B">
      <w:pPr>
        <w:pStyle w:val="Quote-source"/>
        <w:rPr>
          <w:i/>
          <w:iCs/>
        </w:rPr>
      </w:pPr>
      <w:r w:rsidRPr="000350A2">
        <w:t>–</w:t>
      </w:r>
      <w:r w:rsidR="00BC245C" w:rsidRPr="000350A2">
        <w:t xml:space="preserve"> </w:t>
      </w:r>
      <w:r w:rsidR="004629C5" w:rsidRPr="000350A2">
        <w:t>Trish,</w:t>
      </w:r>
      <w:r w:rsidR="004629C5" w:rsidRPr="00254634">
        <w:rPr>
          <w:i/>
          <w:iCs/>
        </w:rPr>
        <w:t xml:space="preserve"> </w:t>
      </w:r>
      <w:r w:rsidR="004629C5" w:rsidRPr="000350A2">
        <w:rPr>
          <w:i/>
          <w:iCs/>
        </w:rPr>
        <w:t>Stories of Home</w:t>
      </w:r>
      <w:r w:rsidR="004629C5" w:rsidRPr="00254634">
        <w:rPr>
          <w:rStyle w:val="FootnoteReference"/>
          <w:i/>
          <w:iCs/>
          <w:sz w:val="22"/>
        </w:rPr>
        <w:footnoteReference w:id="20"/>
      </w:r>
    </w:p>
    <w:p w14:paraId="616362BB" w14:textId="4D9AAF77" w:rsidR="002C33A6" w:rsidRDefault="002C33A6" w:rsidP="00982C3B">
      <w:pPr>
        <w:pStyle w:val="Heading2"/>
      </w:pPr>
      <w:bookmarkStart w:id="10" w:name="_Toc51050141"/>
      <w:r>
        <w:t>Housing</w:t>
      </w:r>
      <w:bookmarkEnd w:id="10"/>
    </w:p>
    <w:p w14:paraId="424A43DE" w14:textId="050B6985" w:rsidR="00B4733D" w:rsidRDefault="00530886" w:rsidP="00B4733D">
      <w:pPr>
        <w:pStyle w:val="BodyText"/>
      </w:pPr>
      <w:r>
        <w:t>As shown</w:t>
      </w:r>
      <w:r w:rsidR="00254634">
        <w:t xml:space="preserve"> </w:t>
      </w:r>
      <w:r>
        <w:t>in</w:t>
      </w:r>
      <w:r w:rsidR="00254634">
        <w:t xml:space="preserve"> </w:t>
      </w:r>
      <w:r>
        <w:t xml:space="preserve">Table 2, housing is the largest expense for </w:t>
      </w:r>
      <w:r w:rsidR="00860674">
        <w:t xml:space="preserve">low- and middle-income households in the ACT. </w:t>
      </w:r>
      <w:r w:rsidR="00825441">
        <w:t xml:space="preserve">Low-income households </w:t>
      </w:r>
      <w:r w:rsidR="00B955F1">
        <w:t>spend a</w:t>
      </w:r>
      <w:r w:rsidR="00DF0971">
        <w:t xml:space="preserve"> significantly</w:t>
      </w:r>
      <w:r w:rsidR="00B955F1">
        <w:t xml:space="preserve"> </w:t>
      </w:r>
      <w:r w:rsidR="002802F7">
        <w:t>higher</w:t>
      </w:r>
      <w:r w:rsidR="00B955F1">
        <w:t xml:space="preserve"> proportion of their income on housing (</w:t>
      </w:r>
      <w:r w:rsidR="00B955F1" w:rsidRPr="00187393">
        <w:t xml:space="preserve">see Figure </w:t>
      </w:r>
      <w:r w:rsidR="00187393" w:rsidRPr="00187393">
        <w:t>3</w:t>
      </w:r>
      <w:r w:rsidR="00B955F1">
        <w:t xml:space="preserve">). </w:t>
      </w:r>
      <w:r w:rsidR="008A4634" w:rsidRPr="008A4634">
        <w:t>Accessible, affordable, safe</w:t>
      </w:r>
      <w:r w:rsidR="003B3C84" w:rsidRPr="008A4634">
        <w:t>,</w:t>
      </w:r>
      <w:r w:rsidR="008A4634" w:rsidRPr="008A4634">
        <w:t xml:space="preserve"> and secure housing provides the necessary foundation from which people can actively meet their social, physical</w:t>
      </w:r>
      <w:r w:rsidR="003B3C84" w:rsidRPr="008A4634">
        <w:t>,</w:t>
      </w:r>
      <w:r w:rsidR="008A4634" w:rsidRPr="008A4634">
        <w:t xml:space="preserve"> and emotional needs. We need to ensure that everyone has access to healthy and affordable housing in the ACT. The lack of affordable rental properties for low-income households in the ACT is a critical issue that needs to be addressed.</w:t>
      </w:r>
    </w:p>
    <w:p w14:paraId="0259047F" w14:textId="07126C04" w:rsidR="003309B4" w:rsidRDefault="00150CFB" w:rsidP="00021051">
      <w:pPr>
        <w:pStyle w:val="Figuretitle"/>
      </w:pPr>
      <w:r>
        <w:lastRenderedPageBreak/>
        <w:t xml:space="preserve">Figure </w:t>
      </w:r>
      <w:r w:rsidR="00091D00">
        <w:t>3</w:t>
      </w:r>
      <w:r>
        <w:t xml:space="preserve"> Housing costs as a proportion of gross household income, ACT, </w:t>
      </w:r>
      <w:r w:rsidR="00021051">
        <w:t>2017-18</w:t>
      </w:r>
      <w:r w:rsidR="0045527E" w:rsidRPr="008A346C">
        <w:rPr>
          <w:rStyle w:val="FootnoteReference"/>
          <w:b w:val="0"/>
          <w:bCs/>
        </w:rPr>
        <w:footnoteReference w:id="21"/>
      </w:r>
    </w:p>
    <w:p w14:paraId="6F300CC9" w14:textId="2A0E8EFB" w:rsidR="00B955F1" w:rsidRDefault="003309B4" w:rsidP="00B4733D">
      <w:pPr>
        <w:pStyle w:val="BodyText"/>
      </w:pPr>
      <w:r>
        <w:rPr>
          <w:noProof/>
        </w:rPr>
        <w:drawing>
          <wp:inline distT="0" distB="0" distL="0" distR="0" wp14:anchorId="18907EFB" wp14:editId="04E797C9">
            <wp:extent cx="5400000" cy="323280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0" cy="3232800"/>
                    </a:xfrm>
                    <a:prstGeom prst="rect">
                      <a:avLst/>
                    </a:prstGeom>
                    <a:noFill/>
                  </pic:spPr>
                </pic:pic>
              </a:graphicData>
            </a:graphic>
          </wp:inline>
        </w:drawing>
      </w:r>
    </w:p>
    <w:p w14:paraId="676DE215" w14:textId="2805D013" w:rsidR="0090211F" w:rsidRDefault="000B18DC" w:rsidP="006D2AF8">
      <w:pPr>
        <w:pStyle w:val="Heading3"/>
      </w:pPr>
      <w:bookmarkStart w:id="11" w:name="_Toc51050142"/>
      <w:r>
        <w:t>Rental affordability</w:t>
      </w:r>
      <w:bookmarkEnd w:id="11"/>
    </w:p>
    <w:p w14:paraId="2BD4ED9E" w14:textId="04EA8770" w:rsidR="00656C9A" w:rsidRDefault="008E5F4A" w:rsidP="00B4733D">
      <w:pPr>
        <w:pStyle w:val="BodyText"/>
      </w:pPr>
      <w:r>
        <w:t>Over the past five years</w:t>
      </w:r>
      <w:r w:rsidR="00850D89">
        <w:t>,</w:t>
      </w:r>
      <w:r>
        <w:t xml:space="preserve"> the </w:t>
      </w:r>
      <w:r w:rsidR="0073523E">
        <w:t xml:space="preserve">Canberra </w:t>
      </w:r>
      <w:r>
        <w:t xml:space="preserve">CPI for </w:t>
      </w:r>
      <w:r w:rsidR="00B64B6B">
        <w:t xml:space="preserve">rent has increased by 7.1% which is below </w:t>
      </w:r>
      <w:r w:rsidR="0073523E">
        <w:t>Canberra’s</w:t>
      </w:r>
      <w:r w:rsidR="00B64B6B">
        <w:t xml:space="preserve"> overall CPI increase (9.2%), but </w:t>
      </w:r>
      <w:r w:rsidR="00663979">
        <w:t xml:space="preserve">well </w:t>
      </w:r>
      <w:r w:rsidR="00B64B6B">
        <w:t xml:space="preserve">above the </w:t>
      </w:r>
      <w:r w:rsidR="0073523E">
        <w:t xml:space="preserve">increase in the </w:t>
      </w:r>
      <w:r w:rsidR="00985D12">
        <w:t xml:space="preserve">national </w:t>
      </w:r>
      <w:r w:rsidR="0073523E">
        <w:t>CPI</w:t>
      </w:r>
      <w:r w:rsidR="00985D12">
        <w:t xml:space="preserve"> for rent </w:t>
      </w:r>
      <w:r w:rsidR="007220F7">
        <w:t>(</w:t>
      </w:r>
      <w:r w:rsidR="00985D12">
        <w:t>3.7%</w:t>
      </w:r>
      <w:r w:rsidR="007220F7">
        <w:t>)</w:t>
      </w:r>
      <w:r w:rsidR="00985D12">
        <w:t xml:space="preserve">. </w:t>
      </w:r>
      <w:r w:rsidR="007505EA">
        <w:t xml:space="preserve">Real estate industry data </w:t>
      </w:r>
      <w:r w:rsidR="009660F6">
        <w:t xml:space="preserve">shows that </w:t>
      </w:r>
      <w:r w:rsidR="00E06088">
        <w:t>over the past five years</w:t>
      </w:r>
      <w:r w:rsidR="00903DAC">
        <w:t>,</w:t>
      </w:r>
      <w:r w:rsidR="009660F6" w:rsidRPr="009660F6">
        <w:t xml:space="preserve"> rents </w:t>
      </w:r>
      <w:r w:rsidR="007220F7">
        <w:t>for houses and units</w:t>
      </w:r>
      <w:r w:rsidR="009660F6" w:rsidRPr="009660F6">
        <w:t xml:space="preserve"> </w:t>
      </w:r>
      <w:r w:rsidR="00E06088">
        <w:t xml:space="preserve">in Canberra </w:t>
      </w:r>
      <w:r w:rsidR="009660F6" w:rsidRPr="009660F6">
        <w:t xml:space="preserve">have increased </w:t>
      </w:r>
      <w:r w:rsidR="007220F7">
        <w:t>by</w:t>
      </w:r>
      <w:r w:rsidR="009660F6" w:rsidRPr="009660F6">
        <w:t xml:space="preserve"> 28</w:t>
      </w:r>
      <w:r w:rsidR="009660F6">
        <w:t>%</w:t>
      </w:r>
      <w:r w:rsidR="009660F6" w:rsidRPr="009660F6">
        <w:t xml:space="preserve"> and 22</w:t>
      </w:r>
      <w:r w:rsidR="009660F6">
        <w:t xml:space="preserve">% </w:t>
      </w:r>
      <w:r w:rsidR="00E06088">
        <w:t>respectively –</w:t>
      </w:r>
      <w:r w:rsidR="009660F6" w:rsidRPr="009660F6">
        <w:t xml:space="preserve"> the second </w:t>
      </w:r>
      <w:r w:rsidR="009660F6">
        <w:t>highest increase</w:t>
      </w:r>
      <w:r w:rsidR="009660F6" w:rsidRPr="009660F6">
        <w:t xml:space="preserve"> across </w:t>
      </w:r>
      <w:r w:rsidR="002B05B1">
        <w:t>Australian capital cities</w:t>
      </w:r>
      <w:r w:rsidR="009660F6" w:rsidRPr="009660F6">
        <w:t xml:space="preserve"> during this time.</w:t>
      </w:r>
      <w:r w:rsidR="009660F6">
        <w:rPr>
          <w:rStyle w:val="FootnoteReference"/>
        </w:rPr>
        <w:footnoteReference w:id="22"/>
      </w:r>
      <w:r w:rsidR="009660F6">
        <w:t xml:space="preserve"> </w:t>
      </w:r>
      <w:r w:rsidR="00FB1A8A">
        <w:t>Over the past year</w:t>
      </w:r>
      <w:r w:rsidR="00903DAC">
        <w:t>,</w:t>
      </w:r>
      <w:r w:rsidR="00FB1A8A">
        <w:t xml:space="preserve"> the ACT has consistently had the highest </w:t>
      </w:r>
      <w:r w:rsidR="00930177">
        <w:t>median house rent price and the second highest median unit rent price</w:t>
      </w:r>
      <w:r w:rsidR="00395B9F">
        <w:t xml:space="preserve"> (see </w:t>
      </w:r>
      <w:r w:rsidR="00395B9F" w:rsidRPr="00187393">
        <w:t xml:space="preserve">Figure </w:t>
      </w:r>
      <w:r w:rsidR="00187393" w:rsidRPr="00187393">
        <w:t>4</w:t>
      </w:r>
      <w:r w:rsidR="00395B9F">
        <w:t xml:space="preserve">). </w:t>
      </w:r>
      <w:r w:rsidR="00AF5AC6">
        <w:t>Over the year</w:t>
      </w:r>
      <w:r w:rsidR="002E2B82">
        <w:t xml:space="preserve"> from June 2019 to June 2020</w:t>
      </w:r>
      <w:r w:rsidR="00AF5AC6">
        <w:t xml:space="preserve">, the ACT </w:t>
      </w:r>
      <w:r w:rsidR="00D772FD">
        <w:t>was the only state or territory where rental affordability declined</w:t>
      </w:r>
      <w:r w:rsidR="002E2B82">
        <w:t>.</w:t>
      </w:r>
      <w:r w:rsidR="002E2B82">
        <w:rPr>
          <w:rStyle w:val="FootnoteReference"/>
        </w:rPr>
        <w:footnoteReference w:id="23"/>
      </w:r>
    </w:p>
    <w:p w14:paraId="36CA0F43" w14:textId="6F3B9A73" w:rsidR="0004310D" w:rsidRDefault="00187393" w:rsidP="00B141E8">
      <w:pPr>
        <w:pStyle w:val="Figuretitle"/>
      </w:pPr>
      <w:r w:rsidRPr="00DB4CEF">
        <w:lastRenderedPageBreak/>
        <w:t xml:space="preserve">Figure 4 </w:t>
      </w:r>
      <w:r w:rsidR="009E1AA6" w:rsidRPr="00DB4CEF">
        <w:t>Median house and unit rents by capital city, June 2020</w:t>
      </w:r>
      <w:r w:rsidR="00477EE4" w:rsidRPr="00B141E8">
        <w:rPr>
          <w:rStyle w:val="FootnoteReference"/>
          <w:b w:val="0"/>
          <w:bCs/>
        </w:rPr>
        <w:footnoteReference w:id="24"/>
      </w:r>
    </w:p>
    <w:p w14:paraId="3435BC64" w14:textId="01D32C62" w:rsidR="0004310D" w:rsidRDefault="001E5968" w:rsidP="00B4733D">
      <w:pPr>
        <w:pStyle w:val="BodyText"/>
      </w:pPr>
      <w:r>
        <w:rPr>
          <w:noProof/>
        </w:rPr>
        <w:drawing>
          <wp:inline distT="0" distB="0" distL="0" distR="0" wp14:anchorId="0773B8EC" wp14:editId="417A8676">
            <wp:extent cx="5400000" cy="32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3240000"/>
                    </a:xfrm>
                    <a:prstGeom prst="rect">
                      <a:avLst/>
                    </a:prstGeom>
                    <a:noFill/>
                  </pic:spPr>
                </pic:pic>
              </a:graphicData>
            </a:graphic>
          </wp:inline>
        </w:drawing>
      </w:r>
    </w:p>
    <w:p w14:paraId="310696A0" w14:textId="3322E74D" w:rsidR="00605074" w:rsidRDefault="00605074" w:rsidP="00605074">
      <w:pPr>
        <w:pStyle w:val="BodyText"/>
      </w:pPr>
      <w:r>
        <w:t>Nationally, there is a shortfall in supply of affordable private rental dwellings for low-income renters as many affordable dwellings are rented by people on higher incomes. The significance of this shortfall is highlighted in the Rental Affordability Index (RAI) and Anglicare Australia’s Rental Affordability Snapshot.</w:t>
      </w:r>
    </w:p>
    <w:p w14:paraId="76903555" w14:textId="5A9089A3" w:rsidR="00C06608" w:rsidRDefault="00605074" w:rsidP="00605074">
      <w:pPr>
        <w:pStyle w:val="BodyText"/>
      </w:pPr>
      <w:r>
        <w:t>While the overall RAI for the ACT is ‘Acceptable’, ‘income growth has not kept pace with increasing rents, leading to a declining RAI score</w:t>
      </w:r>
      <w:r w:rsidR="00187393">
        <w:t xml:space="preserve"> (see Table </w:t>
      </w:r>
      <w:r w:rsidR="00215E2F">
        <w:t>3)</w:t>
      </w:r>
      <w:r>
        <w:t>. Low-income households in the ACT face particularly unaffordable rents, as rents are pushed up by the overall high-income earning workforce’.</w:t>
      </w:r>
      <w:r w:rsidR="00D91906">
        <w:rPr>
          <w:rStyle w:val="FootnoteReference"/>
        </w:rPr>
        <w:footnoteReference w:id="25"/>
      </w:r>
      <w:r>
        <w:t xml:space="preserve"> The RAI has consistently found that low-income households in the ACT face particularly unaffordable rents – Canberra was second least affordable area for almost all lower income household types behind Greater Sydney. Canberra was the least affordable city for student share</w:t>
      </w:r>
      <w:r w:rsidR="004E782C">
        <w:t xml:space="preserve"> </w:t>
      </w:r>
      <w:r>
        <w:t>houses.</w:t>
      </w:r>
    </w:p>
    <w:p w14:paraId="53EFD01D" w14:textId="77777777" w:rsidR="004D214A" w:rsidRDefault="004D214A">
      <w:pPr>
        <w:rPr>
          <w:b/>
          <w:sz w:val="21"/>
        </w:rPr>
      </w:pPr>
      <w:r>
        <w:br w:type="page"/>
      </w:r>
    </w:p>
    <w:p w14:paraId="3D44A12E" w14:textId="34E1C282" w:rsidR="007B4275" w:rsidRPr="007B4275" w:rsidRDefault="00215E2F" w:rsidP="00DB4CEF">
      <w:pPr>
        <w:pStyle w:val="Figuretitle"/>
      </w:pPr>
      <w:r>
        <w:lastRenderedPageBreak/>
        <w:t xml:space="preserve">Table 3 </w:t>
      </w:r>
      <w:r w:rsidR="007B4275" w:rsidRPr="007B4275">
        <w:t>Rental affordability for low-income households in the ACT, Nov 2019</w:t>
      </w:r>
      <w:r w:rsidR="0024621D" w:rsidRPr="00AC3715">
        <w:rPr>
          <w:rStyle w:val="FootnoteReference"/>
          <w:b w:val="0"/>
        </w:rPr>
        <w:footnoteReference w:id="26"/>
      </w:r>
    </w:p>
    <w:tbl>
      <w:tblPr>
        <w:tblStyle w:val="ACTCOSStable-alternatingrowcolours"/>
        <w:tblW w:w="5000" w:type="pct"/>
        <w:tblBorders>
          <w:top w:val="none" w:sz="0" w:space="0" w:color="auto"/>
          <w:bottom w:val="none" w:sz="0" w:space="0" w:color="auto"/>
        </w:tblBorders>
        <w:tblLook w:val="04A0" w:firstRow="1" w:lastRow="0" w:firstColumn="1" w:lastColumn="0" w:noHBand="0" w:noVBand="1"/>
      </w:tblPr>
      <w:tblGrid>
        <w:gridCol w:w="3402"/>
        <w:gridCol w:w="1279"/>
        <w:gridCol w:w="1893"/>
        <w:gridCol w:w="1930"/>
      </w:tblGrid>
      <w:tr w:rsidR="00B946C0" w:rsidRPr="00E95517" w14:paraId="3BA77183" w14:textId="77777777" w:rsidTr="00C765D1">
        <w:trPr>
          <w:cnfStyle w:val="100000000000" w:firstRow="1" w:lastRow="0" w:firstColumn="0" w:lastColumn="0" w:oddVBand="0" w:evenVBand="0" w:oddHBand="0" w:evenHBand="0" w:firstRowFirstColumn="0" w:firstRowLastColumn="0" w:lastRowFirstColumn="0" w:lastRowLastColumn="0"/>
          <w:trHeight w:val="525"/>
          <w:tblHeader/>
        </w:trPr>
        <w:tc>
          <w:tcPr>
            <w:tcW w:w="2000" w:type="pct"/>
            <w:tcBorders>
              <w:top w:val="single" w:sz="4" w:space="0" w:color="auto"/>
              <w:bottom w:val="single" w:sz="4" w:space="0" w:color="auto"/>
            </w:tcBorders>
            <w:hideMark/>
          </w:tcPr>
          <w:p w14:paraId="6649DE31" w14:textId="77777777" w:rsidR="00B946C0" w:rsidRPr="002F4307" w:rsidRDefault="00B946C0" w:rsidP="00C73149">
            <w:pPr>
              <w:pStyle w:val="Tableheading"/>
              <w:jc w:val="both"/>
              <w:rPr>
                <w:rFonts w:eastAsia="Calibri"/>
                <w:lang w:eastAsia="en-US"/>
              </w:rPr>
            </w:pPr>
            <w:r w:rsidRPr="009E2494">
              <w:t>Household income type</w:t>
            </w:r>
          </w:p>
        </w:tc>
        <w:tc>
          <w:tcPr>
            <w:tcW w:w="752" w:type="pct"/>
            <w:tcBorders>
              <w:top w:val="single" w:sz="4" w:space="0" w:color="auto"/>
              <w:bottom w:val="single" w:sz="4" w:space="0" w:color="auto"/>
            </w:tcBorders>
            <w:noWrap/>
            <w:hideMark/>
          </w:tcPr>
          <w:p w14:paraId="3ADDE354" w14:textId="77777777" w:rsidR="00B946C0" w:rsidRPr="002F4307" w:rsidRDefault="00B946C0" w:rsidP="00AC3715">
            <w:pPr>
              <w:pStyle w:val="Tableheading"/>
              <w:jc w:val="center"/>
              <w:rPr>
                <w:rFonts w:eastAsia="Calibri"/>
                <w:lang w:eastAsia="en-US"/>
              </w:rPr>
            </w:pPr>
            <w:r w:rsidRPr="009E2494">
              <w:t>RAI score</w:t>
            </w:r>
          </w:p>
        </w:tc>
        <w:tc>
          <w:tcPr>
            <w:tcW w:w="1113" w:type="pct"/>
            <w:tcBorders>
              <w:top w:val="single" w:sz="4" w:space="0" w:color="auto"/>
              <w:bottom w:val="single" w:sz="4" w:space="0" w:color="auto"/>
            </w:tcBorders>
          </w:tcPr>
          <w:p w14:paraId="6D66EC13" w14:textId="77777777" w:rsidR="00B946C0" w:rsidRDefault="00B946C0" w:rsidP="00AC3715">
            <w:pPr>
              <w:pStyle w:val="Tableheading"/>
              <w:jc w:val="center"/>
              <w:rPr>
                <w:rFonts w:eastAsia="Calibri"/>
                <w:lang w:eastAsia="en-US"/>
              </w:rPr>
            </w:pPr>
            <w:r w:rsidRPr="009E2494">
              <w:t>Rent as share of income</w:t>
            </w:r>
          </w:p>
        </w:tc>
        <w:tc>
          <w:tcPr>
            <w:tcW w:w="1135" w:type="pct"/>
            <w:tcBorders>
              <w:top w:val="single" w:sz="4" w:space="0" w:color="auto"/>
              <w:bottom w:val="single" w:sz="4" w:space="0" w:color="auto"/>
            </w:tcBorders>
          </w:tcPr>
          <w:p w14:paraId="207B7796" w14:textId="77777777" w:rsidR="00B946C0" w:rsidRDefault="00B946C0" w:rsidP="00AC3715">
            <w:pPr>
              <w:pStyle w:val="Tableheading"/>
              <w:jc w:val="center"/>
              <w:rPr>
                <w:rFonts w:eastAsia="Calibri"/>
                <w:lang w:eastAsia="en-US"/>
              </w:rPr>
            </w:pPr>
            <w:r w:rsidRPr="009E2494">
              <w:t>Relative unaffordability</w:t>
            </w:r>
          </w:p>
        </w:tc>
      </w:tr>
      <w:tr w:rsidR="00B946C0" w:rsidRPr="00EF12FF" w14:paraId="16880DEF" w14:textId="77777777" w:rsidTr="00C765D1">
        <w:trPr>
          <w:cnfStyle w:val="000000100000" w:firstRow="0" w:lastRow="0" w:firstColumn="0" w:lastColumn="0" w:oddVBand="0" w:evenVBand="0" w:oddHBand="1" w:evenHBand="0" w:firstRowFirstColumn="0" w:firstRowLastColumn="0" w:lastRowFirstColumn="0" w:lastRowLastColumn="0"/>
          <w:trHeight w:val="255"/>
        </w:trPr>
        <w:tc>
          <w:tcPr>
            <w:tcW w:w="2000" w:type="pct"/>
            <w:tcBorders>
              <w:top w:val="single" w:sz="4" w:space="0" w:color="auto"/>
            </w:tcBorders>
            <w:hideMark/>
          </w:tcPr>
          <w:p w14:paraId="21BA7506" w14:textId="77777777" w:rsidR="00B946C0" w:rsidRPr="00EF12FF" w:rsidRDefault="00B946C0" w:rsidP="00C73149">
            <w:pPr>
              <w:pStyle w:val="TableBody"/>
            </w:pPr>
            <w:r w:rsidRPr="004F66F0">
              <w:t>Single person on Newstart Allowance</w:t>
            </w:r>
          </w:p>
        </w:tc>
        <w:tc>
          <w:tcPr>
            <w:tcW w:w="752" w:type="pct"/>
            <w:tcBorders>
              <w:top w:val="single" w:sz="4" w:space="0" w:color="auto"/>
            </w:tcBorders>
            <w:noWrap/>
            <w:hideMark/>
          </w:tcPr>
          <w:p w14:paraId="09283722" w14:textId="77777777" w:rsidR="00B946C0" w:rsidRPr="00EF12FF" w:rsidRDefault="00B946C0" w:rsidP="00C73149">
            <w:pPr>
              <w:pStyle w:val="TableBody"/>
              <w:jc w:val="right"/>
            </w:pPr>
            <w:r w:rsidRPr="004F66F0">
              <w:t>26</w:t>
            </w:r>
          </w:p>
        </w:tc>
        <w:tc>
          <w:tcPr>
            <w:tcW w:w="1113" w:type="pct"/>
            <w:tcBorders>
              <w:top w:val="single" w:sz="4" w:space="0" w:color="auto"/>
            </w:tcBorders>
          </w:tcPr>
          <w:p w14:paraId="66D7BF8F" w14:textId="77777777" w:rsidR="00B946C0" w:rsidRPr="00EF12FF" w:rsidRDefault="00B946C0" w:rsidP="00C73149">
            <w:pPr>
              <w:pStyle w:val="TableBody"/>
              <w:jc w:val="right"/>
            </w:pPr>
            <w:r w:rsidRPr="004F66F0">
              <w:t>115%</w:t>
            </w:r>
          </w:p>
        </w:tc>
        <w:tc>
          <w:tcPr>
            <w:tcW w:w="1135" w:type="pct"/>
            <w:tcBorders>
              <w:top w:val="single" w:sz="4" w:space="0" w:color="auto"/>
            </w:tcBorders>
            <w:shd w:val="clear" w:color="auto" w:fill="1F3864" w:themeFill="accent1" w:themeFillShade="80"/>
          </w:tcPr>
          <w:p w14:paraId="7DDCB13B" w14:textId="77777777" w:rsidR="00B946C0" w:rsidRPr="00C567C3" w:rsidRDefault="00B946C0" w:rsidP="00C73149">
            <w:pPr>
              <w:pStyle w:val="TableBody"/>
              <w:rPr>
                <w:color w:val="FFFFFF" w:themeColor="background1"/>
              </w:rPr>
            </w:pPr>
            <w:r w:rsidRPr="00C567C3">
              <w:rPr>
                <w:color w:val="FFFFFF" w:themeColor="background1"/>
              </w:rPr>
              <w:t>Extremely unaffordable</w:t>
            </w:r>
          </w:p>
        </w:tc>
      </w:tr>
      <w:tr w:rsidR="00B946C0" w:rsidRPr="00EF12FF" w14:paraId="299B370A" w14:textId="77777777" w:rsidTr="00C765D1">
        <w:trPr>
          <w:trHeight w:val="255"/>
        </w:trPr>
        <w:tc>
          <w:tcPr>
            <w:tcW w:w="2000" w:type="pct"/>
          </w:tcPr>
          <w:p w14:paraId="7C8B5A12" w14:textId="77777777" w:rsidR="00B946C0" w:rsidRPr="00EF12FF" w:rsidRDefault="00B946C0" w:rsidP="00C73149">
            <w:pPr>
              <w:pStyle w:val="TableBody"/>
            </w:pPr>
            <w:r w:rsidRPr="00096F3A">
              <w:t>Single pensioner</w:t>
            </w:r>
          </w:p>
        </w:tc>
        <w:tc>
          <w:tcPr>
            <w:tcW w:w="752" w:type="pct"/>
            <w:noWrap/>
          </w:tcPr>
          <w:p w14:paraId="090B52FD" w14:textId="77777777" w:rsidR="00B946C0" w:rsidRPr="00EF12FF" w:rsidRDefault="00B946C0" w:rsidP="00C73149">
            <w:pPr>
              <w:pStyle w:val="TableBody"/>
              <w:jc w:val="right"/>
            </w:pPr>
            <w:r w:rsidRPr="00096F3A">
              <w:t>40</w:t>
            </w:r>
          </w:p>
        </w:tc>
        <w:tc>
          <w:tcPr>
            <w:tcW w:w="1113" w:type="pct"/>
          </w:tcPr>
          <w:p w14:paraId="127B5D80" w14:textId="77777777" w:rsidR="00B946C0" w:rsidRPr="00EF12FF" w:rsidRDefault="00B946C0" w:rsidP="00C73149">
            <w:pPr>
              <w:pStyle w:val="TableBody"/>
              <w:jc w:val="right"/>
            </w:pPr>
            <w:r w:rsidRPr="00096F3A">
              <w:t>75%</w:t>
            </w:r>
          </w:p>
        </w:tc>
        <w:tc>
          <w:tcPr>
            <w:tcW w:w="1135" w:type="pct"/>
            <w:shd w:val="clear" w:color="auto" w:fill="1F3864" w:themeFill="accent1" w:themeFillShade="80"/>
          </w:tcPr>
          <w:p w14:paraId="21BEA3B6" w14:textId="77777777" w:rsidR="00B946C0" w:rsidRPr="00C567C3" w:rsidRDefault="00B946C0" w:rsidP="00C73149">
            <w:pPr>
              <w:pStyle w:val="TableBody"/>
              <w:rPr>
                <w:color w:val="FFFFFF" w:themeColor="background1"/>
              </w:rPr>
            </w:pPr>
            <w:r w:rsidRPr="00C567C3">
              <w:rPr>
                <w:color w:val="FFFFFF" w:themeColor="background1"/>
              </w:rPr>
              <w:t>Extremely unaffordable</w:t>
            </w:r>
          </w:p>
        </w:tc>
      </w:tr>
      <w:tr w:rsidR="00B946C0" w:rsidRPr="00EF12FF" w14:paraId="4B620BAD" w14:textId="77777777" w:rsidTr="00C765D1">
        <w:trPr>
          <w:cnfStyle w:val="000000100000" w:firstRow="0" w:lastRow="0" w:firstColumn="0" w:lastColumn="0" w:oddVBand="0" w:evenVBand="0" w:oddHBand="1" w:evenHBand="0" w:firstRowFirstColumn="0" w:firstRowLastColumn="0" w:lastRowFirstColumn="0" w:lastRowLastColumn="0"/>
          <w:trHeight w:val="255"/>
        </w:trPr>
        <w:tc>
          <w:tcPr>
            <w:tcW w:w="2000" w:type="pct"/>
          </w:tcPr>
          <w:p w14:paraId="429B3DC5" w14:textId="77777777" w:rsidR="00B946C0" w:rsidRPr="00EF12FF" w:rsidRDefault="00B946C0" w:rsidP="00C73149">
            <w:pPr>
              <w:pStyle w:val="TableBody"/>
            </w:pPr>
            <w:r w:rsidRPr="001E6D0A">
              <w:t>Single part-time worker parent on benefits</w:t>
            </w:r>
          </w:p>
        </w:tc>
        <w:tc>
          <w:tcPr>
            <w:tcW w:w="752" w:type="pct"/>
            <w:noWrap/>
          </w:tcPr>
          <w:p w14:paraId="589D7ED0" w14:textId="77777777" w:rsidR="00B946C0" w:rsidRPr="00EF12FF" w:rsidRDefault="00B946C0" w:rsidP="00C73149">
            <w:pPr>
              <w:pStyle w:val="TableBody"/>
              <w:jc w:val="right"/>
            </w:pPr>
            <w:r w:rsidRPr="001E6D0A">
              <w:t>48</w:t>
            </w:r>
          </w:p>
        </w:tc>
        <w:tc>
          <w:tcPr>
            <w:tcW w:w="1113" w:type="pct"/>
          </w:tcPr>
          <w:p w14:paraId="2D16E002" w14:textId="77777777" w:rsidR="00B946C0" w:rsidRPr="00EF12FF" w:rsidRDefault="00B946C0" w:rsidP="00C73149">
            <w:pPr>
              <w:pStyle w:val="TableBody"/>
              <w:jc w:val="right"/>
            </w:pPr>
            <w:r w:rsidRPr="001E6D0A">
              <w:t>62%</w:t>
            </w:r>
          </w:p>
        </w:tc>
        <w:tc>
          <w:tcPr>
            <w:tcW w:w="1135" w:type="pct"/>
            <w:shd w:val="clear" w:color="auto" w:fill="1F3864" w:themeFill="accent1" w:themeFillShade="80"/>
          </w:tcPr>
          <w:p w14:paraId="619C7C86" w14:textId="77777777" w:rsidR="00B946C0" w:rsidRPr="00C567C3" w:rsidRDefault="00B946C0" w:rsidP="00C73149">
            <w:pPr>
              <w:pStyle w:val="TableBody"/>
              <w:rPr>
                <w:color w:val="FFFFFF" w:themeColor="background1"/>
              </w:rPr>
            </w:pPr>
            <w:r w:rsidRPr="00C567C3">
              <w:rPr>
                <w:color w:val="FFFFFF" w:themeColor="background1"/>
              </w:rPr>
              <w:t>Extremely unaffordable</w:t>
            </w:r>
          </w:p>
        </w:tc>
      </w:tr>
      <w:tr w:rsidR="00B946C0" w:rsidRPr="00EF12FF" w14:paraId="69EA7EB3" w14:textId="77777777" w:rsidTr="00C765D1">
        <w:trPr>
          <w:trHeight w:val="255"/>
        </w:trPr>
        <w:tc>
          <w:tcPr>
            <w:tcW w:w="2000" w:type="pct"/>
          </w:tcPr>
          <w:p w14:paraId="0B66D460" w14:textId="77777777" w:rsidR="00B946C0" w:rsidRPr="00C01653" w:rsidRDefault="00B946C0" w:rsidP="00C73149">
            <w:pPr>
              <w:pStyle w:val="TableBody"/>
            </w:pPr>
            <w:r w:rsidRPr="00352F8C">
              <w:t>Pensioner couple</w:t>
            </w:r>
          </w:p>
        </w:tc>
        <w:tc>
          <w:tcPr>
            <w:tcW w:w="752" w:type="pct"/>
            <w:noWrap/>
          </w:tcPr>
          <w:p w14:paraId="02EE2944" w14:textId="77777777" w:rsidR="00B946C0" w:rsidRPr="00C01653" w:rsidRDefault="00B946C0" w:rsidP="00C73149">
            <w:pPr>
              <w:pStyle w:val="TableBody"/>
              <w:jc w:val="right"/>
            </w:pPr>
            <w:r w:rsidRPr="00352F8C">
              <w:t>59</w:t>
            </w:r>
          </w:p>
        </w:tc>
        <w:tc>
          <w:tcPr>
            <w:tcW w:w="1113" w:type="pct"/>
          </w:tcPr>
          <w:p w14:paraId="05B1C6A3" w14:textId="77777777" w:rsidR="00B946C0" w:rsidRPr="00C01653" w:rsidRDefault="00B946C0" w:rsidP="00C73149">
            <w:pPr>
              <w:pStyle w:val="TableBody"/>
              <w:jc w:val="right"/>
            </w:pPr>
            <w:r w:rsidRPr="00352F8C">
              <w:t>51%</w:t>
            </w:r>
          </w:p>
        </w:tc>
        <w:tc>
          <w:tcPr>
            <w:tcW w:w="1135" w:type="pct"/>
            <w:shd w:val="clear" w:color="auto" w:fill="2F5496" w:themeFill="accent1" w:themeFillShade="BF"/>
          </w:tcPr>
          <w:p w14:paraId="101DFFC9" w14:textId="77777777" w:rsidR="00B946C0" w:rsidRPr="00DB4CEF" w:rsidRDefault="00B946C0" w:rsidP="00C73149">
            <w:pPr>
              <w:pStyle w:val="TableBody"/>
              <w:rPr>
                <w:color w:val="FFFFFF" w:themeColor="background1"/>
              </w:rPr>
            </w:pPr>
            <w:r w:rsidRPr="00DB4CEF">
              <w:rPr>
                <w:color w:val="FFFFFF" w:themeColor="background1"/>
              </w:rPr>
              <w:t>Severely unaffordable</w:t>
            </w:r>
          </w:p>
        </w:tc>
      </w:tr>
      <w:tr w:rsidR="00B946C0" w:rsidRPr="00EF12FF" w14:paraId="74494F86" w14:textId="77777777" w:rsidTr="00C765D1">
        <w:trPr>
          <w:cnfStyle w:val="000000100000" w:firstRow="0" w:lastRow="0" w:firstColumn="0" w:lastColumn="0" w:oddVBand="0" w:evenVBand="0" w:oddHBand="1" w:evenHBand="0" w:firstRowFirstColumn="0" w:firstRowLastColumn="0" w:lastRowFirstColumn="0" w:lastRowLastColumn="0"/>
          <w:trHeight w:val="255"/>
        </w:trPr>
        <w:tc>
          <w:tcPr>
            <w:tcW w:w="2000" w:type="pct"/>
          </w:tcPr>
          <w:p w14:paraId="640B8EED" w14:textId="77777777" w:rsidR="00B946C0" w:rsidRPr="00C01653" w:rsidRDefault="00B946C0" w:rsidP="00C73149">
            <w:pPr>
              <w:pStyle w:val="TableBody"/>
            </w:pPr>
            <w:r w:rsidRPr="005E2A21">
              <w:t>Hospitality worker</w:t>
            </w:r>
          </w:p>
        </w:tc>
        <w:tc>
          <w:tcPr>
            <w:tcW w:w="752" w:type="pct"/>
            <w:noWrap/>
          </w:tcPr>
          <w:p w14:paraId="2A76FFDA" w14:textId="77777777" w:rsidR="00B946C0" w:rsidRPr="00C01653" w:rsidRDefault="00B946C0" w:rsidP="00C73149">
            <w:pPr>
              <w:pStyle w:val="TableBody"/>
              <w:jc w:val="right"/>
            </w:pPr>
            <w:r w:rsidRPr="005E2A21">
              <w:t>77</w:t>
            </w:r>
          </w:p>
        </w:tc>
        <w:tc>
          <w:tcPr>
            <w:tcW w:w="1113" w:type="pct"/>
          </w:tcPr>
          <w:p w14:paraId="32421B4C" w14:textId="77777777" w:rsidR="00B946C0" w:rsidRPr="00C01653" w:rsidRDefault="00B946C0" w:rsidP="00C73149">
            <w:pPr>
              <w:pStyle w:val="TableBody"/>
              <w:jc w:val="right"/>
            </w:pPr>
            <w:r w:rsidRPr="005E2A21">
              <w:t>39%</w:t>
            </w:r>
          </w:p>
        </w:tc>
        <w:tc>
          <w:tcPr>
            <w:tcW w:w="1135" w:type="pct"/>
            <w:shd w:val="clear" w:color="auto" w:fill="2F5496" w:themeFill="accent1" w:themeFillShade="BF"/>
          </w:tcPr>
          <w:p w14:paraId="2D1E08EE" w14:textId="77777777" w:rsidR="00B946C0" w:rsidRPr="00DB4CEF" w:rsidRDefault="00B946C0" w:rsidP="00C73149">
            <w:pPr>
              <w:pStyle w:val="TableBody"/>
              <w:rPr>
                <w:color w:val="FFFFFF" w:themeColor="background1"/>
              </w:rPr>
            </w:pPr>
            <w:r w:rsidRPr="00DB4CEF">
              <w:rPr>
                <w:color w:val="FFFFFF" w:themeColor="background1"/>
              </w:rPr>
              <w:t>Severely unaffordable</w:t>
            </w:r>
          </w:p>
        </w:tc>
      </w:tr>
      <w:tr w:rsidR="00B946C0" w:rsidRPr="00EF12FF" w14:paraId="076808A0" w14:textId="77777777" w:rsidTr="00C765D1">
        <w:trPr>
          <w:trHeight w:val="255"/>
        </w:trPr>
        <w:tc>
          <w:tcPr>
            <w:tcW w:w="2000" w:type="pct"/>
          </w:tcPr>
          <w:p w14:paraId="3B7CC94E" w14:textId="369021EC" w:rsidR="00B946C0" w:rsidRPr="00C01653" w:rsidRDefault="00B946C0" w:rsidP="00C73149">
            <w:pPr>
              <w:pStyle w:val="TableBody"/>
            </w:pPr>
            <w:r w:rsidRPr="00A85DA8">
              <w:t>Student share</w:t>
            </w:r>
            <w:r w:rsidR="00B91978">
              <w:t xml:space="preserve"> </w:t>
            </w:r>
            <w:r w:rsidRPr="00A85DA8">
              <w:t>house</w:t>
            </w:r>
          </w:p>
        </w:tc>
        <w:tc>
          <w:tcPr>
            <w:tcW w:w="752" w:type="pct"/>
            <w:noWrap/>
          </w:tcPr>
          <w:p w14:paraId="3D439877" w14:textId="77777777" w:rsidR="00B946C0" w:rsidRPr="00C01653" w:rsidRDefault="00B946C0" w:rsidP="00C73149">
            <w:pPr>
              <w:pStyle w:val="TableBody"/>
              <w:jc w:val="right"/>
            </w:pPr>
            <w:r w:rsidRPr="00A85DA8">
              <w:t>85</w:t>
            </w:r>
          </w:p>
        </w:tc>
        <w:tc>
          <w:tcPr>
            <w:tcW w:w="1113" w:type="pct"/>
          </w:tcPr>
          <w:p w14:paraId="653CF2FB" w14:textId="77777777" w:rsidR="00B946C0" w:rsidRPr="00C01653" w:rsidRDefault="00B946C0" w:rsidP="00C73149">
            <w:pPr>
              <w:pStyle w:val="TableBody"/>
              <w:jc w:val="right"/>
            </w:pPr>
            <w:r w:rsidRPr="00A85DA8">
              <w:t>35%</w:t>
            </w:r>
          </w:p>
        </w:tc>
        <w:tc>
          <w:tcPr>
            <w:tcW w:w="1135" w:type="pct"/>
            <w:shd w:val="clear" w:color="auto" w:fill="8EAADB" w:themeFill="accent1" w:themeFillTint="99"/>
          </w:tcPr>
          <w:p w14:paraId="6E427AA5" w14:textId="77777777" w:rsidR="00B946C0" w:rsidRPr="00C01653" w:rsidRDefault="00B946C0" w:rsidP="00C73149">
            <w:pPr>
              <w:pStyle w:val="TableBody"/>
            </w:pPr>
            <w:r w:rsidRPr="00A85DA8">
              <w:t>Unaffordable</w:t>
            </w:r>
          </w:p>
        </w:tc>
      </w:tr>
      <w:tr w:rsidR="00B946C0" w:rsidRPr="00EF12FF" w14:paraId="7CFA221E" w14:textId="77777777" w:rsidTr="00C765D1">
        <w:trPr>
          <w:cnfStyle w:val="000000100000" w:firstRow="0" w:lastRow="0" w:firstColumn="0" w:lastColumn="0" w:oddVBand="0" w:evenVBand="0" w:oddHBand="1" w:evenHBand="0" w:firstRowFirstColumn="0" w:firstRowLastColumn="0" w:lastRowFirstColumn="0" w:lastRowLastColumn="0"/>
          <w:trHeight w:val="255"/>
        </w:trPr>
        <w:tc>
          <w:tcPr>
            <w:tcW w:w="2000" w:type="pct"/>
          </w:tcPr>
          <w:p w14:paraId="3D1F9F31" w14:textId="77777777" w:rsidR="00B946C0" w:rsidRPr="00C01653" w:rsidRDefault="00B946C0" w:rsidP="00C73149">
            <w:pPr>
              <w:pStyle w:val="TableBody"/>
            </w:pPr>
            <w:r w:rsidRPr="000436F5">
              <w:t>Minimum wage couple</w:t>
            </w:r>
          </w:p>
        </w:tc>
        <w:tc>
          <w:tcPr>
            <w:tcW w:w="752" w:type="pct"/>
            <w:noWrap/>
          </w:tcPr>
          <w:p w14:paraId="012AF611" w14:textId="77777777" w:rsidR="00B946C0" w:rsidRPr="00C01653" w:rsidRDefault="00B946C0" w:rsidP="00C73149">
            <w:pPr>
              <w:pStyle w:val="TableBody"/>
              <w:jc w:val="right"/>
            </w:pPr>
            <w:r w:rsidRPr="000436F5">
              <w:t>89</w:t>
            </w:r>
          </w:p>
        </w:tc>
        <w:tc>
          <w:tcPr>
            <w:tcW w:w="1113" w:type="pct"/>
          </w:tcPr>
          <w:p w14:paraId="682EA6CA" w14:textId="77777777" w:rsidR="00B946C0" w:rsidRPr="00C01653" w:rsidRDefault="00B946C0" w:rsidP="00C73149">
            <w:pPr>
              <w:pStyle w:val="TableBody"/>
              <w:jc w:val="right"/>
            </w:pPr>
            <w:r w:rsidRPr="000436F5">
              <w:t>34%</w:t>
            </w:r>
          </w:p>
        </w:tc>
        <w:tc>
          <w:tcPr>
            <w:tcW w:w="1135" w:type="pct"/>
            <w:shd w:val="clear" w:color="auto" w:fill="8EAADB" w:themeFill="accent1" w:themeFillTint="99"/>
          </w:tcPr>
          <w:p w14:paraId="60C19190" w14:textId="77777777" w:rsidR="00B946C0" w:rsidRPr="00C01653" w:rsidRDefault="00B946C0" w:rsidP="00C73149">
            <w:pPr>
              <w:pStyle w:val="TableBody"/>
            </w:pPr>
            <w:r w:rsidRPr="000436F5">
              <w:t>Unaffordable</w:t>
            </w:r>
          </w:p>
        </w:tc>
      </w:tr>
      <w:tr w:rsidR="00B946C0" w:rsidRPr="00EF12FF" w14:paraId="68CC5A9C" w14:textId="77777777" w:rsidTr="00C765D1">
        <w:trPr>
          <w:trHeight w:val="255"/>
        </w:trPr>
        <w:tc>
          <w:tcPr>
            <w:tcW w:w="2000" w:type="pct"/>
          </w:tcPr>
          <w:p w14:paraId="22FBCCD1" w14:textId="77777777" w:rsidR="00B946C0" w:rsidRPr="00A36CB0" w:rsidRDefault="00B946C0" w:rsidP="00C73149">
            <w:pPr>
              <w:pStyle w:val="TableBody"/>
            </w:pPr>
            <w:r w:rsidRPr="00F34CC9">
              <w:t>Single income couple with children</w:t>
            </w:r>
          </w:p>
        </w:tc>
        <w:tc>
          <w:tcPr>
            <w:tcW w:w="752" w:type="pct"/>
            <w:noWrap/>
          </w:tcPr>
          <w:p w14:paraId="30ED2167" w14:textId="77777777" w:rsidR="00B946C0" w:rsidRPr="00A36CB0" w:rsidRDefault="00B946C0" w:rsidP="00C73149">
            <w:pPr>
              <w:pStyle w:val="TableBody"/>
              <w:jc w:val="right"/>
            </w:pPr>
            <w:r w:rsidRPr="00F34CC9">
              <w:t>112</w:t>
            </w:r>
          </w:p>
        </w:tc>
        <w:tc>
          <w:tcPr>
            <w:tcW w:w="1113" w:type="pct"/>
          </w:tcPr>
          <w:p w14:paraId="14273E18" w14:textId="77777777" w:rsidR="00B946C0" w:rsidRPr="00A36CB0" w:rsidRDefault="00B946C0" w:rsidP="00C73149">
            <w:pPr>
              <w:pStyle w:val="TableBody"/>
              <w:jc w:val="right"/>
            </w:pPr>
            <w:r w:rsidRPr="00F34CC9">
              <w:t>27%</w:t>
            </w:r>
          </w:p>
        </w:tc>
        <w:tc>
          <w:tcPr>
            <w:tcW w:w="1135" w:type="pct"/>
            <w:shd w:val="clear" w:color="auto" w:fill="B4C6E7" w:themeFill="accent1" w:themeFillTint="66"/>
          </w:tcPr>
          <w:p w14:paraId="4085D1BF" w14:textId="77777777" w:rsidR="00B946C0" w:rsidRPr="00A36CB0" w:rsidRDefault="00B946C0" w:rsidP="00C73149">
            <w:pPr>
              <w:pStyle w:val="TableBody"/>
            </w:pPr>
            <w:r w:rsidRPr="00F34CC9">
              <w:t>Moderately unaffordable</w:t>
            </w:r>
          </w:p>
        </w:tc>
      </w:tr>
      <w:tr w:rsidR="00B946C0" w:rsidRPr="00EF12FF" w14:paraId="609D267F" w14:textId="77777777" w:rsidTr="00C765D1">
        <w:trPr>
          <w:cnfStyle w:val="000000100000" w:firstRow="0" w:lastRow="0" w:firstColumn="0" w:lastColumn="0" w:oddVBand="0" w:evenVBand="0" w:oddHBand="1" w:evenHBand="0" w:firstRowFirstColumn="0" w:firstRowLastColumn="0" w:lastRowFirstColumn="0" w:lastRowLastColumn="0"/>
          <w:trHeight w:val="255"/>
        </w:trPr>
        <w:tc>
          <w:tcPr>
            <w:tcW w:w="2000" w:type="pct"/>
          </w:tcPr>
          <w:p w14:paraId="02BD04CB" w14:textId="77777777" w:rsidR="00B946C0" w:rsidRPr="00A36CB0" w:rsidRDefault="00B946C0" w:rsidP="00C73149">
            <w:pPr>
              <w:pStyle w:val="TableBody"/>
            </w:pPr>
            <w:r w:rsidRPr="00962C35">
              <w:t>Single full-time working parent</w:t>
            </w:r>
          </w:p>
        </w:tc>
        <w:tc>
          <w:tcPr>
            <w:tcW w:w="752" w:type="pct"/>
            <w:noWrap/>
          </w:tcPr>
          <w:p w14:paraId="286D855D" w14:textId="77777777" w:rsidR="00B946C0" w:rsidRPr="00A36CB0" w:rsidRDefault="00B946C0" w:rsidP="00C73149">
            <w:pPr>
              <w:pStyle w:val="TableBody"/>
              <w:jc w:val="right"/>
            </w:pPr>
            <w:r w:rsidRPr="00962C35">
              <w:t>124</w:t>
            </w:r>
          </w:p>
        </w:tc>
        <w:tc>
          <w:tcPr>
            <w:tcW w:w="1113" w:type="pct"/>
          </w:tcPr>
          <w:p w14:paraId="0CA1FB4F" w14:textId="77777777" w:rsidR="00B946C0" w:rsidRPr="00A36CB0" w:rsidRDefault="00B946C0" w:rsidP="00C73149">
            <w:pPr>
              <w:pStyle w:val="TableBody"/>
              <w:jc w:val="right"/>
            </w:pPr>
            <w:r w:rsidRPr="00962C35">
              <w:t>24%</w:t>
            </w:r>
          </w:p>
        </w:tc>
        <w:tc>
          <w:tcPr>
            <w:tcW w:w="1135" w:type="pct"/>
            <w:shd w:val="clear" w:color="auto" w:fill="D9E2F3" w:themeFill="accent1" w:themeFillTint="33"/>
          </w:tcPr>
          <w:p w14:paraId="3D32CADC" w14:textId="77777777" w:rsidR="00B946C0" w:rsidRPr="00A36CB0" w:rsidRDefault="00B946C0" w:rsidP="00C73149">
            <w:pPr>
              <w:pStyle w:val="TableBody"/>
            </w:pPr>
            <w:r w:rsidRPr="00962C35">
              <w:t>Acceptable</w:t>
            </w:r>
          </w:p>
        </w:tc>
      </w:tr>
      <w:tr w:rsidR="00B946C0" w:rsidRPr="00EF12FF" w14:paraId="63C0B1F6" w14:textId="77777777" w:rsidTr="00C765D1">
        <w:trPr>
          <w:trHeight w:val="255"/>
        </w:trPr>
        <w:tc>
          <w:tcPr>
            <w:tcW w:w="2000" w:type="pct"/>
          </w:tcPr>
          <w:p w14:paraId="07DAC868" w14:textId="77777777" w:rsidR="00B946C0" w:rsidRPr="00C96129" w:rsidRDefault="00B946C0" w:rsidP="00C73149">
            <w:pPr>
              <w:pStyle w:val="TableBody"/>
            </w:pPr>
            <w:r w:rsidRPr="00C96129">
              <w:t>ACT (overall)</w:t>
            </w:r>
          </w:p>
        </w:tc>
        <w:tc>
          <w:tcPr>
            <w:tcW w:w="752" w:type="pct"/>
            <w:noWrap/>
          </w:tcPr>
          <w:p w14:paraId="6F46F154" w14:textId="77777777" w:rsidR="00B946C0" w:rsidRPr="00962C35" w:rsidRDefault="00B946C0" w:rsidP="00C73149">
            <w:pPr>
              <w:pStyle w:val="TableBody"/>
              <w:jc w:val="right"/>
            </w:pPr>
            <w:r w:rsidRPr="006517CD">
              <w:t>129</w:t>
            </w:r>
          </w:p>
        </w:tc>
        <w:tc>
          <w:tcPr>
            <w:tcW w:w="1113" w:type="pct"/>
          </w:tcPr>
          <w:p w14:paraId="0FA52286" w14:textId="77777777" w:rsidR="00B946C0" w:rsidRPr="00962C35" w:rsidRDefault="00B946C0" w:rsidP="00C73149">
            <w:pPr>
              <w:pStyle w:val="TableBody"/>
              <w:jc w:val="right"/>
            </w:pPr>
            <w:r w:rsidRPr="006517CD">
              <w:t>23%</w:t>
            </w:r>
          </w:p>
        </w:tc>
        <w:tc>
          <w:tcPr>
            <w:tcW w:w="1135" w:type="pct"/>
            <w:shd w:val="clear" w:color="auto" w:fill="D9E2F3" w:themeFill="accent1" w:themeFillTint="33"/>
          </w:tcPr>
          <w:p w14:paraId="4D2A1DA9" w14:textId="77777777" w:rsidR="00B946C0" w:rsidRPr="00962C35" w:rsidRDefault="00B946C0" w:rsidP="00C73149">
            <w:pPr>
              <w:pStyle w:val="TableBody"/>
            </w:pPr>
            <w:r w:rsidRPr="006517CD">
              <w:t>Acceptable</w:t>
            </w:r>
          </w:p>
        </w:tc>
      </w:tr>
      <w:tr w:rsidR="00B946C0" w:rsidRPr="00EF12FF" w14:paraId="369BD4E3" w14:textId="77777777" w:rsidTr="00C765D1">
        <w:trPr>
          <w:cnfStyle w:val="000000100000" w:firstRow="0" w:lastRow="0" w:firstColumn="0" w:lastColumn="0" w:oddVBand="0" w:evenVBand="0" w:oddHBand="1" w:evenHBand="0" w:firstRowFirstColumn="0" w:firstRowLastColumn="0" w:lastRowFirstColumn="0" w:lastRowLastColumn="0"/>
          <w:trHeight w:val="255"/>
        </w:trPr>
        <w:tc>
          <w:tcPr>
            <w:tcW w:w="2000" w:type="pct"/>
            <w:tcBorders>
              <w:bottom w:val="single" w:sz="4" w:space="0" w:color="auto"/>
            </w:tcBorders>
          </w:tcPr>
          <w:p w14:paraId="727814D6" w14:textId="77777777" w:rsidR="00B946C0" w:rsidRPr="00FB6EDE" w:rsidRDefault="00B946C0" w:rsidP="00C73149">
            <w:pPr>
              <w:pStyle w:val="TableBody"/>
            </w:pPr>
            <w:r w:rsidRPr="00A7694A">
              <w:t>Dual income couple with children</w:t>
            </w:r>
          </w:p>
        </w:tc>
        <w:tc>
          <w:tcPr>
            <w:tcW w:w="752" w:type="pct"/>
            <w:tcBorders>
              <w:bottom w:val="single" w:sz="4" w:space="0" w:color="auto"/>
            </w:tcBorders>
            <w:noWrap/>
          </w:tcPr>
          <w:p w14:paraId="03C45A38" w14:textId="77777777" w:rsidR="00B946C0" w:rsidRPr="00FB6EDE" w:rsidRDefault="00B946C0" w:rsidP="00C73149">
            <w:pPr>
              <w:pStyle w:val="TableBody"/>
              <w:jc w:val="right"/>
            </w:pPr>
            <w:r w:rsidRPr="00A7694A">
              <w:t>223</w:t>
            </w:r>
          </w:p>
        </w:tc>
        <w:tc>
          <w:tcPr>
            <w:tcW w:w="1113" w:type="pct"/>
            <w:tcBorders>
              <w:bottom w:val="single" w:sz="4" w:space="0" w:color="auto"/>
            </w:tcBorders>
          </w:tcPr>
          <w:p w14:paraId="1EC5CF37" w14:textId="77777777" w:rsidR="00B946C0" w:rsidRPr="00FB6EDE" w:rsidRDefault="00B946C0" w:rsidP="00C73149">
            <w:pPr>
              <w:pStyle w:val="TableBody"/>
              <w:jc w:val="right"/>
            </w:pPr>
            <w:r w:rsidRPr="00A7694A">
              <w:t>13%</w:t>
            </w:r>
          </w:p>
        </w:tc>
        <w:tc>
          <w:tcPr>
            <w:tcW w:w="1135" w:type="pct"/>
            <w:tcBorders>
              <w:bottom w:val="single" w:sz="4" w:space="0" w:color="auto"/>
            </w:tcBorders>
            <w:shd w:val="clear" w:color="auto" w:fill="FFFFFF" w:themeFill="background1"/>
          </w:tcPr>
          <w:p w14:paraId="25AB45A7" w14:textId="77777777" w:rsidR="00B946C0" w:rsidRPr="00FB6EDE" w:rsidRDefault="00B946C0" w:rsidP="00C73149">
            <w:pPr>
              <w:pStyle w:val="TableBody"/>
            </w:pPr>
            <w:r w:rsidRPr="00A7694A">
              <w:t>Affordable</w:t>
            </w:r>
          </w:p>
        </w:tc>
      </w:tr>
    </w:tbl>
    <w:p w14:paraId="55A9807A" w14:textId="77777777" w:rsidR="00605074" w:rsidRDefault="00605074" w:rsidP="00605074">
      <w:pPr>
        <w:pStyle w:val="BodyText"/>
      </w:pPr>
    </w:p>
    <w:p w14:paraId="4A0BDB12" w14:textId="6FCD5113" w:rsidR="008A21CC" w:rsidRDefault="002920BF" w:rsidP="008A21CC">
      <w:pPr>
        <w:pStyle w:val="BodyText"/>
      </w:pPr>
      <w:r w:rsidRPr="002920BF">
        <w:t xml:space="preserve">Anglicare Australia’s Rental Affordability Snapshot </w:t>
      </w:r>
      <w:r w:rsidR="00A73DAF">
        <w:t xml:space="preserve">in April 2020 </w:t>
      </w:r>
      <w:r w:rsidRPr="002920BF">
        <w:t xml:space="preserve">found that out of </w:t>
      </w:r>
      <w:r w:rsidR="000C5384" w:rsidRPr="000C5384">
        <w:t>1,021</w:t>
      </w:r>
      <w:r w:rsidR="00E93808">
        <w:t xml:space="preserve"> </w:t>
      </w:r>
      <w:r w:rsidRPr="002920BF">
        <w:t xml:space="preserve">private rentals advertised for rent in the ACT and Queanbeyan </w:t>
      </w:r>
      <w:r w:rsidR="006A501F" w:rsidRPr="006A501F">
        <w:t>on the weekend of 21 March 2020</w:t>
      </w:r>
      <w:r w:rsidR="006A501F">
        <w:t>:</w:t>
      </w:r>
    </w:p>
    <w:p w14:paraId="43E0184E" w14:textId="77777777" w:rsidR="008A21CC" w:rsidRDefault="008A21CC" w:rsidP="008A21CC">
      <w:pPr>
        <w:pStyle w:val="ListBullet"/>
      </w:pPr>
      <w:r>
        <w:t>No rentals are affordable for a person on the Disability Support Pension</w:t>
      </w:r>
    </w:p>
    <w:p w14:paraId="07114F37" w14:textId="77777777" w:rsidR="008A21CC" w:rsidRDefault="008A21CC" w:rsidP="008A21CC">
      <w:pPr>
        <w:pStyle w:val="ListBullet"/>
      </w:pPr>
      <w:r>
        <w:t>No rentals are affordable for a couple where one person is on minimum wage and the other is a stay-at-home parent</w:t>
      </w:r>
    </w:p>
    <w:p w14:paraId="3E18B384" w14:textId="77777777" w:rsidR="008A21CC" w:rsidRDefault="008A21CC" w:rsidP="008A21CC">
      <w:pPr>
        <w:pStyle w:val="ListBullet"/>
      </w:pPr>
      <w:r>
        <w:t>No rentals are affordable for a person on Parenting Payment</w:t>
      </w:r>
    </w:p>
    <w:p w14:paraId="54ABB42E" w14:textId="23A7D5E6" w:rsidR="008A21CC" w:rsidRDefault="000C5384" w:rsidP="008A21CC">
      <w:pPr>
        <w:pStyle w:val="ListBullet"/>
      </w:pPr>
      <w:r>
        <w:t>Even with the $550 per fortnight Coronavirus Supplement</w:t>
      </w:r>
      <w:r w:rsidR="007F7BF6">
        <w:t xml:space="preserve"> introduced </w:t>
      </w:r>
      <w:r w:rsidR="00754641">
        <w:t>in April 2020</w:t>
      </w:r>
      <w:r>
        <w:t>, o</w:t>
      </w:r>
      <w:r w:rsidR="008A21CC">
        <w:t xml:space="preserve">nly 30 rentals (2.5%) </w:t>
      </w:r>
      <w:r w:rsidR="00754641">
        <w:t>would have been</w:t>
      </w:r>
      <w:r w:rsidR="008A21CC">
        <w:t xml:space="preserve"> affordable for a single person on the JobSeeker payment (formerly Newstart</w:t>
      </w:r>
      <w:r>
        <w:t>)</w:t>
      </w:r>
      <w:r w:rsidR="008A21CC">
        <w:t xml:space="preserve">. Without the </w:t>
      </w:r>
      <w:r>
        <w:t>supplement</w:t>
      </w:r>
      <w:r w:rsidR="008A21CC">
        <w:t xml:space="preserve">, not a single rental would </w:t>
      </w:r>
      <w:r>
        <w:t>have been</w:t>
      </w:r>
      <w:r w:rsidR="008A21CC">
        <w:t xml:space="preserve"> affordable for people receiving JobSeeker payment </w:t>
      </w:r>
    </w:p>
    <w:p w14:paraId="49472DAA" w14:textId="0E226DFC" w:rsidR="00C2626A" w:rsidRDefault="008A21CC" w:rsidP="008A21CC">
      <w:pPr>
        <w:pStyle w:val="ListBullet"/>
      </w:pPr>
      <w:r>
        <w:t xml:space="preserve">Just 1% of rentals (16 out of 1,021) </w:t>
      </w:r>
      <w:r w:rsidR="006A501F">
        <w:t>we</w:t>
      </w:r>
      <w:r>
        <w:t>re affordable for a person on the Age Pension.</w:t>
      </w:r>
      <w:r w:rsidR="003C0AC6">
        <w:rPr>
          <w:rStyle w:val="FootnoteReference"/>
        </w:rPr>
        <w:footnoteReference w:id="27"/>
      </w:r>
      <w:r w:rsidR="002920BF" w:rsidRPr="002920BF">
        <w:t xml:space="preserve"> </w:t>
      </w:r>
    </w:p>
    <w:p w14:paraId="6D679848" w14:textId="27B60848" w:rsidR="005269DB" w:rsidRDefault="006616E4" w:rsidP="00082381">
      <w:pPr>
        <w:pStyle w:val="BodyText"/>
      </w:pPr>
      <w:r>
        <w:t>A more recent snapshot taken</w:t>
      </w:r>
      <w:r w:rsidR="00437DEF">
        <w:t xml:space="preserve"> by Anglicare Australia</w:t>
      </w:r>
      <w:r>
        <w:t xml:space="preserve"> on </w:t>
      </w:r>
      <w:r w:rsidRPr="006616E4">
        <w:t>the weekend of 1 August 2020</w:t>
      </w:r>
      <w:r>
        <w:t xml:space="preserve"> found</w:t>
      </w:r>
      <w:r w:rsidR="009C6C77">
        <w:t xml:space="preserve"> that</w:t>
      </w:r>
      <w:r w:rsidR="006B6ADC" w:rsidRPr="006B6ADC">
        <w:t xml:space="preserve"> </w:t>
      </w:r>
      <w:r w:rsidR="006B6ADC">
        <w:t>out of 768 private rentals advertised</w:t>
      </w:r>
      <w:r w:rsidR="009B463F">
        <w:t xml:space="preserve"> in the ACT</w:t>
      </w:r>
      <w:r w:rsidR="006B6ADC">
        <w:t xml:space="preserve"> </w:t>
      </w:r>
      <w:r w:rsidR="006B6ADC" w:rsidRPr="006B6ADC">
        <w:t xml:space="preserve">there </w:t>
      </w:r>
      <w:r w:rsidR="006B6ADC" w:rsidRPr="006B6ADC">
        <w:lastRenderedPageBreak/>
        <w:t xml:space="preserve">were only 17 properties that could be considered affordable for </w:t>
      </w:r>
      <w:r w:rsidR="00FA5765">
        <w:t xml:space="preserve">people on </w:t>
      </w:r>
      <w:r w:rsidR="006B6ADC" w:rsidRPr="006B6ADC">
        <w:t>low</w:t>
      </w:r>
      <w:r w:rsidR="00FA5765">
        <w:t xml:space="preserve"> </w:t>
      </w:r>
      <w:r w:rsidR="006B6ADC" w:rsidRPr="006B6ADC">
        <w:t>incom</w:t>
      </w:r>
      <w:r w:rsidR="00FA5765">
        <w:t>es</w:t>
      </w:r>
      <w:r w:rsidR="006B6ADC" w:rsidRPr="006B6ADC">
        <w:t>.</w:t>
      </w:r>
      <w:r w:rsidR="00673490">
        <w:rPr>
          <w:rStyle w:val="FootnoteReference"/>
        </w:rPr>
        <w:footnoteReference w:id="28"/>
      </w:r>
      <w:r w:rsidR="006B6ADC" w:rsidRPr="006B6ADC">
        <w:t xml:space="preserve"> These included</w:t>
      </w:r>
      <w:r w:rsidR="005269DB">
        <w:t>:</w:t>
      </w:r>
    </w:p>
    <w:p w14:paraId="5A161112" w14:textId="145059DE" w:rsidR="005269DB" w:rsidRDefault="0042637A" w:rsidP="005269DB">
      <w:pPr>
        <w:pStyle w:val="ListBullet"/>
      </w:pPr>
      <w:r>
        <w:t>F</w:t>
      </w:r>
      <w:r w:rsidR="006B6ADC" w:rsidRPr="006B6ADC">
        <w:t>our rentals for a couple on the age pension</w:t>
      </w:r>
    </w:p>
    <w:p w14:paraId="7D5594E9" w14:textId="77777777" w:rsidR="005269DB" w:rsidRDefault="006B6ADC" w:rsidP="005269DB">
      <w:pPr>
        <w:pStyle w:val="ListBullet"/>
      </w:pPr>
      <w:r w:rsidRPr="006B6ADC">
        <w:t>10 rentals for a couple with two children on the minimum wage</w:t>
      </w:r>
    </w:p>
    <w:p w14:paraId="294D5466" w14:textId="7D3C69CE" w:rsidR="005269DB" w:rsidRDefault="0042637A" w:rsidP="005269DB">
      <w:pPr>
        <w:pStyle w:val="ListBullet"/>
      </w:pPr>
      <w:r>
        <w:t>T</w:t>
      </w:r>
      <w:r w:rsidR="006B6ADC" w:rsidRPr="006B6ADC">
        <w:t>wo rentals for a single person on the minimum wage, and</w:t>
      </w:r>
    </w:p>
    <w:p w14:paraId="4F379301" w14:textId="423F830D" w:rsidR="005269DB" w:rsidRDefault="0042637A" w:rsidP="005269DB">
      <w:pPr>
        <w:pStyle w:val="ListBullet"/>
      </w:pPr>
      <w:r>
        <w:t>O</w:t>
      </w:r>
      <w:r w:rsidR="006B6ADC" w:rsidRPr="006B6ADC">
        <w:t>ne property for a single person on the doubled JobSeeker payment.</w:t>
      </w:r>
      <w:r w:rsidR="006B6ADC">
        <w:t xml:space="preserve"> </w:t>
      </w:r>
    </w:p>
    <w:p w14:paraId="10A32E85" w14:textId="535E7B3A" w:rsidR="00082381" w:rsidRDefault="006B6ADC" w:rsidP="00082381">
      <w:pPr>
        <w:pStyle w:val="BodyText"/>
      </w:pPr>
      <w:r>
        <w:t xml:space="preserve">The updated </w:t>
      </w:r>
      <w:r w:rsidR="00F71D69">
        <w:t>Rental Affordability S</w:t>
      </w:r>
      <w:r>
        <w:t xml:space="preserve">napshot </w:t>
      </w:r>
      <w:r w:rsidR="00F71D69">
        <w:t>found that w</w:t>
      </w:r>
      <w:r w:rsidR="00027002">
        <w:t xml:space="preserve">hen </w:t>
      </w:r>
      <w:r w:rsidR="003A18AF">
        <w:t>the</w:t>
      </w:r>
      <w:r w:rsidR="00027002">
        <w:t xml:space="preserve"> Coronavirus Supplement is reduced </w:t>
      </w:r>
      <w:r w:rsidR="003A18AF">
        <w:t>by $300</w:t>
      </w:r>
      <w:r w:rsidR="007A002B">
        <w:t xml:space="preserve"> per fortnight</w:t>
      </w:r>
      <w:r w:rsidR="003A18AF">
        <w:t xml:space="preserve"> from 24 September 2020</w:t>
      </w:r>
      <w:r w:rsidR="00F71D69">
        <w:t>,</w:t>
      </w:r>
      <w:r w:rsidR="004C5E07">
        <w:t xml:space="preserve"> and if removed entirely </w:t>
      </w:r>
      <w:r w:rsidR="005269DB">
        <w:t>from</w:t>
      </w:r>
      <w:r w:rsidR="004C5E07">
        <w:t xml:space="preserve"> 31 December 2020, </w:t>
      </w:r>
      <w:r w:rsidR="00C9788B">
        <w:t xml:space="preserve">we </w:t>
      </w:r>
      <w:r w:rsidR="007A002B">
        <w:t>will</w:t>
      </w:r>
      <w:r w:rsidR="00C9788B">
        <w:t xml:space="preserve"> return to there being no affordable rentals</w:t>
      </w:r>
      <w:r w:rsidR="005730FC">
        <w:t xml:space="preserve"> for ACT JobSeeker recipients</w:t>
      </w:r>
      <w:r w:rsidR="00082381" w:rsidRPr="00082381">
        <w:t>.</w:t>
      </w:r>
      <w:r w:rsidR="00997913">
        <w:rPr>
          <w:rStyle w:val="FootnoteReference"/>
        </w:rPr>
        <w:footnoteReference w:id="29"/>
      </w:r>
      <w:r w:rsidR="00082381" w:rsidRPr="00082381">
        <w:t xml:space="preserve"> </w:t>
      </w:r>
    </w:p>
    <w:p w14:paraId="0ED8CB8B" w14:textId="77A089B3" w:rsidR="00021954" w:rsidRDefault="001D70A4" w:rsidP="00082381">
      <w:pPr>
        <w:pStyle w:val="BodyText"/>
      </w:pPr>
      <w:r>
        <w:t xml:space="preserve">The Productivity Commission has noted that </w:t>
      </w:r>
      <w:r w:rsidR="00CD4F53">
        <w:t>population growth, rising house price</w:t>
      </w:r>
      <w:r w:rsidR="00863156">
        <w:t xml:space="preserve">s, a decline in </w:t>
      </w:r>
      <w:r w:rsidR="0099473B">
        <w:t>owner-occupier households</w:t>
      </w:r>
      <w:r w:rsidR="00863156">
        <w:t>,</w:t>
      </w:r>
      <w:r w:rsidR="00CD4F53">
        <w:t xml:space="preserve"> and a decline in the </w:t>
      </w:r>
      <w:r w:rsidR="00501AE1">
        <w:t>availability of social housing</w:t>
      </w:r>
      <w:r w:rsidR="00F37BCD">
        <w:t xml:space="preserve"> since the mid-1980s has led to a rise in the proportion of people renting privately.</w:t>
      </w:r>
      <w:r w:rsidR="00F37BCD">
        <w:rPr>
          <w:rStyle w:val="FootnoteReference"/>
        </w:rPr>
        <w:footnoteReference w:id="30"/>
      </w:r>
      <w:r w:rsidR="005A0967">
        <w:t xml:space="preserve"> </w:t>
      </w:r>
      <w:r w:rsidR="00E40621">
        <w:t>The</w:t>
      </w:r>
      <w:r w:rsidR="00670153">
        <w:t xml:space="preserve"> proportion of low-income households renting privately</w:t>
      </w:r>
      <w:r w:rsidR="0050458B">
        <w:t xml:space="preserve"> in Australia</w:t>
      </w:r>
      <w:r w:rsidR="00670153">
        <w:t xml:space="preserve"> has</w:t>
      </w:r>
      <w:r w:rsidR="0050458B">
        <w:t xml:space="preserve"> more than</w:t>
      </w:r>
      <w:r w:rsidR="00670153">
        <w:t xml:space="preserve"> doubled in the past two decades.</w:t>
      </w:r>
      <w:r w:rsidR="006303C8">
        <w:rPr>
          <w:rStyle w:val="FootnoteReference"/>
        </w:rPr>
        <w:footnoteReference w:id="31"/>
      </w:r>
      <w:r w:rsidR="00640695" w:rsidRPr="00640695">
        <w:t xml:space="preserve"> </w:t>
      </w:r>
      <w:r w:rsidR="00FE71D1">
        <w:t>According to the Productivity Commission, ‘t</w:t>
      </w:r>
      <w:r w:rsidR="00640695">
        <w:t>he increase</w:t>
      </w:r>
      <w:r w:rsidR="00FE71D1">
        <w:t xml:space="preserve"> </w:t>
      </w:r>
      <w:r w:rsidR="00640695">
        <w:t>in the proportion of vulnerable people renting privately means that</w:t>
      </w:r>
      <w:r w:rsidR="00FE71D1">
        <w:t xml:space="preserve"> </w:t>
      </w:r>
      <w:r w:rsidR="00640695">
        <w:t>the number of</w:t>
      </w:r>
      <w:r w:rsidR="00FE71D1">
        <w:t xml:space="preserve"> </w:t>
      </w:r>
      <w:r w:rsidR="00640695">
        <w:t>households in rental stress in the private rental market has</w:t>
      </w:r>
      <w:r w:rsidR="00FE71D1">
        <w:t xml:space="preserve"> </w:t>
      </w:r>
      <w:r w:rsidR="00640695">
        <w:t>increased much faster than</w:t>
      </w:r>
      <w:r w:rsidR="00FE71D1">
        <w:t xml:space="preserve"> </w:t>
      </w:r>
      <w:r w:rsidR="00640695">
        <w:t>population growth</w:t>
      </w:r>
      <w:r w:rsidR="00FE71D1">
        <w:t>’</w:t>
      </w:r>
      <w:r w:rsidR="00640695">
        <w:t>.</w:t>
      </w:r>
      <w:r w:rsidR="00FE71D1">
        <w:rPr>
          <w:rStyle w:val="FootnoteReference"/>
        </w:rPr>
        <w:footnoteReference w:id="32"/>
      </w:r>
      <w:r w:rsidR="00D83DDD">
        <w:t xml:space="preserve"> </w:t>
      </w:r>
      <w:r w:rsidR="00007043" w:rsidRPr="00007043">
        <w:t>In 2017-18,</w:t>
      </w:r>
      <w:r w:rsidR="003A6A02">
        <w:t xml:space="preserve"> </w:t>
      </w:r>
      <w:r w:rsidR="00A75D54" w:rsidRPr="00A75D54">
        <w:t>9,414</w:t>
      </w:r>
      <w:r w:rsidR="00A75D54">
        <w:t xml:space="preserve"> out of </w:t>
      </w:r>
      <w:r w:rsidR="00B95814" w:rsidRPr="00B95814">
        <w:t>22,069</w:t>
      </w:r>
      <w:r w:rsidR="00B95814">
        <w:t xml:space="preserve"> low-income rental households </w:t>
      </w:r>
      <w:r w:rsidR="00A62435">
        <w:t xml:space="preserve">in the ACT </w:t>
      </w:r>
      <w:r w:rsidR="00B95814" w:rsidRPr="00B95814">
        <w:t xml:space="preserve">(42.7%) </w:t>
      </w:r>
      <w:r w:rsidR="00007043" w:rsidRPr="00007043">
        <w:t>were in rental stress</w:t>
      </w:r>
      <w:r w:rsidR="001C7410">
        <w:t>, where rental stress is defined as spending</w:t>
      </w:r>
      <w:r w:rsidR="00007043" w:rsidRPr="00007043">
        <w:t xml:space="preserve"> more than 30% of gross </w:t>
      </w:r>
      <w:r w:rsidR="001C7410">
        <w:t xml:space="preserve">household </w:t>
      </w:r>
      <w:r w:rsidR="00007043" w:rsidRPr="00007043">
        <w:t>income on housing costs.</w:t>
      </w:r>
      <w:r w:rsidR="00427596">
        <w:rPr>
          <w:rStyle w:val="FootnoteReference"/>
        </w:rPr>
        <w:footnoteReference w:id="33"/>
      </w:r>
      <w:r w:rsidR="00007043" w:rsidRPr="00007043">
        <w:t xml:space="preserve">  This </w:t>
      </w:r>
      <w:r w:rsidR="001C7410">
        <w:t xml:space="preserve">rate </w:t>
      </w:r>
      <w:r w:rsidR="00D83DDD">
        <w:t xml:space="preserve">of rental stress in the ACT </w:t>
      </w:r>
      <w:r w:rsidR="00A62435">
        <w:t>had increased from</w:t>
      </w:r>
      <w:r w:rsidR="002E1C0B">
        <w:t xml:space="preserve"> </w:t>
      </w:r>
      <w:r w:rsidR="002E1C0B" w:rsidRPr="002E1C0B">
        <w:t>5,876</w:t>
      </w:r>
      <w:r w:rsidR="002E1C0B">
        <w:t xml:space="preserve"> out of </w:t>
      </w:r>
      <w:r w:rsidR="00592EF7" w:rsidRPr="00592EF7">
        <w:t>16,104</w:t>
      </w:r>
      <w:r w:rsidR="00592EF7">
        <w:t xml:space="preserve"> (</w:t>
      </w:r>
      <w:r w:rsidR="00021954">
        <w:t>36.5%</w:t>
      </w:r>
      <w:r w:rsidR="00592EF7">
        <w:t>)</w:t>
      </w:r>
      <w:r w:rsidR="00021954">
        <w:t xml:space="preserve"> in 2013-14</w:t>
      </w:r>
      <w:r w:rsidR="00007043" w:rsidRPr="00007043">
        <w:t>.</w:t>
      </w:r>
      <w:r w:rsidR="00592EF7">
        <w:rPr>
          <w:rStyle w:val="FootnoteReference"/>
        </w:rPr>
        <w:footnoteReference w:id="34"/>
      </w:r>
      <w:r w:rsidR="00DA4F1C">
        <w:t xml:space="preserve"> </w:t>
      </w:r>
    </w:p>
    <w:p w14:paraId="62A2C01B" w14:textId="2ABDC6D1" w:rsidR="001626B9" w:rsidRDefault="00C741A0" w:rsidP="00082381">
      <w:pPr>
        <w:pStyle w:val="BodyText"/>
      </w:pPr>
      <w:r>
        <w:t>The Productivity Commission argue</w:t>
      </w:r>
      <w:r w:rsidR="00D65E91">
        <w:t>s</w:t>
      </w:r>
      <w:r>
        <w:t xml:space="preserve"> that </w:t>
      </w:r>
      <w:r w:rsidR="00851E38">
        <w:t>‘</w:t>
      </w:r>
      <w:r w:rsidR="00D21B18" w:rsidRPr="00D21B18">
        <w:t>Commonwealth Rent Assistance (CRA) is the clearest path to improving affordability</w:t>
      </w:r>
      <w:r w:rsidR="00851E38">
        <w:t>’</w:t>
      </w:r>
      <w:r w:rsidR="00D21B18" w:rsidRPr="00D21B18">
        <w:t>.</w:t>
      </w:r>
      <w:r w:rsidR="00D21B18">
        <w:rPr>
          <w:rStyle w:val="FootnoteReference"/>
        </w:rPr>
        <w:footnoteReference w:id="35"/>
      </w:r>
      <w:r w:rsidR="00691699">
        <w:t xml:space="preserve"> </w:t>
      </w:r>
      <w:r w:rsidR="001A42F9">
        <w:t xml:space="preserve">CRA is </w:t>
      </w:r>
      <w:r w:rsidR="00684501">
        <w:t>a</w:t>
      </w:r>
      <w:r w:rsidR="001A42F9">
        <w:t xml:space="preserve">n Australian </w:t>
      </w:r>
      <w:r w:rsidR="00684501">
        <w:t>G</w:t>
      </w:r>
      <w:r w:rsidR="001A42F9">
        <w:t>overnment payment to income support</w:t>
      </w:r>
      <w:r w:rsidR="00684501">
        <w:t xml:space="preserve"> </w:t>
      </w:r>
      <w:r w:rsidR="001A42F9">
        <w:t>recipients or people who receive more than the base rate of the</w:t>
      </w:r>
      <w:r w:rsidR="00684501">
        <w:t xml:space="preserve"> </w:t>
      </w:r>
      <w:r w:rsidR="001A42F9">
        <w:t xml:space="preserve">Family Tax Benefit Part A, and who rent in the private market. </w:t>
      </w:r>
      <w:r w:rsidR="000D6F56">
        <w:t>The</w:t>
      </w:r>
      <w:r w:rsidR="00DB25DB">
        <w:t xml:space="preserve"> Productivity Commission found that</w:t>
      </w:r>
      <w:r w:rsidR="00691699">
        <w:t xml:space="preserve"> </w:t>
      </w:r>
      <w:r w:rsidR="00DB25DB">
        <w:t>‘</w:t>
      </w:r>
      <w:r w:rsidR="00245CB6">
        <w:t>CRA’s ability to cushion vulnerable private renter households from rental price increases has diminished over time as the CPI — against which the CRA is indexed — has grown slower than rents</w:t>
      </w:r>
      <w:r w:rsidR="00DB25DB">
        <w:t>’</w:t>
      </w:r>
      <w:r w:rsidR="00245CB6">
        <w:t>.</w:t>
      </w:r>
      <w:r w:rsidR="00DB25DB">
        <w:rPr>
          <w:rStyle w:val="FootnoteReference"/>
        </w:rPr>
        <w:footnoteReference w:id="36"/>
      </w:r>
      <w:r w:rsidR="00017FC3">
        <w:t xml:space="preserve"> </w:t>
      </w:r>
      <w:r w:rsidR="007F7735">
        <w:t>ACOSS</w:t>
      </w:r>
      <w:r w:rsidR="004D525C">
        <w:t xml:space="preserve"> has proposed that </w:t>
      </w:r>
      <w:r w:rsidR="00DD391A" w:rsidRPr="00DD391A">
        <w:t xml:space="preserve">maximum rates of </w:t>
      </w:r>
      <w:r w:rsidR="004D525C">
        <w:t>CRA</w:t>
      </w:r>
      <w:r w:rsidR="00DD391A" w:rsidRPr="00DD391A">
        <w:t xml:space="preserve"> be increased </w:t>
      </w:r>
      <w:r w:rsidR="00DD391A" w:rsidRPr="00DD391A">
        <w:lastRenderedPageBreak/>
        <w:t>by 50% so that they better reflect minimum rents paid by people on low incomes.</w:t>
      </w:r>
      <w:r w:rsidR="004D525C">
        <w:rPr>
          <w:rStyle w:val="FootnoteReference"/>
        </w:rPr>
        <w:footnoteReference w:id="37"/>
      </w:r>
      <w:r w:rsidR="00DD391A" w:rsidRPr="00DD391A">
        <w:t xml:space="preserve"> </w:t>
      </w:r>
      <w:r w:rsidR="001626B9">
        <w:t>ACOSS note that ‘w</w:t>
      </w:r>
      <w:r w:rsidR="001626B9" w:rsidRPr="001626B9">
        <w:t xml:space="preserve">hile this would secure a more adequate payment rate, future reforms are needed to improve the effectiveness and adequacy of </w:t>
      </w:r>
      <w:r w:rsidR="001626B9">
        <w:t>CRA</w:t>
      </w:r>
      <w:r w:rsidR="001626B9" w:rsidRPr="001626B9">
        <w:t>, including eligibility and indexation</w:t>
      </w:r>
      <w:r w:rsidR="001626B9">
        <w:t>’</w:t>
      </w:r>
      <w:r w:rsidR="001626B9" w:rsidRPr="001626B9">
        <w:t>.</w:t>
      </w:r>
      <w:r w:rsidR="001626B9">
        <w:rPr>
          <w:rStyle w:val="FootnoteReference"/>
        </w:rPr>
        <w:footnoteReference w:id="38"/>
      </w:r>
    </w:p>
    <w:p w14:paraId="6A5B0643" w14:textId="74EC74CB" w:rsidR="00A23FAE" w:rsidRDefault="00B858B9" w:rsidP="00225685">
      <w:pPr>
        <w:pStyle w:val="BodyText"/>
      </w:pPr>
      <w:r>
        <w:t xml:space="preserve">A longer-term and more structural </w:t>
      </w:r>
      <w:r w:rsidR="00BA2A1A">
        <w:t>approach to addressing rental affordability is through investment in social housing.</w:t>
      </w:r>
      <w:r w:rsidR="007E0CAA">
        <w:t xml:space="preserve"> </w:t>
      </w:r>
      <w:r w:rsidR="00DD771E" w:rsidRPr="00DD771E">
        <w:t>Recent commitments by the ACT Government will see 260 new public housing dwellings built between 2019 and 2025.</w:t>
      </w:r>
      <w:r w:rsidR="00DD771E">
        <w:rPr>
          <w:rStyle w:val="FootnoteReference"/>
        </w:rPr>
        <w:footnoteReference w:id="39"/>
      </w:r>
      <w:r w:rsidR="00DD771E">
        <w:t xml:space="preserve"> </w:t>
      </w:r>
      <w:r w:rsidR="00A23FF2">
        <w:t>However, th</w:t>
      </w:r>
      <w:r w:rsidR="00225685">
        <w:t xml:space="preserve">e evidence suggests that far greater investment in social housing is needed. </w:t>
      </w:r>
      <w:r w:rsidR="00BE0157">
        <w:t xml:space="preserve">As at 30 June 2019, there were </w:t>
      </w:r>
      <w:r w:rsidR="00CE1326">
        <w:t xml:space="preserve">11,862 social housing dwellings </w:t>
      </w:r>
      <w:r w:rsidR="00313B02">
        <w:t xml:space="preserve">in the ACT </w:t>
      </w:r>
      <w:r w:rsidR="00CE1326">
        <w:t xml:space="preserve">accommodating </w:t>
      </w:r>
      <w:r w:rsidR="005A563E">
        <w:t xml:space="preserve">23,208 </w:t>
      </w:r>
      <w:r w:rsidR="00891AB0">
        <w:t>tenants</w:t>
      </w:r>
      <w:r w:rsidR="005A563E">
        <w:t xml:space="preserve"> across </w:t>
      </w:r>
      <w:r w:rsidR="00CE1326">
        <w:t>11,274 households</w:t>
      </w:r>
      <w:r w:rsidR="005A563E">
        <w:t xml:space="preserve"> – 99.2% of which were low-income households (see Table 4)</w:t>
      </w:r>
      <w:r w:rsidR="00195630">
        <w:t xml:space="preserve">. </w:t>
      </w:r>
      <w:r w:rsidR="00891AB0">
        <w:t>Base on this, we can see that the</w:t>
      </w:r>
      <w:r w:rsidR="00195630">
        <w:t xml:space="preserve"> ACT has the second highest rate of social housing per person and per household behind the Northern Territory</w:t>
      </w:r>
      <w:r w:rsidR="00891AB0">
        <w:t xml:space="preserve"> (Table 4)</w:t>
      </w:r>
      <w:r w:rsidR="00195630">
        <w:t xml:space="preserve">. </w:t>
      </w:r>
      <w:r w:rsidR="0075460B">
        <w:t>The data also shows that o</w:t>
      </w:r>
      <w:r w:rsidR="00033FDC">
        <w:t>ver the past four years, the</w:t>
      </w:r>
      <w:r w:rsidR="004A6543">
        <w:t xml:space="preserve"> number of s</w:t>
      </w:r>
      <w:r w:rsidR="00225685" w:rsidRPr="00225685">
        <w:t>ocial housing</w:t>
      </w:r>
      <w:r w:rsidR="004A6543">
        <w:t xml:space="preserve"> dwellings</w:t>
      </w:r>
      <w:r w:rsidR="00225685" w:rsidRPr="00225685">
        <w:t xml:space="preserve"> in the ACT has failed to keep up with population growth and community need (</w:t>
      </w:r>
      <w:r w:rsidR="00225685" w:rsidRPr="00DB4CEF">
        <w:t xml:space="preserve">see Figure </w:t>
      </w:r>
      <w:r w:rsidR="00DB4CEF" w:rsidRPr="00DB4CEF">
        <w:t>5</w:t>
      </w:r>
      <w:r w:rsidR="00DC1E71">
        <w:t xml:space="preserve"> and Table</w:t>
      </w:r>
      <w:r w:rsidR="00033FDC">
        <w:t>s</w:t>
      </w:r>
      <w:r w:rsidR="00DC1E71">
        <w:t xml:space="preserve"> </w:t>
      </w:r>
      <w:r w:rsidR="00033FDC">
        <w:t>5 &amp; 6</w:t>
      </w:r>
      <w:r w:rsidR="00225685" w:rsidRPr="00225685">
        <w:t>).</w:t>
      </w:r>
      <w:r w:rsidR="00225685">
        <w:t xml:space="preserve"> </w:t>
      </w:r>
      <w:r w:rsidR="00A23FAE">
        <w:t>In the period between 2016 and 2019</w:t>
      </w:r>
      <w:r w:rsidR="003B0BA5">
        <w:t>,</w:t>
      </w:r>
      <w:r w:rsidR="00A23FAE">
        <w:t xml:space="preserve"> </w:t>
      </w:r>
      <w:r w:rsidR="008B5560">
        <w:t>the number of social housing dwellings in the ACT increased by 2.0% while our population grew by 7.7%</w:t>
      </w:r>
      <w:r w:rsidR="004B46BF">
        <w:t>.</w:t>
      </w:r>
    </w:p>
    <w:p w14:paraId="65AAAEEA" w14:textId="77777777" w:rsidR="003C4117" w:rsidRDefault="003C4117" w:rsidP="003C4117">
      <w:pPr>
        <w:pStyle w:val="Figuretitle"/>
      </w:pPr>
      <w:r>
        <w:t>Table 4 Number of social housing dwellings, households, and tenants, ACT, at 30 June 2019</w:t>
      </w:r>
      <w:r w:rsidRPr="00DE1C47">
        <w:rPr>
          <w:rStyle w:val="FootnoteReference"/>
          <w:b w:val="0"/>
          <w:bCs/>
        </w:rPr>
        <w:footnoteReference w:id="40"/>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1680"/>
        <w:gridCol w:w="1681"/>
        <w:gridCol w:w="1681"/>
        <w:gridCol w:w="1681"/>
      </w:tblGrid>
      <w:tr w:rsidR="003C4117" w14:paraId="525290FE" w14:textId="77777777" w:rsidTr="00E52FFE">
        <w:trPr>
          <w:tblHeader/>
        </w:trPr>
        <w:tc>
          <w:tcPr>
            <w:tcW w:w="1779" w:type="dxa"/>
            <w:tcBorders>
              <w:top w:val="single" w:sz="4" w:space="0" w:color="auto"/>
              <w:bottom w:val="single" w:sz="4" w:space="0" w:color="auto"/>
            </w:tcBorders>
          </w:tcPr>
          <w:p w14:paraId="60052245" w14:textId="77777777" w:rsidR="003C4117" w:rsidRPr="00645177" w:rsidRDefault="003C4117" w:rsidP="004D311C">
            <w:pPr>
              <w:pStyle w:val="TableBody"/>
              <w:rPr>
                <w:b/>
                <w:bCs/>
              </w:rPr>
            </w:pPr>
            <w:r w:rsidRPr="00645177">
              <w:rPr>
                <w:b/>
                <w:bCs/>
              </w:rPr>
              <w:t>Social Housing</w:t>
            </w:r>
          </w:p>
        </w:tc>
        <w:tc>
          <w:tcPr>
            <w:tcW w:w="1678" w:type="dxa"/>
            <w:tcBorders>
              <w:top w:val="single" w:sz="4" w:space="0" w:color="auto"/>
              <w:bottom w:val="single" w:sz="4" w:space="0" w:color="auto"/>
            </w:tcBorders>
          </w:tcPr>
          <w:p w14:paraId="4000940C" w14:textId="77777777" w:rsidR="003C4117" w:rsidRPr="00645177" w:rsidRDefault="003C4117" w:rsidP="00561CBF">
            <w:pPr>
              <w:pStyle w:val="TableBody"/>
              <w:jc w:val="center"/>
              <w:rPr>
                <w:b/>
                <w:bCs/>
              </w:rPr>
            </w:pPr>
            <w:r w:rsidRPr="00645177">
              <w:rPr>
                <w:b/>
                <w:bCs/>
              </w:rPr>
              <w:t>Dwellings</w:t>
            </w:r>
          </w:p>
        </w:tc>
        <w:tc>
          <w:tcPr>
            <w:tcW w:w="1679" w:type="dxa"/>
            <w:tcBorders>
              <w:top w:val="single" w:sz="4" w:space="0" w:color="auto"/>
              <w:bottom w:val="single" w:sz="4" w:space="0" w:color="auto"/>
            </w:tcBorders>
          </w:tcPr>
          <w:p w14:paraId="713C682C" w14:textId="77777777" w:rsidR="003C4117" w:rsidRPr="00645177" w:rsidRDefault="003C4117" w:rsidP="00561CBF">
            <w:pPr>
              <w:pStyle w:val="TableBody"/>
              <w:jc w:val="center"/>
              <w:rPr>
                <w:b/>
                <w:bCs/>
              </w:rPr>
            </w:pPr>
            <w:r w:rsidRPr="00645177">
              <w:rPr>
                <w:b/>
                <w:bCs/>
              </w:rPr>
              <w:t>Households</w:t>
            </w:r>
          </w:p>
        </w:tc>
        <w:tc>
          <w:tcPr>
            <w:tcW w:w="1679" w:type="dxa"/>
            <w:tcBorders>
              <w:top w:val="single" w:sz="4" w:space="0" w:color="auto"/>
              <w:bottom w:val="single" w:sz="4" w:space="0" w:color="auto"/>
            </w:tcBorders>
          </w:tcPr>
          <w:p w14:paraId="35755BB1" w14:textId="77777777" w:rsidR="003C4117" w:rsidRPr="00645177" w:rsidRDefault="003C4117" w:rsidP="00561CBF">
            <w:pPr>
              <w:pStyle w:val="TableBody"/>
              <w:jc w:val="center"/>
              <w:rPr>
                <w:b/>
                <w:bCs/>
              </w:rPr>
            </w:pPr>
            <w:r>
              <w:rPr>
                <w:b/>
                <w:bCs/>
              </w:rPr>
              <w:t>Low-income households (%)</w:t>
            </w:r>
          </w:p>
        </w:tc>
        <w:tc>
          <w:tcPr>
            <w:tcW w:w="1679" w:type="dxa"/>
            <w:tcBorders>
              <w:top w:val="single" w:sz="4" w:space="0" w:color="auto"/>
              <w:bottom w:val="single" w:sz="4" w:space="0" w:color="auto"/>
            </w:tcBorders>
          </w:tcPr>
          <w:p w14:paraId="724B6AF1" w14:textId="77777777" w:rsidR="003C4117" w:rsidRPr="00645177" w:rsidRDefault="003C4117" w:rsidP="00561CBF">
            <w:pPr>
              <w:pStyle w:val="TableBody"/>
              <w:jc w:val="center"/>
              <w:rPr>
                <w:b/>
                <w:bCs/>
              </w:rPr>
            </w:pPr>
            <w:r w:rsidRPr="00645177">
              <w:rPr>
                <w:b/>
                <w:bCs/>
              </w:rPr>
              <w:t>Tenants</w:t>
            </w:r>
          </w:p>
        </w:tc>
      </w:tr>
      <w:tr w:rsidR="003C4117" w14:paraId="7CCB198D" w14:textId="77777777" w:rsidTr="00E52FFE">
        <w:tc>
          <w:tcPr>
            <w:tcW w:w="1779" w:type="dxa"/>
            <w:tcBorders>
              <w:top w:val="single" w:sz="4" w:space="0" w:color="auto"/>
            </w:tcBorders>
            <w:shd w:val="clear" w:color="auto" w:fill="D9E2F3" w:themeFill="accent1" w:themeFillTint="33"/>
          </w:tcPr>
          <w:p w14:paraId="44913A6A" w14:textId="77777777" w:rsidR="003C4117" w:rsidRDefault="003C4117" w:rsidP="004D311C">
            <w:pPr>
              <w:pStyle w:val="TableBody"/>
            </w:pPr>
            <w:r>
              <w:t>Public Housing</w:t>
            </w:r>
          </w:p>
        </w:tc>
        <w:tc>
          <w:tcPr>
            <w:tcW w:w="1678" w:type="dxa"/>
            <w:tcBorders>
              <w:top w:val="single" w:sz="4" w:space="0" w:color="auto"/>
            </w:tcBorders>
            <w:shd w:val="clear" w:color="auto" w:fill="D9E2F3" w:themeFill="accent1" w:themeFillTint="33"/>
          </w:tcPr>
          <w:p w14:paraId="127ABBB1" w14:textId="77777777" w:rsidR="003C4117" w:rsidRDefault="003C4117" w:rsidP="004D311C">
            <w:pPr>
              <w:pStyle w:val="TableBody"/>
              <w:jc w:val="right"/>
            </w:pPr>
            <w:r w:rsidRPr="00495338">
              <w:t>10,955</w:t>
            </w:r>
          </w:p>
        </w:tc>
        <w:tc>
          <w:tcPr>
            <w:tcW w:w="1679" w:type="dxa"/>
            <w:tcBorders>
              <w:top w:val="single" w:sz="4" w:space="0" w:color="auto"/>
            </w:tcBorders>
            <w:shd w:val="clear" w:color="auto" w:fill="D9E2F3" w:themeFill="accent1" w:themeFillTint="33"/>
          </w:tcPr>
          <w:p w14:paraId="097F3E36" w14:textId="77777777" w:rsidR="003C4117" w:rsidRDefault="003C4117" w:rsidP="004D311C">
            <w:pPr>
              <w:pStyle w:val="TableBody"/>
              <w:jc w:val="right"/>
            </w:pPr>
            <w:r w:rsidRPr="0041632F">
              <w:t>10,529</w:t>
            </w:r>
          </w:p>
        </w:tc>
        <w:tc>
          <w:tcPr>
            <w:tcW w:w="1679" w:type="dxa"/>
            <w:tcBorders>
              <w:top w:val="single" w:sz="4" w:space="0" w:color="auto"/>
            </w:tcBorders>
            <w:shd w:val="clear" w:color="auto" w:fill="D9E2F3" w:themeFill="accent1" w:themeFillTint="33"/>
          </w:tcPr>
          <w:p w14:paraId="718246FA" w14:textId="77777777" w:rsidR="003C4117" w:rsidRPr="002E135F" w:rsidRDefault="003C4117" w:rsidP="004D311C">
            <w:pPr>
              <w:pStyle w:val="TableBody"/>
              <w:jc w:val="right"/>
            </w:pPr>
            <w:r w:rsidRPr="00307C59">
              <w:t>99.2</w:t>
            </w:r>
            <w:r>
              <w:t>%</w:t>
            </w:r>
          </w:p>
        </w:tc>
        <w:tc>
          <w:tcPr>
            <w:tcW w:w="1679" w:type="dxa"/>
            <w:tcBorders>
              <w:top w:val="single" w:sz="4" w:space="0" w:color="auto"/>
            </w:tcBorders>
            <w:shd w:val="clear" w:color="auto" w:fill="D9E2F3" w:themeFill="accent1" w:themeFillTint="33"/>
          </w:tcPr>
          <w:p w14:paraId="2DE9C8DA" w14:textId="77777777" w:rsidR="003C4117" w:rsidRDefault="003C4117" w:rsidP="004D311C">
            <w:pPr>
              <w:pStyle w:val="TableBody"/>
              <w:jc w:val="right"/>
            </w:pPr>
            <w:r w:rsidRPr="002E135F">
              <w:t>22,093</w:t>
            </w:r>
          </w:p>
        </w:tc>
      </w:tr>
      <w:tr w:rsidR="003C4117" w14:paraId="0E1D44B5" w14:textId="77777777" w:rsidTr="00E52FFE">
        <w:tc>
          <w:tcPr>
            <w:tcW w:w="1779" w:type="dxa"/>
          </w:tcPr>
          <w:p w14:paraId="16A02592" w14:textId="77777777" w:rsidR="003C4117" w:rsidRDefault="003C4117" w:rsidP="004D311C">
            <w:pPr>
              <w:pStyle w:val="TableBody"/>
            </w:pPr>
            <w:r>
              <w:t>Community Housing</w:t>
            </w:r>
          </w:p>
        </w:tc>
        <w:tc>
          <w:tcPr>
            <w:tcW w:w="1678" w:type="dxa"/>
          </w:tcPr>
          <w:p w14:paraId="18CE0285" w14:textId="77777777" w:rsidR="003C4117" w:rsidRDefault="003C4117" w:rsidP="004D311C">
            <w:pPr>
              <w:pStyle w:val="TableBody"/>
              <w:jc w:val="right"/>
            </w:pPr>
            <w:r w:rsidRPr="00495338">
              <w:t>907</w:t>
            </w:r>
          </w:p>
        </w:tc>
        <w:tc>
          <w:tcPr>
            <w:tcW w:w="1679" w:type="dxa"/>
          </w:tcPr>
          <w:p w14:paraId="32436FCD" w14:textId="77777777" w:rsidR="003C4117" w:rsidRDefault="003C4117" w:rsidP="004D311C">
            <w:pPr>
              <w:pStyle w:val="TableBody"/>
              <w:jc w:val="right"/>
            </w:pPr>
            <w:r w:rsidRPr="004A1E96">
              <w:t>745</w:t>
            </w:r>
          </w:p>
        </w:tc>
        <w:tc>
          <w:tcPr>
            <w:tcW w:w="1679" w:type="dxa"/>
          </w:tcPr>
          <w:p w14:paraId="6024C9E3" w14:textId="77777777" w:rsidR="003C4117" w:rsidRPr="00525B98" w:rsidRDefault="003C4117" w:rsidP="004D311C">
            <w:pPr>
              <w:pStyle w:val="TableBody"/>
              <w:jc w:val="right"/>
            </w:pPr>
            <w:r w:rsidRPr="00307C59">
              <w:t>99.3</w:t>
            </w:r>
            <w:r>
              <w:t>%</w:t>
            </w:r>
          </w:p>
        </w:tc>
        <w:tc>
          <w:tcPr>
            <w:tcW w:w="1679" w:type="dxa"/>
          </w:tcPr>
          <w:p w14:paraId="7E61EF10" w14:textId="77777777" w:rsidR="003C4117" w:rsidRDefault="003C4117" w:rsidP="004D311C">
            <w:pPr>
              <w:pStyle w:val="TableBody"/>
              <w:jc w:val="right"/>
            </w:pPr>
            <w:r w:rsidRPr="00525B98">
              <w:t>1,115</w:t>
            </w:r>
          </w:p>
        </w:tc>
      </w:tr>
      <w:tr w:rsidR="003C4117" w14:paraId="632034B6" w14:textId="77777777" w:rsidTr="00E52FFE">
        <w:tc>
          <w:tcPr>
            <w:tcW w:w="1779" w:type="dxa"/>
            <w:tcBorders>
              <w:bottom w:val="single" w:sz="4" w:space="0" w:color="auto"/>
            </w:tcBorders>
            <w:shd w:val="clear" w:color="auto" w:fill="D9E2F3" w:themeFill="accent1" w:themeFillTint="33"/>
          </w:tcPr>
          <w:p w14:paraId="13E18C07" w14:textId="77777777" w:rsidR="003C4117" w:rsidRDefault="003C4117" w:rsidP="004D311C">
            <w:pPr>
              <w:pStyle w:val="TableBody"/>
            </w:pPr>
            <w:r>
              <w:t>Total</w:t>
            </w:r>
          </w:p>
        </w:tc>
        <w:tc>
          <w:tcPr>
            <w:tcW w:w="1678" w:type="dxa"/>
            <w:tcBorders>
              <w:bottom w:val="single" w:sz="4" w:space="0" w:color="auto"/>
            </w:tcBorders>
            <w:shd w:val="clear" w:color="auto" w:fill="D9E2F3" w:themeFill="accent1" w:themeFillTint="33"/>
          </w:tcPr>
          <w:p w14:paraId="4EC5ABD4" w14:textId="77777777" w:rsidR="003C4117" w:rsidRDefault="003C4117" w:rsidP="004D311C">
            <w:pPr>
              <w:pStyle w:val="TableBody"/>
              <w:jc w:val="right"/>
            </w:pPr>
            <w:r w:rsidRPr="0041632F">
              <w:t>11,862</w:t>
            </w:r>
          </w:p>
        </w:tc>
        <w:tc>
          <w:tcPr>
            <w:tcW w:w="1679" w:type="dxa"/>
            <w:tcBorders>
              <w:bottom w:val="single" w:sz="4" w:space="0" w:color="auto"/>
            </w:tcBorders>
            <w:shd w:val="clear" w:color="auto" w:fill="D9E2F3" w:themeFill="accent1" w:themeFillTint="33"/>
          </w:tcPr>
          <w:p w14:paraId="105DC234" w14:textId="77777777" w:rsidR="003C4117" w:rsidRDefault="003C4117" w:rsidP="004D311C">
            <w:pPr>
              <w:pStyle w:val="TableBody"/>
              <w:jc w:val="right"/>
            </w:pPr>
            <w:r w:rsidRPr="004A1E96">
              <w:t>11,274</w:t>
            </w:r>
          </w:p>
        </w:tc>
        <w:tc>
          <w:tcPr>
            <w:tcW w:w="1679" w:type="dxa"/>
            <w:tcBorders>
              <w:bottom w:val="single" w:sz="4" w:space="0" w:color="auto"/>
            </w:tcBorders>
            <w:shd w:val="clear" w:color="auto" w:fill="D9E2F3" w:themeFill="accent1" w:themeFillTint="33"/>
          </w:tcPr>
          <w:p w14:paraId="77F004BA" w14:textId="77777777" w:rsidR="003C4117" w:rsidRPr="00525B98" w:rsidRDefault="003C4117" w:rsidP="004D311C">
            <w:pPr>
              <w:pStyle w:val="TableBody"/>
              <w:jc w:val="right"/>
            </w:pPr>
            <w:r w:rsidRPr="006A2D7C">
              <w:t>99.2</w:t>
            </w:r>
            <w:r>
              <w:t>%</w:t>
            </w:r>
          </w:p>
        </w:tc>
        <w:tc>
          <w:tcPr>
            <w:tcW w:w="1679" w:type="dxa"/>
            <w:tcBorders>
              <w:bottom w:val="single" w:sz="4" w:space="0" w:color="auto"/>
            </w:tcBorders>
            <w:shd w:val="clear" w:color="auto" w:fill="D9E2F3" w:themeFill="accent1" w:themeFillTint="33"/>
          </w:tcPr>
          <w:p w14:paraId="4DF24A7B" w14:textId="77777777" w:rsidR="003C4117" w:rsidRDefault="003C4117" w:rsidP="004D311C">
            <w:pPr>
              <w:pStyle w:val="TableBody"/>
              <w:jc w:val="right"/>
            </w:pPr>
            <w:r w:rsidRPr="00525B98">
              <w:t>23,208</w:t>
            </w:r>
          </w:p>
        </w:tc>
      </w:tr>
    </w:tbl>
    <w:p w14:paraId="6D1DE490" w14:textId="2424CD8A" w:rsidR="00364D97" w:rsidRDefault="00DB4CEF" w:rsidP="00DB4CEF">
      <w:pPr>
        <w:pStyle w:val="Figuretitle"/>
      </w:pPr>
      <w:r>
        <w:lastRenderedPageBreak/>
        <w:t xml:space="preserve">Figure 5 </w:t>
      </w:r>
      <w:r w:rsidR="005137E9">
        <w:t>Number of</w:t>
      </w:r>
      <w:r w:rsidR="005137E9" w:rsidRPr="005137E9">
        <w:t xml:space="preserve"> social housing dwellings, ACT, 2009-201</w:t>
      </w:r>
      <w:r w:rsidR="005137E9">
        <w:t>9</w:t>
      </w:r>
      <w:r w:rsidR="005137E9" w:rsidRPr="00B141E8">
        <w:rPr>
          <w:rStyle w:val="FootnoteReference"/>
          <w:b w:val="0"/>
          <w:bCs/>
        </w:rPr>
        <w:footnoteReference w:id="41"/>
      </w:r>
    </w:p>
    <w:p w14:paraId="2E504ED6" w14:textId="681566D0" w:rsidR="00FC5EFA" w:rsidRDefault="00D37408" w:rsidP="00225685">
      <w:pPr>
        <w:pStyle w:val="BodyText"/>
      </w:pPr>
      <w:r>
        <w:rPr>
          <w:noProof/>
        </w:rPr>
        <w:drawing>
          <wp:inline distT="0" distB="0" distL="0" distR="0" wp14:anchorId="1C4B6FE4" wp14:editId="26620893">
            <wp:extent cx="5400000" cy="28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2862000"/>
                    </a:xfrm>
                    <a:prstGeom prst="rect">
                      <a:avLst/>
                    </a:prstGeom>
                    <a:noFill/>
                  </pic:spPr>
                </pic:pic>
              </a:graphicData>
            </a:graphic>
          </wp:inline>
        </w:drawing>
      </w:r>
    </w:p>
    <w:p w14:paraId="609021F8" w14:textId="5D28175D" w:rsidR="003279A9" w:rsidRDefault="003279A9" w:rsidP="007E62FF">
      <w:pPr>
        <w:pStyle w:val="Figuretitle"/>
      </w:pPr>
      <w:r>
        <w:t xml:space="preserve">Table </w:t>
      </w:r>
      <w:r w:rsidR="00033FDC">
        <w:t>5</w:t>
      </w:r>
      <w:r>
        <w:t xml:space="preserve"> </w:t>
      </w:r>
      <w:r w:rsidR="001B2588">
        <w:t>Social housing dwellin</w:t>
      </w:r>
      <w:r w:rsidR="00A80408">
        <w:t>gs in comparison to population and households, States and Territories, 30 June 2019</w:t>
      </w:r>
      <w:r w:rsidR="001203BB" w:rsidRPr="00F93CC9">
        <w:rPr>
          <w:rStyle w:val="FootnoteReference"/>
          <w:b w:val="0"/>
          <w:bCs/>
        </w:rPr>
        <w:footnoteReference w:id="42"/>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841"/>
        <w:gridCol w:w="730"/>
        <w:gridCol w:w="730"/>
        <w:gridCol w:w="730"/>
        <w:gridCol w:w="730"/>
        <w:gridCol w:w="730"/>
        <w:gridCol w:w="752"/>
        <w:gridCol w:w="730"/>
        <w:gridCol w:w="841"/>
      </w:tblGrid>
      <w:tr w:rsidR="00FC4F2B" w14:paraId="07F16F28" w14:textId="77777777" w:rsidTr="00906EA8">
        <w:tc>
          <w:tcPr>
            <w:tcW w:w="0" w:type="auto"/>
            <w:tcBorders>
              <w:top w:val="single" w:sz="4" w:space="0" w:color="auto"/>
              <w:bottom w:val="single" w:sz="4" w:space="0" w:color="auto"/>
            </w:tcBorders>
          </w:tcPr>
          <w:p w14:paraId="48F29E0B" w14:textId="3E2A3A06" w:rsidR="001C0092" w:rsidRPr="00FC4F2B" w:rsidRDefault="001C0092" w:rsidP="00FC4F2B">
            <w:pPr>
              <w:pStyle w:val="Tableheading"/>
            </w:pPr>
            <w:r w:rsidRPr="00FC4F2B">
              <w:t>Social housing dwelling</w:t>
            </w:r>
            <w:r w:rsidR="007C3DB1" w:rsidRPr="00FC4F2B">
              <w:t>s</w:t>
            </w:r>
          </w:p>
        </w:tc>
        <w:tc>
          <w:tcPr>
            <w:tcW w:w="0" w:type="auto"/>
            <w:tcBorders>
              <w:top w:val="single" w:sz="4" w:space="0" w:color="auto"/>
              <w:bottom w:val="single" w:sz="4" w:space="0" w:color="auto"/>
            </w:tcBorders>
          </w:tcPr>
          <w:p w14:paraId="1EA5EE87" w14:textId="04F706FE" w:rsidR="001C0092" w:rsidRPr="00FC4F2B" w:rsidRDefault="001C0092" w:rsidP="001A1648">
            <w:pPr>
              <w:pStyle w:val="Tableheading"/>
              <w:jc w:val="center"/>
            </w:pPr>
            <w:r w:rsidRPr="00FC4F2B">
              <w:t>NSW</w:t>
            </w:r>
          </w:p>
        </w:tc>
        <w:tc>
          <w:tcPr>
            <w:tcW w:w="0" w:type="auto"/>
            <w:tcBorders>
              <w:top w:val="single" w:sz="4" w:space="0" w:color="auto"/>
              <w:bottom w:val="single" w:sz="4" w:space="0" w:color="auto"/>
            </w:tcBorders>
          </w:tcPr>
          <w:p w14:paraId="5EBC8569" w14:textId="46E80DA9" w:rsidR="001C0092" w:rsidRPr="00FC4F2B" w:rsidRDefault="001C0092" w:rsidP="001A1648">
            <w:pPr>
              <w:pStyle w:val="Tableheading"/>
              <w:jc w:val="center"/>
            </w:pPr>
            <w:r w:rsidRPr="00FC4F2B">
              <w:t>Vic</w:t>
            </w:r>
          </w:p>
        </w:tc>
        <w:tc>
          <w:tcPr>
            <w:tcW w:w="0" w:type="auto"/>
            <w:tcBorders>
              <w:top w:val="single" w:sz="4" w:space="0" w:color="auto"/>
              <w:bottom w:val="single" w:sz="4" w:space="0" w:color="auto"/>
            </w:tcBorders>
          </w:tcPr>
          <w:p w14:paraId="0156FB38" w14:textId="53E61809" w:rsidR="001C0092" w:rsidRPr="00FC4F2B" w:rsidRDefault="001C0092" w:rsidP="001A1648">
            <w:pPr>
              <w:pStyle w:val="Tableheading"/>
              <w:jc w:val="center"/>
            </w:pPr>
            <w:r w:rsidRPr="00FC4F2B">
              <w:t>Qld</w:t>
            </w:r>
          </w:p>
        </w:tc>
        <w:tc>
          <w:tcPr>
            <w:tcW w:w="0" w:type="auto"/>
            <w:tcBorders>
              <w:top w:val="single" w:sz="4" w:space="0" w:color="auto"/>
              <w:bottom w:val="single" w:sz="4" w:space="0" w:color="auto"/>
            </w:tcBorders>
          </w:tcPr>
          <w:p w14:paraId="00F0404E" w14:textId="34E9C34A" w:rsidR="001C0092" w:rsidRPr="00FC4F2B" w:rsidRDefault="001C0092" w:rsidP="001A1648">
            <w:pPr>
              <w:pStyle w:val="Tableheading"/>
              <w:jc w:val="center"/>
            </w:pPr>
            <w:r w:rsidRPr="00FC4F2B">
              <w:t>WA</w:t>
            </w:r>
          </w:p>
        </w:tc>
        <w:tc>
          <w:tcPr>
            <w:tcW w:w="0" w:type="auto"/>
            <w:tcBorders>
              <w:top w:val="single" w:sz="4" w:space="0" w:color="auto"/>
              <w:bottom w:val="single" w:sz="4" w:space="0" w:color="auto"/>
            </w:tcBorders>
          </w:tcPr>
          <w:p w14:paraId="1BDFA337" w14:textId="1CB424A0" w:rsidR="001C0092" w:rsidRPr="00FC4F2B" w:rsidRDefault="001C0092" w:rsidP="001A1648">
            <w:pPr>
              <w:pStyle w:val="Tableheading"/>
              <w:jc w:val="center"/>
            </w:pPr>
            <w:r w:rsidRPr="00FC4F2B">
              <w:t>SA</w:t>
            </w:r>
          </w:p>
        </w:tc>
        <w:tc>
          <w:tcPr>
            <w:tcW w:w="0" w:type="auto"/>
            <w:tcBorders>
              <w:top w:val="single" w:sz="4" w:space="0" w:color="auto"/>
              <w:bottom w:val="single" w:sz="4" w:space="0" w:color="auto"/>
            </w:tcBorders>
          </w:tcPr>
          <w:p w14:paraId="6D8540C4" w14:textId="4E81F319" w:rsidR="001C0092" w:rsidRPr="00FC4F2B" w:rsidRDefault="001C0092" w:rsidP="001A1648">
            <w:pPr>
              <w:pStyle w:val="Tableheading"/>
              <w:jc w:val="center"/>
            </w:pPr>
            <w:r w:rsidRPr="00FC4F2B">
              <w:t>Tas</w:t>
            </w:r>
          </w:p>
        </w:tc>
        <w:tc>
          <w:tcPr>
            <w:tcW w:w="0" w:type="auto"/>
            <w:tcBorders>
              <w:top w:val="single" w:sz="4" w:space="0" w:color="auto"/>
              <w:bottom w:val="single" w:sz="4" w:space="0" w:color="auto"/>
            </w:tcBorders>
          </w:tcPr>
          <w:p w14:paraId="2C129135" w14:textId="48C5EBF1" w:rsidR="001C0092" w:rsidRPr="00FC4F2B" w:rsidRDefault="001C0092" w:rsidP="001A1648">
            <w:pPr>
              <w:pStyle w:val="Tableheading"/>
              <w:jc w:val="center"/>
            </w:pPr>
            <w:r w:rsidRPr="00FC4F2B">
              <w:t>ACT</w:t>
            </w:r>
          </w:p>
        </w:tc>
        <w:tc>
          <w:tcPr>
            <w:tcW w:w="0" w:type="auto"/>
            <w:tcBorders>
              <w:top w:val="single" w:sz="4" w:space="0" w:color="auto"/>
              <w:bottom w:val="single" w:sz="4" w:space="0" w:color="auto"/>
            </w:tcBorders>
          </w:tcPr>
          <w:p w14:paraId="5F5972FF" w14:textId="5540A559" w:rsidR="001C0092" w:rsidRPr="00FC4F2B" w:rsidRDefault="001C0092" w:rsidP="001A1648">
            <w:pPr>
              <w:pStyle w:val="Tableheading"/>
              <w:jc w:val="center"/>
            </w:pPr>
            <w:r w:rsidRPr="00FC4F2B">
              <w:t>NT</w:t>
            </w:r>
          </w:p>
        </w:tc>
        <w:tc>
          <w:tcPr>
            <w:tcW w:w="0" w:type="auto"/>
            <w:tcBorders>
              <w:top w:val="single" w:sz="4" w:space="0" w:color="auto"/>
              <w:bottom w:val="single" w:sz="4" w:space="0" w:color="auto"/>
            </w:tcBorders>
          </w:tcPr>
          <w:p w14:paraId="059D8B30" w14:textId="1B8E638E" w:rsidR="001C0092" w:rsidRPr="00FC4F2B" w:rsidRDefault="001C0092" w:rsidP="001A1648">
            <w:pPr>
              <w:pStyle w:val="Tableheading"/>
              <w:jc w:val="center"/>
            </w:pPr>
            <w:r w:rsidRPr="00FC4F2B">
              <w:t>Total</w:t>
            </w:r>
          </w:p>
        </w:tc>
      </w:tr>
      <w:tr w:rsidR="00FC4F2B" w14:paraId="4E7004A9" w14:textId="77777777" w:rsidTr="00906EA8">
        <w:tc>
          <w:tcPr>
            <w:tcW w:w="0" w:type="auto"/>
            <w:tcBorders>
              <w:top w:val="single" w:sz="4" w:space="0" w:color="auto"/>
            </w:tcBorders>
            <w:shd w:val="clear" w:color="auto" w:fill="D9E2F3" w:themeFill="accent1" w:themeFillTint="33"/>
          </w:tcPr>
          <w:p w14:paraId="54420648" w14:textId="3FCEA32F" w:rsidR="0027566B" w:rsidRPr="00FC4F2B" w:rsidRDefault="0027566B" w:rsidP="00FC4F2B">
            <w:pPr>
              <w:pStyle w:val="TableBody"/>
            </w:pPr>
            <w:r w:rsidRPr="00FC4F2B">
              <w:t>Per 1</w:t>
            </w:r>
            <w:r w:rsidR="00825BC4">
              <w:t>,</w:t>
            </w:r>
            <w:r w:rsidRPr="00FC4F2B">
              <w:t>000 people</w:t>
            </w:r>
          </w:p>
        </w:tc>
        <w:tc>
          <w:tcPr>
            <w:tcW w:w="0" w:type="auto"/>
            <w:tcBorders>
              <w:top w:val="single" w:sz="4" w:space="0" w:color="auto"/>
            </w:tcBorders>
            <w:shd w:val="clear" w:color="auto" w:fill="D9E2F3" w:themeFill="accent1" w:themeFillTint="33"/>
          </w:tcPr>
          <w:p w14:paraId="03F7CD34" w14:textId="4B70A8DD" w:rsidR="0027566B" w:rsidRPr="00FC4F2B" w:rsidRDefault="0027566B" w:rsidP="007E62FF">
            <w:pPr>
              <w:pStyle w:val="TableBody"/>
              <w:jc w:val="right"/>
            </w:pPr>
            <w:r w:rsidRPr="00FC4F2B">
              <w:t>19.4</w:t>
            </w:r>
          </w:p>
        </w:tc>
        <w:tc>
          <w:tcPr>
            <w:tcW w:w="0" w:type="auto"/>
            <w:tcBorders>
              <w:top w:val="single" w:sz="4" w:space="0" w:color="auto"/>
            </w:tcBorders>
            <w:shd w:val="clear" w:color="auto" w:fill="D9E2F3" w:themeFill="accent1" w:themeFillTint="33"/>
          </w:tcPr>
          <w:p w14:paraId="5487FD96" w14:textId="3C0B079E" w:rsidR="0027566B" w:rsidRPr="00FC4F2B" w:rsidRDefault="0027566B" w:rsidP="007E62FF">
            <w:pPr>
              <w:pStyle w:val="TableBody"/>
              <w:jc w:val="right"/>
            </w:pPr>
            <w:r w:rsidRPr="00FC4F2B">
              <w:t>12.3</w:t>
            </w:r>
          </w:p>
        </w:tc>
        <w:tc>
          <w:tcPr>
            <w:tcW w:w="0" w:type="auto"/>
            <w:tcBorders>
              <w:top w:val="single" w:sz="4" w:space="0" w:color="auto"/>
            </w:tcBorders>
            <w:shd w:val="clear" w:color="auto" w:fill="D9E2F3" w:themeFill="accent1" w:themeFillTint="33"/>
          </w:tcPr>
          <w:p w14:paraId="00183817" w14:textId="0E30105E" w:rsidR="0027566B" w:rsidRPr="00FC4F2B" w:rsidRDefault="0027566B" w:rsidP="007E62FF">
            <w:pPr>
              <w:pStyle w:val="TableBody"/>
              <w:jc w:val="right"/>
            </w:pPr>
            <w:r w:rsidRPr="00FC4F2B">
              <w:t>14.0</w:t>
            </w:r>
          </w:p>
        </w:tc>
        <w:tc>
          <w:tcPr>
            <w:tcW w:w="0" w:type="auto"/>
            <w:tcBorders>
              <w:top w:val="single" w:sz="4" w:space="0" w:color="auto"/>
            </w:tcBorders>
            <w:shd w:val="clear" w:color="auto" w:fill="D9E2F3" w:themeFill="accent1" w:themeFillTint="33"/>
          </w:tcPr>
          <w:p w14:paraId="3C2C809B" w14:textId="64F0A310" w:rsidR="0027566B" w:rsidRPr="00FC4F2B" w:rsidRDefault="0027566B" w:rsidP="007E62FF">
            <w:pPr>
              <w:pStyle w:val="TableBody"/>
              <w:jc w:val="right"/>
            </w:pPr>
            <w:r w:rsidRPr="00FC4F2B">
              <w:t>16.6</w:t>
            </w:r>
          </w:p>
        </w:tc>
        <w:tc>
          <w:tcPr>
            <w:tcW w:w="0" w:type="auto"/>
            <w:tcBorders>
              <w:top w:val="single" w:sz="4" w:space="0" w:color="auto"/>
            </w:tcBorders>
            <w:shd w:val="clear" w:color="auto" w:fill="D9E2F3" w:themeFill="accent1" w:themeFillTint="33"/>
          </w:tcPr>
          <w:p w14:paraId="124E8145" w14:textId="7EAC9080" w:rsidR="0027566B" w:rsidRPr="00FC4F2B" w:rsidRDefault="0027566B" w:rsidP="007E62FF">
            <w:pPr>
              <w:pStyle w:val="TableBody"/>
              <w:jc w:val="right"/>
            </w:pPr>
            <w:r w:rsidRPr="00FC4F2B">
              <w:t>26.5</w:t>
            </w:r>
          </w:p>
        </w:tc>
        <w:tc>
          <w:tcPr>
            <w:tcW w:w="0" w:type="auto"/>
            <w:tcBorders>
              <w:top w:val="single" w:sz="4" w:space="0" w:color="auto"/>
            </w:tcBorders>
            <w:shd w:val="clear" w:color="auto" w:fill="D9E2F3" w:themeFill="accent1" w:themeFillTint="33"/>
          </w:tcPr>
          <w:p w14:paraId="68C1F5B4" w14:textId="3D3069B9" w:rsidR="0027566B" w:rsidRPr="00FC4F2B" w:rsidRDefault="0027566B" w:rsidP="007E62FF">
            <w:pPr>
              <w:pStyle w:val="TableBody"/>
              <w:jc w:val="right"/>
            </w:pPr>
            <w:r w:rsidRPr="00FC4F2B">
              <w:t>26.3</w:t>
            </w:r>
          </w:p>
        </w:tc>
        <w:tc>
          <w:tcPr>
            <w:tcW w:w="0" w:type="auto"/>
            <w:tcBorders>
              <w:top w:val="single" w:sz="4" w:space="0" w:color="auto"/>
            </w:tcBorders>
            <w:shd w:val="clear" w:color="auto" w:fill="D9E2F3" w:themeFill="accent1" w:themeFillTint="33"/>
          </w:tcPr>
          <w:p w14:paraId="73FBD8B9" w14:textId="0554B55A" w:rsidR="0027566B" w:rsidRPr="00FC4F2B" w:rsidRDefault="0027566B" w:rsidP="007E62FF">
            <w:pPr>
              <w:pStyle w:val="TableBody"/>
              <w:jc w:val="right"/>
            </w:pPr>
            <w:r w:rsidRPr="00FC4F2B">
              <w:t>27.8</w:t>
            </w:r>
          </w:p>
        </w:tc>
        <w:tc>
          <w:tcPr>
            <w:tcW w:w="0" w:type="auto"/>
            <w:tcBorders>
              <w:top w:val="single" w:sz="4" w:space="0" w:color="auto"/>
            </w:tcBorders>
            <w:shd w:val="clear" w:color="auto" w:fill="D9E2F3" w:themeFill="accent1" w:themeFillTint="33"/>
          </w:tcPr>
          <w:p w14:paraId="1FB62559" w14:textId="1DBDFAB0" w:rsidR="0027566B" w:rsidRPr="00FC4F2B" w:rsidRDefault="0027566B" w:rsidP="007E62FF">
            <w:pPr>
              <w:pStyle w:val="TableBody"/>
              <w:jc w:val="right"/>
            </w:pPr>
            <w:r w:rsidRPr="00FC4F2B">
              <w:t>50.9</w:t>
            </w:r>
          </w:p>
        </w:tc>
        <w:tc>
          <w:tcPr>
            <w:tcW w:w="0" w:type="auto"/>
            <w:tcBorders>
              <w:top w:val="single" w:sz="4" w:space="0" w:color="auto"/>
            </w:tcBorders>
            <w:shd w:val="clear" w:color="auto" w:fill="D9E2F3" w:themeFill="accent1" w:themeFillTint="33"/>
          </w:tcPr>
          <w:p w14:paraId="29C38FCA" w14:textId="1C47063C" w:rsidR="0027566B" w:rsidRPr="00FC4F2B" w:rsidRDefault="0027566B" w:rsidP="007E62FF">
            <w:pPr>
              <w:pStyle w:val="TableBody"/>
              <w:jc w:val="right"/>
            </w:pPr>
            <w:r w:rsidRPr="00FC4F2B">
              <w:t>17.3</w:t>
            </w:r>
          </w:p>
        </w:tc>
      </w:tr>
      <w:tr w:rsidR="00DC4A31" w14:paraId="5EDE6229" w14:textId="77777777" w:rsidTr="00906EA8">
        <w:tc>
          <w:tcPr>
            <w:tcW w:w="0" w:type="auto"/>
          </w:tcPr>
          <w:p w14:paraId="3A6F9DCA" w14:textId="7E45C566" w:rsidR="00DC4A31" w:rsidRPr="00FC4F2B" w:rsidRDefault="00DC4A31" w:rsidP="00DC4A31">
            <w:pPr>
              <w:pStyle w:val="TableBody"/>
            </w:pPr>
            <w:r w:rsidRPr="00FC4F2B">
              <w:t>Per 100 households</w:t>
            </w:r>
          </w:p>
        </w:tc>
        <w:tc>
          <w:tcPr>
            <w:tcW w:w="0" w:type="auto"/>
          </w:tcPr>
          <w:p w14:paraId="6705126A" w14:textId="376E38BC" w:rsidR="00DC4A31" w:rsidRPr="00FC4F2B" w:rsidRDefault="00DC4A31" w:rsidP="00DC4A31">
            <w:pPr>
              <w:pStyle w:val="TableBody"/>
              <w:jc w:val="right"/>
            </w:pPr>
            <w:r w:rsidRPr="00DA4215">
              <w:t>5.2</w:t>
            </w:r>
          </w:p>
        </w:tc>
        <w:tc>
          <w:tcPr>
            <w:tcW w:w="0" w:type="auto"/>
          </w:tcPr>
          <w:p w14:paraId="48A06A03" w14:textId="3AC26D47" w:rsidR="00DC4A31" w:rsidRPr="00FC4F2B" w:rsidRDefault="00DC4A31" w:rsidP="00DC4A31">
            <w:pPr>
              <w:pStyle w:val="TableBody"/>
              <w:jc w:val="right"/>
            </w:pPr>
            <w:r w:rsidRPr="00DA4215">
              <w:t>3.2</w:t>
            </w:r>
          </w:p>
        </w:tc>
        <w:tc>
          <w:tcPr>
            <w:tcW w:w="0" w:type="auto"/>
          </w:tcPr>
          <w:p w14:paraId="4D0FD872" w14:textId="6F5EF664" w:rsidR="00DC4A31" w:rsidRPr="00FC4F2B" w:rsidRDefault="00DC4A31" w:rsidP="00DC4A31">
            <w:pPr>
              <w:pStyle w:val="TableBody"/>
              <w:jc w:val="right"/>
            </w:pPr>
            <w:r w:rsidRPr="00DA4215">
              <w:t>3.7</w:t>
            </w:r>
          </w:p>
        </w:tc>
        <w:tc>
          <w:tcPr>
            <w:tcW w:w="0" w:type="auto"/>
          </w:tcPr>
          <w:p w14:paraId="73EF61B5" w14:textId="32318D1E" w:rsidR="00DC4A31" w:rsidRPr="00FC4F2B" w:rsidRDefault="00DC4A31" w:rsidP="00DC4A31">
            <w:pPr>
              <w:pStyle w:val="TableBody"/>
              <w:jc w:val="right"/>
            </w:pPr>
            <w:r w:rsidRPr="00DA4215">
              <w:t>4.4</w:t>
            </w:r>
          </w:p>
        </w:tc>
        <w:tc>
          <w:tcPr>
            <w:tcW w:w="0" w:type="auto"/>
          </w:tcPr>
          <w:p w14:paraId="418443DB" w14:textId="33F9F7AC" w:rsidR="00DC4A31" w:rsidRPr="00FC4F2B" w:rsidRDefault="00DC4A31" w:rsidP="00DC4A31">
            <w:pPr>
              <w:pStyle w:val="TableBody"/>
              <w:jc w:val="right"/>
            </w:pPr>
            <w:r w:rsidRPr="00DA4215">
              <w:t>6.5</w:t>
            </w:r>
          </w:p>
        </w:tc>
        <w:tc>
          <w:tcPr>
            <w:tcW w:w="0" w:type="auto"/>
          </w:tcPr>
          <w:p w14:paraId="0A2C0001" w14:textId="5332625B" w:rsidR="00DC4A31" w:rsidRPr="00FC4F2B" w:rsidRDefault="00DC4A31" w:rsidP="00DC4A31">
            <w:pPr>
              <w:pStyle w:val="TableBody"/>
              <w:jc w:val="right"/>
            </w:pPr>
            <w:r w:rsidRPr="00DA4215">
              <w:t>6.2</w:t>
            </w:r>
          </w:p>
        </w:tc>
        <w:tc>
          <w:tcPr>
            <w:tcW w:w="0" w:type="auto"/>
          </w:tcPr>
          <w:p w14:paraId="5508D8DD" w14:textId="05DFDE91" w:rsidR="00DC4A31" w:rsidRPr="00FC4F2B" w:rsidRDefault="00DC4A31" w:rsidP="00DC4A31">
            <w:pPr>
              <w:pStyle w:val="TableBody"/>
              <w:jc w:val="right"/>
            </w:pPr>
            <w:r w:rsidRPr="00DA4215">
              <w:t>7.1</w:t>
            </w:r>
          </w:p>
        </w:tc>
        <w:tc>
          <w:tcPr>
            <w:tcW w:w="0" w:type="auto"/>
          </w:tcPr>
          <w:p w14:paraId="4F748075" w14:textId="17605BAE" w:rsidR="00DC4A31" w:rsidRPr="00FC4F2B" w:rsidRDefault="00DC4A31" w:rsidP="00DC4A31">
            <w:pPr>
              <w:pStyle w:val="TableBody"/>
              <w:jc w:val="right"/>
            </w:pPr>
            <w:r w:rsidRPr="00DA4215">
              <w:t>15.8</w:t>
            </w:r>
          </w:p>
        </w:tc>
        <w:tc>
          <w:tcPr>
            <w:tcW w:w="0" w:type="auto"/>
          </w:tcPr>
          <w:p w14:paraId="4370F11B" w14:textId="1F40728A" w:rsidR="00DC4A31" w:rsidRPr="00FC4F2B" w:rsidRDefault="00DC4A31" w:rsidP="00DC4A31">
            <w:pPr>
              <w:pStyle w:val="TableBody"/>
              <w:jc w:val="right"/>
            </w:pPr>
            <w:r w:rsidRPr="00DA4215">
              <w:t>4.5</w:t>
            </w:r>
          </w:p>
        </w:tc>
      </w:tr>
      <w:tr w:rsidR="00FC4F2B" w14:paraId="591135B2" w14:textId="77777777" w:rsidTr="00906EA8">
        <w:tc>
          <w:tcPr>
            <w:tcW w:w="0" w:type="auto"/>
            <w:tcBorders>
              <w:bottom w:val="single" w:sz="4" w:space="0" w:color="auto"/>
            </w:tcBorders>
            <w:shd w:val="clear" w:color="auto" w:fill="D9E2F3" w:themeFill="accent1" w:themeFillTint="33"/>
          </w:tcPr>
          <w:p w14:paraId="1468B86E" w14:textId="2150958D" w:rsidR="00070324" w:rsidRPr="00FC4F2B" w:rsidRDefault="00070324" w:rsidP="00FC4F2B">
            <w:pPr>
              <w:pStyle w:val="TableBody"/>
            </w:pPr>
            <w:r w:rsidRPr="00FC4F2B">
              <w:t>Total</w:t>
            </w:r>
            <w:r w:rsidR="002B52DB" w:rsidRPr="00FC4F2B">
              <w:t xml:space="preserve"> </w:t>
            </w:r>
            <w:r w:rsidR="00407E64">
              <w:t xml:space="preserve">dwellings </w:t>
            </w:r>
            <w:r w:rsidR="002B52DB" w:rsidRPr="00FC4F2B">
              <w:t>(,000)</w:t>
            </w:r>
          </w:p>
        </w:tc>
        <w:tc>
          <w:tcPr>
            <w:tcW w:w="0" w:type="auto"/>
            <w:tcBorders>
              <w:bottom w:val="single" w:sz="4" w:space="0" w:color="auto"/>
            </w:tcBorders>
            <w:shd w:val="clear" w:color="auto" w:fill="D9E2F3" w:themeFill="accent1" w:themeFillTint="33"/>
          </w:tcPr>
          <w:p w14:paraId="10781F44" w14:textId="1222266B" w:rsidR="00070324" w:rsidRPr="00FC4F2B" w:rsidRDefault="00070324" w:rsidP="007E62FF">
            <w:pPr>
              <w:pStyle w:val="TableBody"/>
              <w:jc w:val="right"/>
            </w:pPr>
            <w:r w:rsidRPr="00FC4F2B">
              <w:t>156</w:t>
            </w:r>
            <w:r w:rsidR="002B52DB" w:rsidRPr="00FC4F2B">
              <w:t>.</w:t>
            </w:r>
            <w:r w:rsidR="001C1BE1" w:rsidRPr="00FC4F2B">
              <w:t>8</w:t>
            </w:r>
          </w:p>
        </w:tc>
        <w:tc>
          <w:tcPr>
            <w:tcW w:w="0" w:type="auto"/>
            <w:tcBorders>
              <w:bottom w:val="single" w:sz="4" w:space="0" w:color="auto"/>
            </w:tcBorders>
            <w:shd w:val="clear" w:color="auto" w:fill="D9E2F3" w:themeFill="accent1" w:themeFillTint="33"/>
          </w:tcPr>
          <w:p w14:paraId="6B543C3B" w14:textId="57DC4C68" w:rsidR="00070324" w:rsidRPr="00FC4F2B" w:rsidRDefault="00070324" w:rsidP="007E62FF">
            <w:pPr>
              <w:pStyle w:val="TableBody"/>
              <w:jc w:val="right"/>
            </w:pPr>
            <w:r w:rsidRPr="00FC4F2B">
              <w:t>81</w:t>
            </w:r>
            <w:r w:rsidR="001C1BE1" w:rsidRPr="00FC4F2B">
              <w:t>.</w:t>
            </w:r>
            <w:r w:rsidRPr="00FC4F2B">
              <w:t>1</w:t>
            </w:r>
          </w:p>
        </w:tc>
        <w:tc>
          <w:tcPr>
            <w:tcW w:w="0" w:type="auto"/>
            <w:tcBorders>
              <w:bottom w:val="single" w:sz="4" w:space="0" w:color="auto"/>
            </w:tcBorders>
            <w:shd w:val="clear" w:color="auto" w:fill="D9E2F3" w:themeFill="accent1" w:themeFillTint="33"/>
          </w:tcPr>
          <w:p w14:paraId="19979D0B" w14:textId="7DF1B695" w:rsidR="00070324" w:rsidRPr="00FC4F2B" w:rsidRDefault="00070324" w:rsidP="007E62FF">
            <w:pPr>
              <w:pStyle w:val="TableBody"/>
              <w:jc w:val="right"/>
            </w:pPr>
            <w:r w:rsidRPr="00FC4F2B">
              <w:t>71</w:t>
            </w:r>
            <w:r w:rsidR="001C1BE1" w:rsidRPr="00FC4F2B">
              <w:t>.</w:t>
            </w:r>
            <w:r w:rsidRPr="00FC4F2B">
              <w:t>4</w:t>
            </w:r>
          </w:p>
        </w:tc>
        <w:tc>
          <w:tcPr>
            <w:tcW w:w="0" w:type="auto"/>
            <w:tcBorders>
              <w:bottom w:val="single" w:sz="4" w:space="0" w:color="auto"/>
            </w:tcBorders>
            <w:shd w:val="clear" w:color="auto" w:fill="D9E2F3" w:themeFill="accent1" w:themeFillTint="33"/>
          </w:tcPr>
          <w:p w14:paraId="68708157" w14:textId="7A06C7E4" w:rsidR="00070324" w:rsidRPr="00FC4F2B" w:rsidRDefault="00070324" w:rsidP="007E62FF">
            <w:pPr>
              <w:pStyle w:val="TableBody"/>
              <w:jc w:val="right"/>
            </w:pPr>
            <w:r w:rsidRPr="00FC4F2B">
              <w:t>43</w:t>
            </w:r>
            <w:r w:rsidR="001E10E2" w:rsidRPr="00FC4F2B">
              <w:t>.6</w:t>
            </w:r>
          </w:p>
        </w:tc>
        <w:tc>
          <w:tcPr>
            <w:tcW w:w="0" w:type="auto"/>
            <w:tcBorders>
              <w:bottom w:val="single" w:sz="4" w:space="0" w:color="auto"/>
            </w:tcBorders>
            <w:shd w:val="clear" w:color="auto" w:fill="D9E2F3" w:themeFill="accent1" w:themeFillTint="33"/>
          </w:tcPr>
          <w:p w14:paraId="3F1ED859" w14:textId="331A52BF" w:rsidR="00070324" w:rsidRPr="00FC4F2B" w:rsidRDefault="00070324" w:rsidP="007E62FF">
            <w:pPr>
              <w:pStyle w:val="TableBody"/>
              <w:jc w:val="right"/>
            </w:pPr>
            <w:r w:rsidRPr="00FC4F2B">
              <w:t>46</w:t>
            </w:r>
            <w:r w:rsidR="001E10E2" w:rsidRPr="00FC4F2B">
              <w:t>.</w:t>
            </w:r>
            <w:r w:rsidRPr="00FC4F2B">
              <w:t>4</w:t>
            </w:r>
          </w:p>
        </w:tc>
        <w:tc>
          <w:tcPr>
            <w:tcW w:w="0" w:type="auto"/>
            <w:tcBorders>
              <w:bottom w:val="single" w:sz="4" w:space="0" w:color="auto"/>
            </w:tcBorders>
            <w:shd w:val="clear" w:color="auto" w:fill="D9E2F3" w:themeFill="accent1" w:themeFillTint="33"/>
          </w:tcPr>
          <w:p w14:paraId="1D5E9DD5" w14:textId="7F2A5D47" w:rsidR="00070324" w:rsidRPr="00FC4F2B" w:rsidRDefault="00070324" w:rsidP="007E62FF">
            <w:pPr>
              <w:pStyle w:val="TableBody"/>
              <w:jc w:val="right"/>
            </w:pPr>
            <w:r w:rsidRPr="00FC4F2B">
              <w:t>14</w:t>
            </w:r>
            <w:r w:rsidR="001E10E2" w:rsidRPr="00FC4F2B">
              <w:t>.</w:t>
            </w:r>
            <w:r w:rsidRPr="00FC4F2B">
              <w:t>0</w:t>
            </w:r>
          </w:p>
        </w:tc>
        <w:tc>
          <w:tcPr>
            <w:tcW w:w="0" w:type="auto"/>
            <w:tcBorders>
              <w:bottom w:val="single" w:sz="4" w:space="0" w:color="auto"/>
            </w:tcBorders>
            <w:shd w:val="clear" w:color="auto" w:fill="D9E2F3" w:themeFill="accent1" w:themeFillTint="33"/>
          </w:tcPr>
          <w:p w14:paraId="51D9C381" w14:textId="433849CE" w:rsidR="00070324" w:rsidRPr="00FC4F2B" w:rsidRDefault="00070324" w:rsidP="007E62FF">
            <w:pPr>
              <w:pStyle w:val="TableBody"/>
              <w:jc w:val="right"/>
            </w:pPr>
            <w:r w:rsidRPr="00FC4F2B">
              <w:t>11</w:t>
            </w:r>
            <w:r w:rsidR="001E10E2" w:rsidRPr="00FC4F2B">
              <w:t>.</w:t>
            </w:r>
            <w:r w:rsidR="00FC4F2B" w:rsidRPr="00FC4F2B">
              <w:t>9</w:t>
            </w:r>
          </w:p>
        </w:tc>
        <w:tc>
          <w:tcPr>
            <w:tcW w:w="0" w:type="auto"/>
            <w:tcBorders>
              <w:bottom w:val="single" w:sz="4" w:space="0" w:color="auto"/>
            </w:tcBorders>
            <w:shd w:val="clear" w:color="auto" w:fill="D9E2F3" w:themeFill="accent1" w:themeFillTint="33"/>
          </w:tcPr>
          <w:p w14:paraId="2A2DFE83" w14:textId="1CBC3125" w:rsidR="00070324" w:rsidRPr="00FC4F2B" w:rsidRDefault="00070324" w:rsidP="007E62FF">
            <w:pPr>
              <w:pStyle w:val="TableBody"/>
              <w:jc w:val="right"/>
            </w:pPr>
            <w:r w:rsidRPr="00FC4F2B">
              <w:t>12</w:t>
            </w:r>
            <w:r w:rsidR="00FC4F2B" w:rsidRPr="00FC4F2B">
              <w:t>.</w:t>
            </w:r>
            <w:r w:rsidRPr="00FC4F2B">
              <w:t>5</w:t>
            </w:r>
          </w:p>
        </w:tc>
        <w:tc>
          <w:tcPr>
            <w:tcW w:w="0" w:type="auto"/>
            <w:tcBorders>
              <w:bottom w:val="single" w:sz="4" w:space="0" w:color="auto"/>
            </w:tcBorders>
            <w:shd w:val="clear" w:color="auto" w:fill="D9E2F3" w:themeFill="accent1" w:themeFillTint="33"/>
          </w:tcPr>
          <w:p w14:paraId="4189A87A" w14:textId="168EB7F0" w:rsidR="00070324" w:rsidRPr="00FC4F2B" w:rsidRDefault="00070324" w:rsidP="007E62FF">
            <w:pPr>
              <w:pStyle w:val="TableBody"/>
              <w:jc w:val="right"/>
            </w:pPr>
            <w:r w:rsidRPr="00FC4F2B">
              <w:t>437</w:t>
            </w:r>
            <w:r w:rsidR="00FC4F2B" w:rsidRPr="00FC4F2B">
              <w:t>.</w:t>
            </w:r>
            <w:r w:rsidRPr="00FC4F2B">
              <w:t>7</w:t>
            </w:r>
          </w:p>
        </w:tc>
      </w:tr>
    </w:tbl>
    <w:p w14:paraId="05786080" w14:textId="5A80DC1A" w:rsidR="00182F72" w:rsidRDefault="00182F72" w:rsidP="003C4117">
      <w:pPr>
        <w:pStyle w:val="Figuretitle"/>
      </w:pPr>
      <w:r>
        <w:lastRenderedPageBreak/>
        <w:t xml:space="preserve">Table </w:t>
      </w:r>
      <w:r w:rsidR="00033FDC">
        <w:t>6</w:t>
      </w:r>
      <w:r>
        <w:t xml:space="preserve"> Social housing </w:t>
      </w:r>
      <w:r w:rsidR="00AB4F4E">
        <w:t>in comparison to population and households, ACT, 30 June 2016 to 30 June 2019</w:t>
      </w:r>
      <w:r w:rsidR="00F93CC9" w:rsidRPr="0027481D">
        <w:rPr>
          <w:rStyle w:val="FootnoteReference"/>
          <w:b w:val="0"/>
          <w:bCs/>
        </w:rPr>
        <w:footnoteReference w:id="43"/>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312"/>
        <w:gridCol w:w="1313"/>
        <w:gridCol w:w="1313"/>
        <w:gridCol w:w="1314"/>
        <w:gridCol w:w="1413"/>
      </w:tblGrid>
      <w:tr w:rsidR="0084573A" w14:paraId="45421279" w14:textId="2FFA5DAB" w:rsidTr="00825BC4">
        <w:tc>
          <w:tcPr>
            <w:tcW w:w="1838" w:type="dxa"/>
            <w:tcBorders>
              <w:top w:val="single" w:sz="4" w:space="0" w:color="auto"/>
              <w:bottom w:val="single" w:sz="4" w:space="0" w:color="auto"/>
            </w:tcBorders>
          </w:tcPr>
          <w:p w14:paraId="25A880E9" w14:textId="3B752D94" w:rsidR="0084573A" w:rsidRDefault="00C57FDD" w:rsidP="00C57FDD">
            <w:pPr>
              <w:pStyle w:val="Tableheading"/>
            </w:pPr>
            <w:r>
              <w:t>ACT</w:t>
            </w:r>
          </w:p>
        </w:tc>
        <w:tc>
          <w:tcPr>
            <w:tcW w:w="1311" w:type="dxa"/>
            <w:tcBorders>
              <w:top w:val="single" w:sz="4" w:space="0" w:color="auto"/>
              <w:bottom w:val="single" w:sz="4" w:space="0" w:color="auto"/>
            </w:tcBorders>
          </w:tcPr>
          <w:p w14:paraId="4C662B02" w14:textId="0C6B4C12" w:rsidR="0084573A" w:rsidRDefault="0084573A" w:rsidP="001A1648">
            <w:pPr>
              <w:pStyle w:val="Tableheading"/>
              <w:jc w:val="center"/>
            </w:pPr>
            <w:r>
              <w:t>2016</w:t>
            </w:r>
          </w:p>
        </w:tc>
        <w:tc>
          <w:tcPr>
            <w:tcW w:w="1311" w:type="dxa"/>
            <w:tcBorders>
              <w:top w:val="single" w:sz="4" w:space="0" w:color="auto"/>
              <w:bottom w:val="single" w:sz="4" w:space="0" w:color="auto"/>
            </w:tcBorders>
          </w:tcPr>
          <w:p w14:paraId="068CC6B1" w14:textId="129D3ED3" w:rsidR="0084573A" w:rsidRDefault="0084573A" w:rsidP="001A1648">
            <w:pPr>
              <w:pStyle w:val="Tableheading"/>
              <w:jc w:val="center"/>
            </w:pPr>
            <w:r>
              <w:t>2017</w:t>
            </w:r>
          </w:p>
        </w:tc>
        <w:tc>
          <w:tcPr>
            <w:tcW w:w="1311" w:type="dxa"/>
            <w:tcBorders>
              <w:top w:val="single" w:sz="4" w:space="0" w:color="auto"/>
              <w:bottom w:val="single" w:sz="4" w:space="0" w:color="auto"/>
            </w:tcBorders>
          </w:tcPr>
          <w:p w14:paraId="61AF3B68" w14:textId="433D2367" w:rsidR="0084573A" w:rsidRDefault="0084573A" w:rsidP="001A1648">
            <w:pPr>
              <w:pStyle w:val="Tableheading"/>
              <w:jc w:val="center"/>
            </w:pPr>
            <w:r>
              <w:t>2018</w:t>
            </w:r>
          </w:p>
        </w:tc>
        <w:tc>
          <w:tcPr>
            <w:tcW w:w="1312" w:type="dxa"/>
            <w:tcBorders>
              <w:top w:val="single" w:sz="4" w:space="0" w:color="auto"/>
              <w:bottom w:val="single" w:sz="4" w:space="0" w:color="auto"/>
            </w:tcBorders>
          </w:tcPr>
          <w:p w14:paraId="1A86ED16" w14:textId="39F0B3C4" w:rsidR="0084573A" w:rsidRDefault="0084573A" w:rsidP="001A1648">
            <w:pPr>
              <w:pStyle w:val="Tableheading"/>
              <w:jc w:val="center"/>
            </w:pPr>
            <w:r>
              <w:t>2019</w:t>
            </w:r>
          </w:p>
        </w:tc>
        <w:tc>
          <w:tcPr>
            <w:tcW w:w="1411" w:type="dxa"/>
            <w:tcBorders>
              <w:top w:val="single" w:sz="4" w:space="0" w:color="auto"/>
              <w:bottom w:val="single" w:sz="4" w:space="0" w:color="auto"/>
            </w:tcBorders>
          </w:tcPr>
          <w:p w14:paraId="32E8400A" w14:textId="4ECB853D" w:rsidR="0084573A" w:rsidRDefault="0084573A" w:rsidP="001A1648">
            <w:pPr>
              <w:pStyle w:val="Tableheading"/>
              <w:jc w:val="center"/>
            </w:pPr>
            <w:r>
              <w:t xml:space="preserve">% </w:t>
            </w:r>
            <w:r w:rsidR="003C4117">
              <w:t>c</w:t>
            </w:r>
            <w:r>
              <w:t>hange 2016-2019</w:t>
            </w:r>
          </w:p>
        </w:tc>
      </w:tr>
      <w:tr w:rsidR="0084573A" w14:paraId="0304DF9D" w14:textId="01288280" w:rsidTr="00825BC4">
        <w:tc>
          <w:tcPr>
            <w:tcW w:w="1838" w:type="dxa"/>
            <w:tcBorders>
              <w:top w:val="single" w:sz="4" w:space="0" w:color="auto"/>
            </w:tcBorders>
            <w:shd w:val="clear" w:color="auto" w:fill="D9E2F3" w:themeFill="accent1" w:themeFillTint="33"/>
          </w:tcPr>
          <w:p w14:paraId="12CB8F9D" w14:textId="424E094C" w:rsidR="0084573A" w:rsidRDefault="0084573A" w:rsidP="003C4117">
            <w:pPr>
              <w:pStyle w:val="TableBody"/>
            </w:pPr>
            <w:r>
              <w:t>Social housing dwellings</w:t>
            </w:r>
          </w:p>
        </w:tc>
        <w:tc>
          <w:tcPr>
            <w:tcW w:w="1311" w:type="dxa"/>
            <w:tcBorders>
              <w:top w:val="single" w:sz="4" w:space="0" w:color="auto"/>
            </w:tcBorders>
            <w:shd w:val="clear" w:color="auto" w:fill="D9E2F3" w:themeFill="accent1" w:themeFillTint="33"/>
          </w:tcPr>
          <w:p w14:paraId="265143D7" w14:textId="62BE2E36" w:rsidR="0084573A" w:rsidRDefault="0084573A" w:rsidP="003C4117">
            <w:pPr>
              <w:pStyle w:val="TableBody"/>
              <w:jc w:val="right"/>
            </w:pPr>
            <w:r w:rsidRPr="00493C14">
              <w:t>11,632</w:t>
            </w:r>
          </w:p>
        </w:tc>
        <w:tc>
          <w:tcPr>
            <w:tcW w:w="1311" w:type="dxa"/>
            <w:tcBorders>
              <w:top w:val="single" w:sz="4" w:space="0" w:color="auto"/>
            </w:tcBorders>
            <w:shd w:val="clear" w:color="auto" w:fill="D9E2F3" w:themeFill="accent1" w:themeFillTint="33"/>
          </w:tcPr>
          <w:p w14:paraId="16A465BA" w14:textId="1040330D" w:rsidR="0084573A" w:rsidRDefault="0084573A" w:rsidP="003C4117">
            <w:pPr>
              <w:pStyle w:val="TableBody"/>
              <w:jc w:val="right"/>
            </w:pPr>
            <w:r w:rsidRPr="00493C14">
              <w:t>11,960</w:t>
            </w:r>
          </w:p>
        </w:tc>
        <w:tc>
          <w:tcPr>
            <w:tcW w:w="1311" w:type="dxa"/>
            <w:tcBorders>
              <w:top w:val="single" w:sz="4" w:space="0" w:color="auto"/>
            </w:tcBorders>
            <w:shd w:val="clear" w:color="auto" w:fill="D9E2F3" w:themeFill="accent1" w:themeFillTint="33"/>
          </w:tcPr>
          <w:p w14:paraId="3BDF4326" w14:textId="75622E5F" w:rsidR="0084573A" w:rsidRDefault="0084573A" w:rsidP="003C4117">
            <w:pPr>
              <w:pStyle w:val="TableBody"/>
              <w:jc w:val="right"/>
            </w:pPr>
            <w:r w:rsidRPr="00493C14">
              <w:t>12,076</w:t>
            </w:r>
          </w:p>
        </w:tc>
        <w:tc>
          <w:tcPr>
            <w:tcW w:w="1312" w:type="dxa"/>
            <w:tcBorders>
              <w:top w:val="single" w:sz="4" w:space="0" w:color="auto"/>
            </w:tcBorders>
            <w:shd w:val="clear" w:color="auto" w:fill="D9E2F3" w:themeFill="accent1" w:themeFillTint="33"/>
          </w:tcPr>
          <w:p w14:paraId="7F1FD394" w14:textId="05037B7B" w:rsidR="0084573A" w:rsidRDefault="0084573A" w:rsidP="003C4117">
            <w:pPr>
              <w:pStyle w:val="TableBody"/>
              <w:jc w:val="right"/>
            </w:pPr>
            <w:r w:rsidRPr="009010B0">
              <w:t>11,862</w:t>
            </w:r>
          </w:p>
        </w:tc>
        <w:tc>
          <w:tcPr>
            <w:tcW w:w="1411" w:type="dxa"/>
            <w:tcBorders>
              <w:top w:val="single" w:sz="4" w:space="0" w:color="auto"/>
            </w:tcBorders>
            <w:shd w:val="clear" w:color="auto" w:fill="D9E2F3" w:themeFill="accent1" w:themeFillTint="33"/>
          </w:tcPr>
          <w:p w14:paraId="0A232426" w14:textId="75932DCE" w:rsidR="0084573A" w:rsidRPr="009010B0" w:rsidRDefault="00180BBF" w:rsidP="003C4117">
            <w:pPr>
              <w:pStyle w:val="TableBody"/>
              <w:jc w:val="right"/>
            </w:pPr>
            <w:r w:rsidRPr="00180BBF">
              <w:t>2.0</w:t>
            </w:r>
            <w:r w:rsidR="00033FDC">
              <w:t>%</w:t>
            </w:r>
          </w:p>
        </w:tc>
      </w:tr>
      <w:tr w:rsidR="0084573A" w14:paraId="2EE6ABC2" w14:textId="26FD79BC" w:rsidTr="00825BC4">
        <w:tc>
          <w:tcPr>
            <w:tcW w:w="1838" w:type="dxa"/>
          </w:tcPr>
          <w:p w14:paraId="6D032D79" w14:textId="6C47DA38" w:rsidR="0084573A" w:rsidRDefault="0084573A" w:rsidP="003C4117">
            <w:pPr>
              <w:pStyle w:val="TableBody"/>
            </w:pPr>
            <w:r>
              <w:t>Population</w:t>
            </w:r>
          </w:p>
        </w:tc>
        <w:tc>
          <w:tcPr>
            <w:tcW w:w="1311" w:type="dxa"/>
          </w:tcPr>
          <w:p w14:paraId="2DF477F1" w14:textId="706ABCB7" w:rsidR="0084573A" w:rsidRDefault="0084573A" w:rsidP="003C4117">
            <w:pPr>
              <w:pStyle w:val="TableBody"/>
              <w:jc w:val="right"/>
            </w:pPr>
            <w:r w:rsidRPr="0084573A">
              <w:t>396,100</w:t>
            </w:r>
          </w:p>
        </w:tc>
        <w:tc>
          <w:tcPr>
            <w:tcW w:w="1311" w:type="dxa"/>
          </w:tcPr>
          <w:p w14:paraId="16AA2235" w14:textId="305D8B57" w:rsidR="0084573A" w:rsidRDefault="0084573A" w:rsidP="003C4117">
            <w:pPr>
              <w:pStyle w:val="TableBody"/>
              <w:jc w:val="right"/>
            </w:pPr>
            <w:r w:rsidRPr="0084573A">
              <w:t>410,300</w:t>
            </w:r>
          </w:p>
        </w:tc>
        <w:tc>
          <w:tcPr>
            <w:tcW w:w="1311" w:type="dxa"/>
          </w:tcPr>
          <w:p w14:paraId="17EF13F0" w14:textId="5690F44B" w:rsidR="0084573A" w:rsidRDefault="005C02B0" w:rsidP="003C4117">
            <w:pPr>
              <w:pStyle w:val="TableBody"/>
              <w:jc w:val="right"/>
            </w:pPr>
            <w:r w:rsidRPr="005C02B0">
              <w:t>420,900</w:t>
            </w:r>
          </w:p>
        </w:tc>
        <w:tc>
          <w:tcPr>
            <w:tcW w:w="1312" w:type="dxa"/>
          </w:tcPr>
          <w:p w14:paraId="49DC9902" w14:textId="3DCF328E" w:rsidR="0084573A" w:rsidRDefault="005C02B0" w:rsidP="003C4117">
            <w:pPr>
              <w:pStyle w:val="TableBody"/>
              <w:jc w:val="right"/>
            </w:pPr>
            <w:r w:rsidRPr="005C02B0">
              <w:t>426,700</w:t>
            </w:r>
          </w:p>
        </w:tc>
        <w:tc>
          <w:tcPr>
            <w:tcW w:w="1411" w:type="dxa"/>
          </w:tcPr>
          <w:p w14:paraId="6533F8BC" w14:textId="2A512EAD" w:rsidR="0084573A" w:rsidRDefault="00506CE7" w:rsidP="003C4117">
            <w:pPr>
              <w:pStyle w:val="TableBody"/>
              <w:jc w:val="right"/>
            </w:pPr>
            <w:r w:rsidRPr="00506CE7">
              <w:t>7.7</w:t>
            </w:r>
            <w:r w:rsidR="00033FDC">
              <w:t>%</w:t>
            </w:r>
          </w:p>
        </w:tc>
      </w:tr>
      <w:tr w:rsidR="0084573A" w14:paraId="44FBC8D1" w14:textId="24B374CC" w:rsidTr="00825BC4">
        <w:tc>
          <w:tcPr>
            <w:tcW w:w="1838" w:type="dxa"/>
            <w:shd w:val="clear" w:color="auto" w:fill="D9E2F3" w:themeFill="accent1" w:themeFillTint="33"/>
          </w:tcPr>
          <w:p w14:paraId="6257F6A2" w14:textId="78DED1A4" w:rsidR="0084573A" w:rsidRDefault="0084573A" w:rsidP="003C4117">
            <w:pPr>
              <w:pStyle w:val="TableBody"/>
            </w:pPr>
            <w:r>
              <w:t>Dwellings per 1</w:t>
            </w:r>
            <w:r w:rsidR="00F255B3">
              <w:t>,</w:t>
            </w:r>
            <w:r>
              <w:t>000 p</w:t>
            </w:r>
            <w:r w:rsidR="00F255B3">
              <w:t>eople</w:t>
            </w:r>
          </w:p>
        </w:tc>
        <w:tc>
          <w:tcPr>
            <w:tcW w:w="1311" w:type="dxa"/>
            <w:shd w:val="clear" w:color="auto" w:fill="D9E2F3" w:themeFill="accent1" w:themeFillTint="33"/>
          </w:tcPr>
          <w:p w14:paraId="639D97CA" w14:textId="7B2A15F9" w:rsidR="0084573A" w:rsidRDefault="00A72750" w:rsidP="003C4117">
            <w:pPr>
              <w:pStyle w:val="TableBody"/>
              <w:jc w:val="right"/>
            </w:pPr>
            <w:r w:rsidRPr="00A72750">
              <w:t>29.4</w:t>
            </w:r>
          </w:p>
        </w:tc>
        <w:tc>
          <w:tcPr>
            <w:tcW w:w="1311" w:type="dxa"/>
            <w:shd w:val="clear" w:color="auto" w:fill="D9E2F3" w:themeFill="accent1" w:themeFillTint="33"/>
          </w:tcPr>
          <w:p w14:paraId="2FD512A6" w14:textId="640F4317" w:rsidR="0084573A" w:rsidRDefault="00A72750" w:rsidP="003C4117">
            <w:pPr>
              <w:pStyle w:val="TableBody"/>
              <w:jc w:val="right"/>
            </w:pPr>
            <w:r w:rsidRPr="00A72750">
              <w:t>29.1</w:t>
            </w:r>
          </w:p>
        </w:tc>
        <w:tc>
          <w:tcPr>
            <w:tcW w:w="1311" w:type="dxa"/>
            <w:shd w:val="clear" w:color="auto" w:fill="D9E2F3" w:themeFill="accent1" w:themeFillTint="33"/>
          </w:tcPr>
          <w:p w14:paraId="1C394439" w14:textId="4A86A817" w:rsidR="0084573A" w:rsidRDefault="006D6477" w:rsidP="003C4117">
            <w:pPr>
              <w:pStyle w:val="TableBody"/>
              <w:jc w:val="right"/>
            </w:pPr>
            <w:r w:rsidRPr="006D6477">
              <w:t>28.7</w:t>
            </w:r>
          </w:p>
        </w:tc>
        <w:tc>
          <w:tcPr>
            <w:tcW w:w="1312" w:type="dxa"/>
            <w:shd w:val="clear" w:color="auto" w:fill="D9E2F3" w:themeFill="accent1" w:themeFillTint="33"/>
          </w:tcPr>
          <w:p w14:paraId="5BFAF0FC" w14:textId="06B42DD1" w:rsidR="0084573A" w:rsidRDefault="006D6477" w:rsidP="003C4117">
            <w:pPr>
              <w:pStyle w:val="TableBody"/>
              <w:jc w:val="right"/>
            </w:pPr>
            <w:r w:rsidRPr="006D6477">
              <w:t>27.8</w:t>
            </w:r>
          </w:p>
        </w:tc>
        <w:tc>
          <w:tcPr>
            <w:tcW w:w="1411" w:type="dxa"/>
            <w:shd w:val="clear" w:color="auto" w:fill="D9E2F3" w:themeFill="accent1" w:themeFillTint="33"/>
          </w:tcPr>
          <w:p w14:paraId="13947F78" w14:textId="5D985736" w:rsidR="0084573A" w:rsidRDefault="00AC5F45" w:rsidP="003C4117">
            <w:pPr>
              <w:pStyle w:val="TableBody"/>
              <w:jc w:val="right"/>
            </w:pPr>
            <w:r>
              <w:t>-5.4%</w:t>
            </w:r>
          </w:p>
        </w:tc>
      </w:tr>
      <w:tr w:rsidR="0084573A" w14:paraId="43C7BD7E" w14:textId="7C3DF6BC" w:rsidTr="00825BC4">
        <w:tc>
          <w:tcPr>
            <w:tcW w:w="1838" w:type="dxa"/>
          </w:tcPr>
          <w:p w14:paraId="0A53C887" w14:textId="79E716DA" w:rsidR="0084573A" w:rsidRDefault="0084573A" w:rsidP="003C4117">
            <w:pPr>
              <w:pStyle w:val="TableBody"/>
            </w:pPr>
            <w:r>
              <w:t>Households</w:t>
            </w:r>
          </w:p>
        </w:tc>
        <w:tc>
          <w:tcPr>
            <w:tcW w:w="1311" w:type="dxa"/>
          </w:tcPr>
          <w:p w14:paraId="4B40AB46" w14:textId="657EB242" w:rsidR="0084573A" w:rsidRDefault="00E856F2" w:rsidP="003C4117">
            <w:pPr>
              <w:pStyle w:val="TableBody"/>
              <w:jc w:val="right"/>
            </w:pPr>
            <w:r w:rsidRPr="00E856F2">
              <w:t>157,697</w:t>
            </w:r>
          </w:p>
        </w:tc>
        <w:tc>
          <w:tcPr>
            <w:tcW w:w="1311" w:type="dxa"/>
          </w:tcPr>
          <w:p w14:paraId="0AF77A2B" w14:textId="5132ED88" w:rsidR="0084573A" w:rsidRDefault="00DF3415" w:rsidP="003C4117">
            <w:pPr>
              <w:pStyle w:val="TableBody"/>
              <w:jc w:val="right"/>
            </w:pPr>
            <w:r w:rsidRPr="00DF3415">
              <w:t>160,975</w:t>
            </w:r>
          </w:p>
        </w:tc>
        <w:tc>
          <w:tcPr>
            <w:tcW w:w="1311" w:type="dxa"/>
          </w:tcPr>
          <w:p w14:paraId="53168003" w14:textId="2376FB72" w:rsidR="0084573A" w:rsidRDefault="00DF3415" w:rsidP="003C4117">
            <w:pPr>
              <w:pStyle w:val="TableBody"/>
              <w:jc w:val="right"/>
            </w:pPr>
            <w:r w:rsidRPr="00DF3415">
              <w:t>163,953</w:t>
            </w:r>
          </w:p>
        </w:tc>
        <w:tc>
          <w:tcPr>
            <w:tcW w:w="1312" w:type="dxa"/>
          </w:tcPr>
          <w:p w14:paraId="2139DC5E" w14:textId="576362CB" w:rsidR="0084573A" w:rsidRDefault="00DF3415" w:rsidP="003C4117">
            <w:pPr>
              <w:pStyle w:val="TableBody"/>
              <w:jc w:val="right"/>
            </w:pPr>
            <w:r w:rsidRPr="00DF3415">
              <w:t>167,040</w:t>
            </w:r>
          </w:p>
        </w:tc>
        <w:tc>
          <w:tcPr>
            <w:tcW w:w="1411" w:type="dxa"/>
          </w:tcPr>
          <w:p w14:paraId="702F83E7" w14:textId="5895A4A0" w:rsidR="0084573A" w:rsidRDefault="00781146" w:rsidP="003C4117">
            <w:pPr>
              <w:pStyle w:val="TableBody"/>
              <w:jc w:val="right"/>
            </w:pPr>
            <w:r>
              <w:t>5.9</w:t>
            </w:r>
            <w:r w:rsidR="00033FDC">
              <w:t>%</w:t>
            </w:r>
          </w:p>
        </w:tc>
      </w:tr>
      <w:tr w:rsidR="0084573A" w14:paraId="51274DF6" w14:textId="1EDCA805" w:rsidTr="00825BC4">
        <w:tc>
          <w:tcPr>
            <w:tcW w:w="1838" w:type="dxa"/>
            <w:tcBorders>
              <w:bottom w:val="single" w:sz="4" w:space="0" w:color="auto"/>
            </w:tcBorders>
            <w:shd w:val="clear" w:color="auto" w:fill="D9E2F3" w:themeFill="accent1" w:themeFillTint="33"/>
          </w:tcPr>
          <w:p w14:paraId="2D7ABBBB" w14:textId="20A763DF" w:rsidR="0084573A" w:rsidRDefault="0084573A" w:rsidP="003C4117">
            <w:pPr>
              <w:pStyle w:val="TableBody"/>
            </w:pPr>
            <w:r>
              <w:t>Dwellings per 100 households</w:t>
            </w:r>
          </w:p>
        </w:tc>
        <w:tc>
          <w:tcPr>
            <w:tcW w:w="1311" w:type="dxa"/>
            <w:tcBorders>
              <w:bottom w:val="single" w:sz="4" w:space="0" w:color="auto"/>
            </w:tcBorders>
            <w:shd w:val="clear" w:color="auto" w:fill="D9E2F3" w:themeFill="accent1" w:themeFillTint="33"/>
          </w:tcPr>
          <w:p w14:paraId="5880C58E" w14:textId="278B54F1" w:rsidR="0084573A" w:rsidRDefault="00180BBF" w:rsidP="003C4117">
            <w:pPr>
              <w:pStyle w:val="TableBody"/>
              <w:jc w:val="right"/>
            </w:pPr>
            <w:r w:rsidRPr="00180BBF">
              <w:t>7.4</w:t>
            </w:r>
          </w:p>
        </w:tc>
        <w:tc>
          <w:tcPr>
            <w:tcW w:w="1311" w:type="dxa"/>
            <w:tcBorders>
              <w:bottom w:val="single" w:sz="4" w:space="0" w:color="auto"/>
            </w:tcBorders>
            <w:shd w:val="clear" w:color="auto" w:fill="D9E2F3" w:themeFill="accent1" w:themeFillTint="33"/>
          </w:tcPr>
          <w:p w14:paraId="5F27C382" w14:textId="698EFA9A" w:rsidR="0084573A" w:rsidRDefault="00180BBF" w:rsidP="003C4117">
            <w:pPr>
              <w:pStyle w:val="TableBody"/>
              <w:jc w:val="right"/>
            </w:pPr>
            <w:r w:rsidRPr="00180BBF">
              <w:t>7.4</w:t>
            </w:r>
          </w:p>
        </w:tc>
        <w:tc>
          <w:tcPr>
            <w:tcW w:w="1311" w:type="dxa"/>
            <w:tcBorders>
              <w:bottom w:val="single" w:sz="4" w:space="0" w:color="auto"/>
            </w:tcBorders>
            <w:shd w:val="clear" w:color="auto" w:fill="D9E2F3" w:themeFill="accent1" w:themeFillTint="33"/>
          </w:tcPr>
          <w:p w14:paraId="138433C9" w14:textId="5D62EBF0" w:rsidR="0084573A" w:rsidRDefault="00C866F1" w:rsidP="003C4117">
            <w:pPr>
              <w:pStyle w:val="TableBody"/>
              <w:jc w:val="right"/>
            </w:pPr>
            <w:r w:rsidRPr="00C866F1">
              <w:t>7.</w:t>
            </w:r>
            <w:r w:rsidR="00E856F2">
              <w:t>4</w:t>
            </w:r>
          </w:p>
        </w:tc>
        <w:tc>
          <w:tcPr>
            <w:tcW w:w="1312" w:type="dxa"/>
            <w:tcBorders>
              <w:bottom w:val="single" w:sz="4" w:space="0" w:color="auto"/>
            </w:tcBorders>
            <w:shd w:val="clear" w:color="auto" w:fill="D9E2F3" w:themeFill="accent1" w:themeFillTint="33"/>
          </w:tcPr>
          <w:p w14:paraId="51C36C87" w14:textId="780D88C5" w:rsidR="0084573A" w:rsidRDefault="00C866F1" w:rsidP="003C4117">
            <w:pPr>
              <w:pStyle w:val="TableBody"/>
              <w:jc w:val="right"/>
            </w:pPr>
            <w:r w:rsidRPr="00C866F1">
              <w:t>7.1</w:t>
            </w:r>
          </w:p>
        </w:tc>
        <w:tc>
          <w:tcPr>
            <w:tcW w:w="1411" w:type="dxa"/>
            <w:tcBorders>
              <w:bottom w:val="single" w:sz="4" w:space="0" w:color="auto"/>
            </w:tcBorders>
            <w:shd w:val="clear" w:color="auto" w:fill="D9E2F3" w:themeFill="accent1" w:themeFillTint="33"/>
          </w:tcPr>
          <w:p w14:paraId="122692F9" w14:textId="781C83A9" w:rsidR="0084573A" w:rsidRDefault="00AD68B2" w:rsidP="003C4117">
            <w:pPr>
              <w:pStyle w:val="TableBody"/>
              <w:jc w:val="right"/>
            </w:pPr>
            <w:r>
              <w:t>-4.</w:t>
            </w:r>
            <w:r w:rsidR="00331DDB">
              <w:t>0%</w:t>
            </w:r>
          </w:p>
        </w:tc>
      </w:tr>
    </w:tbl>
    <w:p w14:paraId="64415BDE" w14:textId="77777777" w:rsidR="00AB4F4E" w:rsidRDefault="00AB4F4E" w:rsidP="00082381">
      <w:pPr>
        <w:pStyle w:val="BodyText"/>
      </w:pPr>
    </w:p>
    <w:p w14:paraId="28EDFD48" w14:textId="1A29077C" w:rsidR="003C4117" w:rsidRDefault="003C4117" w:rsidP="003C4117">
      <w:pPr>
        <w:pStyle w:val="BodyText"/>
      </w:pPr>
      <w:r w:rsidRPr="002E04F7">
        <w:t>The 2016 Census found that almost 1,600 people in the ACT were experiencing homelessness.</w:t>
      </w:r>
      <w:r>
        <w:rPr>
          <w:rStyle w:val="FootnoteReference"/>
        </w:rPr>
        <w:footnoteReference w:id="44"/>
      </w:r>
      <w:r w:rsidRPr="002E04F7">
        <w:t xml:space="preserve">  As at 3 August 2020, there were 2,488 applications on the Housing ACT waiting list for public housing, with an average waiting time for standard housing of 1,268 days, or almost 3.5 years</w:t>
      </w:r>
      <w:r>
        <w:t xml:space="preserve"> (see Table </w:t>
      </w:r>
      <w:r w:rsidR="00033FDC">
        <w:t>7</w:t>
      </w:r>
      <w:r>
        <w:t>)</w:t>
      </w:r>
      <w:r w:rsidRPr="002E04F7">
        <w:t xml:space="preserve">. </w:t>
      </w:r>
      <w:r w:rsidRPr="00225685">
        <w:t>It has been estimated that there is currently a social housing shortfall of 3,100 dwellings in the ACT, with 8,500 additional social housing dwellings needed by 2036 to meet the ACT’s current unmet and projected need.</w:t>
      </w:r>
      <w:r w:rsidRPr="00225685">
        <w:rPr>
          <w:vertAlign w:val="superscript"/>
        </w:rPr>
        <w:footnoteReference w:id="45"/>
      </w:r>
      <w:r>
        <w:t xml:space="preserve"> </w:t>
      </w:r>
    </w:p>
    <w:p w14:paraId="2AF0C66D" w14:textId="77777777" w:rsidR="00F10A85" w:rsidRDefault="00F10A85" w:rsidP="00F10A85">
      <w:pPr>
        <w:pStyle w:val="Figuretitle"/>
      </w:pPr>
      <w:r>
        <w:t>Table 7 Housing ACT social housing waiting list and times, 3 August 2020</w:t>
      </w:r>
      <w:r w:rsidRPr="00D855A8">
        <w:rPr>
          <w:rStyle w:val="FootnoteReference"/>
          <w:b w:val="0"/>
          <w:bCs/>
        </w:rPr>
        <w:footnoteReference w:id="46"/>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4"/>
        <w:gridCol w:w="2835"/>
      </w:tblGrid>
      <w:tr w:rsidR="00F10A85" w14:paraId="6A99BAD7" w14:textId="77777777" w:rsidTr="00F255B3">
        <w:tc>
          <w:tcPr>
            <w:tcW w:w="2831" w:type="dxa"/>
            <w:tcBorders>
              <w:top w:val="single" w:sz="4" w:space="0" w:color="auto"/>
              <w:bottom w:val="single" w:sz="4" w:space="0" w:color="auto"/>
            </w:tcBorders>
          </w:tcPr>
          <w:p w14:paraId="71F9102C" w14:textId="77777777" w:rsidR="00F10A85" w:rsidRDefault="00F10A85" w:rsidP="004D311C">
            <w:pPr>
              <w:pStyle w:val="Tableheading"/>
            </w:pPr>
            <w:r w:rsidRPr="00DE4C3A">
              <w:t>Application Category</w:t>
            </w:r>
          </w:p>
        </w:tc>
        <w:tc>
          <w:tcPr>
            <w:tcW w:w="2831" w:type="dxa"/>
            <w:tcBorders>
              <w:top w:val="single" w:sz="4" w:space="0" w:color="auto"/>
              <w:bottom w:val="single" w:sz="4" w:space="0" w:color="auto"/>
            </w:tcBorders>
          </w:tcPr>
          <w:p w14:paraId="7AEE5A3F" w14:textId="77777777" w:rsidR="00F10A85" w:rsidRDefault="00F10A85" w:rsidP="00CA5779">
            <w:pPr>
              <w:pStyle w:val="Tableheading"/>
              <w:jc w:val="center"/>
            </w:pPr>
            <w:r w:rsidRPr="00DE4C3A">
              <w:t>Number of Applications</w:t>
            </w:r>
          </w:p>
        </w:tc>
        <w:tc>
          <w:tcPr>
            <w:tcW w:w="2832" w:type="dxa"/>
            <w:tcBorders>
              <w:top w:val="single" w:sz="4" w:space="0" w:color="auto"/>
              <w:bottom w:val="single" w:sz="4" w:space="0" w:color="auto"/>
            </w:tcBorders>
          </w:tcPr>
          <w:p w14:paraId="2509233E" w14:textId="77777777" w:rsidR="00F10A85" w:rsidRDefault="00F10A85" w:rsidP="00CA5779">
            <w:pPr>
              <w:pStyle w:val="Tableheading"/>
              <w:jc w:val="center"/>
            </w:pPr>
            <w:r w:rsidRPr="006A5FA2">
              <w:t>Average Waiting Time (days)</w:t>
            </w:r>
          </w:p>
        </w:tc>
      </w:tr>
      <w:tr w:rsidR="00F10A85" w14:paraId="24A5B27B" w14:textId="77777777" w:rsidTr="00F255B3">
        <w:tc>
          <w:tcPr>
            <w:tcW w:w="2831" w:type="dxa"/>
            <w:tcBorders>
              <w:top w:val="single" w:sz="4" w:space="0" w:color="auto"/>
            </w:tcBorders>
            <w:shd w:val="clear" w:color="auto" w:fill="D9E2F3" w:themeFill="accent1" w:themeFillTint="33"/>
          </w:tcPr>
          <w:p w14:paraId="26A1C896" w14:textId="77777777" w:rsidR="00F10A85" w:rsidRDefault="00F10A85" w:rsidP="004D311C">
            <w:pPr>
              <w:pStyle w:val="TableBody"/>
            </w:pPr>
            <w:r w:rsidRPr="006A5FA2">
              <w:t>Priority Housing</w:t>
            </w:r>
          </w:p>
        </w:tc>
        <w:tc>
          <w:tcPr>
            <w:tcW w:w="2831" w:type="dxa"/>
            <w:tcBorders>
              <w:top w:val="single" w:sz="4" w:space="0" w:color="auto"/>
            </w:tcBorders>
            <w:shd w:val="clear" w:color="auto" w:fill="D9E2F3" w:themeFill="accent1" w:themeFillTint="33"/>
          </w:tcPr>
          <w:p w14:paraId="2798ED59" w14:textId="77777777" w:rsidR="00F10A85" w:rsidRDefault="00F10A85" w:rsidP="004D311C">
            <w:pPr>
              <w:pStyle w:val="TableBody"/>
              <w:jc w:val="right"/>
            </w:pPr>
            <w:r w:rsidRPr="00612F94">
              <w:t>142</w:t>
            </w:r>
          </w:p>
        </w:tc>
        <w:tc>
          <w:tcPr>
            <w:tcW w:w="2832" w:type="dxa"/>
            <w:tcBorders>
              <w:top w:val="single" w:sz="4" w:space="0" w:color="auto"/>
            </w:tcBorders>
            <w:shd w:val="clear" w:color="auto" w:fill="D9E2F3" w:themeFill="accent1" w:themeFillTint="33"/>
          </w:tcPr>
          <w:p w14:paraId="30D6346B" w14:textId="77777777" w:rsidR="00F10A85" w:rsidRDefault="00F10A85" w:rsidP="004D311C">
            <w:pPr>
              <w:pStyle w:val="TableBody"/>
              <w:jc w:val="right"/>
            </w:pPr>
            <w:r w:rsidRPr="00D35213">
              <w:t>195</w:t>
            </w:r>
          </w:p>
        </w:tc>
      </w:tr>
      <w:tr w:rsidR="00F10A85" w14:paraId="02BB9DA9" w14:textId="77777777" w:rsidTr="00F255B3">
        <w:tc>
          <w:tcPr>
            <w:tcW w:w="2831" w:type="dxa"/>
          </w:tcPr>
          <w:p w14:paraId="03BCE8B6" w14:textId="77777777" w:rsidR="00F10A85" w:rsidRDefault="00F10A85" w:rsidP="004D311C">
            <w:pPr>
              <w:pStyle w:val="TableBody"/>
            </w:pPr>
            <w:r w:rsidRPr="006A5FA2">
              <w:t>High Needs Housing</w:t>
            </w:r>
          </w:p>
        </w:tc>
        <w:tc>
          <w:tcPr>
            <w:tcW w:w="2831" w:type="dxa"/>
          </w:tcPr>
          <w:p w14:paraId="0138414C" w14:textId="77777777" w:rsidR="00F10A85" w:rsidRDefault="00F10A85" w:rsidP="004D311C">
            <w:pPr>
              <w:pStyle w:val="TableBody"/>
              <w:jc w:val="right"/>
            </w:pPr>
            <w:r w:rsidRPr="00612F94">
              <w:t>1,466</w:t>
            </w:r>
          </w:p>
        </w:tc>
        <w:tc>
          <w:tcPr>
            <w:tcW w:w="2832" w:type="dxa"/>
          </w:tcPr>
          <w:p w14:paraId="662DB668" w14:textId="77777777" w:rsidR="00F10A85" w:rsidRDefault="00F10A85" w:rsidP="004D311C">
            <w:pPr>
              <w:pStyle w:val="TableBody"/>
              <w:jc w:val="right"/>
            </w:pPr>
            <w:r w:rsidRPr="00D35213">
              <w:t>802</w:t>
            </w:r>
          </w:p>
        </w:tc>
      </w:tr>
      <w:tr w:rsidR="00F10A85" w14:paraId="435336AA" w14:textId="77777777" w:rsidTr="00F255B3">
        <w:tc>
          <w:tcPr>
            <w:tcW w:w="2831" w:type="dxa"/>
            <w:shd w:val="clear" w:color="auto" w:fill="D9E2F3" w:themeFill="accent1" w:themeFillTint="33"/>
          </w:tcPr>
          <w:p w14:paraId="729C0E38" w14:textId="77777777" w:rsidR="00F10A85" w:rsidRDefault="00F10A85" w:rsidP="004D311C">
            <w:pPr>
              <w:pStyle w:val="TableBody"/>
            </w:pPr>
            <w:r w:rsidRPr="00612F94">
              <w:t>Standard Housing</w:t>
            </w:r>
          </w:p>
        </w:tc>
        <w:tc>
          <w:tcPr>
            <w:tcW w:w="2831" w:type="dxa"/>
            <w:shd w:val="clear" w:color="auto" w:fill="D9E2F3" w:themeFill="accent1" w:themeFillTint="33"/>
          </w:tcPr>
          <w:p w14:paraId="67DA7287" w14:textId="77777777" w:rsidR="00F10A85" w:rsidRDefault="00F10A85" w:rsidP="004D311C">
            <w:pPr>
              <w:pStyle w:val="TableBody"/>
              <w:jc w:val="right"/>
            </w:pPr>
            <w:r w:rsidRPr="00D35213">
              <w:t>880</w:t>
            </w:r>
          </w:p>
        </w:tc>
        <w:tc>
          <w:tcPr>
            <w:tcW w:w="2832" w:type="dxa"/>
            <w:shd w:val="clear" w:color="auto" w:fill="D9E2F3" w:themeFill="accent1" w:themeFillTint="33"/>
          </w:tcPr>
          <w:p w14:paraId="4268A372" w14:textId="77777777" w:rsidR="00F10A85" w:rsidRDefault="00F10A85" w:rsidP="004D311C">
            <w:pPr>
              <w:pStyle w:val="TableBody"/>
              <w:jc w:val="right"/>
            </w:pPr>
            <w:r w:rsidRPr="0093123C">
              <w:t>1,268</w:t>
            </w:r>
          </w:p>
        </w:tc>
      </w:tr>
      <w:tr w:rsidR="00F10A85" w14:paraId="37D2EE93" w14:textId="77777777" w:rsidTr="00F255B3">
        <w:tc>
          <w:tcPr>
            <w:tcW w:w="2831" w:type="dxa"/>
            <w:tcBorders>
              <w:bottom w:val="single" w:sz="4" w:space="0" w:color="auto"/>
            </w:tcBorders>
          </w:tcPr>
          <w:p w14:paraId="6A64E0F6" w14:textId="77777777" w:rsidR="00F10A85" w:rsidRPr="00612F94" w:rsidRDefault="00F10A85" w:rsidP="004D311C">
            <w:pPr>
              <w:pStyle w:val="TableBody"/>
            </w:pPr>
            <w:r>
              <w:t>Total applications</w:t>
            </w:r>
          </w:p>
        </w:tc>
        <w:tc>
          <w:tcPr>
            <w:tcW w:w="2831" w:type="dxa"/>
            <w:tcBorders>
              <w:bottom w:val="single" w:sz="4" w:space="0" w:color="auto"/>
            </w:tcBorders>
          </w:tcPr>
          <w:p w14:paraId="3B1728F7" w14:textId="77777777" w:rsidR="00F10A85" w:rsidRPr="00D35213" w:rsidRDefault="00F10A85" w:rsidP="004D311C">
            <w:pPr>
              <w:pStyle w:val="TableBody"/>
              <w:jc w:val="right"/>
            </w:pPr>
            <w:r w:rsidRPr="00FC5B4A">
              <w:t>2,488</w:t>
            </w:r>
          </w:p>
        </w:tc>
        <w:tc>
          <w:tcPr>
            <w:tcW w:w="2832" w:type="dxa"/>
            <w:tcBorders>
              <w:bottom w:val="single" w:sz="4" w:space="0" w:color="auto"/>
            </w:tcBorders>
          </w:tcPr>
          <w:p w14:paraId="028B5F48" w14:textId="31947BBA" w:rsidR="00F10A85" w:rsidRPr="0093123C" w:rsidRDefault="00D546DB" w:rsidP="004D311C">
            <w:pPr>
              <w:pStyle w:val="TableBody"/>
              <w:jc w:val="right"/>
            </w:pPr>
            <w:r>
              <w:t>n/a</w:t>
            </w:r>
          </w:p>
        </w:tc>
      </w:tr>
    </w:tbl>
    <w:p w14:paraId="68A63CF3" w14:textId="05D1CB85" w:rsidR="00007043" w:rsidRDefault="00D312BA" w:rsidP="00082381">
      <w:pPr>
        <w:pStyle w:val="BodyText"/>
      </w:pPr>
      <w:r>
        <w:lastRenderedPageBreak/>
        <w:t>More public and community housing is the most cost-effective solution to chronic homelessness. The affordable rents, security of tenure, and other supports available to financially vulnerable people in social housing reduces their risk of homelessness by more than half.</w:t>
      </w:r>
      <w:r w:rsidR="00C9225A">
        <w:rPr>
          <w:rStyle w:val="FootnoteReference"/>
        </w:rPr>
        <w:footnoteReference w:id="47"/>
      </w:r>
      <w:r w:rsidR="00F61073">
        <w:t xml:space="preserve"> </w:t>
      </w:r>
      <w:r w:rsidR="00F61073" w:rsidRPr="00F61073">
        <w:t>Direct public investment in social housing is also a cost effective way to boost growth in jobs and incomes. For every dollar invested, it is estimated to boost GDP by $1.30.</w:t>
      </w:r>
      <w:r w:rsidR="00F61073">
        <w:rPr>
          <w:rStyle w:val="FootnoteReference"/>
        </w:rPr>
        <w:footnoteReference w:id="48"/>
      </w:r>
    </w:p>
    <w:p w14:paraId="683F3083" w14:textId="77777777" w:rsidR="00844D06" w:rsidRDefault="004212E7" w:rsidP="004212E7">
      <w:pPr>
        <w:pStyle w:val="Quote"/>
        <w:rPr>
          <w:rStyle w:val="QuoteChar"/>
          <w:i/>
          <w:iCs/>
        </w:rPr>
      </w:pPr>
      <w:r>
        <w:rPr>
          <w:rStyle w:val="QuoteChar"/>
          <w:i/>
          <w:iCs/>
        </w:rPr>
        <w:t>“</w:t>
      </w:r>
      <w:r w:rsidR="007E3D48" w:rsidRPr="004212E7">
        <w:rPr>
          <w:rStyle w:val="QuoteChar"/>
          <w:i/>
          <w:iCs/>
        </w:rPr>
        <w:t xml:space="preserve">When I went onto Newstart, which was a while ago, I graduated, then I couldn’t get a job for quite a long time. One of the things I realised – my rent at that stage was $125. Even with that relatively low rent, it became obvious that on normal Newstart the ends </w:t>
      </w:r>
      <w:proofErr w:type="gramStart"/>
      <w:r w:rsidR="007E3D48" w:rsidRPr="004212E7">
        <w:rPr>
          <w:rStyle w:val="QuoteChar"/>
          <w:i/>
          <w:iCs/>
        </w:rPr>
        <w:t>weren’t</w:t>
      </w:r>
      <w:proofErr w:type="gramEnd"/>
      <w:r w:rsidR="007E3D48" w:rsidRPr="004212E7">
        <w:rPr>
          <w:rStyle w:val="QuoteChar"/>
          <w:i/>
          <w:iCs/>
        </w:rPr>
        <w:t xml:space="preserve"> going to meet together… On normal Newstart, even with rent assistance, and with what should be some good spending habits, to feed oneself can be hard</w:t>
      </w:r>
      <w:r>
        <w:rPr>
          <w:rStyle w:val="QuoteChar"/>
          <w:i/>
          <w:iCs/>
        </w:rPr>
        <w:t>.”</w:t>
      </w:r>
    </w:p>
    <w:p w14:paraId="73916BB4" w14:textId="6091442F" w:rsidR="007E3D48" w:rsidRPr="00D96D40" w:rsidRDefault="007E3D48" w:rsidP="00D96D40">
      <w:pPr>
        <w:pStyle w:val="Quote-source"/>
      </w:pPr>
      <w:r w:rsidRPr="00D96D40">
        <w:t xml:space="preserve"> </w:t>
      </w:r>
      <w:r w:rsidR="00D96D40" w:rsidRPr="00D96D40">
        <w:t xml:space="preserve">– </w:t>
      </w:r>
      <w:r w:rsidR="00844D06" w:rsidRPr="00D96D40">
        <w:t xml:space="preserve"> </w:t>
      </w:r>
      <w:r w:rsidRPr="00D96D40">
        <w:t>Male, single, aged 40, on Newstart</w:t>
      </w:r>
      <w:r w:rsidRPr="00D96D40">
        <w:rPr>
          <w:rStyle w:val="FootnoteReference"/>
        </w:rPr>
        <w:footnoteReference w:id="49"/>
      </w:r>
    </w:p>
    <w:p w14:paraId="674D03C7" w14:textId="77777777" w:rsidR="004212E7" w:rsidRPr="004212E7" w:rsidRDefault="004212E7" w:rsidP="004212E7">
      <w:pPr>
        <w:pStyle w:val="BodyText"/>
        <w:rPr>
          <w:rStyle w:val="QuoteChar"/>
          <w:i w:val="0"/>
          <w:iCs w:val="0"/>
          <w:color w:val="auto"/>
        </w:rPr>
      </w:pPr>
    </w:p>
    <w:p w14:paraId="571EF000" w14:textId="77777777" w:rsidR="00BB744C" w:rsidRPr="00BB744C" w:rsidRDefault="00BB744C" w:rsidP="004212E7">
      <w:pPr>
        <w:pStyle w:val="Quote"/>
      </w:pPr>
      <w:r w:rsidRPr="00BB744C">
        <w:t>“</w:t>
      </w:r>
      <w:r w:rsidR="00F344AE" w:rsidRPr="00BB744C">
        <w:t xml:space="preserve">Although the ACT government has implemented </w:t>
      </w:r>
      <w:proofErr w:type="gramStart"/>
      <w:r w:rsidR="00F344AE" w:rsidRPr="00BB744C">
        <w:t>a number of</w:t>
      </w:r>
      <w:proofErr w:type="gramEnd"/>
      <w:r w:rsidR="00F344AE" w:rsidRPr="00BB744C">
        <w:t xml:space="preserve"> initiatives to address homelessness, long term solutions are urgently needed to address this housing crisis. A substantial investment needs to be made into increasing the number of social and public housing properties to meet the long waiting list and the increased demand that the economic impact of COVID-19 will have on many ACT households. Private rental is not an option for individuals and families on low incomes, and without housing options people will be left with choices such as rough sleeping, couch surfing or camping out. These options are not acceptable for any one and will only further disadvantage those who are already vulnerable</w:t>
      </w:r>
      <w:r w:rsidRPr="00BB744C">
        <w:t>.”</w:t>
      </w:r>
      <w:r w:rsidR="00F344AE" w:rsidRPr="00BB744C">
        <w:t xml:space="preserve"> </w:t>
      </w:r>
    </w:p>
    <w:p w14:paraId="381B0B5F" w14:textId="0DA3C03C" w:rsidR="00F344AE" w:rsidRPr="00BB744C" w:rsidRDefault="00BB744C" w:rsidP="00BB744C">
      <w:pPr>
        <w:pStyle w:val="Quote-source"/>
      </w:pPr>
      <w:r>
        <w:t xml:space="preserve"> </w:t>
      </w:r>
      <w:r w:rsidRPr="00D96D40">
        <w:t xml:space="preserve">–  </w:t>
      </w:r>
      <w:r w:rsidR="00F344AE" w:rsidRPr="00BB744C">
        <w:t>Nicole Wiggins, Early Morning Centre, 2020</w:t>
      </w:r>
    </w:p>
    <w:p w14:paraId="4245E6BE" w14:textId="1C83DEF4" w:rsidR="00CE22E9" w:rsidRDefault="00CE22E9" w:rsidP="008138AF">
      <w:pPr>
        <w:pStyle w:val="Heading3"/>
        <w:spacing w:before="360"/>
      </w:pPr>
      <w:bookmarkStart w:id="12" w:name="_Toc51050143"/>
      <w:r>
        <w:t>Low-income homeowners</w:t>
      </w:r>
      <w:bookmarkEnd w:id="12"/>
    </w:p>
    <w:p w14:paraId="1F48C6E4" w14:textId="5B820028" w:rsidR="00CE22E9" w:rsidRDefault="003D5B03" w:rsidP="00E7508A">
      <w:pPr>
        <w:pStyle w:val="BodyText"/>
      </w:pPr>
      <w:r>
        <w:t>Based on 2017-18 data</w:t>
      </w:r>
      <w:r w:rsidR="00AE5F43">
        <w:t xml:space="preserve">, </w:t>
      </w:r>
      <w:r w:rsidR="00E7508A">
        <w:t xml:space="preserve">64% of ACT households owned their own home – 40% owned with a mortgage </w:t>
      </w:r>
      <w:r w:rsidR="00941C07">
        <w:t xml:space="preserve">and </w:t>
      </w:r>
      <w:r w:rsidR="00E7508A">
        <w:t xml:space="preserve">25% owned without a mortgage </w:t>
      </w:r>
      <w:r w:rsidR="00941C07">
        <w:t xml:space="preserve">– and </w:t>
      </w:r>
      <w:r w:rsidR="00E7508A">
        <w:t>34% were renting</w:t>
      </w:r>
      <w:r w:rsidR="00941C07">
        <w:t>.</w:t>
      </w:r>
      <w:r w:rsidR="002D3041">
        <w:rPr>
          <w:rStyle w:val="FootnoteReference"/>
        </w:rPr>
        <w:footnoteReference w:id="50"/>
      </w:r>
      <w:r w:rsidR="00941C07">
        <w:t xml:space="preserve"> Among low-income households</w:t>
      </w:r>
      <w:r w:rsidR="00D73451">
        <w:t xml:space="preserve"> in the ACT</w:t>
      </w:r>
      <w:r w:rsidR="00E60B6C">
        <w:t>,</w:t>
      </w:r>
      <w:r w:rsidR="00360712">
        <w:t xml:space="preserve"> the rate of home </w:t>
      </w:r>
      <w:r w:rsidR="00360712">
        <w:lastRenderedPageBreak/>
        <w:t>ownership is lower</w:t>
      </w:r>
      <w:r w:rsidR="00026C95">
        <w:t xml:space="preserve"> </w:t>
      </w:r>
      <w:r w:rsidR="001F3AC2">
        <w:t xml:space="preserve">but still significant, </w:t>
      </w:r>
      <w:r w:rsidR="00026C95">
        <w:t xml:space="preserve">with </w:t>
      </w:r>
      <w:r w:rsidR="00CE4793">
        <w:t xml:space="preserve">almost a quarter </w:t>
      </w:r>
      <w:r>
        <w:t>ow</w:t>
      </w:r>
      <w:r w:rsidR="000901F5">
        <w:t>n</w:t>
      </w:r>
      <w:r w:rsidR="00026C95">
        <w:t xml:space="preserve">ing </w:t>
      </w:r>
      <w:r w:rsidR="000901F5">
        <w:t xml:space="preserve">their own home with a mortgage and around a fifth </w:t>
      </w:r>
      <w:r w:rsidR="00026C95">
        <w:t>being</w:t>
      </w:r>
      <w:r w:rsidR="00606F5C">
        <w:t xml:space="preserve"> homeowners with a </w:t>
      </w:r>
      <w:r w:rsidR="003C67FA">
        <w:t>mortgage</w:t>
      </w:r>
      <w:r w:rsidR="008D54CF">
        <w:t>.</w:t>
      </w:r>
      <w:r w:rsidR="00325BAC">
        <w:rPr>
          <w:rStyle w:val="FootnoteReference"/>
        </w:rPr>
        <w:footnoteReference w:id="51"/>
      </w:r>
      <w:r w:rsidR="008D54CF">
        <w:t xml:space="preserve"> Over half of low-income households </w:t>
      </w:r>
      <w:r w:rsidR="002D3041">
        <w:t>in the ACT were rent</w:t>
      </w:r>
      <w:r w:rsidR="00026C95">
        <w:t>ing</w:t>
      </w:r>
      <w:r w:rsidR="002D3041">
        <w:t>.</w:t>
      </w:r>
      <w:r w:rsidR="005414E9">
        <w:t xml:space="preserve"> On average, </w:t>
      </w:r>
      <w:r w:rsidR="008C5EF8">
        <w:t xml:space="preserve">housing costs for </w:t>
      </w:r>
      <w:r w:rsidR="005414E9">
        <w:t>l</w:t>
      </w:r>
      <w:r w:rsidR="00CB2A57">
        <w:t xml:space="preserve">ow-income owner-occupier households with a mortgage </w:t>
      </w:r>
      <w:r w:rsidR="008C5EF8">
        <w:t>account for just over 30% of their gross household income, suggesting they are at greater risk of housing stress.</w:t>
      </w:r>
      <w:r w:rsidR="008C5EF8">
        <w:rPr>
          <w:rStyle w:val="FootnoteReference"/>
        </w:rPr>
        <w:footnoteReference w:id="52"/>
      </w:r>
      <w:r w:rsidR="00CB2A57">
        <w:t xml:space="preserve"> </w:t>
      </w:r>
    </w:p>
    <w:p w14:paraId="0B10930E" w14:textId="0496B438" w:rsidR="00E32EF6" w:rsidRDefault="00E32EF6" w:rsidP="00E7508A">
      <w:pPr>
        <w:pStyle w:val="BodyText"/>
      </w:pPr>
      <w:r>
        <w:t>Our analysis of CPI changes over the past five years found that</w:t>
      </w:r>
      <w:r w:rsidR="00646E40">
        <w:t xml:space="preserve"> the</w:t>
      </w:r>
      <w:r>
        <w:t xml:space="preserve"> </w:t>
      </w:r>
      <w:r w:rsidR="00646E40">
        <w:t xml:space="preserve">Canberra CPI for property rates and </w:t>
      </w:r>
      <w:r w:rsidR="00A80701">
        <w:t>charges has increased</w:t>
      </w:r>
      <w:r w:rsidR="00646E40">
        <w:t xml:space="preserve"> by </w:t>
      </w:r>
      <w:r w:rsidR="005148F8">
        <w:t>51.7% compared to 17</w:t>
      </w:r>
      <w:r w:rsidR="00C65C92">
        <w:t>.0</w:t>
      </w:r>
      <w:r w:rsidR="005148F8">
        <w:t xml:space="preserve">% nationally. </w:t>
      </w:r>
      <w:r w:rsidR="00896C22">
        <w:t>This increase reflects the</w:t>
      </w:r>
      <w:r w:rsidR="00C65C92">
        <w:t xml:space="preserve"> impact of the</w:t>
      </w:r>
      <w:r w:rsidR="00896C22">
        <w:t xml:space="preserve"> ACT Government’s </w:t>
      </w:r>
      <w:r w:rsidR="00B96B85">
        <w:t xml:space="preserve">tax reform program </w:t>
      </w:r>
      <w:r w:rsidR="002B16CB">
        <w:t xml:space="preserve">which </w:t>
      </w:r>
      <w:r w:rsidR="00B96B85">
        <w:t>commenced in 2012</w:t>
      </w:r>
      <w:r w:rsidR="002B16CB">
        <w:t>. The aim of this tax reform is</w:t>
      </w:r>
      <w:r w:rsidR="00146F5E">
        <w:t>:</w:t>
      </w:r>
    </w:p>
    <w:p w14:paraId="6AC8B33F" w14:textId="79088F5B" w:rsidR="00106194" w:rsidRDefault="00106194" w:rsidP="00106194">
      <w:pPr>
        <w:pStyle w:val="BlockText"/>
      </w:pPr>
      <w:r w:rsidRPr="00106194">
        <w:t xml:space="preserve">to create a more reliable revenue source through general rates to fund our essential services such as hospitals, schools, </w:t>
      </w:r>
      <w:proofErr w:type="gramStart"/>
      <w:r w:rsidRPr="00106194">
        <w:t>transport</w:t>
      </w:r>
      <w:proofErr w:type="gramEnd"/>
      <w:r w:rsidRPr="00106194">
        <w:t xml:space="preserve"> and city maintenance. Inefficient and unfair taxes such as stamp duty and insurance duty will continue to be reduced.</w:t>
      </w:r>
      <w:r>
        <w:rPr>
          <w:rStyle w:val="FootnoteReference"/>
        </w:rPr>
        <w:footnoteReference w:id="53"/>
      </w:r>
    </w:p>
    <w:p w14:paraId="723CE79E" w14:textId="77777777" w:rsidR="00AC316F" w:rsidRDefault="00934E98" w:rsidP="00E902D0">
      <w:pPr>
        <w:pStyle w:val="BodyText"/>
      </w:pPr>
      <w:r>
        <w:t xml:space="preserve">In the simplest terms, revenue </w:t>
      </w:r>
      <w:r w:rsidR="005D3B69">
        <w:t>previously raised through stamp duty</w:t>
      </w:r>
      <w:r w:rsidR="00FD7974">
        <w:t xml:space="preserve"> </w:t>
      </w:r>
      <w:r w:rsidR="008E7F09">
        <w:t>paid by the purchaser of a property</w:t>
      </w:r>
      <w:r w:rsidR="005D3B69">
        <w:t xml:space="preserve"> will, over time, be </w:t>
      </w:r>
      <w:r w:rsidR="00926398">
        <w:t xml:space="preserve">replaced by </w:t>
      </w:r>
      <w:r w:rsidR="00864861">
        <w:t>increasing revenue from</w:t>
      </w:r>
      <w:r w:rsidR="005D3B69">
        <w:t xml:space="preserve"> general rates</w:t>
      </w:r>
      <w:r w:rsidR="008E7F09">
        <w:t xml:space="preserve"> paid by </w:t>
      </w:r>
      <w:r w:rsidR="00926398">
        <w:t>homeowners</w:t>
      </w:r>
      <w:r w:rsidR="005D3B69">
        <w:t xml:space="preserve">. </w:t>
      </w:r>
    </w:p>
    <w:p w14:paraId="64B623E5" w14:textId="6854D5C3" w:rsidR="00BE3520" w:rsidRDefault="00C67ECA" w:rsidP="00E902D0">
      <w:pPr>
        <w:pStyle w:val="BodyText"/>
      </w:pPr>
      <w:r>
        <w:t xml:space="preserve">The ACT Government recently commissioned an </w:t>
      </w:r>
      <w:r w:rsidR="00BC6276">
        <w:t xml:space="preserve">analysis of the distributional </w:t>
      </w:r>
      <w:r w:rsidR="000B7CB3">
        <w:t xml:space="preserve">impacts, </w:t>
      </w:r>
      <w:r w:rsidR="00864861">
        <w:t>progressivity,</w:t>
      </w:r>
      <w:r w:rsidR="000B7CB3">
        <w:t xml:space="preserve"> and equity of the tax reform program</w:t>
      </w:r>
      <w:r>
        <w:t>.</w:t>
      </w:r>
      <w:r w:rsidR="00B95A18">
        <w:rPr>
          <w:rStyle w:val="FootnoteReference"/>
        </w:rPr>
        <w:footnoteReference w:id="54"/>
      </w:r>
      <w:r>
        <w:t xml:space="preserve"> This </w:t>
      </w:r>
      <w:r w:rsidR="00EA6033">
        <w:t>analysis concluded that it</w:t>
      </w:r>
      <w:r w:rsidR="00517F94">
        <w:t xml:space="preserve"> ‘</w:t>
      </w:r>
      <w:r w:rsidR="00773D46" w:rsidRPr="00773D46">
        <w:t>can be seen that the rates are progressive – as incomes increase, the proportion of the total rates paid by each income quintile increases</w:t>
      </w:r>
      <w:r w:rsidR="00070F20">
        <w:t>’</w:t>
      </w:r>
      <w:r w:rsidR="00AF76C2">
        <w:t xml:space="preserve"> </w:t>
      </w:r>
      <w:r w:rsidR="003402BB">
        <w:t xml:space="preserve">– i.e., </w:t>
      </w:r>
      <w:r w:rsidR="00CD2723">
        <w:t xml:space="preserve">lower income households </w:t>
      </w:r>
      <w:r w:rsidR="00C86817">
        <w:t>are now paying</w:t>
      </w:r>
      <w:r w:rsidR="00CD2723">
        <w:t xml:space="preserve"> a </w:t>
      </w:r>
      <w:r w:rsidR="00CD08D3">
        <w:t xml:space="preserve">lower proportion of </w:t>
      </w:r>
      <w:r w:rsidR="004166F1">
        <w:t xml:space="preserve">the </w:t>
      </w:r>
      <w:r w:rsidR="00CD08D3">
        <w:t>total stamp duty and general rates revenue</w:t>
      </w:r>
      <w:r w:rsidR="00844C1D">
        <w:t xml:space="preserve"> </w:t>
      </w:r>
      <w:r w:rsidR="00EA7754">
        <w:t xml:space="preserve">received by the ACT Government </w:t>
      </w:r>
      <w:r w:rsidR="00844C1D">
        <w:t xml:space="preserve">(see Table </w:t>
      </w:r>
      <w:r w:rsidR="00CB0287">
        <w:t>8</w:t>
      </w:r>
      <w:r w:rsidR="00844C1D">
        <w:t>)</w:t>
      </w:r>
      <w:r w:rsidR="00EE7694">
        <w:t>.</w:t>
      </w:r>
      <w:r w:rsidR="00AE29A3">
        <w:rPr>
          <w:rStyle w:val="FootnoteReference"/>
        </w:rPr>
        <w:footnoteReference w:id="55"/>
      </w:r>
      <w:r w:rsidR="004D24B0">
        <w:t xml:space="preserve"> </w:t>
      </w:r>
      <w:r w:rsidR="00D07D05">
        <w:t xml:space="preserve">But, </w:t>
      </w:r>
      <w:r w:rsidR="00586C1E">
        <w:t xml:space="preserve">at the household level, </w:t>
      </w:r>
      <w:r w:rsidR="000133B4">
        <w:t>the</w:t>
      </w:r>
      <w:r w:rsidR="000574C4">
        <w:t xml:space="preserve"> analysis found that ‘</w:t>
      </w:r>
      <w:r w:rsidR="005B3173" w:rsidRPr="005B3173">
        <w:t>lower income families are spending more on stamp duty and rates as a proportion of their income, and that this is higher under the new tax policy</w:t>
      </w:r>
      <w:r w:rsidR="000574C4">
        <w:t>’</w:t>
      </w:r>
      <w:r w:rsidR="0088062F">
        <w:t xml:space="preserve"> (see Table </w:t>
      </w:r>
      <w:r w:rsidR="00CB0287">
        <w:t>9</w:t>
      </w:r>
      <w:r w:rsidR="0088062F">
        <w:t>)</w:t>
      </w:r>
      <w:r w:rsidR="000574C4">
        <w:t>.</w:t>
      </w:r>
      <w:r w:rsidR="000574C4">
        <w:rPr>
          <w:rStyle w:val="FootnoteReference"/>
        </w:rPr>
        <w:footnoteReference w:id="56"/>
      </w:r>
      <w:r w:rsidR="0079281D">
        <w:t xml:space="preserve"> </w:t>
      </w:r>
      <w:r w:rsidR="00BC05DE">
        <w:t>From this perspective</w:t>
      </w:r>
      <w:r w:rsidR="0079281D">
        <w:t xml:space="preserve">, </w:t>
      </w:r>
      <w:r w:rsidR="00CD71B0">
        <w:t xml:space="preserve">stamp duty and general rates </w:t>
      </w:r>
      <w:r w:rsidR="0088062F">
        <w:t>a</w:t>
      </w:r>
      <w:r w:rsidR="00CD71B0">
        <w:t>re</w:t>
      </w:r>
      <w:r w:rsidR="0092052D">
        <w:t xml:space="preserve"> not a progressive </w:t>
      </w:r>
      <w:r w:rsidR="00BC7738">
        <w:t>form of taxation</w:t>
      </w:r>
      <w:r w:rsidR="00F44396">
        <w:t xml:space="preserve"> </w:t>
      </w:r>
      <w:r w:rsidR="00394B5F">
        <w:t xml:space="preserve">and the </w:t>
      </w:r>
      <w:r w:rsidR="00457C9F">
        <w:t>reforms have</w:t>
      </w:r>
      <w:r w:rsidR="00CD71B0">
        <w:t xml:space="preserve"> not changed this</w:t>
      </w:r>
      <w:r w:rsidR="00646111">
        <w:t xml:space="preserve">. </w:t>
      </w:r>
      <w:r w:rsidR="00517195">
        <w:t xml:space="preserve">As shown in Table </w:t>
      </w:r>
      <w:r w:rsidR="00267CB3">
        <w:t>9</w:t>
      </w:r>
      <w:r w:rsidR="00517195">
        <w:t>, t</w:t>
      </w:r>
      <w:r w:rsidR="00646111">
        <w:t>he analysis also</w:t>
      </w:r>
      <w:r w:rsidR="00457C9F">
        <w:t xml:space="preserve"> </w:t>
      </w:r>
      <w:r w:rsidR="00563FB8">
        <w:t xml:space="preserve">found that </w:t>
      </w:r>
      <w:r w:rsidR="006365FD" w:rsidRPr="006365FD">
        <w:t>lower</w:t>
      </w:r>
      <w:r w:rsidR="00F80647">
        <w:t>-</w:t>
      </w:r>
      <w:r w:rsidR="006365FD" w:rsidRPr="006365FD">
        <w:t>income</w:t>
      </w:r>
      <w:r w:rsidR="002C0E19">
        <w:t xml:space="preserve">, </w:t>
      </w:r>
      <w:r w:rsidR="00A40C3C">
        <w:t>pensioner, and female-headed homeowner</w:t>
      </w:r>
      <w:r w:rsidR="00F41EB9">
        <w:t>s</w:t>
      </w:r>
      <w:r w:rsidR="002773DF">
        <w:t xml:space="preserve"> </w:t>
      </w:r>
      <w:r w:rsidR="006365FD" w:rsidRPr="006365FD">
        <w:t>are spending</w:t>
      </w:r>
      <w:r w:rsidR="00F5160E">
        <w:t xml:space="preserve"> slightly</w:t>
      </w:r>
      <w:r w:rsidR="006365FD" w:rsidRPr="006365FD">
        <w:t xml:space="preserve"> more on stamp duty and </w:t>
      </w:r>
      <w:r w:rsidR="00F5160E">
        <w:t xml:space="preserve">general </w:t>
      </w:r>
      <w:r w:rsidR="006365FD" w:rsidRPr="006365FD">
        <w:t>rates as a proportion of their income under the new tax policy.</w:t>
      </w:r>
      <w:r w:rsidR="00ED1E03">
        <w:rPr>
          <w:rStyle w:val="FootnoteReference"/>
        </w:rPr>
        <w:footnoteReference w:id="57"/>
      </w:r>
      <w:r w:rsidR="00DA35E9">
        <w:t xml:space="preserve"> This is partly due to </w:t>
      </w:r>
      <w:r w:rsidR="00675198">
        <w:t xml:space="preserve">these </w:t>
      </w:r>
      <w:r w:rsidR="00650D4B">
        <w:t>being taxes</w:t>
      </w:r>
      <w:r w:rsidR="00675198">
        <w:t xml:space="preserve"> on </w:t>
      </w:r>
      <w:r w:rsidR="003F34F9">
        <w:t>actual or imputed wealth</w:t>
      </w:r>
      <w:r w:rsidR="00650D4B">
        <w:t>, not income</w:t>
      </w:r>
      <w:r w:rsidR="0071582E">
        <w:t>. For example</w:t>
      </w:r>
      <w:r w:rsidR="00EB1227">
        <w:t>:</w:t>
      </w:r>
      <w:r w:rsidR="0064598E">
        <w:t xml:space="preserve"> </w:t>
      </w:r>
    </w:p>
    <w:p w14:paraId="5A42CA6B" w14:textId="574DB4EA" w:rsidR="00DA35E9" w:rsidRDefault="0084193D" w:rsidP="00DA35E9">
      <w:pPr>
        <w:pStyle w:val="BlockText"/>
      </w:pPr>
      <w:r>
        <w:t>…</w:t>
      </w:r>
      <w:r w:rsidR="00DA35E9" w:rsidRPr="00DA35E9">
        <w:t xml:space="preserve"> rates are based on unimproved value of land, not on income. This means a </w:t>
      </w:r>
      <w:proofErr w:type="gramStart"/>
      <w:r w:rsidR="00DA35E9" w:rsidRPr="00DA35E9">
        <w:t>low income</w:t>
      </w:r>
      <w:proofErr w:type="gramEnd"/>
      <w:r w:rsidR="00DA35E9" w:rsidRPr="00DA35E9">
        <w:t xml:space="preserve"> pensioner can be paying rates on a high value block of land. While subsidies based on income and pensioner status are applied, </w:t>
      </w:r>
      <w:r w:rsidR="00DA35E9" w:rsidRPr="00DA35E9">
        <w:lastRenderedPageBreak/>
        <w:t>the rates and stamp duty for low income families as a proportion of their income after any subsidies is still higher than for high income families.</w:t>
      </w:r>
      <w:r w:rsidR="002216EB">
        <w:rPr>
          <w:rStyle w:val="FootnoteReference"/>
        </w:rPr>
        <w:footnoteReference w:id="58"/>
      </w:r>
    </w:p>
    <w:p w14:paraId="1F9CFFEE" w14:textId="0748926D" w:rsidR="009B1E72" w:rsidRDefault="009B1E72" w:rsidP="00914950">
      <w:pPr>
        <w:pStyle w:val="Figuretitle"/>
      </w:pPr>
      <w:r>
        <w:t xml:space="preserve">Table </w:t>
      </w:r>
      <w:r w:rsidR="00CB0287">
        <w:t>8</w:t>
      </w:r>
      <w:r>
        <w:t xml:space="preserve"> </w:t>
      </w:r>
      <w:r w:rsidR="00023C2D" w:rsidRPr="00023C2D">
        <w:t>The impact of tax reform on the general rate distribution (net of rebate) by income quintile, average 2012 – 2018</w:t>
      </w:r>
      <w:r w:rsidR="00914950" w:rsidRPr="00914950">
        <w:rPr>
          <w:rStyle w:val="FootnoteReference"/>
          <w:b w:val="0"/>
          <w:bCs/>
        </w:rPr>
        <w:footnoteReference w:id="59"/>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380"/>
        <w:gridCol w:w="2295"/>
        <w:gridCol w:w="2575"/>
      </w:tblGrid>
      <w:tr w:rsidR="000A5FB8" w14:paraId="4FBC2759" w14:textId="77777777" w:rsidTr="004A056C">
        <w:tc>
          <w:tcPr>
            <w:tcW w:w="737" w:type="pct"/>
            <w:tcBorders>
              <w:top w:val="single" w:sz="4" w:space="0" w:color="auto"/>
              <w:bottom w:val="single" w:sz="4" w:space="0" w:color="auto"/>
            </w:tcBorders>
          </w:tcPr>
          <w:p w14:paraId="3DE4D742" w14:textId="5D4B6E32" w:rsidR="000A5FB8" w:rsidRDefault="000A5FB8" w:rsidP="009B1E72">
            <w:pPr>
              <w:pStyle w:val="Tableheading"/>
            </w:pPr>
            <w:r w:rsidRPr="00A209E5">
              <w:t> Quintile</w:t>
            </w:r>
          </w:p>
        </w:tc>
        <w:tc>
          <w:tcPr>
            <w:tcW w:w="1399" w:type="pct"/>
            <w:tcBorders>
              <w:top w:val="single" w:sz="4" w:space="0" w:color="auto"/>
              <w:bottom w:val="single" w:sz="4" w:space="0" w:color="auto"/>
            </w:tcBorders>
          </w:tcPr>
          <w:p w14:paraId="0F22CFD4" w14:textId="31CF4EFA" w:rsidR="000A5FB8" w:rsidRDefault="000A5FB8" w:rsidP="00EB1227">
            <w:pPr>
              <w:pStyle w:val="Tableheading"/>
              <w:jc w:val="center"/>
            </w:pPr>
            <w:r w:rsidRPr="00A209E5">
              <w:t>New Tax Policy (%)</w:t>
            </w:r>
          </w:p>
        </w:tc>
        <w:tc>
          <w:tcPr>
            <w:tcW w:w="1349" w:type="pct"/>
            <w:tcBorders>
              <w:top w:val="single" w:sz="4" w:space="0" w:color="auto"/>
              <w:bottom w:val="single" w:sz="4" w:space="0" w:color="auto"/>
            </w:tcBorders>
          </w:tcPr>
          <w:p w14:paraId="458BAB1E" w14:textId="7915AC5A" w:rsidR="000A5FB8" w:rsidRDefault="000A5FB8" w:rsidP="00EB1227">
            <w:pPr>
              <w:pStyle w:val="Tableheading"/>
              <w:jc w:val="center"/>
            </w:pPr>
            <w:r w:rsidRPr="00A209E5">
              <w:t>Old Tax Policy (%)</w:t>
            </w:r>
          </w:p>
        </w:tc>
        <w:tc>
          <w:tcPr>
            <w:tcW w:w="1514" w:type="pct"/>
            <w:tcBorders>
              <w:top w:val="single" w:sz="4" w:space="0" w:color="auto"/>
              <w:bottom w:val="single" w:sz="4" w:space="0" w:color="auto"/>
            </w:tcBorders>
          </w:tcPr>
          <w:p w14:paraId="1A307318" w14:textId="4F81E93D" w:rsidR="000A5FB8" w:rsidRDefault="000A5FB8" w:rsidP="00EB1227">
            <w:pPr>
              <w:pStyle w:val="Tableheading"/>
              <w:jc w:val="center"/>
            </w:pPr>
            <w:r w:rsidRPr="00A209E5">
              <w:t>Difference (% points)</w:t>
            </w:r>
          </w:p>
        </w:tc>
      </w:tr>
      <w:tr w:rsidR="009B1E72" w14:paraId="202D873E" w14:textId="77777777" w:rsidTr="004A056C">
        <w:tc>
          <w:tcPr>
            <w:tcW w:w="737" w:type="pct"/>
            <w:tcBorders>
              <w:top w:val="single" w:sz="4" w:space="0" w:color="auto"/>
            </w:tcBorders>
            <w:shd w:val="clear" w:color="auto" w:fill="D9E2F3" w:themeFill="accent1" w:themeFillTint="33"/>
          </w:tcPr>
          <w:p w14:paraId="003E740D" w14:textId="3B89A873" w:rsidR="009B1E72" w:rsidRDefault="009B1E72" w:rsidP="009B1E72">
            <w:pPr>
              <w:pStyle w:val="TableBody"/>
            </w:pPr>
            <w:r w:rsidRPr="00694635">
              <w:t>Q1</w:t>
            </w:r>
          </w:p>
        </w:tc>
        <w:tc>
          <w:tcPr>
            <w:tcW w:w="1399" w:type="pct"/>
            <w:tcBorders>
              <w:top w:val="single" w:sz="4" w:space="0" w:color="auto"/>
            </w:tcBorders>
            <w:shd w:val="clear" w:color="auto" w:fill="D9E2F3" w:themeFill="accent1" w:themeFillTint="33"/>
          </w:tcPr>
          <w:p w14:paraId="76F6CDB8" w14:textId="2B100A23" w:rsidR="009B1E72" w:rsidRDefault="009B1E72" w:rsidP="009B1E72">
            <w:pPr>
              <w:pStyle w:val="TableBody"/>
              <w:jc w:val="right"/>
            </w:pPr>
            <w:r w:rsidRPr="00694635">
              <w:t>8.73</w:t>
            </w:r>
          </w:p>
        </w:tc>
        <w:tc>
          <w:tcPr>
            <w:tcW w:w="1349" w:type="pct"/>
            <w:tcBorders>
              <w:top w:val="single" w:sz="4" w:space="0" w:color="auto"/>
            </w:tcBorders>
            <w:shd w:val="clear" w:color="auto" w:fill="D9E2F3" w:themeFill="accent1" w:themeFillTint="33"/>
          </w:tcPr>
          <w:p w14:paraId="753EF21F" w14:textId="2161A9B2" w:rsidR="009B1E72" w:rsidRDefault="009B1E72" w:rsidP="009B1E72">
            <w:pPr>
              <w:pStyle w:val="TableBody"/>
              <w:jc w:val="right"/>
            </w:pPr>
            <w:r w:rsidRPr="00694635">
              <w:t>9.02</w:t>
            </w:r>
          </w:p>
        </w:tc>
        <w:tc>
          <w:tcPr>
            <w:tcW w:w="1514" w:type="pct"/>
            <w:tcBorders>
              <w:top w:val="single" w:sz="4" w:space="0" w:color="auto"/>
            </w:tcBorders>
            <w:shd w:val="clear" w:color="auto" w:fill="D9E2F3" w:themeFill="accent1" w:themeFillTint="33"/>
          </w:tcPr>
          <w:p w14:paraId="0ADB753E" w14:textId="3AB7E85B" w:rsidR="009B1E72" w:rsidRDefault="009B1E72" w:rsidP="009B1E72">
            <w:pPr>
              <w:pStyle w:val="TableBody"/>
              <w:jc w:val="right"/>
            </w:pPr>
            <w:r w:rsidRPr="00694635">
              <w:t>-0.29</w:t>
            </w:r>
          </w:p>
        </w:tc>
      </w:tr>
      <w:tr w:rsidR="009B1E72" w14:paraId="7EAF47B6" w14:textId="77777777" w:rsidTr="004A056C">
        <w:tc>
          <w:tcPr>
            <w:tcW w:w="737" w:type="pct"/>
          </w:tcPr>
          <w:p w14:paraId="0DAA2673" w14:textId="3C59CAF8" w:rsidR="009B1E72" w:rsidRDefault="009B1E72" w:rsidP="009B1E72">
            <w:pPr>
              <w:pStyle w:val="TableBody"/>
            </w:pPr>
            <w:r w:rsidRPr="00694635">
              <w:t>Q2</w:t>
            </w:r>
          </w:p>
        </w:tc>
        <w:tc>
          <w:tcPr>
            <w:tcW w:w="1399" w:type="pct"/>
          </w:tcPr>
          <w:p w14:paraId="5391C3D9" w14:textId="5BCC52C0" w:rsidR="009B1E72" w:rsidRDefault="009B1E72" w:rsidP="009B1E72">
            <w:pPr>
              <w:pStyle w:val="TableBody"/>
              <w:jc w:val="right"/>
            </w:pPr>
            <w:r w:rsidRPr="00694635">
              <w:t>12.03</w:t>
            </w:r>
          </w:p>
        </w:tc>
        <w:tc>
          <w:tcPr>
            <w:tcW w:w="1349" w:type="pct"/>
          </w:tcPr>
          <w:p w14:paraId="1A132CE8" w14:textId="488F749A" w:rsidR="009B1E72" w:rsidRDefault="009B1E72" w:rsidP="009B1E72">
            <w:pPr>
              <w:pStyle w:val="TableBody"/>
              <w:jc w:val="right"/>
            </w:pPr>
            <w:r w:rsidRPr="00694635">
              <w:t>12.51</w:t>
            </w:r>
          </w:p>
        </w:tc>
        <w:tc>
          <w:tcPr>
            <w:tcW w:w="1514" w:type="pct"/>
          </w:tcPr>
          <w:p w14:paraId="6CAE8849" w14:textId="42792484" w:rsidR="009B1E72" w:rsidRDefault="009B1E72" w:rsidP="009B1E72">
            <w:pPr>
              <w:pStyle w:val="TableBody"/>
              <w:jc w:val="right"/>
            </w:pPr>
            <w:r w:rsidRPr="00694635">
              <w:t>-0.48</w:t>
            </w:r>
          </w:p>
        </w:tc>
      </w:tr>
      <w:tr w:rsidR="009B1E72" w14:paraId="0235F0B8" w14:textId="77777777" w:rsidTr="004A056C">
        <w:tc>
          <w:tcPr>
            <w:tcW w:w="737" w:type="pct"/>
            <w:shd w:val="clear" w:color="auto" w:fill="D9E2F3" w:themeFill="accent1" w:themeFillTint="33"/>
          </w:tcPr>
          <w:p w14:paraId="255F003D" w14:textId="3C7ABD5C" w:rsidR="009B1E72" w:rsidRDefault="009B1E72" w:rsidP="009B1E72">
            <w:pPr>
              <w:pStyle w:val="TableBody"/>
            </w:pPr>
            <w:r w:rsidRPr="00694635">
              <w:t>Q3</w:t>
            </w:r>
          </w:p>
        </w:tc>
        <w:tc>
          <w:tcPr>
            <w:tcW w:w="1399" w:type="pct"/>
            <w:shd w:val="clear" w:color="auto" w:fill="D9E2F3" w:themeFill="accent1" w:themeFillTint="33"/>
          </w:tcPr>
          <w:p w14:paraId="4898E606" w14:textId="4BBF515B" w:rsidR="009B1E72" w:rsidRDefault="009B1E72" w:rsidP="009B1E72">
            <w:pPr>
              <w:pStyle w:val="TableBody"/>
              <w:jc w:val="right"/>
            </w:pPr>
            <w:r w:rsidRPr="00694635">
              <w:t>17.54</w:t>
            </w:r>
          </w:p>
        </w:tc>
        <w:tc>
          <w:tcPr>
            <w:tcW w:w="1349" w:type="pct"/>
            <w:shd w:val="clear" w:color="auto" w:fill="D9E2F3" w:themeFill="accent1" w:themeFillTint="33"/>
          </w:tcPr>
          <w:p w14:paraId="2CBD410F" w14:textId="4C6DEBB0" w:rsidR="009B1E72" w:rsidRDefault="009B1E72" w:rsidP="009B1E72">
            <w:pPr>
              <w:pStyle w:val="TableBody"/>
              <w:jc w:val="right"/>
            </w:pPr>
            <w:r w:rsidRPr="00694635">
              <w:t>18.4</w:t>
            </w:r>
            <w:r w:rsidR="00E75284">
              <w:t>0</w:t>
            </w:r>
          </w:p>
        </w:tc>
        <w:tc>
          <w:tcPr>
            <w:tcW w:w="1514" w:type="pct"/>
            <w:shd w:val="clear" w:color="auto" w:fill="D9E2F3" w:themeFill="accent1" w:themeFillTint="33"/>
          </w:tcPr>
          <w:p w14:paraId="73759DDC" w14:textId="0A06050C" w:rsidR="009B1E72" w:rsidRDefault="009B1E72" w:rsidP="009B1E72">
            <w:pPr>
              <w:pStyle w:val="TableBody"/>
              <w:jc w:val="right"/>
            </w:pPr>
            <w:r w:rsidRPr="00694635">
              <w:t>-0.87</w:t>
            </w:r>
          </w:p>
        </w:tc>
      </w:tr>
      <w:tr w:rsidR="009B1E72" w14:paraId="44E43F8D" w14:textId="77777777" w:rsidTr="004A056C">
        <w:tc>
          <w:tcPr>
            <w:tcW w:w="737" w:type="pct"/>
          </w:tcPr>
          <w:p w14:paraId="6A60769E" w14:textId="23FC5EB3" w:rsidR="009B1E72" w:rsidRDefault="009B1E72" w:rsidP="009B1E72">
            <w:pPr>
              <w:pStyle w:val="TableBody"/>
            </w:pPr>
            <w:r w:rsidRPr="00694635">
              <w:t>Q4</w:t>
            </w:r>
          </w:p>
        </w:tc>
        <w:tc>
          <w:tcPr>
            <w:tcW w:w="1399" w:type="pct"/>
          </w:tcPr>
          <w:p w14:paraId="11B378F3" w14:textId="23C9BB7E" w:rsidR="009B1E72" w:rsidRDefault="009B1E72" w:rsidP="009B1E72">
            <w:pPr>
              <w:pStyle w:val="TableBody"/>
              <w:jc w:val="right"/>
            </w:pPr>
            <w:r w:rsidRPr="00694635">
              <w:t>21.93</w:t>
            </w:r>
          </w:p>
        </w:tc>
        <w:tc>
          <w:tcPr>
            <w:tcW w:w="1349" w:type="pct"/>
          </w:tcPr>
          <w:p w14:paraId="2D33BBD3" w14:textId="0D2A88AC" w:rsidR="009B1E72" w:rsidRDefault="009B1E72" w:rsidP="009B1E72">
            <w:pPr>
              <w:pStyle w:val="TableBody"/>
              <w:jc w:val="right"/>
            </w:pPr>
            <w:r w:rsidRPr="00694635">
              <w:t>22.71</w:t>
            </w:r>
          </w:p>
        </w:tc>
        <w:tc>
          <w:tcPr>
            <w:tcW w:w="1514" w:type="pct"/>
          </w:tcPr>
          <w:p w14:paraId="34B95450" w14:textId="33C9F54B" w:rsidR="009B1E72" w:rsidRDefault="009B1E72" w:rsidP="009B1E72">
            <w:pPr>
              <w:pStyle w:val="TableBody"/>
              <w:jc w:val="right"/>
            </w:pPr>
            <w:r w:rsidRPr="00694635">
              <w:t>-0.78</w:t>
            </w:r>
          </w:p>
        </w:tc>
      </w:tr>
      <w:tr w:rsidR="009B1E72" w14:paraId="0DBA5C03" w14:textId="77777777" w:rsidTr="004A056C">
        <w:tc>
          <w:tcPr>
            <w:tcW w:w="737" w:type="pct"/>
            <w:tcBorders>
              <w:bottom w:val="single" w:sz="4" w:space="0" w:color="auto"/>
            </w:tcBorders>
            <w:shd w:val="clear" w:color="auto" w:fill="D9E2F3" w:themeFill="accent1" w:themeFillTint="33"/>
          </w:tcPr>
          <w:p w14:paraId="0366F0CC" w14:textId="65D40AAC" w:rsidR="009B1E72" w:rsidRDefault="009B1E72" w:rsidP="009B1E72">
            <w:pPr>
              <w:pStyle w:val="TableBody"/>
            </w:pPr>
            <w:r w:rsidRPr="00694635">
              <w:t>Q5</w:t>
            </w:r>
          </w:p>
        </w:tc>
        <w:tc>
          <w:tcPr>
            <w:tcW w:w="1399" w:type="pct"/>
            <w:tcBorders>
              <w:bottom w:val="single" w:sz="4" w:space="0" w:color="auto"/>
            </w:tcBorders>
            <w:shd w:val="clear" w:color="auto" w:fill="D9E2F3" w:themeFill="accent1" w:themeFillTint="33"/>
          </w:tcPr>
          <w:p w14:paraId="1F307D28" w14:textId="12AA4CD1" w:rsidR="009B1E72" w:rsidRDefault="009B1E72" w:rsidP="009B1E72">
            <w:pPr>
              <w:pStyle w:val="TableBody"/>
              <w:jc w:val="right"/>
            </w:pPr>
            <w:r w:rsidRPr="00694635">
              <w:t>39.78</w:t>
            </w:r>
          </w:p>
        </w:tc>
        <w:tc>
          <w:tcPr>
            <w:tcW w:w="1349" w:type="pct"/>
            <w:tcBorders>
              <w:bottom w:val="single" w:sz="4" w:space="0" w:color="auto"/>
            </w:tcBorders>
            <w:shd w:val="clear" w:color="auto" w:fill="D9E2F3" w:themeFill="accent1" w:themeFillTint="33"/>
          </w:tcPr>
          <w:p w14:paraId="223E201B" w14:textId="2A51A9B8" w:rsidR="009B1E72" w:rsidRDefault="009B1E72" w:rsidP="009B1E72">
            <w:pPr>
              <w:pStyle w:val="TableBody"/>
              <w:jc w:val="right"/>
            </w:pPr>
            <w:r w:rsidRPr="00694635">
              <w:t>37.36</w:t>
            </w:r>
          </w:p>
        </w:tc>
        <w:tc>
          <w:tcPr>
            <w:tcW w:w="1514" w:type="pct"/>
            <w:tcBorders>
              <w:bottom w:val="single" w:sz="4" w:space="0" w:color="auto"/>
            </w:tcBorders>
            <w:shd w:val="clear" w:color="auto" w:fill="D9E2F3" w:themeFill="accent1" w:themeFillTint="33"/>
          </w:tcPr>
          <w:p w14:paraId="4462649B" w14:textId="19E8CFBD" w:rsidR="009B1E72" w:rsidRDefault="009B1E72" w:rsidP="009B1E72">
            <w:pPr>
              <w:pStyle w:val="TableBody"/>
              <w:jc w:val="right"/>
            </w:pPr>
            <w:r w:rsidRPr="00694635">
              <w:t>2.42</w:t>
            </w:r>
          </w:p>
        </w:tc>
      </w:tr>
    </w:tbl>
    <w:p w14:paraId="1F54ED43" w14:textId="77777777" w:rsidR="00844C1D" w:rsidRDefault="00844C1D" w:rsidP="00A162F0">
      <w:pPr>
        <w:pStyle w:val="BodyText"/>
      </w:pPr>
    </w:p>
    <w:p w14:paraId="15D8E32D" w14:textId="7C3842C5" w:rsidR="009B1E9E" w:rsidRDefault="009B1E9E" w:rsidP="00E84EF3">
      <w:pPr>
        <w:pStyle w:val="Figuretitle"/>
      </w:pPr>
      <w:r>
        <w:t xml:space="preserve">Table </w:t>
      </w:r>
      <w:r w:rsidR="00CB0287">
        <w:t>9</w:t>
      </w:r>
      <w:r w:rsidR="00E84EF3">
        <w:t xml:space="preserve"> </w:t>
      </w:r>
      <w:r w:rsidR="00E84EF3" w:rsidRPr="00E84EF3">
        <w:t>The impact of tax reform on rates and stamp duty paid by income quintile</w:t>
      </w:r>
      <w:r w:rsidR="00E84EF3">
        <w:t xml:space="preserve"> and selected homeowner categories</w:t>
      </w:r>
      <w:r w:rsidR="00E84EF3" w:rsidRPr="00E84EF3">
        <w:t>, average 2012 – 2018</w:t>
      </w:r>
      <w:r w:rsidR="001302D3" w:rsidRPr="00E75284">
        <w:rPr>
          <w:rStyle w:val="FootnoteReference"/>
          <w:b w:val="0"/>
        </w:rPr>
        <w:footnoteReference w:id="60"/>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133"/>
        <w:gridCol w:w="1133"/>
        <w:gridCol w:w="1134"/>
        <w:gridCol w:w="1133"/>
        <w:gridCol w:w="1133"/>
        <w:gridCol w:w="1134"/>
      </w:tblGrid>
      <w:tr w:rsidR="00A079D3" w:rsidRPr="0072322A" w14:paraId="18BA58CA" w14:textId="77777777" w:rsidTr="004A056C">
        <w:trPr>
          <w:trHeight w:val="290"/>
        </w:trPr>
        <w:tc>
          <w:tcPr>
            <w:tcW w:w="1001" w:type="pct"/>
            <w:tcBorders>
              <w:top w:val="single" w:sz="4" w:space="0" w:color="auto"/>
              <w:bottom w:val="single" w:sz="4" w:space="0" w:color="auto"/>
            </w:tcBorders>
            <w:noWrap/>
            <w:hideMark/>
          </w:tcPr>
          <w:p w14:paraId="5C09D550" w14:textId="0A647844" w:rsidR="0072322A" w:rsidRPr="00A079D3" w:rsidRDefault="0072322A" w:rsidP="0072322A">
            <w:pPr>
              <w:pStyle w:val="Tableheading"/>
              <w:rPr>
                <w:sz w:val="16"/>
                <w:szCs w:val="16"/>
              </w:rPr>
            </w:pPr>
            <w:r w:rsidRPr="00A079D3">
              <w:rPr>
                <w:sz w:val="16"/>
                <w:szCs w:val="16"/>
              </w:rPr>
              <w:t>Quintile</w:t>
            </w:r>
            <w:r w:rsidR="00691A80">
              <w:rPr>
                <w:sz w:val="16"/>
                <w:szCs w:val="16"/>
              </w:rPr>
              <w:t xml:space="preserve"> or Homeowner category</w:t>
            </w:r>
          </w:p>
        </w:tc>
        <w:tc>
          <w:tcPr>
            <w:tcW w:w="666" w:type="pct"/>
            <w:tcBorders>
              <w:top w:val="single" w:sz="4" w:space="0" w:color="auto"/>
              <w:bottom w:val="single" w:sz="4" w:space="0" w:color="auto"/>
            </w:tcBorders>
            <w:noWrap/>
            <w:hideMark/>
          </w:tcPr>
          <w:p w14:paraId="3F6DE3A1" w14:textId="4B668638" w:rsidR="009B1E9E" w:rsidRDefault="0072322A" w:rsidP="00755458">
            <w:pPr>
              <w:pStyle w:val="Tableheading"/>
              <w:jc w:val="center"/>
              <w:rPr>
                <w:sz w:val="16"/>
                <w:szCs w:val="16"/>
              </w:rPr>
            </w:pPr>
            <w:r w:rsidRPr="00A079D3">
              <w:rPr>
                <w:sz w:val="16"/>
                <w:szCs w:val="16"/>
              </w:rPr>
              <w:t>New Tax Policy</w:t>
            </w:r>
          </w:p>
          <w:p w14:paraId="004955CD" w14:textId="3FD8B14F" w:rsidR="0072322A" w:rsidRPr="00A079D3" w:rsidRDefault="009B1E9E" w:rsidP="00755458">
            <w:pPr>
              <w:pStyle w:val="Tableheading"/>
              <w:jc w:val="center"/>
              <w:rPr>
                <w:sz w:val="16"/>
                <w:szCs w:val="16"/>
              </w:rPr>
            </w:pPr>
            <w:r>
              <w:rPr>
                <w:sz w:val="16"/>
                <w:szCs w:val="16"/>
              </w:rPr>
              <w:t>(</w:t>
            </w:r>
            <w:r w:rsidR="0072322A" w:rsidRPr="00A079D3">
              <w:rPr>
                <w:sz w:val="16"/>
                <w:szCs w:val="16"/>
              </w:rPr>
              <w:t>$</w:t>
            </w:r>
            <w:r>
              <w:rPr>
                <w:sz w:val="16"/>
                <w:szCs w:val="16"/>
              </w:rPr>
              <w:t>)</w:t>
            </w:r>
          </w:p>
        </w:tc>
        <w:tc>
          <w:tcPr>
            <w:tcW w:w="666" w:type="pct"/>
            <w:tcBorders>
              <w:top w:val="single" w:sz="4" w:space="0" w:color="auto"/>
              <w:bottom w:val="single" w:sz="4" w:space="0" w:color="auto"/>
            </w:tcBorders>
            <w:noWrap/>
            <w:hideMark/>
          </w:tcPr>
          <w:p w14:paraId="3BFF27AB" w14:textId="3737F10E" w:rsidR="009B1E9E" w:rsidRDefault="0072322A" w:rsidP="00755458">
            <w:pPr>
              <w:pStyle w:val="Tableheading"/>
              <w:jc w:val="center"/>
              <w:rPr>
                <w:sz w:val="16"/>
                <w:szCs w:val="16"/>
              </w:rPr>
            </w:pPr>
            <w:r w:rsidRPr="00A079D3">
              <w:rPr>
                <w:sz w:val="16"/>
                <w:szCs w:val="16"/>
              </w:rPr>
              <w:t>Old Tax Policy</w:t>
            </w:r>
          </w:p>
          <w:p w14:paraId="186D56FE" w14:textId="78277056" w:rsidR="0072322A" w:rsidRPr="00A079D3" w:rsidRDefault="009B1E9E" w:rsidP="00755458">
            <w:pPr>
              <w:pStyle w:val="Tableheading"/>
              <w:jc w:val="center"/>
              <w:rPr>
                <w:sz w:val="16"/>
                <w:szCs w:val="16"/>
              </w:rPr>
            </w:pPr>
            <w:r>
              <w:rPr>
                <w:sz w:val="16"/>
                <w:szCs w:val="16"/>
              </w:rPr>
              <w:t>(</w:t>
            </w:r>
            <w:r w:rsidR="0072322A" w:rsidRPr="00A079D3">
              <w:rPr>
                <w:sz w:val="16"/>
                <w:szCs w:val="16"/>
              </w:rPr>
              <w:t>$</w:t>
            </w:r>
            <w:r>
              <w:rPr>
                <w:sz w:val="16"/>
                <w:szCs w:val="16"/>
              </w:rPr>
              <w:t>)</w:t>
            </w:r>
          </w:p>
        </w:tc>
        <w:tc>
          <w:tcPr>
            <w:tcW w:w="667" w:type="pct"/>
            <w:tcBorders>
              <w:top w:val="single" w:sz="4" w:space="0" w:color="auto"/>
              <w:bottom w:val="single" w:sz="4" w:space="0" w:color="auto"/>
            </w:tcBorders>
            <w:noWrap/>
            <w:hideMark/>
          </w:tcPr>
          <w:p w14:paraId="27F4993A" w14:textId="1C0D93AC" w:rsidR="009B1E9E" w:rsidRDefault="0072322A" w:rsidP="00755458">
            <w:pPr>
              <w:pStyle w:val="Tableheading"/>
              <w:jc w:val="center"/>
              <w:rPr>
                <w:sz w:val="16"/>
                <w:szCs w:val="16"/>
              </w:rPr>
            </w:pPr>
            <w:r w:rsidRPr="00A079D3">
              <w:rPr>
                <w:sz w:val="16"/>
                <w:szCs w:val="16"/>
              </w:rPr>
              <w:t>Difference</w:t>
            </w:r>
          </w:p>
          <w:p w14:paraId="35AF069F" w14:textId="04B226B5" w:rsidR="0072322A" w:rsidRPr="00A079D3" w:rsidRDefault="009B1E9E" w:rsidP="00755458">
            <w:pPr>
              <w:pStyle w:val="Tableheading"/>
              <w:jc w:val="center"/>
              <w:rPr>
                <w:sz w:val="16"/>
                <w:szCs w:val="16"/>
              </w:rPr>
            </w:pPr>
            <w:r>
              <w:rPr>
                <w:sz w:val="16"/>
                <w:szCs w:val="16"/>
              </w:rPr>
              <w:t>(</w:t>
            </w:r>
            <w:r w:rsidR="0072322A" w:rsidRPr="00A079D3">
              <w:rPr>
                <w:sz w:val="16"/>
                <w:szCs w:val="16"/>
              </w:rPr>
              <w:t>$</w:t>
            </w:r>
            <w:r>
              <w:rPr>
                <w:sz w:val="16"/>
                <w:szCs w:val="16"/>
              </w:rPr>
              <w:t>)</w:t>
            </w:r>
          </w:p>
        </w:tc>
        <w:tc>
          <w:tcPr>
            <w:tcW w:w="666" w:type="pct"/>
            <w:tcBorders>
              <w:top w:val="single" w:sz="4" w:space="0" w:color="auto"/>
              <w:bottom w:val="single" w:sz="4" w:space="0" w:color="auto"/>
            </w:tcBorders>
            <w:noWrap/>
            <w:hideMark/>
          </w:tcPr>
          <w:p w14:paraId="1D3AEDCC" w14:textId="77777777" w:rsidR="00A079D3" w:rsidRPr="00A079D3" w:rsidRDefault="0072322A" w:rsidP="00755458">
            <w:pPr>
              <w:pStyle w:val="Tableheading"/>
              <w:jc w:val="center"/>
              <w:rPr>
                <w:sz w:val="16"/>
                <w:szCs w:val="16"/>
              </w:rPr>
            </w:pPr>
            <w:r w:rsidRPr="00A079D3">
              <w:rPr>
                <w:sz w:val="16"/>
                <w:szCs w:val="16"/>
              </w:rPr>
              <w:t>New Tax Policy</w:t>
            </w:r>
          </w:p>
          <w:p w14:paraId="169DDA63" w14:textId="4FE6EDD9" w:rsidR="0072322A" w:rsidRPr="00A079D3" w:rsidRDefault="009B1E9E" w:rsidP="00755458">
            <w:pPr>
              <w:pStyle w:val="Tableheading"/>
              <w:jc w:val="center"/>
              <w:rPr>
                <w:sz w:val="16"/>
                <w:szCs w:val="16"/>
              </w:rPr>
            </w:pPr>
            <w:r>
              <w:rPr>
                <w:sz w:val="16"/>
                <w:szCs w:val="16"/>
              </w:rPr>
              <w:t>(</w:t>
            </w:r>
            <w:r w:rsidR="0072322A" w:rsidRPr="00A079D3">
              <w:rPr>
                <w:sz w:val="16"/>
                <w:szCs w:val="16"/>
              </w:rPr>
              <w:t>% of income spent</w:t>
            </w:r>
            <w:r>
              <w:rPr>
                <w:sz w:val="16"/>
                <w:szCs w:val="16"/>
              </w:rPr>
              <w:t>)</w:t>
            </w:r>
          </w:p>
        </w:tc>
        <w:tc>
          <w:tcPr>
            <w:tcW w:w="666" w:type="pct"/>
            <w:tcBorders>
              <w:top w:val="single" w:sz="4" w:space="0" w:color="auto"/>
              <w:bottom w:val="single" w:sz="4" w:space="0" w:color="auto"/>
            </w:tcBorders>
            <w:noWrap/>
            <w:hideMark/>
          </w:tcPr>
          <w:p w14:paraId="020FE6E5" w14:textId="77777777" w:rsidR="005D7107" w:rsidRPr="00A079D3" w:rsidRDefault="0072322A" w:rsidP="00755458">
            <w:pPr>
              <w:pStyle w:val="Tableheading"/>
              <w:jc w:val="center"/>
              <w:rPr>
                <w:sz w:val="16"/>
                <w:szCs w:val="16"/>
              </w:rPr>
            </w:pPr>
            <w:r w:rsidRPr="00A079D3">
              <w:rPr>
                <w:sz w:val="16"/>
                <w:szCs w:val="16"/>
              </w:rPr>
              <w:t>Old Tax Policy</w:t>
            </w:r>
          </w:p>
          <w:p w14:paraId="40CFBEBD" w14:textId="5ADD0CA6" w:rsidR="0072322A" w:rsidRPr="00A079D3" w:rsidRDefault="009B1E9E" w:rsidP="00755458">
            <w:pPr>
              <w:pStyle w:val="Tableheading"/>
              <w:jc w:val="center"/>
              <w:rPr>
                <w:sz w:val="16"/>
                <w:szCs w:val="16"/>
              </w:rPr>
            </w:pPr>
            <w:r>
              <w:rPr>
                <w:sz w:val="16"/>
                <w:szCs w:val="16"/>
              </w:rPr>
              <w:t>(</w:t>
            </w:r>
            <w:r w:rsidR="0072322A" w:rsidRPr="00A079D3">
              <w:rPr>
                <w:sz w:val="16"/>
                <w:szCs w:val="16"/>
              </w:rPr>
              <w:t>% of income spent</w:t>
            </w:r>
            <w:r>
              <w:rPr>
                <w:sz w:val="16"/>
                <w:szCs w:val="16"/>
              </w:rPr>
              <w:t>)</w:t>
            </w:r>
          </w:p>
        </w:tc>
        <w:tc>
          <w:tcPr>
            <w:tcW w:w="667" w:type="pct"/>
            <w:tcBorders>
              <w:top w:val="single" w:sz="4" w:space="0" w:color="auto"/>
              <w:bottom w:val="single" w:sz="4" w:space="0" w:color="auto"/>
            </w:tcBorders>
            <w:noWrap/>
            <w:hideMark/>
          </w:tcPr>
          <w:p w14:paraId="077A8190" w14:textId="77777777" w:rsidR="009B1E9E" w:rsidRDefault="0072322A" w:rsidP="00755458">
            <w:pPr>
              <w:pStyle w:val="Tableheading"/>
              <w:jc w:val="center"/>
              <w:rPr>
                <w:sz w:val="16"/>
                <w:szCs w:val="16"/>
              </w:rPr>
            </w:pPr>
            <w:r w:rsidRPr="00A079D3">
              <w:rPr>
                <w:sz w:val="16"/>
                <w:szCs w:val="16"/>
              </w:rPr>
              <w:t>Difference</w:t>
            </w:r>
          </w:p>
          <w:p w14:paraId="7CD52A07" w14:textId="693F78CB" w:rsidR="0072322A" w:rsidRPr="00A079D3" w:rsidRDefault="009B1E9E" w:rsidP="00755458">
            <w:pPr>
              <w:pStyle w:val="Tableheading"/>
              <w:jc w:val="center"/>
              <w:rPr>
                <w:sz w:val="16"/>
                <w:szCs w:val="16"/>
              </w:rPr>
            </w:pPr>
            <w:r>
              <w:rPr>
                <w:sz w:val="16"/>
                <w:szCs w:val="16"/>
              </w:rPr>
              <w:t>(</w:t>
            </w:r>
            <w:r w:rsidR="0072322A" w:rsidRPr="00A079D3">
              <w:rPr>
                <w:sz w:val="16"/>
                <w:szCs w:val="16"/>
              </w:rPr>
              <w:t>% points</w:t>
            </w:r>
            <w:r>
              <w:rPr>
                <w:sz w:val="16"/>
                <w:szCs w:val="16"/>
              </w:rPr>
              <w:t>)</w:t>
            </w:r>
          </w:p>
        </w:tc>
      </w:tr>
      <w:tr w:rsidR="00A079D3" w:rsidRPr="0072322A" w14:paraId="335A5767" w14:textId="77777777" w:rsidTr="004A056C">
        <w:trPr>
          <w:trHeight w:val="290"/>
        </w:trPr>
        <w:tc>
          <w:tcPr>
            <w:tcW w:w="1001" w:type="pct"/>
            <w:tcBorders>
              <w:top w:val="single" w:sz="4" w:space="0" w:color="auto"/>
            </w:tcBorders>
            <w:shd w:val="clear" w:color="auto" w:fill="D9E2F3" w:themeFill="accent1" w:themeFillTint="33"/>
            <w:noWrap/>
            <w:hideMark/>
          </w:tcPr>
          <w:p w14:paraId="3FECF5CE" w14:textId="77777777" w:rsidR="0072322A" w:rsidRPr="0072322A" w:rsidRDefault="0072322A" w:rsidP="0072322A">
            <w:pPr>
              <w:pStyle w:val="TableBody"/>
            </w:pPr>
            <w:r w:rsidRPr="0072322A">
              <w:t>Q1</w:t>
            </w:r>
          </w:p>
        </w:tc>
        <w:tc>
          <w:tcPr>
            <w:tcW w:w="666" w:type="pct"/>
            <w:tcBorders>
              <w:top w:val="single" w:sz="4" w:space="0" w:color="auto"/>
            </w:tcBorders>
            <w:shd w:val="clear" w:color="auto" w:fill="D9E2F3" w:themeFill="accent1" w:themeFillTint="33"/>
            <w:noWrap/>
            <w:hideMark/>
          </w:tcPr>
          <w:p w14:paraId="009EB110" w14:textId="77777777" w:rsidR="0072322A" w:rsidRPr="0072322A" w:rsidRDefault="0072322A" w:rsidP="0072322A">
            <w:pPr>
              <w:pStyle w:val="TableBody"/>
              <w:jc w:val="right"/>
            </w:pPr>
            <w:r w:rsidRPr="0072322A">
              <w:t>1,532</w:t>
            </w:r>
          </w:p>
        </w:tc>
        <w:tc>
          <w:tcPr>
            <w:tcW w:w="666" w:type="pct"/>
            <w:tcBorders>
              <w:top w:val="single" w:sz="4" w:space="0" w:color="auto"/>
            </w:tcBorders>
            <w:shd w:val="clear" w:color="auto" w:fill="D9E2F3" w:themeFill="accent1" w:themeFillTint="33"/>
            <w:noWrap/>
            <w:hideMark/>
          </w:tcPr>
          <w:p w14:paraId="62FB6264" w14:textId="77777777" w:rsidR="0072322A" w:rsidRPr="0072322A" w:rsidRDefault="0072322A" w:rsidP="0072322A">
            <w:pPr>
              <w:pStyle w:val="TableBody"/>
              <w:jc w:val="right"/>
            </w:pPr>
            <w:r w:rsidRPr="0072322A">
              <w:t>1,378</w:t>
            </w:r>
          </w:p>
        </w:tc>
        <w:tc>
          <w:tcPr>
            <w:tcW w:w="667" w:type="pct"/>
            <w:tcBorders>
              <w:top w:val="single" w:sz="4" w:space="0" w:color="auto"/>
            </w:tcBorders>
            <w:shd w:val="clear" w:color="auto" w:fill="D9E2F3" w:themeFill="accent1" w:themeFillTint="33"/>
            <w:noWrap/>
            <w:hideMark/>
          </w:tcPr>
          <w:p w14:paraId="60FA7D47" w14:textId="77777777" w:rsidR="0072322A" w:rsidRPr="0072322A" w:rsidRDefault="0072322A" w:rsidP="0072322A">
            <w:pPr>
              <w:pStyle w:val="TableBody"/>
              <w:jc w:val="right"/>
            </w:pPr>
            <w:r w:rsidRPr="0072322A">
              <w:t>153</w:t>
            </w:r>
          </w:p>
        </w:tc>
        <w:tc>
          <w:tcPr>
            <w:tcW w:w="666" w:type="pct"/>
            <w:tcBorders>
              <w:top w:val="single" w:sz="4" w:space="0" w:color="auto"/>
            </w:tcBorders>
            <w:shd w:val="clear" w:color="auto" w:fill="D9E2F3" w:themeFill="accent1" w:themeFillTint="33"/>
            <w:noWrap/>
            <w:hideMark/>
          </w:tcPr>
          <w:p w14:paraId="04A50821" w14:textId="77777777" w:rsidR="0072322A" w:rsidRPr="0072322A" w:rsidRDefault="0072322A" w:rsidP="0072322A">
            <w:pPr>
              <w:pStyle w:val="TableBody"/>
              <w:jc w:val="right"/>
            </w:pPr>
            <w:r w:rsidRPr="0072322A">
              <w:t>5.91</w:t>
            </w:r>
          </w:p>
        </w:tc>
        <w:tc>
          <w:tcPr>
            <w:tcW w:w="666" w:type="pct"/>
            <w:tcBorders>
              <w:top w:val="single" w:sz="4" w:space="0" w:color="auto"/>
            </w:tcBorders>
            <w:shd w:val="clear" w:color="auto" w:fill="D9E2F3" w:themeFill="accent1" w:themeFillTint="33"/>
            <w:noWrap/>
            <w:hideMark/>
          </w:tcPr>
          <w:p w14:paraId="4A358CB7" w14:textId="77777777" w:rsidR="0072322A" w:rsidRPr="0072322A" w:rsidRDefault="0072322A" w:rsidP="0072322A">
            <w:pPr>
              <w:pStyle w:val="TableBody"/>
              <w:jc w:val="right"/>
            </w:pPr>
            <w:r w:rsidRPr="0072322A">
              <w:t>5.32</w:t>
            </w:r>
          </w:p>
        </w:tc>
        <w:tc>
          <w:tcPr>
            <w:tcW w:w="667" w:type="pct"/>
            <w:tcBorders>
              <w:top w:val="single" w:sz="4" w:space="0" w:color="auto"/>
            </w:tcBorders>
            <w:shd w:val="clear" w:color="auto" w:fill="D9E2F3" w:themeFill="accent1" w:themeFillTint="33"/>
            <w:noWrap/>
            <w:hideMark/>
          </w:tcPr>
          <w:p w14:paraId="03642133" w14:textId="77777777" w:rsidR="0072322A" w:rsidRPr="0072322A" w:rsidRDefault="0072322A" w:rsidP="0072322A">
            <w:pPr>
              <w:pStyle w:val="TableBody"/>
              <w:jc w:val="right"/>
            </w:pPr>
            <w:r w:rsidRPr="0072322A">
              <w:t>0.59</w:t>
            </w:r>
          </w:p>
        </w:tc>
      </w:tr>
      <w:tr w:rsidR="00A079D3" w:rsidRPr="0072322A" w14:paraId="1B1B85D4" w14:textId="77777777" w:rsidTr="004A056C">
        <w:trPr>
          <w:trHeight w:val="290"/>
        </w:trPr>
        <w:tc>
          <w:tcPr>
            <w:tcW w:w="1001" w:type="pct"/>
            <w:noWrap/>
            <w:hideMark/>
          </w:tcPr>
          <w:p w14:paraId="2BD7D4E6" w14:textId="77777777" w:rsidR="0072322A" w:rsidRPr="0072322A" w:rsidRDefault="0072322A" w:rsidP="0072322A">
            <w:pPr>
              <w:pStyle w:val="TableBody"/>
            </w:pPr>
            <w:r w:rsidRPr="0072322A">
              <w:t>Q2</w:t>
            </w:r>
          </w:p>
        </w:tc>
        <w:tc>
          <w:tcPr>
            <w:tcW w:w="666" w:type="pct"/>
            <w:noWrap/>
            <w:hideMark/>
          </w:tcPr>
          <w:p w14:paraId="120F442A" w14:textId="77777777" w:rsidR="0072322A" w:rsidRPr="0072322A" w:rsidRDefault="0072322A" w:rsidP="0072322A">
            <w:pPr>
              <w:pStyle w:val="TableBody"/>
              <w:jc w:val="right"/>
            </w:pPr>
            <w:r w:rsidRPr="0072322A">
              <w:t>2,768</w:t>
            </w:r>
          </w:p>
        </w:tc>
        <w:tc>
          <w:tcPr>
            <w:tcW w:w="666" w:type="pct"/>
            <w:noWrap/>
            <w:hideMark/>
          </w:tcPr>
          <w:p w14:paraId="6EB6B31B" w14:textId="77777777" w:rsidR="0072322A" w:rsidRPr="0072322A" w:rsidRDefault="0072322A" w:rsidP="0072322A">
            <w:pPr>
              <w:pStyle w:val="TableBody"/>
              <w:jc w:val="right"/>
            </w:pPr>
            <w:r w:rsidRPr="0072322A">
              <w:t>2,738</w:t>
            </w:r>
          </w:p>
        </w:tc>
        <w:tc>
          <w:tcPr>
            <w:tcW w:w="667" w:type="pct"/>
            <w:noWrap/>
            <w:hideMark/>
          </w:tcPr>
          <w:p w14:paraId="72020752" w14:textId="77777777" w:rsidR="0072322A" w:rsidRPr="0072322A" w:rsidRDefault="0072322A" w:rsidP="0072322A">
            <w:pPr>
              <w:pStyle w:val="TableBody"/>
              <w:jc w:val="right"/>
            </w:pPr>
            <w:r w:rsidRPr="0072322A">
              <w:t>31</w:t>
            </w:r>
          </w:p>
        </w:tc>
        <w:tc>
          <w:tcPr>
            <w:tcW w:w="666" w:type="pct"/>
            <w:noWrap/>
            <w:hideMark/>
          </w:tcPr>
          <w:p w14:paraId="52DFC003" w14:textId="43ED6950" w:rsidR="0072322A" w:rsidRPr="0072322A" w:rsidRDefault="0072322A" w:rsidP="0072322A">
            <w:pPr>
              <w:pStyle w:val="TableBody"/>
              <w:jc w:val="right"/>
            </w:pPr>
            <w:r w:rsidRPr="0072322A">
              <w:t>4.7</w:t>
            </w:r>
            <w:r w:rsidR="009D32D1">
              <w:t>0</w:t>
            </w:r>
          </w:p>
        </w:tc>
        <w:tc>
          <w:tcPr>
            <w:tcW w:w="666" w:type="pct"/>
            <w:noWrap/>
            <w:hideMark/>
          </w:tcPr>
          <w:p w14:paraId="6CD60A3B" w14:textId="77777777" w:rsidR="0072322A" w:rsidRPr="0072322A" w:rsidRDefault="0072322A" w:rsidP="0072322A">
            <w:pPr>
              <w:pStyle w:val="TableBody"/>
              <w:jc w:val="right"/>
            </w:pPr>
            <w:r w:rsidRPr="0072322A">
              <w:t>4.65</w:t>
            </w:r>
          </w:p>
        </w:tc>
        <w:tc>
          <w:tcPr>
            <w:tcW w:w="667" w:type="pct"/>
            <w:noWrap/>
            <w:hideMark/>
          </w:tcPr>
          <w:p w14:paraId="6A535CC9" w14:textId="77777777" w:rsidR="0072322A" w:rsidRPr="0072322A" w:rsidRDefault="0072322A" w:rsidP="0072322A">
            <w:pPr>
              <w:pStyle w:val="TableBody"/>
              <w:jc w:val="right"/>
            </w:pPr>
            <w:r w:rsidRPr="0072322A">
              <w:t>0.05</w:t>
            </w:r>
          </w:p>
        </w:tc>
      </w:tr>
      <w:tr w:rsidR="00A079D3" w:rsidRPr="0072322A" w14:paraId="2B88A9B3" w14:textId="77777777" w:rsidTr="004A056C">
        <w:trPr>
          <w:trHeight w:val="290"/>
        </w:trPr>
        <w:tc>
          <w:tcPr>
            <w:tcW w:w="1001" w:type="pct"/>
            <w:shd w:val="clear" w:color="auto" w:fill="D9E2F3" w:themeFill="accent1" w:themeFillTint="33"/>
            <w:noWrap/>
            <w:hideMark/>
          </w:tcPr>
          <w:p w14:paraId="09E9E4B2" w14:textId="77777777" w:rsidR="0072322A" w:rsidRPr="0072322A" w:rsidRDefault="0072322A" w:rsidP="0072322A">
            <w:pPr>
              <w:pStyle w:val="TableBody"/>
            </w:pPr>
            <w:r w:rsidRPr="0072322A">
              <w:t>Q3</w:t>
            </w:r>
          </w:p>
        </w:tc>
        <w:tc>
          <w:tcPr>
            <w:tcW w:w="666" w:type="pct"/>
            <w:shd w:val="clear" w:color="auto" w:fill="D9E2F3" w:themeFill="accent1" w:themeFillTint="33"/>
            <w:noWrap/>
            <w:hideMark/>
          </w:tcPr>
          <w:p w14:paraId="6CF7297F" w14:textId="77777777" w:rsidR="0072322A" w:rsidRPr="0072322A" w:rsidRDefault="0072322A" w:rsidP="0072322A">
            <w:pPr>
              <w:pStyle w:val="TableBody"/>
              <w:jc w:val="right"/>
            </w:pPr>
            <w:r w:rsidRPr="0072322A">
              <w:t>4,096</w:t>
            </w:r>
          </w:p>
        </w:tc>
        <w:tc>
          <w:tcPr>
            <w:tcW w:w="666" w:type="pct"/>
            <w:shd w:val="clear" w:color="auto" w:fill="D9E2F3" w:themeFill="accent1" w:themeFillTint="33"/>
            <w:noWrap/>
            <w:hideMark/>
          </w:tcPr>
          <w:p w14:paraId="60FFED1D" w14:textId="77777777" w:rsidR="0072322A" w:rsidRPr="0072322A" w:rsidRDefault="0072322A" w:rsidP="0072322A">
            <w:pPr>
              <w:pStyle w:val="TableBody"/>
              <w:jc w:val="right"/>
            </w:pPr>
            <w:r w:rsidRPr="0072322A">
              <w:t>4,420</w:t>
            </w:r>
          </w:p>
        </w:tc>
        <w:tc>
          <w:tcPr>
            <w:tcW w:w="667" w:type="pct"/>
            <w:shd w:val="clear" w:color="auto" w:fill="D9E2F3" w:themeFill="accent1" w:themeFillTint="33"/>
            <w:noWrap/>
            <w:hideMark/>
          </w:tcPr>
          <w:p w14:paraId="553854AA" w14:textId="77777777" w:rsidR="0072322A" w:rsidRPr="0072322A" w:rsidRDefault="0072322A" w:rsidP="0072322A">
            <w:pPr>
              <w:pStyle w:val="TableBody"/>
              <w:jc w:val="right"/>
            </w:pPr>
            <w:r w:rsidRPr="0072322A">
              <w:t>-324</w:t>
            </w:r>
          </w:p>
        </w:tc>
        <w:tc>
          <w:tcPr>
            <w:tcW w:w="666" w:type="pct"/>
            <w:shd w:val="clear" w:color="auto" w:fill="D9E2F3" w:themeFill="accent1" w:themeFillTint="33"/>
            <w:noWrap/>
            <w:hideMark/>
          </w:tcPr>
          <w:p w14:paraId="6D14E382" w14:textId="77777777" w:rsidR="0072322A" w:rsidRPr="0072322A" w:rsidRDefault="0072322A" w:rsidP="0072322A">
            <w:pPr>
              <w:pStyle w:val="TableBody"/>
              <w:jc w:val="right"/>
            </w:pPr>
            <w:r w:rsidRPr="0072322A">
              <w:t>5.07</w:t>
            </w:r>
          </w:p>
        </w:tc>
        <w:tc>
          <w:tcPr>
            <w:tcW w:w="666" w:type="pct"/>
            <w:shd w:val="clear" w:color="auto" w:fill="D9E2F3" w:themeFill="accent1" w:themeFillTint="33"/>
            <w:noWrap/>
            <w:hideMark/>
          </w:tcPr>
          <w:p w14:paraId="5568E5B1" w14:textId="77777777" w:rsidR="0072322A" w:rsidRPr="0072322A" w:rsidRDefault="0072322A" w:rsidP="0072322A">
            <w:pPr>
              <w:pStyle w:val="TableBody"/>
              <w:jc w:val="right"/>
            </w:pPr>
            <w:r w:rsidRPr="0072322A">
              <w:t>5.47</w:t>
            </w:r>
          </w:p>
        </w:tc>
        <w:tc>
          <w:tcPr>
            <w:tcW w:w="667" w:type="pct"/>
            <w:shd w:val="clear" w:color="auto" w:fill="D9E2F3" w:themeFill="accent1" w:themeFillTint="33"/>
            <w:noWrap/>
            <w:hideMark/>
          </w:tcPr>
          <w:p w14:paraId="34408DB2" w14:textId="1680D79C" w:rsidR="0072322A" w:rsidRPr="0072322A" w:rsidRDefault="0072322A" w:rsidP="0072322A">
            <w:pPr>
              <w:pStyle w:val="TableBody"/>
              <w:jc w:val="right"/>
            </w:pPr>
            <w:r w:rsidRPr="0072322A">
              <w:t>-0.4</w:t>
            </w:r>
            <w:r w:rsidR="009D32D1">
              <w:t>0</w:t>
            </w:r>
          </w:p>
        </w:tc>
      </w:tr>
      <w:tr w:rsidR="00A079D3" w:rsidRPr="0072322A" w14:paraId="20263F47" w14:textId="77777777" w:rsidTr="004A056C">
        <w:trPr>
          <w:trHeight w:val="290"/>
        </w:trPr>
        <w:tc>
          <w:tcPr>
            <w:tcW w:w="1001" w:type="pct"/>
            <w:noWrap/>
            <w:hideMark/>
          </w:tcPr>
          <w:p w14:paraId="34E30F2C" w14:textId="77777777" w:rsidR="0072322A" w:rsidRPr="0072322A" w:rsidRDefault="0072322A" w:rsidP="0072322A">
            <w:pPr>
              <w:pStyle w:val="TableBody"/>
            </w:pPr>
            <w:r w:rsidRPr="0072322A">
              <w:t>Q4</w:t>
            </w:r>
          </w:p>
        </w:tc>
        <w:tc>
          <w:tcPr>
            <w:tcW w:w="666" w:type="pct"/>
            <w:noWrap/>
            <w:hideMark/>
          </w:tcPr>
          <w:p w14:paraId="05C9C7FB" w14:textId="77777777" w:rsidR="0072322A" w:rsidRPr="0072322A" w:rsidRDefault="0072322A" w:rsidP="0072322A">
            <w:pPr>
              <w:pStyle w:val="TableBody"/>
              <w:jc w:val="right"/>
            </w:pPr>
            <w:r w:rsidRPr="0072322A">
              <w:t>5,019</w:t>
            </w:r>
          </w:p>
        </w:tc>
        <w:tc>
          <w:tcPr>
            <w:tcW w:w="666" w:type="pct"/>
            <w:noWrap/>
            <w:hideMark/>
          </w:tcPr>
          <w:p w14:paraId="2909961E" w14:textId="77777777" w:rsidR="0072322A" w:rsidRPr="0072322A" w:rsidRDefault="0072322A" w:rsidP="0072322A">
            <w:pPr>
              <w:pStyle w:val="TableBody"/>
              <w:jc w:val="right"/>
            </w:pPr>
            <w:r w:rsidRPr="0072322A">
              <w:t>5,250</w:t>
            </w:r>
          </w:p>
        </w:tc>
        <w:tc>
          <w:tcPr>
            <w:tcW w:w="667" w:type="pct"/>
            <w:noWrap/>
            <w:hideMark/>
          </w:tcPr>
          <w:p w14:paraId="6FD0BDA2" w14:textId="77777777" w:rsidR="0072322A" w:rsidRPr="0072322A" w:rsidRDefault="0072322A" w:rsidP="0072322A">
            <w:pPr>
              <w:pStyle w:val="TableBody"/>
              <w:jc w:val="right"/>
            </w:pPr>
            <w:r w:rsidRPr="0072322A">
              <w:t>-231</w:t>
            </w:r>
          </w:p>
        </w:tc>
        <w:tc>
          <w:tcPr>
            <w:tcW w:w="666" w:type="pct"/>
            <w:noWrap/>
            <w:hideMark/>
          </w:tcPr>
          <w:p w14:paraId="3607EDA8" w14:textId="77777777" w:rsidR="0072322A" w:rsidRPr="0072322A" w:rsidRDefault="0072322A" w:rsidP="0072322A">
            <w:pPr>
              <w:pStyle w:val="TableBody"/>
              <w:jc w:val="right"/>
            </w:pPr>
            <w:r w:rsidRPr="0072322A">
              <w:t>4.59</w:t>
            </w:r>
          </w:p>
        </w:tc>
        <w:tc>
          <w:tcPr>
            <w:tcW w:w="666" w:type="pct"/>
            <w:noWrap/>
            <w:hideMark/>
          </w:tcPr>
          <w:p w14:paraId="69351EF8" w14:textId="77777777" w:rsidR="0072322A" w:rsidRPr="0072322A" w:rsidRDefault="0072322A" w:rsidP="0072322A">
            <w:pPr>
              <w:pStyle w:val="TableBody"/>
              <w:jc w:val="right"/>
            </w:pPr>
            <w:r w:rsidRPr="0072322A">
              <w:t>4.79</w:t>
            </w:r>
          </w:p>
        </w:tc>
        <w:tc>
          <w:tcPr>
            <w:tcW w:w="667" w:type="pct"/>
            <w:noWrap/>
            <w:hideMark/>
          </w:tcPr>
          <w:p w14:paraId="35F2013D" w14:textId="77777777" w:rsidR="0072322A" w:rsidRPr="0072322A" w:rsidRDefault="0072322A" w:rsidP="0072322A">
            <w:pPr>
              <w:pStyle w:val="TableBody"/>
              <w:jc w:val="right"/>
            </w:pPr>
            <w:r w:rsidRPr="0072322A">
              <w:t>-0.21</w:t>
            </w:r>
          </w:p>
        </w:tc>
      </w:tr>
      <w:tr w:rsidR="00A079D3" w:rsidRPr="0072322A" w14:paraId="38142123" w14:textId="77777777" w:rsidTr="004A056C">
        <w:trPr>
          <w:trHeight w:val="290"/>
        </w:trPr>
        <w:tc>
          <w:tcPr>
            <w:tcW w:w="1001" w:type="pct"/>
            <w:shd w:val="clear" w:color="auto" w:fill="D9E2F3" w:themeFill="accent1" w:themeFillTint="33"/>
            <w:noWrap/>
            <w:hideMark/>
          </w:tcPr>
          <w:p w14:paraId="76565085" w14:textId="77777777" w:rsidR="0072322A" w:rsidRPr="0072322A" w:rsidRDefault="0072322A" w:rsidP="0072322A">
            <w:pPr>
              <w:pStyle w:val="TableBody"/>
            </w:pPr>
            <w:r w:rsidRPr="0072322A">
              <w:t>Q5</w:t>
            </w:r>
          </w:p>
        </w:tc>
        <w:tc>
          <w:tcPr>
            <w:tcW w:w="666" w:type="pct"/>
            <w:shd w:val="clear" w:color="auto" w:fill="D9E2F3" w:themeFill="accent1" w:themeFillTint="33"/>
            <w:noWrap/>
            <w:hideMark/>
          </w:tcPr>
          <w:p w14:paraId="685BF454" w14:textId="77777777" w:rsidR="0072322A" w:rsidRPr="0072322A" w:rsidRDefault="0072322A" w:rsidP="0072322A">
            <w:pPr>
              <w:pStyle w:val="TableBody"/>
              <w:jc w:val="right"/>
            </w:pPr>
            <w:r w:rsidRPr="0072322A">
              <w:t>6,511</w:t>
            </w:r>
          </w:p>
        </w:tc>
        <w:tc>
          <w:tcPr>
            <w:tcW w:w="666" w:type="pct"/>
            <w:shd w:val="clear" w:color="auto" w:fill="D9E2F3" w:themeFill="accent1" w:themeFillTint="33"/>
            <w:noWrap/>
            <w:hideMark/>
          </w:tcPr>
          <w:p w14:paraId="2AB917A7" w14:textId="77777777" w:rsidR="0072322A" w:rsidRPr="0072322A" w:rsidRDefault="0072322A" w:rsidP="0072322A">
            <w:pPr>
              <w:pStyle w:val="TableBody"/>
              <w:jc w:val="right"/>
            </w:pPr>
            <w:r w:rsidRPr="0072322A">
              <w:t>6,325</w:t>
            </w:r>
          </w:p>
        </w:tc>
        <w:tc>
          <w:tcPr>
            <w:tcW w:w="667" w:type="pct"/>
            <w:shd w:val="clear" w:color="auto" w:fill="D9E2F3" w:themeFill="accent1" w:themeFillTint="33"/>
            <w:noWrap/>
            <w:hideMark/>
          </w:tcPr>
          <w:p w14:paraId="19CD330B" w14:textId="77777777" w:rsidR="0072322A" w:rsidRPr="0072322A" w:rsidRDefault="0072322A" w:rsidP="0072322A">
            <w:pPr>
              <w:pStyle w:val="TableBody"/>
              <w:jc w:val="right"/>
            </w:pPr>
            <w:r w:rsidRPr="0072322A">
              <w:t>186</w:t>
            </w:r>
          </w:p>
        </w:tc>
        <w:tc>
          <w:tcPr>
            <w:tcW w:w="666" w:type="pct"/>
            <w:shd w:val="clear" w:color="auto" w:fill="D9E2F3" w:themeFill="accent1" w:themeFillTint="33"/>
            <w:noWrap/>
            <w:hideMark/>
          </w:tcPr>
          <w:p w14:paraId="702BEA82" w14:textId="77777777" w:rsidR="0072322A" w:rsidRPr="0072322A" w:rsidRDefault="0072322A" w:rsidP="0072322A">
            <w:pPr>
              <w:pStyle w:val="TableBody"/>
              <w:jc w:val="right"/>
            </w:pPr>
            <w:r w:rsidRPr="0072322A">
              <w:t>4.13</w:t>
            </w:r>
          </w:p>
        </w:tc>
        <w:tc>
          <w:tcPr>
            <w:tcW w:w="666" w:type="pct"/>
            <w:shd w:val="clear" w:color="auto" w:fill="D9E2F3" w:themeFill="accent1" w:themeFillTint="33"/>
            <w:noWrap/>
            <w:hideMark/>
          </w:tcPr>
          <w:p w14:paraId="5FD0824C" w14:textId="77777777" w:rsidR="0072322A" w:rsidRPr="0072322A" w:rsidRDefault="0072322A" w:rsidP="0072322A">
            <w:pPr>
              <w:pStyle w:val="TableBody"/>
              <w:jc w:val="right"/>
            </w:pPr>
            <w:r w:rsidRPr="0072322A">
              <w:t>4.01</w:t>
            </w:r>
          </w:p>
        </w:tc>
        <w:tc>
          <w:tcPr>
            <w:tcW w:w="667" w:type="pct"/>
            <w:shd w:val="clear" w:color="auto" w:fill="D9E2F3" w:themeFill="accent1" w:themeFillTint="33"/>
            <w:noWrap/>
            <w:hideMark/>
          </w:tcPr>
          <w:p w14:paraId="5D238E3A" w14:textId="77777777" w:rsidR="0072322A" w:rsidRPr="0072322A" w:rsidRDefault="0072322A" w:rsidP="0072322A">
            <w:pPr>
              <w:pStyle w:val="TableBody"/>
              <w:jc w:val="right"/>
            </w:pPr>
            <w:r w:rsidRPr="0072322A">
              <w:t>0.12</w:t>
            </w:r>
          </w:p>
        </w:tc>
      </w:tr>
      <w:tr w:rsidR="00A079D3" w:rsidRPr="0072322A" w14:paraId="0DD90A1E" w14:textId="77777777" w:rsidTr="004A056C">
        <w:trPr>
          <w:trHeight w:val="290"/>
        </w:trPr>
        <w:tc>
          <w:tcPr>
            <w:tcW w:w="1001" w:type="pct"/>
            <w:noWrap/>
            <w:hideMark/>
          </w:tcPr>
          <w:p w14:paraId="7747FBED" w14:textId="77777777" w:rsidR="0072322A" w:rsidRPr="0072322A" w:rsidRDefault="0072322A" w:rsidP="0072322A">
            <w:pPr>
              <w:pStyle w:val="TableBody"/>
            </w:pPr>
            <w:r w:rsidRPr="0072322A">
              <w:t>Low-income homeowner</w:t>
            </w:r>
          </w:p>
        </w:tc>
        <w:tc>
          <w:tcPr>
            <w:tcW w:w="666" w:type="pct"/>
            <w:noWrap/>
            <w:hideMark/>
          </w:tcPr>
          <w:p w14:paraId="1F98A67D" w14:textId="77777777" w:rsidR="0072322A" w:rsidRPr="0072322A" w:rsidRDefault="0072322A" w:rsidP="0072322A">
            <w:pPr>
              <w:pStyle w:val="TableBody"/>
              <w:jc w:val="right"/>
            </w:pPr>
            <w:r w:rsidRPr="0072322A">
              <w:t>2,051</w:t>
            </w:r>
          </w:p>
        </w:tc>
        <w:tc>
          <w:tcPr>
            <w:tcW w:w="666" w:type="pct"/>
            <w:noWrap/>
            <w:hideMark/>
          </w:tcPr>
          <w:p w14:paraId="3E37D8C2" w14:textId="77777777" w:rsidR="0072322A" w:rsidRPr="0072322A" w:rsidRDefault="0072322A" w:rsidP="0072322A">
            <w:pPr>
              <w:pStyle w:val="TableBody"/>
              <w:jc w:val="right"/>
            </w:pPr>
            <w:r w:rsidRPr="0072322A">
              <w:t>1,937</w:t>
            </w:r>
          </w:p>
        </w:tc>
        <w:tc>
          <w:tcPr>
            <w:tcW w:w="667" w:type="pct"/>
            <w:noWrap/>
            <w:hideMark/>
          </w:tcPr>
          <w:p w14:paraId="7F837206" w14:textId="77777777" w:rsidR="0072322A" w:rsidRPr="0072322A" w:rsidRDefault="0072322A" w:rsidP="0072322A">
            <w:pPr>
              <w:pStyle w:val="TableBody"/>
              <w:jc w:val="right"/>
            </w:pPr>
            <w:r w:rsidRPr="0072322A">
              <w:t>115</w:t>
            </w:r>
          </w:p>
        </w:tc>
        <w:tc>
          <w:tcPr>
            <w:tcW w:w="666" w:type="pct"/>
            <w:noWrap/>
            <w:hideMark/>
          </w:tcPr>
          <w:p w14:paraId="70BA516E" w14:textId="77777777" w:rsidR="0072322A" w:rsidRPr="0072322A" w:rsidRDefault="0072322A" w:rsidP="0072322A">
            <w:pPr>
              <w:pStyle w:val="TableBody"/>
              <w:jc w:val="right"/>
            </w:pPr>
            <w:r w:rsidRPr="0072322A">
              <w:t>4.84</w:t>
            </w:r>
          </w:p>
        </w:tc>
        <w:tc>
          <w:tcPr>
            <w:tcW w:w="666" w:type="pct"/>
            <w:noWrap/>
            <w:hideMark/>
          </w:tcPr>
          <w:p w14:paraId="36D2CF8A" w14:textId="77777777" w:rsidR="0072322A" w:rsidRPr="0072322A" w:rsidRDefault="0072322A" w:rsidP="0072322A">
            <w:pPr>
              <w:pStyle w:val="TableBody"/>
              <w:jc w:val="right"/>
            </w:pPr>
            <w:r w:rsidRPr="0072322A">
              <w:t>4.57</w:t>
            </w:r>
          </w:p>
        </w:tc>
        <w:tc>
          <w:tcPr>
            <w:tcW w:w="667" w:type="pct"/>
            <w:noWrap/>
            <w:hideMark/>
          </w:tcPr>
          <w:p w14:paraId="5070AE3C" w14:textId="77777777" w:rsidR="0072322A" w:rsidRPr="0072322A" w:rsidRDefault="0072322A" w:rsidP="0072322A">
            <w:pPr>
              <w:pStyle w:val="TableBody"/>
              <w:jc w:val="right"/>
            </w:pPr>
            <w:r w:rsidRPr="0072322A">
              <w:t>0.27</w:t>
            </w:r>
          </w:p>
        </w:tc>
      </w:tr>
      <w:tr w:rsidR="00A079D3" w:rsidRPr="0072322A" w14:paraId="48B06F2E" w14:textId="77777777" w:rsidTr="004A056C">
        <w:trPr>
          <w:trHeight w:val="290"/>
        </w:trPr>
        <w:tc>
          <w:tcPr>
            <w:tcW w:w="1001" w:type="pct"/>
            <w:shd w:val="clear" w:color="auto" w:fill="D9E2F3" w:themeFill="accent1" w:themeFillTint="33"/>
            <w:noWrap/>
            <w:hideMark/>
          </w:tcPr>
          <w:p w14:paraId="5A65DDF7" w14:textId="77777777" w:rsidR="0072322A" w:rsidRPr="0072322A" w:rsidRDefault="0072322A" w:rsidP="0072322A">
            <w:pPr>
              <w:pStyle w:val="TableBody"/>
            </w:pPr>
            <w:r w:rsidRPr="0072322A">
              <w:t>Pensioner homeowner</w:t>
            </w:r>
          </w:p>
        </w:tc>
        <w:tc>
          <w:tcPr>
            <w:tcW w:w="666" w:type="pct"/>
            <w:shd w:val="clear" w:color="auto" w:fill="D9E2F3" w:themeFill="accent1" w:themeFillTint="33"/>
            <w:noWrap/>
            <w:hideMark/>
          </w:tcPr>
          <w:p w14:paraId="110127FF" w14:textId="77777777" w:rsidR="0072322A" w:rsidRPr="0072322A" w:rsidRDefault="0072322A" w:rsidP="0072322A">
            <w:pPr>
              <w:pStyle w:val="TableBody"/>
              <w:jc w:val="right"/>
            </w:pPr>
            <w:r w:rsidRPr="0072322A">
              <w:t>2,346</w:t>
            </w:r>
          </w:p>
        </w:tc>
        <w:tc>
          <w:tcPr>
            <w:tcW w:w="666" w:type="pct"/>
            <w:shd w:val="clear" w:color="auto" w:fill="D9E2F3" w:themeFill="accent1" w:themeFillTint="33"/>
            <w:noWrap/>
            <w:hideMark/>
          </w:tcPr>
          <w:p w14:paraId="74681E40" w14:textId="77777777" w:rsidR="0072322A" w:rsidRPr="0072322A" w:rsidRDefault="0072322A" w:rsidP="0072322A">
            <w:pPr>
              <w:pStyle w:val="TableBody"/>
              <w:jc w:val="right"/>
            </w:pPr>
            <w:r w:rsidRPr="0072322A">
              <w:t>1,988</w:t>
            </w:r>
          </w:p>
        </w:tc>
        <w:tc>
          <w:tcPr>
            <w:tcW w:w="667" w:type="pct"/>
            <w:shd w:val="clear" w:color="auto" w:fill="D9E2F3" w:themeFill="accent1" w:themeFillTint="33"/>
            <w:noWrap/>
            <w:hideMark/>
          </w:tcPr>
          <w:p w14:paraId="595D7B6E" w14:textId="77777777" w:rsidR="0072322A" w:rsidRPr="0072322A" w:rsidRDefault="0072322A" w:rsidP="0072322A">
            <w:pPr>
              <w:pStyle w:val="TableBody"/>
              <w:jc w:val="right"/>
            </w:pPr>
            <w:r w:rsidRPr="0072322A">
              <w:t>359</w:t>
            </w:r>
          </w:p>
        </w:tc>
        <w:tc>
          <w:tcPr>
            <w:tcW w:w="666" w:type="pct"/>
            <w:shd w:val="clear" w:color="auto" w:fill="D9E2F3" w:themeFill="accent1" w:themeFillTint="33"/>
            <w:noWrap/>
            <w:hideMark/>
          </w:tcPr>
          <w:p w14:paraId="7255004D" w14:textId="77777777" w:rsidR="0072322A" w:rsidRPr="0072322A" w:rsidRDefault="0072322A" w:rsidP="0072322A">
            <w:pPr>
              <w:pStyle w:val="TableBody"/>
              <w:jc w:val="right"/>
            </w:pPr>
            <w:r w:rsidRPr="0072322A">
              <w:t>4.04</w:t>
            </w:r>
          </w:p>
        </w:tc>
        <w:tc>
          <w:tcPr>
            <w:tcW w:w="666" w:type="pct"/>
            <w:shd w:val="clear" w:color="auto" w:fill="D9E2F3" w:themeFill="accent1" w:themeFillTint="33"/>
            <w:noWrap/>
            <w:hideMark/>
          </w:tcPr>
          <w:p w14:paraId="41F985E7" w14:textId="77777777" w:rsidR="0072322A" w:rsidRPr="0072322A" w:rsidRDefault="0072322A" w:rsidP="0072322A">
            <w:pPr>
              <w:pStyle w:val="TableBody"/>
              <w:jc w:val="right"/>
            </w:pPr>
            <w:r w:rsidRPr="0072322A">
              <w:t>3.42</w:t>
            </w:r>
          </w:p>
        </w:tc>
        <w:tc>
          <w:tcPr>
            <w:tcW w:w="667" w:type="pct"/>
            <w:shd w:val="clear" w:color="auto" w:fill="D9E2F3" w:themeFill="accent1" w:themeFillTint="33"/>
            <w:noWrap/>
            <w:hideMark/>
          </w:tcPr>
          <w:p w14:paraId="1C92D98B" w14:textId="77777777" w:rsidR="0072322A" w:rsidRPr="0072322A" w:rsidRDefault="0072322A" w:rsidP="0072322A">
            <w:pPr>
              <w:pStyle w:val="TableBody"/>
              <w:jc w:val="right"/>
            </w:pPr>
            <w:r w:rsidRPr="0072322A">
              <w:t>0.62</w:t>
            </w:r>
          </w:p>
        </w:tc>
      </w:tr>
      <w:tr w:rsidR="00A079D3" w:rsidRPr="0072322A" w14:paraId="13BF164E" w14:textId="77777777" w:rsidTr="004A056C">
        <w:trPr>
          <w:trHeight w:val="290"/>
        </w:trPr>
        <w:tc>
          <w:tcPr>
            <w:tcW w:w="1001" w:type="pct"/>
            <w:tcBorders>
              <w:bottom w:val="single" w:sz="4" w:space="0" w:color="auto"/>
            </w:tcBorders>
            <w:noWrap/>
            <w:hideMark/>
          </w:tcPr>
          <w:p w14:paraId="33A60EB4" w14:textId="77777777" w:rsidR="0072322A" w:rsidRPr="0072322A" w:rsidRDefault="0072322A" w:rsidP="0072322A">
            <w:pPr>
              <w:pStyle w:val="TableBody"/>
            </w:pPr>
            <w:r w:rsidRPr="0072322A">
              <w:t>Female-headed homeowner</w:t>
            </w:r>
          </w:p>
        </w:tc>
        <w:tc>
          <w:tcPr>
            <w:tcW w:w="666" w:type="pct"/>
            <w:tcBorders>
              <w:bottom w:val="single" w:sz="4" w:space="0" w:color="auto"/>
            </w:tcBorders>
            <w:noWrap/>
            <w:hideMark/>
          </w:tcPr>
          <w:p w14:paraId="048EE4D0" w14:textId="77777777" w:rsidR="0072322A" w:rsidRPr="0072322A" w:rsidRDefault="0072322A" w:rsidP="0072322A">
            <w:pPr>
              <w:pStyle w:val="TableBody"/>
              <w:jc w:val="right"/>
            </w:pPr>
            <w:r w:rsidRPr="0072322A">
              <w:t>3,365</w:t>
            </w:r>
          </w:p>
        </w:tc>
        <w:tc>
          <w:tcPr>
            <w:tcW w:w="666" w:type="pct"/>
            <w:tcBorders>
              <w:bottom w:val="single" w:sz="4" w:space="0" w:color="auto"/>
            </w:tcBorders>
            <w:noWrap/>
            <w:hideMark/>
          </w:tcPr>
          <w:p w14:paraId="78ECB5BC" w14:textId="77777777" w:rsidR="0072322A" w:rsidRPr="0072322A" w:rsidRDefault="0072322A" w:rsidP="0072322A">
            <w:pPr>
              <w:pStyle w:val="TableBody"/>
              <w:jc w:val="right"/>
            </w:pPr>
            <w:r w:rsidRPr="0072322A">
              <w:t>3,283</w:t>
            </w:r>
          </w:p>
        </w:tc>
        <w:tc>
          <w:tcPr>
            <w:tcW w:w="667" w:type="pct"/>
            <w:tcBorders>
              <w:bottom w:val="single" w:sz="4" w:space="0" w:color="auto"/>
            </w:tcBorders>
            <w:noWrap/>
            <w:hideMark/>
          </w:tcPr>
          <w:p w14:paraId="2C04D3A7" w14:textId="77777777" w:rsidR="0072322A" w:rsidRPr="0072322A" w:rsidRDefault="0072322A" w:rsidP="0072322A">
            <w:pPr>
              <w:pStyle w:val="TableBody"/>
              <w:jc w:val="right"/>
            </w:pPr>
            <w:r w:rsidRPr="0072322A">
              <w:t>82</w:t>
            </w:r>
          </w:p>
        </w:tc>
        <w:tc>
          <w:tcPr>
            <w:tcW w:w="666" w:type="pct"/>
            <w:tcBorders>
              <w:bottom w:val="single" w:sz="4" w:space="0" w:color="auto"/>
            </w:tcBorders>
            <w:noWrap/>
            <w:hideMark/>
          </w:tcPr>
          <w:p w14:paraId="503865F0" w14:textId="77777777" w:rsidR="0072322A" w:rsidRPr="0072322A" w:rsidRDefault="0072322A" w:rsidP="0072322A">
            <w:pPr>
              <w:pStyle w:val="TableBody"/>
              <w:jc w:val="right"/>
            </w:pPr>
            <w:r w:rsidRPr="0072322A">
              <w:t>4.18</w:t>
            </w:r>
          </w:p>
        </w:tc>
        <w:tc>
          <w:tcPr>
            <w:tcW w:w="666" w:type="pct"/>
            <w:tcBorders>
              <w:bottom w:val="single" w:sz="4" w:space="0" w:color="auto"/>
            </w:tcBorders>
            <w:noWrap/>
            <w:hideMark/>
          </w:tcPr>
          <w:p w14:paraId="1EAB91D7" w14:textId="77777777" w:rsidR="0072322A" w:rsidRPr="0072322A" w:rsidRDefault="0072322A" w:rsidP="0072322A">
            <w:pPr>
              <w:pStyle w:val="TableBody"/>
              <w:jc w:val="right"/>
            </w:pPr>
            <w:r w:rsidRPr="0072322A">
              <w:t>4.08</w:t>
            </w:r>
          </w:p>
        </w:tc>
        <w:tc>
          <w:tcPr>
            <w:tcW w:w="667" w:type="pct"/>
            <w:tcBorders>
              <w:bottom w:val="single" w:sz="4" w:space="0" w:color="auto"/>
            </w:tcBorders>
            <w:noWrap/>
            <w:hideMark/>
          </w:tcPr>
          <w:p w14:paraId="37069CEE" w14:textId="05EDFFF4" w:rsidR="0072322A" w:rsidRPr="0072322A" w:rsidRDefault="0072322A" w:rsidP="0072322A">
            <w:pPr>
              <w:pStyle w:val="TableBody"/>
              <w:jc w:val="right"/>
            </w:pPr>
            <w:r w:rsidRPr="0072322A">
              <w:t>0.1</w:t>
            </w:r>
            <w:r w:rsidR="009D32D1">
              <w:t>0</w:t>
            </w:r>
          </w:p>
        </w:tc>
      </w:tr>
    </w:tbl>
    <w:p w14:paraId="2127C54F" w14:textId="77777777" w:rsidR="000D0E21" w:rsidRDefault="000D0E21" w:rsidP="00E902D0">
      <w:pPr>
        <w:pStyle w:val="BodyText"/>
      </w:pPr>
    </w:p>
    <w:p w14:paraId="48CB8FF0" w14:textId="13D8CA77" w:rsidR="00F046A4" w:rsidRDefault="006F50E1" w:rsidP="00E902D0">
      <w:pPr>
        <w:pStyle w:val="BodyText"/>
      </w:pPr>
      <w:r>
        <w:lastRenderedPageBreak/>
        <w:t>Examples</w:t>
      </w:r>
      <w:r w:rsidR="00F046A4">
        <w:t xml:space="preserve"> prepared as part of the 2019-20 ACT Budget</w:t>
      </w:r>
      <w:r w:rsidR="007A59BD">
        <w:t>’s cost of living analysis</w:t>
      </w:r>
      <w:r w:rsidR="00F046A4">
        <w:t xml:space="preserve"> </w:t>
      </w:r>
      <w:r w:rsidR="00C471EE">
        <w:t>found</w:t>
      </w:r>
      <w:r w:rsidR="00F046A4">
        <w:t xml:space="preserve"> that </w:t>
      </w:r>
      <w:r w:rsidR="006078E0">
        <w:t xml:space="preserve">general rates could </w:t>
      </w:r>
      <w:r w:rsidR="00242583">
        <w:t xml:space="preserve">now </w:t>
      </w:r>
      <w:r w:rsidR="001A4B71">
        <w:t xml:space="preserve">account for </w:t>
      </w:r>
      <w:r w:rsidR="007B249C">
        <w:t xml:space="preserve">between </w:t>
      </w:r>
      <w:r w:rsidR="00F113D3">
        <w:t xml:space="preserve">5.24% to </w:t>
      </w:r>
      <w:r w:rsidR="001A4B71">
        <w:t>15.</w:t>
      </w:r>
      <w:r w:rsidR="00F113D3">
        <w:t>6</w:t>
      </w:r>
      <w:r w:rsidR="001A4B71">
        <w:t xml:space="preserve">4% of </w:t>
      </w:r>
      <w:r w:rsidR="009C0439">
        <w:t>the income of a</w:t>
      </w:r>
      <w:r w:rsidR="006078E0">
        <w:t xml:space="preserve"> single </w:t>
      </w:r>
      <w:r w:rsidR="00A102DF">
        <w:t>aged pension</w:t>
      </w:r>
      <w:r w:rsidR="009C0439">
        <w:t xml:space="preserve">er </w:t>
      </w:r>
      <w:r w:rsidR="000D7BE6">
        <w:t>who owns a house</w:t>
      </w:r>
      <w:r w:rsidR="007B249C">
        <w:t>.</w:t>
      </w:r>
      <w:r w:rsidR="007402DD">
        <w:rPr>
          <w:rStyle w:val="FootnoteReference"/>
        </w:rPr>
        <w:footnoteReference w:id="61"/>
      </w:r>
      <w:r w:rsidR="00B1295C">
        <w:t xml:space="preserve"> </w:t>
      </w:r>
      <w:r w:rsidR="00AD6227">
        <w:t xml:space="preserve">This </w:t>
      </w:r>
      <w:r w:rsidR="000631B7">
        <w:t>was</w:t>
      </w:r>
      <w:r w:rsidR="00AD6227">
        <w:t xml:space="preserve"> aft</w:t>
      </w:r>
      <w:r w:rsidR="007C5885">
        <w:t>er applying the</w:t>
      </w:r>
      <w:r w:rsidR="000A7AD6">
        <w:t xml:space="preserve"> ACT Government’s pensioner</w:t>
      </w:r>
      <w:r w:rsidR="007C5885">
        <w:t xml:space="preserve"> rates rebate of 50% capped at $700.</w:t>
      </w:r>
      <w:r w:rsidR="007A59BD">
        <w:rPr>
          <w:rStyle w:val="FootnoteReference"/>
        </w:rPr>
        <w:footnoteReference w:id="62"/>
      </w:r>
      <w:r w:rsidR="00914436">
        <w:t xml:space="preserve"> </w:t>
      </w:r>
      <w:r w:rsidR="00E67B83">
        <w:t>Owner-occupiers</w:t>
      </w:r>
      <w:r w:rsidR="00914436">
        <w:t xml:space="preserve"> can also</w:t>
      </w:r>
      <w:r w:rsidR="00E67B83">
        <w:t xml:space="preserve"> apply for a rates deferral if they are </w:t>
      </w:r>
      <w:r w:rsidR="00ED5FDB">
        <w:t>a pensioner</w:t>
      </w:r>
      <w:r w:rsidR="00C87F82">
        <w:t>, aged over 65,</w:t>
      </w:r>
      <w:r w:rsidR="00ED5FDB">
        <w:t xml:space="preserve"> or </w:t>
      </w:r>
      <w:r w:rsidR="00C87F82">
        <w:t xml:space="preserve">are </w:t>
      </w:r>
      <w:r w:rsidR="00AA2D00" w:rsidRPr="00AA2D00">
        <w:t>suffering significant financial hardship</w:t>
      </w:r>
      <w:r w:rsidR="00AA2D00">
        <w:t>, with</w:t>
      </w:r>
      <w:r w:rsidR="00D73AED">
        <w:t xml:space="preserve"> simple interest applied to the deferred amount</w:t>
      </w:r>
      <w:r w:rsidR="00AA2D00">
        <w:t xml:space="preserve">. </w:t>
      </w:r>
      <w:r w:rsidR="00B55BFC">
        <w:t>Ratepayers aged</w:t>
      </w:r>
      <w:r w:rsidR="00AA2D00" w:rsidRPr="00AA2D00">
        <w:t xml:space="preserve"> 65 or over </w:t>
      </w:r>
      <w:r w:rsidR="00B55BFC">
        <w:t xml:space="preserve">who </w:t>
      </w:r>
      <w:r w:rsidR="00AA2D00" w:rsidRPr="00AA2D00">
        <w:t>own at least 75</w:t>
      </w:r>
      <w:r w:rsidR="00BC18E8">
        <w:t>%</w:t>
      </w:r>
      <w:r w:rsidR="00AA2D00" w:rsidRPr="00AA2D00">
        <w:t xml:space="preserve"> equity in </w:t>
      </w:r>
      <w:r w:rsidR="00B55BFC">
        <w:t xml:space="preserve">their </w:t>
      </w:r>
      <w:r w:rsidR="00AA2D00" w:rsidRPr="00AA2D00">
        <w:t>home</w:t>
      </w:r>
      <w:r w:rsidR="00B55BFC">
        <w:t xml:space="preserve"> </w:t>
      </w:r>
      <w:r w:rsidR="00AA2D00" w:rsidRPr="00AA2D00">
        <w:t xml:space="preserve">can indefinitely defer </w:t>
      </w:r>
      <w:r w:rsidR="00B55BFC">
        <w:t>their</w:t>
      </w:r>
      <w:r w:rsidR="00AA2D00" w:rsidRPr="00AA2D00">
        <w:t xml:space="preserve"> rates charges until such time as </w:t>
      </w:r>
      <w:r w:rsidR="00B55BFC">
        <w:t>their</w:t>
      </w:r>
      <w:r w:rsidR="00AA2D00" w:rsidRPr="00AA2D00">
        <w:t xml:space="preserve"> property is sold.</w:t>
      </w:r>
      <w:r w:rsidR="00EB2500">
        <w:rPr>
          <w:rStyle w:val="FootnoteReference"/>
        </w:rPr>
        <w:footnoteReference w:id="63"/>
      </w:r>
      <w:r w:rsidR="008927ED">
        <w:t xml:space="preserve"> </w:t>
      </w:r>
      <w:r w:rsidR="008927ED" w:rsidRPr="008927ED">
        <w:t>As part of the ACT Government</w:t>
      </w:r>
      <w:r w:rsidR="008927ED">
        <w:t>’s</w:t>
      </w:r>
      <w:r w:rsidR="008927ED" w:rsidRPr="008927ED">
        <w:t xml:space="preserve"> COVID-19 Economic Survival Package the deferral of rates payments </w:t>
      </w:r>
      <w:r w:rsidR="00EA6180">
        <w:t xml:space="preserve">has been made available </w:t>
      </w:r>
      <w:r w:rsidR="008927ED" w:rsidRPr="008927ED">
        <w:t xml:space="preserve">to families experiencing financial hardship </w:t>
      </w:r>
      <w:r w:rsidR="00EE44A4" w:rsidRPr="008927ED">
        <w:t>because of</w:t>
      </w:r>
      <w:r w:rsidR="008927ED" w:rsidRPr="008927ED">
        <w:t xml:space="preserve"> the COVID-19 pandemic. This deferral is available for </w:t>
      </w:r>
      <w:r w:rsidR="00EA6180">
        <w:t>one</w:t>
      </w:r>
      <w:r w:rsidR="008927ED" w:rsidRPr="008927ED">
        <w:t xml:space="preserve"> year from the date of application and includes current charges and any arrears,</w:t>
      </w:r>
      <w:r w:rsidR="00CD7540">
        <w:t xml:space="preserve"> and</w:t>
      </w:r>
      <w:r w:rsidR="008927ED" w:rsidRPr="008927ED">
        <w:t xml:space="preserve"> no interest will be charged during the deferral period.</w:t>
      </w:r>
      <w:r w:rsidR="0088687D" w:rsidRPr="0088687D">
        <w:t xml:space="preserve"> </w:t>
      </w:r>
      <w:r w:rsidR="00D50318">
        <w:t>Under this package, f</w:t>
      </w:r>
      <w:r w:rsidR="0088687D" w:rsidRPr="0088687D">
        <w:t xml:space="preserve">rom 1 July 2020, a rates rebate of $150 will be </w:t>
      </w:r>
      <w:r w:rsidR="00C844E1" w:rsidRPr="00C844E1">
        <w:t>automatically applied to 2020-21 rates bill</w:t>
      </w:r>
      <w:r w:rsidR="00C844E1">
        <w:t>s</w:t>
      </w:r>
      <w:r w:rsidR="00C844E1" w:rsidRPr="00C844E1">
        <w:t xml:space="preserve"> </w:t>
      </w:r>
      <w:r w:rsidR="00C844E1">
        <w:t>for</w:t>
      </w:r>
      <w:r w:rsidR="0088687D" w:rsidRPr="0088687D">
        <w:t xml:space="preserve"> all residential properties in the ACT</w:t>
      </w:r>
      <w:r w:rsidR="00C844E1">
        <w:t>.</w:t>
      </w:r>
      <w:r w:rsidR="00C844E1" w:rsidRPr="00C844E1">
        <w:t xml:space="preserve"> </w:t>
      </w:r>
    </w:p>
    <w:p w14:paraId="7C366592" w14:textId="420D34DB" w:rsidR="009A4338" w:rsidRDefault="00B772BC" w:rsidP="00E902D0">
      <w:pPr>
        <w:pStyle w:val="BodyText"/>
      </w:pPr>
      <w:r>
        <w:t>Land taxes are a</w:t>
      </w:r>
      <w:r w:rsidRPr="00B772BC">
        <w:t xml:space="preserve"> </w:t>
      </w:r>
      <w:r w:rsidR="00F729C4">
        <w:t>critical means through which</w:t>
      </w:r>
      <w:r w:rsidRPr="00B772BC">
        <w:t xml:space="preserve"> the ACT Government can raise revenue to pay for essential community services and infrastructure. </w:t>
      </w:r>
      <w:r w:rsidR="008814DB">
        <w:t>Based</w:t>
      </w:r>
      <w:r w:rsidR="00834156">
        <w:t xml:space="preserve"> on </w:t>
      </w:r>
      <w:r w:rsidR="008814DB">
        <w:t xml:space="preserve">the proportion of </w:t>
      </w:r>
      <w:r w:rsidR="00834156">
        <w:t>income</w:t>
      </w:r>
      <w:r w:rsidR="008814DB">
        <w:t xml:space="preserve"> households</w:t>
      </w:r>
      <w:r w:rsidR="00B873D2">
        <w:t xml:space="preserve"> in different quintiles </w:t>
      </w:r>
      <w:r w:rsidR="008814DB">
        <w:t>spend</w:t>
      </w:r>
      <w:r w:rsidR="00B011AA">
        <w:t xml:space="preserve"> on stamp duty and general rates</w:t>
      </w:r>
      <w:r w:rsidR="00390E78">
        <w:t xml:space="preserve">, </w:t>
      </w:r>
      <w:r w:rsidR="00B22191">
        <w:t xml:space="preserve">the </w:t>
      </w:r>
      <w:r w:rsidR="00EA1C44" w:rsidRPr="00EA1C44">
        <w:t xml:space="preserve">ACT Government’s tax reform </w:t>
      </w:r>
      <w:r w:rsidR="0005761B">
        <w:t>program</w:t>
      </w:r>
      <w:r w:rsidR="00EA1C44" w:rsidRPr="00EA1C44">
        <w:t xml:space="preserve"> </w:t>
      </w:r>
      <w:r w:rsidR="00365CD9">
        <w:t xml:space="preserve">does not appear to have </w:t>
      </w:r>
      <w:r w:rsidR="00CE14AA">
        <w:t xml:space="preserve">made </w:t>
      </w:r>
      <w:r w:rsidR="00B22191">
        <w:t xml:space="preserve">the system </w:t>
      </w:r>
      <w:r w:rsidR="00EA1C44">
        <w:t xml:space="preserve">more progressive. </w:t>
      </w:r>
      <w:r w:rsidR="00365CD9">
        <w:t>Overall, t</w:t>
      </w:r>
      <w:r w:rsidR="004E345E">
        <w:t>he</w:t>
      </w:r>
      <w:r w:rsidR="00D33C48">
        <w:t xml:space="preserve"> reforms</w:t>
      </w:r>
      <w:r w:rsidR="004E345E">
        <w:t xml:space="preserve"> appear to </w:t>
      </w:r>
      <w:r w:rsidR="007A71F0">
        <w:t xml:space="preserve">have left low-income </w:t>
      </w:r>
      <w:r w:rsidR="00F91395">
        <w:t>owner-occupier households</w:t>
      </w:r>
      <w:r w:rsidR="007A71F0">
        <w:t xml:space="preserve"> slightly worse off</w:t>
      </w:r>
      <w:r w:rsidR="006309EC">
        <w:t xml:space="preserve">. </w:t>
      </w:r>
      <w:r w:rsidR="00940FCC">
        <w:t>Rates rebates and deferrals</w:t>
      </w:r>
      <w:r w:rsidR="00634D06">
        <w:t xml:space="preserve"> for pensioners</w:t>
      </w:r>
      <w:r w:rsidR="00AB05CB">
        <w:t xml:space="preserve"> and others</w:t>
      </w:r>
      <w:r w:rsidR="00940FCC">
        <w:t xml:space="preserve"> </w:t>
      </w:r>
      <w:r w:rsidR="00E5507B">
        <w:t>are welcome measures</w:t>
      </w:r>
      <w:r w:rsidR="003D4044">
        <w:t xml:space="preserve"> that the ACT Government has used to try to address</w:t>
      </w:r>
      <w:r w:rsidR="004571BA">
        <w:t xml:space="preserve"> </w:t>
      </w:r>
      <w:r w:rsidR="00812682">
        <w:t xml:space="preserve">the impact of </w:t>
      </w:r>
      <w:r w:rsidR="00B349BA">
        <w:t xml:space="preserve">increases in general rates, but they </w:t>
      </w:r>
      <w:r w:rsidR="00812682">
        <w:t>do not appear to have</w:t>
      </w:r>
      <w:r w:rsidR="00B349BA">
        <w:t xml:space="preserve"> been sufficient to make the new tax system progressive</w:t>
      </w:r>
      <w:r w:rsidR="00C07C75">
        <w:t xml:space="preserve"> or the</w:t>
      </w:r>
      <w:r w:rsidR="008639E0">
        <w:t>se</w:t>
      </w:r>
      <w:r w:rsidR="00C07C75">
        <w:t xml:space="preserve"> taxes more affordable for low-income households</w:t>
      </w:r>
      <w:r w:rsidR="00D816D9">
        <w:t>.</w:t>
      </w:r>
      <w:r w:rsidR="00940FCC">
        <w:t xml:space="preserve"> </w:t>
      </w:r>
    </w:p>
    <w:p w14:paraId="31ECB220" w14:textId="71296FD0" w:rsidR="0056594D" w:rsidRDefault="002D64C8" w:rsidP="00E902D0">
      <w:pPr>
        <w:pStyle w:val="BodyText"/>
      </w:pPr>
      <w:r>
        <w:t>T</w:t>
      </w:r>
      <w:r w:rsidR="0023525F">
        <w:t xml:space="preserve">here </w:t>
      </w:r>
      <w:r>
        <w:t>needs</w:t>
      </w:r>
      <w:r w:rsidR="002D6F33">
        <w:t xml:space="preserve"> to be close and careful monitoring of </w:t>
      </w:r>
      <w:r w:rsidR="00940FCC">
        <w:t xml:space="preserve">the impact </w:t>
      </w:r>
      <w:r w:rsidR="00634D06">
        <w:t xml:space="preserve">of </w:t>
      </w:r>
      <w:r w:rsidR="00E156DA">
        <w:t xml:space="preserve">this </w:t>
      </w:r>
      <w:r w:rsidR="00634D06">
        <w:t xml:space="preserve">tax reform </w:t>
      </w:r>
      <w:r w:rsidR="00940FCC">
        <w:t xml:space="preserve">on low-income homeowners </w:t>
      </w:r>
      <w:r w:rsidR="00AC625D">
        <w:t xml:space="preserve">for whom </w:t>
      </w:r>
      <w:r w:rsidR="002A3D69">
        <w:t>general rates</w:t>
      </w:r>
      <w:r w:rsidR="00604783">
        <w:t xml:space="preserve"> may </w:t>
      </w:r>
      <w:r w:rsidR="00AC625D">
        <w:t xml:space="preserve">account for a </w:t>
      </w:r>
      <w:r w:rsidR="00924F0C">
        <w:t xml:space="preserve">significant </w:t>
      </w:r>
      <w:r w:rsidR="00AD04E5">
        <w:t xml:space="preserve">and growing </w:t>
      </w:r>
      <w:r w:rsidR="00AC625D">
        <w:t>proportion of household income</w:t>
      </w:r>
      <w:r w:rsidR="002A3D69">
        <w:t>.</w:t>
      </w:r>
      <w:r w:rsidR="00846A7F">
        <w:t xml:space="preserve"> </w:t>
      </w:r>
      <w:r w:rsidR="00992EAA">
        <w:t xml:space="preserve">This is </w:t>
      </w:r>
      <w:r w:rsidR="008B144E">
        <w:t>especially</w:t>
      </w:r>
      <w:r w:rsidR="00992EAA">
        <w:t xml:space="preserve"> a concern for </w:t>
      </w:r>
      <w:r w:rsidR="003B7871">
        <w:t xml:space="preserve">those </w:t>
      </w:r>
      <w:r w:rsidR="002F4F2A">
        <w:t xml:space="preserve">low-income </w:t>
      </w:r>
      <w:r w:rsidR="00992EAA">
        <w:t xml:space="preserve">households </w:t>
      </w:r>
      <w:r w:rsidR="00692E56">
        <w:t>that</w:t>
      </w:r>
      <w:r w:rsidR="00992EAA">
        <w:t xml:space="preserve"> are </w:t>
      </w:r>
      <w:r w:rsidR="0027090D">
        <w:t>un</w:t>
      </w:r>
      <w:r w:rsidR="002958CC">
        <w:t xml:space="preserve">likely to </w:t>
      </w:r>
      <w:r w:rsidR="0027090D">
        <w:t>benefit from</w:t>
      </w:r>
      <w:r w:rsidR="00992EAA">
        <w:t xml:space="preserve"> </w:t>
      </w:r>
      <w:r w:rsidR="00692E56">
        <w:t xml:space="preserve">the reduction or removal of stamp duty. </w:t>
      </w:r>
      <w:r w:rsidR="00DA78F9">
        <w:t>S</w:t>
      </w:r>
      <w:r w:rsidR="00846A7F">
        <w:t xml:space="preserve">ingle parent households which are predominantly </w:t>
      </w:r>
      <w:r w:rsidR="00527F5D">
        <w:t>headed by women</w:t>
      </w:r>
      <w:r w:rsidR="00DA78F9">
        <w:t xml:space="preserve"> appear to be a key at-risk group</w:t>
      </w:r>
      <w:r w:rsidR="00CE6E4C">
        <w:t xml:space="preserve">, as are older </w:t>
      </w:r>
      <w:r w:rsidR="0030152E">
        <w:t>owner-occupiers</w:t>
      </w:r>
      <w:r w:rsidR="00654BD5">
        <w:t xml:space="preserve"> on low or fixed incomes</w:t>
      </w:r>
      <w:r w:rsidR="00D35C8A">
        <w:t>.</w:t>
      </w:r>
      <w:r w:rsidR="002F4F2A">
        <w:t xml:space="preserve"> </w:t>
      </w:r>
      <w:r w:rsidR="0034723E">
        <w:t xml:space="preserve">Consideration </w:t>
      </w:r>
      <w:r w:rsidR="00025C1D">
        <w:t>needs to</w:t>
      </w:r>
      <w:r w:rsidR="0034723E">
        <w:t xml:space="preserve"> be given to additional measures </w:t>
      </w:r>
      <w:r w:rsidR="00655CE2">
        <w:t xml:space="preserve">that could be introduced </w:t>
      </w:r>
      <w:r w:rsidR="00974A87">
        <w:t xml:space="preserve">to </w:t>
      </w:r>
      <w:r w:rsidR="00655A56">
        <w:t xml:space="preserve">ensure that </w:t>
      </w:r>
      <w:r w:rsidR="00655CE2">
        <w:t>low-income households are not paying a larger proportion of their income on</w:t>
      </w:r>
      <w:r w:rsidR="00654BD5">
        <w:t xml:space="preserve"> general rates </w:t>
      </w:r>
      <w:r w:rsidR="00053BCE">
        <w:t>than high-income households</w:t>
      </w:r>
      <w:r w:rsidR="009746CE">
        <w:t>.</w:t>
      </w:r>
      <w:r w:rsidR="00877760">
        <w:t xml:space="preserve"> </w:t>
      </w:r>
      <w:r w:rsidR="00C0359B">
        <w:t xml:space="preserve"> </w:t>
      </w:r>
      <w:r w:rsidR="00022E99">
        <w:t xml:space="preserve"> </w:t>
      </w:r>
      <w:r w:rsidR="00C436F4">
        <w:t xml:space="preserve"> </w:t>
      </w:r>
      <w:r w:rsidR="0034723E">
        <w:t xml:space="preserve"> </w:t>
      </w:r>
      <w:r w:rsidR="00421189">
        <w:t xml:space="preserve"> </w:t>
      </w:r>
    </w:p>
    <w:p w14:paraId="1A0741F2" w14:textId="4C229149" w:rsidR="002C33A6" w:rsidRDefault="002C33A6" w:rsidP="00982C3B">
      <w:pPr>
        <w:pStyle w:val="Heading2"/>
      </w:pPr>
      <w:bookmarkStart w:id="13" w:name="_Toc51050144"/>
      <w:r>
        <w:lastRenderedPageBreak/>
        <w:t>Health</w:t>
      </w:r>
      <w:bookmarkEnd w:id="13"/>
    </w:p>
    <w:p w14:paraId="133C8D10" w14:textId="46ED6C5D" w:rsidR="00BA4A5F" w:rsidRDefault="00FD4DFA" w:rsidP="00124AB6">
      <w:pPr>
        <w:pStyle w:val="BodyText"/>
      </w:pPr>
      <w:r>
        <w:t>Over the past five years</w:t>
      </w:r>
      <w:r w:rsidR="009B3306">
        <w:t>,</w:t>
      </w:r>
      <w:r>
        <w:t xml:space="preserve"> the CPI for health</w:t>
      </w:r>
      <w:r w:rsidR="00D12D43">
        <w:t xml:space="preserve"> in Canberra has increased by 22.0%</w:t>
      </w:r>
      <w:r w:rsidR="000C1C59">
        <w:t xml:space="preserve"> – </w:t>
      </w:r>
      <w:r w:rsidR="001B0E3B">
        <w:t>in line with a 21.0% increase nationally</w:t>
      </w:r>
      <w:r w:rsidR="00D12D43">
        <w:t xml:space="preserve">. </w:t>
      </w:r>
      <w:r w:rsidR="005E37AA" w:rsidRPr="006E1EB8">
        <w:t xml:space="preserve">Figure </w:t>
      </w:r>
      <w:r w:rsidR="006E1EB8" w:rsidRPr="006E1EB8">
        <w:t>6</w:t>
      </w:r>
      <w:r w:rsidR="00ED4C08">
        <w:t xml:space="preserve"> shows </w:t>
      </w:r>
      <w:r w:rsidR="00DC1E71">
        <w:t>the</w:t>
      </w:r>
      <w:r w:rsidR="00F4713D">
        <w:t xml:space="preserve"> health</w:t>
      </w:r>
      <w:r w:rsidR="00DC1E71">
        <w:t xml:space="preserve"> </w:t>
      </w:r>
      <w:r w:rsidR="00EB478C">
        <w:t>expenditure classes</w:t>
      </w:r>
      <w:r w:rsidR="00DC1E71">
        <w:t xml:space="preserve"> that</w:t>
      </w:r>
      <w:r w:rsidR="00556E59">
        <w:t xml:space="preserve"> grew above and below the overall CPI and </w:t>
      </w:r>
      <w:r w:rsidR="00DC1E71">
        <w:t>that</w:t>
      </w:r>
      <w:r w:rsidR="00556E59">
        <w:t xml:space="preserve"> </w:t>
      </w:r>
      <w:r w:rsidR="00F4713D">
        <w:t xml:space="preserve">contributed most to </w:t>
      </w:r>
      <w:r w:rsidR="00556E59">
        <w:t>the</w:t>
      </w:r>
      <w:r w:rsidR="00F4713D">
        <w:t xml:space="preserve"> increase</w:t>
      </w:r>
      <w:r w:rsidR="00111160">
        <w:t xml:space="preserve"> in the CPI for health in Canberra</w:t>
      </w:r>
      <w:r w:rsidR="00F4713D">
        <w:t>, namely:</w:t>
      </w:r>
    </w:p>
    <w:p w14:paraId="23617F30" w14:textId="13118BEC" w:rsidR="00F4713D" w:rsidRDefault="00E24556" w:rsidP="00A749BA">
      <w:pPr>
        <w:pStyle w:val="ListBullet"/>
      </w:pPr>
      <w:r>
        <w:t xml:space="preserve">Medical and hospital services CPI </w:t>
      </w:r>
      <w:r w:rsidR="001B0E3B">
        <w:t>increased</w:t>
      </w:r>
      <w:r w:rsidR="00796D64">
        <w:t xml:space="preserve"> by</w:t>
      </w:r>
      <w:r>
        <w:t xml:space="preserve"> </w:t>
      </w:r>
      <w:r w:rsidR="006E196E">
        <w:t>27.7%</w:t>
      </w:r>
    </w:p>
    <w:p w14:paraId="2849BFDB" w14:textId="0B7117C0" w:rsidR="006E196E" w:rsidRDefault="006E196E" w:rsidP="00A749BA">
      <w:pPr>
        <w:pStyle w:val="ListBullet"/>
      </w:pPr>
      <w:r>
        <w:t xml:space="preserve">Dental services CPI </w:t>
      </w:r>
      <w:r w:rsidR="001B0E3B">
        <w:t>increased</w:t>
      </w:r>
      <w:r w:rsidR="00796D64">
        <w:t xml:space="preserve"> by</w:t>
      </w:r>
      <w:r>
        <w:t xml:space="preserve"> </w:t>
      </w:r>
      <w:r w:rsidR="00A749BA">
        <w:t>11.4%.</w:t>
      </w:r>
    </w:p>
    <w:p w14:paraId="10734C35" w14:textId="0EB1E77F" w:rsidR="006B3573" w:rsidRDefault="006B3573" w:rsidP="00766A99">
      <w:pPr>
        <w:pStyle w:val="Figuretitle"/>
      </w:pPr>
      <w:r>
        <w:t>Figure 6 Change in CPI</w:t>
      </w:r>
      <w:r w:rsidR="00766A99">
        <w:t xml:space="preserve"> </w:t>
      </w:r>
      <w:r>
        <w:t xml:space="preserve">Health </w:t>
      </w:r>
      <w:r w:rsidR="00D65F7B">
        <w:t>G</w:t>
      </w:r>
      <w:r>
        <w:t xml:space="preserve">roup and </w:t>
      </w:r>
      <w:r w:rsidR="00B12229">
        <w:t>expenditure classes</w:t>
      </w:r>
      <w:r w:rsidR="00766A99">
        <w:t xml:space="preserve"> and CPI All Groups</w:t>
      </w:r>
      <w:r>
        <w:t>, Canberra and Australia, Dec 2014 – Dec 2019</w:t>
      </w:r>
      <w:r w:rsidR="00766A99" w:rsidRPr="00766A99">
        <w:rPr>
          <w:rStyle w:val="FootnoteReference"/>
          <w:b w:val="0"/>
          <w:bCs/>
        </w:rPr>
        <w:footnoteReference w:id="64"/>
      </w:r>
    </w:p>
    <w:p w14:paraId="54D677F4" w14:textId="3DF741F1" w:rsidR="00DC1E71" w:rsidRDefault="00B12229" w:rsidP="006A3409">
      <w:pPr>
        <w:pStyle w:val="ListBullet"/>
        <w:numPr>
          <w:ilvl w:val="0"/>
          <w:numId w:val="0"/>
        </w:numPr>
        <w:spacing w:after="360"/>
        <w:ind w:left="567" w:hanging="567"/>
      </w:pPr>
      <w:r>
        <w:rPr>
          <w:noProof/>
        </w:rPr>
        <w:drawing>
          <wp:inline distT="0" distB="0" distL="0" distR="0" wp14:anchorId="5F1D3A90" wp14:editId="29A4D6E5">
            <wp:extent cx="5400000" cy="38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3812400"/>
                    </a:xfrm>
                    <a:prstGeom prst="rect">
                      <a:avLst/>
                    </a:prstGeom>
                    <a:noFill/>
                  </pic:spPr>
                </pic:pic>
              </a:graphicData>
            </a:graphic>
          </wp:inline>
        </w:drawing>
      </w:r>
    </w:p>
    <w:p w14:paraId="652C84FE" w14:textId="632AC343" w:rsidR="002C33A6" w:rsidRDefault="00BC04C9" w:rsidP="00124AB6">
      <w:pPr>
        <w:pStyle w:val="BodyText"/>
      </w:pPr>
      <w:r w:rsidRPr="00BC04C9">
        <w:t>The ACT has some of the lowest rates of patients for whom attendances (specialist and GPs) are bulk billed</w:t>
      </w:r>
      <w:r w:rsidR="00194E87">
        <w:t>,</w:t>
      </w:r>
      <w:r w:rsidRPr="00BC04C9">
        <w:t xml:space="preserve"> creating barriers to healthcare for people on low incomes.</w:t>
      </w:r>
      <w:r>
        <w:rPr>
          <w:rStyle w:val="FootnoteReference"/>
        </w:rPr>
        <w:footnoteReference w:id="65"/>
      </w:r>
      <w:r w:rsidR="00CA435C">
        <w:t xml:space="preserve"> In 2019-20, the </w:t>
      </w:r>
      <w:r w:rsidR="00796D64">
        <w:t>bulk billing</w:t>
      </w:r>
      <w:r w:rsidR="00463471">
        <w:t xml:space="preserve"> rate for </w:t>
      </w:r>
      <w:r w:rsidR="00995649">
        <w:t xml:space="preserve">‘in and out of hospital’ and ‘out of hospital’ services were </w:t>
      </w:r>
      <w:r w:rsidR="00405BC3">
        <w:t xml:space="preserve">70.8% and 76.2% respectively – compared to </w:t>
      </w:r>
      <w:r w:rsidR="00405BC3">
        <w:lastRenderedPageBreak/>
        <w:t xml:space="preserve">80.1% and </w:t>
      </w:r>
      <w:r w:rsidR="00E35D10">
        <w:t>87.4% nationally.</w:t>
      </w:r>
      <w:r w:rsidR="00E35D10">
        <w:rPr>
          <w:rStyle w:val="FootnoteReference"/>
        </w:rPr>
        <w:footnoteReference w:id="66"/>
      </w:r>
      <w:r w:rsidR="00E35D10">
        <w:t xml:space="preserve"> </w:t>
      </w:r>
      <w:r w:rsidR="00FB5719">
        <w:t>The average patient</w:t>
      </w:r>
      <w:r w:rsidR="00B9352D">
        <w:t xml:space="preserve"> contribution per service for ‘out of hospital’ and ‘in </w:t>
      </w:r>
      <w:r w:rsidR="00DB2EDA">
        <w:t>hospital’ services in the ACT were $</w:t>
      </w:r>
      <w:r w:rsidR="00DB2EDA" w:rsidRPr="00DB2EDA">
        <w:t>71.62</w:t>
      </w:r>
      <w:r w:rsidR="00DB2EDA">
        <w:t xml:space="preserve"> and </w:t>
      </w:r>
      <w:r w:rsidR="00DE0FC6">
        <w:t>$</w:t>
      </w:r>
      <w:r w:rsidR="00DE0FC6" w:rsidRPr="00DE0FC6">
        <w:t>168.74</w:t>
      </w:r>
      <w:r w:rsidR="00DE0FC6">
        <w:t xml:space="preserve"> respectively – compared to </w:t>
      </w:r>
      <w:r w:rsidR="002F63DB">
        <w:t>$</w:t>
      </w:r>
      <w:r w:rsidR="002F63DB" w:rsidRPr="002F63DB">
        <w:t>68.24</w:t>
      </w:r>
      <w:r w:rsidR="002F63DB">
        <w:t xml:space="preserve"> and $</w:t>
      </w:r>
      <w:r w:rsidR="002F63DB" w:rsidRPr="002F63DB">
        <w:t>108.98</w:t>
      </w:r>
      <w:r w:rsidR="002F63DB">
        <w:t xml:space="preserve"> nationally</w:t>
      </w:r>
      <w:r w:rsidR="00E71F2A">
        <w:t>.</w:t>
      </w:r>
    </w:p>
    <w:p w14:paraId="1A85A312" w14:textId="5E2D2484" w:rsidR="00BE66B0" w:rsidRDefault="005C7649" w:rsidP="00124AB6">
      <w:pPr>
        <w:pStyle w:val="BodyText"/>
      </w:pPr>
      <w:r>
        <w:t>In the ACT, c</w:t>
      </w:r>
      <w:r w:rsidR="0011368F">
        <w:t>ost</w:t>
      </w:r>
      <w:r w:rsidR="00A44029">
        <w:t xml:space="preserve"> is a </w:t>
      </w:r>
      <w:r w:rsidR="0011368F">
        <w:t>more common</w:t>
      </w:r>
      <w:r w:rsidR="00A44029">
        <w:t xml:space="preserve"> barrier to people accessing </w:t>
      </w:r>
      <w:r w:rsidR="00D45D69">
        <w:t xml:space="preserve">health services </w:t>
      </w:r>
      <w:r w:rsidR="00AB2E7A">
        <w:t>than in any other metropolitan region</w:t>
      </w:r>
      <w:r w:rsidR="00920912">
        <w:t xml:space="preserve"> of Australia</w:t>
      </w:r>
      <w:r w:rsidR="00D45D69">
        <w:t>.</w:t>
      </w:r>
      <w:r w:rsidR="009F4831">
        <w:t xml:space="preserve"> </w:t>
      </w:r>
      <w:r w:rsidR="00152854">
        <w:t xml:space="preserve">In 2016-17, 10.8% of </w:t>
      </w:r>
      <w:r w:rsidR="005770A0">
        <w:t>people in the ACT aged over 15 years</w:t>
      </w:r>
      <w:r w:rsidR="00DF7CD4" w:rsidRPr="00DF7CD4">
        <w:t xml:space="preserve"> said </w:t>
      </w:r>
      <w:r w:rsidR="004F376D">
        <w:t>cost</w:t>
      </w:r>
      <w:r w:rsidR="00DF7CD4" w:rsidRPr="00DF7CD4">
        <w:t xml:space="preserve"> was the reason that they delayed or did not seek specialist, GP, imaging or pathology services</w:t>
      </w:r>
      <w:r w:rsidR="00DF7CD4">
        <w:t xml:space="preserve"> </w:t>
      </w:r>
      <w:r w:rsidR="00DF7CD4" w:rsidRPr="00DF7CD4">
        <w:t>when they needed them</w:t>
      </w:r>
      <w:r w:rsidR="0073039A">
        <w:t xml:space="preserve"> – compared to 7.6% nationally.</w:t>
      </w:r>
      <w:r w:rsidR="0073039A">
        <w:rPr>
          <w:rStyle w:val="FootnoteReference"/>
        </w:rPr>
        <w:footnoteReference w:id="67"/>
      </w:r>
      <w:r w:rsidR="0073039A">
        <w:t xml:space="preserve"> </w:t>
      </w:r>
      <w:r w:rsidR="00BA4273">
        <w:t xml:space="preserve">In relation to GP services specifically, </w:t>
      </w:r>
      <w:r w:rsidR="00D87A8A">
        <w:t>cost was a barrier for</w:t>
      </w:r>
      <w:r w:rsidR="00BA4273">
        <w:t xml:space="preserve"> 7.1% </w:t>
      </w:r>
      <w:r w:rsidR="00D87A8A">
        <w:t xml:space="preserve">of people </w:t>
      </w:r>
      <w:r w:rsidR="00BA4273">
        <w:t>in the ACT compared to</w:t>
      </w:r>
      <w:r w:rsidR="00FC4283">
        <w:t xml:space="preserve"> 4.1% nationally.</w:t>
      </w:r>
      <w:r w:rsidR="00BA4273">
        <w:t xml:space="preserve"> </w:t>
      </w:r>
      <w:r w:rsidR="008D0AD3">
        <w:t>Th</w:t>
      </w:r>
      <w:r w:rsidR="00D87A8A">
        <w:t>e</w:t>
      </w:r>
      <w:r w:rsidR="008D0AD3">
        <w:t xml:space="preserve"> data also shows that</w:t>
      </w:r>
      <w:r w:rsidR="00D87A8A">
        <w:t xml:space="preserve">, in 2016-17, </w:t>
      </w:r>
      <w:r w:rsidR="0069624D">
        <w:t xml:space="preserve">the ACT had the </w:t>
      </w:r>
      <w:r w:rsidR="00D87A8A">
        <w:t xml:space="preserve">highest </w:t>
      </w:r>
      <w:r w:rsidR="0069624D">
        <w:t>proportion of patients with out-of-pocket GP costs</w:t>
      </w:r>
      <w:r w:rsidR="004A00C3">
        <w:t xml:space="preserve"> at</w:t>
      </w:r>
      <w:r w:rsidR="008D0AD3">
        <w:t xml:space="preserve"> </w:t>
      </w:r>
      <w:r w:rsidR="00B13194" w:rsidRPr="00B13194">
        <w:t>63.7</w:t>
      </w:r>
      <w:r w:rsidR="00B13194">
        <w:t xml:space="preserve">% </w:t>
      </w:r>
      <w:r w:rsidR="000C48BB">
        <w:t xml:space="preserve">compared to just </w:t>
      </w:r>
      <w:r w:rsidR="00376B4A" w:rsidRPr="00376B4A">
        <w:t>33.8</w:t>
      </w:r>
      <w:r w:rsidR="00376B4A">
        <w:t>% nationally.</w:t>
      </w:r>
      <w:r w:rsidR="00376B4A">
        <w:rPr>
          <w:rStyle w:val="FootnoteReference"/>
        </w:rPr>
        <w:footnoteReference w:id="68"/>
      </w:r>
    </w:p>
    <w:p w14:paraId="5DE3CDC4" w14:textId="7E7E70A6" w:rsidR="00995A68" w:rsidRDefault="00995A68" w:rsidP="00995A68">
      <w:pPr>
        <w:pStyle w:val="Quote"/>
      </w:pPr>
      <w:r>
        <w:t>“</w:t>
      </w:r>
      <w:r w:rsidR="009922E7" w:rsidRPr="00995A68">
        <w:t>I feel like Canberra has too many private clinics and private health care and private expectations – that goes for private counselling as well you have to go for a bare minimal arrangement even with [large provider]. The type of freely available (bulk billing) health care and well-being you can actually get is not known unless it’s through word of mouth</w:t>
      </w:r>
      <w:r>
        <w:t>”</w:t>
      </w:r>
      <w:r w:rsidR="009922E7" w:rsidRPr="00995A68">
        <w:t xml:space="preserve"> </w:t>
      </w:r>
    </w:p>
    <w:p w14:paraId="77E423E7" w14:textId="360A9F20" w:rsidR="009922E7" w:rsidRDefault="009922E7" w:rsidP="00995A68">
      <w:pPr>
        <w:pStyle w:val="Quote-source"/>
      </w:pPr>
      <w:r w:rsidRPr="00995A68">
        <w:t xml:space="preserve">– Bron*, </w:t>
      </w:r>
      <w:r w:rsidRPr="00995A68">
        <w:rPr>
          <w:i/>
          <w:iCs/>
        </w:rPr>
        <w:t>Imagining Better</w:t>
      </w:r>
      <w:r w:rsidRPr="00995A68">
        <w:t xml:space="preserve"> report</w:t>
      </w:r>
      <w:r>
        <w:rPr>
          <w:rStyle w:val="FootnoteReference"/>
        </w:rPr>
        <w:footnoteReference w:id="69"/>
      </w:r>
    </w:p>
    <w:p w14:paraId="60AD069C" w14:textId="1E1E2FBF" w:rsidR="00A0292C" w:rsidRDefault="00A0292C" w:rsidP="003B29DC">
      <w:pPr>
        <w:pStyle w:val="Heading1"/>
      </w:pPr>
      <w:bookmarkStart w:id="14" w:name="_Toc51050145"/>
      <w:r w:rsidRPr="00A0292C">
        <w:t>Tracking changes in the cost of living for low-income households: SLCI</w:t>
      </w:r>
      <w:bookmarkEnd w:id="14"/>
    </w:p>
    <w:p w14:paraId="705D548A" w14:textId="266F6A7F" w:rsidR="00BB099F" w:rsidRDefault="00BB099F" w:rsidP="00BB099F">
      <w:pPr>
        <w:pStyle w:val="BodyText"/>
      </w:pPr>
      <w:r>
        <w:t xml:space="preserve">The Selected Living Cost Indexes (SLCI) measure the cost of various baskets of goods which are specific to a number of different household types – including ‘Age pensioner’ and ‘Other government transfer recipients’ (e.g. Newstart/JobSeeker and Youth Allowance recipients), ‘Employee’, and ‘Self-funded retiree’ households. An examination of changes in the SLCI is important for determining how well Australia’s income support system is doing in terms of helping people to keep up with rising living costs. Our analysis focuses on age pensioner and other government transfer recipient households as these are more likely to represent low-income and disadvantaged households in the ACT. </w:t>
      </w:r>
    </w:p>
    <w:p w14:paraId="071A7E25" w14:textId="7D0326F7" w:rsidR="009F4260" w:rsidRDefault="00BB099F" w:rsidP="00BB099F">
      <w:pPr>
        <w:pStyle w:val="BodyText"/>
      </w:pPr>
      <w:r>
        <w:lastRenderedPageBreak/>
        <w:t xml:space="preserve">Each Living Cost Index (LCI) is measured at the national level – unlike the CPI, the SLCI are not produced for each capital city so this analysis is not specific to Canberra or the ACT. In the </w:t>
      </w:r>
      <w:r w:rsidR="007F1461">
        <w:t>year from December 2018 to December 2019</w:t>
      </w:r>
      <w:r>
        <w:t xml:space="preserve">, the LCI </w:t>
      </w:r>
      <w:r w:rsidR="004C5F67">
        <w:t xml:space="preserve">for </w:t>
      </w:r>
      <w:r>
        <w:t xml:space="preserve">age pensioner </w:t>
      </w:r>
      <w:r w:rsidR="00FE77A2">
        <w:t xml:space="preserve">households rose at the same rate </w:t>
      </w:r>
      <w:r w:rsidR="004C5F67">
        <w:t>as the overall CPI (1.8%), while the LCI for other</w:t>
      </w:r>
      <w:r>
        <w:t xml:space="preserve"> government transfer recipient households increased </w:t>
      </w:r>
      <w:r w:rsidR="004C5F67">
        <w:t>at a slightly higher rate (1.9%)</w:t>
      </w:r>
      <w:r w:rsidR="00582C23">
        <w:t xml:space="preserve"> (</w:t>
      </w:r>
      <w:r w:rsidR="00582C23" w:rsidRPr="006E1EB8">
        <w:t xml:space="preserve">see Figure </w:t>
      </w:r>
      <w:r w:rsidR="006E1EB8" w:rsidRPr="006E1EB8">
        <w:t>7</w:t>
      </w:r>
      <w:r w:rsidR="00582C23">
        <w:t>)</w:t>
      </w:r>
      <w:r w:rsidR="004C5F67">
        <w:t xml:space="preserve">. </w:t>
      </w:r>
      <w:r w:rsidR="006E31F4">
        <w:t xml:space="preserve">The LCI for employee households </w:t>
      </w:r>
      <w:r w:rsidR="00291E59">
        <w:t>increased at a rate</w:t>
      </w:r>
      <w:r w:rsidR="006E31F4">
        <w:t xml:space="preserve"> </w:t>
      </w:r>
      <w:r w:rsidR="00C718DF">
        <w:t>well below the overall CPI (1</w:t>
      </w:r>
      <w:r w:rsidR="002879F5">
        <w:t>.0</w:t>
      </w:r>
      <w:r w:rsidR="00C718DF">
        <w:t xml:space="preserve">%). </w:t>
      </w:r>
    </w:p>
    <w:p w14:paraId="185E8310" w14:textId="3442E4E9" w:rsidR="0067512C" w:rsidRDefault="0067512C" w:rsidP="0067512C">
      <w:pPr>
        <w:pStyle w:val="Figuretitle"/>
      </w:pPr>
      <w:bookmarkStart w:id="15" w:name="_Hlk50360314"/>
      <w:r w:rsidRPr="0067512C">
        <w:t xml:space="preserve">Figure </w:t>
      </w:r>
      <w:r w:rsidR="006E1EB8">
        <w:t>7</w:t>
      </w:r>
      <w:r>
        <w:t xml:space="preserve"> </w:t>
      </w:r>
      <w:r w:rsidRPr="0067512C">
        <w:t>Percentage change in CPI and Selected Living Cost Indexes, Dec 201</w:t>
      </w:r>
      <w:r>
        <w:t>8</w:t>
      </w:r>
      <w:r w:rsidRPr="0067512C">
        <w:t xml:space="preserve"> – Dec 201</w:t>
      </w:r>
      <w:r>
        <w:t>9</w:t>
      </w:r>
      <w:r w:rsidRPr="0067512C">
        <w:t>, Australia</w:t>
      </w:r>
      <w:r w:rsidR="00B84074" w:rsidRPr="00840558">
        <w:rPr>
          <w:rStyle w:val="FootnoteReference"/>
          <w:b w:val="0"/>
          <w:bCs/>
        </w:rPr>
        <w:footnoteReference w:id="70"/>
      </w:r>
    </w:p>
    <w:bookmarkEnd w:id="15"/>
    <w:p w14:paraId="200E9292" w14:textId="37DE7C2D" w:rsidR="001B5732" w:rsidRDefault="005E1411" w:rsidP="006A3409">
      <w:pPr>
        <w:pStyle w:val="BodyText"/>
        <w:spacing w:after="360"/>
      </w:pPr>
      <w:r>
        <w:rPr>
          <w:noProof/>
        </w:rPr>
        <w:drawing>
          <wp:inline distT="0" distB="0" distL="0" distR="0" wp14:anchorId="6B3018C9" wp14:editId="63078687">
            <wp:extent cx="5400000" cy="3204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3204000"/>
                    </a:xfrm>
                    <a:prstGeom prst="rect">
                      <a:avLst/>
                    </a:prstGeom>
                    <a:noFill/>
                  </pic:spPr>
                </pic:pic>
              </a:graphicData>
            </a:graphic>
          </wp:inline>
        </w:drawing>
      </w:r>
    </w:p>
    <w:p w14:paraId="7EA5EF2F" w14:textId="38C0EDBA" w:rsidR="00C718DF" w:rsidRDefault="00B53162" w:rsidP="00BB099F">
      <w:pPr>
        <w:pStyle w:val="BodyText"/>
      </w:pPr>
      <w:r>
        <w:t xml:space="preserve">The COVID-19 pandemic has </w:t>
      </w:r>
      <w:r w:rsidR="0029021E">
        <w:t>had a significant impact on the CPI and SLCI. In the year from June 2019 to June 2020</w:t>
      </w:r>
      <w:r w:rsidR="00496FED">
        <w:t>,</w:t>
      </w:r>
      <w:r w:rsidR="0029021E">
        <w:t xml:space="preserve"> the LCI for </w:t>
      </w:r>
      <w:r w:rsidR="0000614E">
        <w:t>age pensioner households increased</w:t>
      </w:r>
      <w:r w:rsidR="003E274F">
        <w:t xml:space="preserve"> by 1.0% while the overall CPI declined by 0.3% nationally</w:t>
      </w:r>
      <w:r w:rsidR="00582C23">
        <w:t xml:space="preserve"> (</w:t>
      </w:r>
      <w:r w:rsidR="00582C23" w:rsidRPr="006E1EB8">
        <w:t xml:space="preserve">see Figure </w:t>
      </w:r>
      <w:r w:rsidR="006E1EB8" w:rsidRPr="006E1EB8">
        <w:t>8</w:t>
      </w:r>
      <w:r w:rsidR="00582C23">
        <w:t>)</w:t>
      </w:r>
      <w:r w:rsidR="003E274F">
        <w:t>. The LCI for other government transfer recipient households</w:t>
      </w:r>
      <w:r w:rsidR="00245E0C">
        <w:t xml:space="preserve"> was unchanged, while the LCI</w:t>
      </w:r>
      <w:r w:rsidR="001E679C">
        <w:t xml:space="preserve"> for</w:t>
      </w:r>
      <w:r w:rsidR="00245E0C">
        <w:t xml:space="preserve"> employee households </w:t>
      </w:r>
      <w:r w:rsidR="00A14CE7">
        <w:t>fell significantly by 2.1%.</w:t>
      </w:r>
    </w:p>
    <w:p w14:paraId="1A889499" w14:textId="0287D87F" w:rsidR="000340F8" w:rsidRDefault="000340F8" w:rsidP="000340F8">
      <w:pPr>
        <w:pStyle w:val="Figuretitle"/>
      </w:pPr>
      <w:r w:rsidRPr="000340F8">
        <w:lastRenderedPageBreak/>
        <w:t xml:space="preserve">Figure </w:t>
      </w:r>
      <w:r w:rsidR="006E1EB8">
        <w:t>8</w:t>
      </w:r>
      <w:r w:rsidRPr="000340F8">
        <w:t xml:space="preserve"> Percentage change in CPI and Selected Living Cost Indexes, </w:t>
      </w:r>
      <w:r w:rsidR="0071510A">
        <w:t>Jun 2019</w:t>
      </w:r>
      <w:r w:rsidRPr="000340F8">
        <w:t xml:space="preserve"> – </w:t>
      </w:r>
      <w:r w:rsidR="0071510A">
        <w:t>Jun</w:t>
      </w:r>
      <w:r w:rsidRPr="000340F8">
        <w:t xml:space="preserve"> 20</w:t>
      </w:r>
      <w:r w:rsidR="0071510A">
        <w:t>20</w:t>
      </w:r>
      <w:r w:rsidRPr="000340F8">
        <w:t>, Australia</w:t>
      </w:r>
      <w:r w:rsidR="00840558" w:rsidRPr="00655454">
        <w:rPr>
          <w:rStyle w:val="FootnoteReference"/>
          <w:b w:val="0"/>
          <w:bCs/>
        </w:rPr>
        <w:footnoteReference w:id="71"/>
      </w:r>
    </w:p>
    <w:p w14:paraId="1FCC60FA" w14:textId="79A7E90A" w:rsidR="0067512C" w:rsidRDefault="0071510A" w:rsidP="006A3409">
      <w:pPr>
        <w:pStyle w:val="BodyText"/>
        <w:spacing w:after="360"/>
      </w:pPr>
      <w:r>
        <w:rPr>
          <w:noProof/>
        </w:rPr>
        <w:drawing>
          <wp:inline distT="0" distB="0" distL="0" distR="0" wp14:anchorId="3ADCF688" wp14:editId="2772327C">
            <wp:extent cx="5400675" cy="320950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3209504"/>
                    </a:xfrm>
                    <a:prstGeom prst="rect">
                      <a:avLst/>
                    </a:prstGeom>
                    <a:noFill/>
                  </pic:spPr>
                </pic:pic>
              </a:graphicData>
            </a:graphic>
          </wp:inline>
        </w:drawing>
      </w:r>
    </w:p>
    <w:p w14:paraId="5ADA6AC3" w14:textId="10BF9A7F" w:rsidR="00FA17C3" w:rsidRDefault="00A35F8F" w:rsidP="00A35F8F">
      <w:pPr>
        <w:pStyle w:val="BodyText"/>
      </w:pPr>
      <w:r>
        <w:t xml:space="preserve">Before the COVID-19 </w:t>
      </w:r>
      <w:r w:rsidR="00582C23">
        <w:t>health emergency</w:t>
      </w:r>
      <w:r>
        <w:t xml:space="preserve">, the rate of Newstart had not </w:t>
      </w:r>
      <w:r w:rsidR="006E1EB8">
        <w:t>increased</w:t>
      </w:r>
      <w:r>
        <w:t xml:space="preserve"> in real terms for </w:t>
      </w:r>
      <w:r w:rsidR="007204E4">
        <w:t xml:space="preserve">over </w:t>
      </w:r>
      <w:r>
        <w:t>25 years</w:t>
      </w:r>
      <w:r w:rsidR="007204E4">
        <w:t>. Over th</w:t>
      </w:r>
      <w:r w:rsidR="006E1EB8">
        <w:t>at</w:t>
      </w:r>
      <w:r w:rsidR="007204E4">
        <w:t xml:space="preserve"> </w:t>
      </w:r>
      <w:r w:rsidR="006E1EB8">
        <w:t>time,</w:t>
      </w:r>
      <w:r w:rsidR="007204E4">
        <w:t xml:space="preserve"> it ha</w:t>
      </w:r>
      <w:r w:rsidR="006E1EB8">
        <w:t>d</w:t>
      </w:r>
      <w:r w:rsidR="007204E4">
        <w:t xml:space="preserve"> fallen </w:t>
      </w:r>
      <w:r w:rsidR="001C4547">
        <w:t xml:space="preserve">well behind increases in the </w:t>
      </w:r>
      <w:r>
        <w:t xml:space="preserve">cost of living, especially </w:t>
      </w:r>
      <w:r w:rsidR="001E616C">
        <w:t xml:space="preserve">rising </w:t>
      </w:r>
      <w:r>
        <w:t>housing</w:t>
      </w:r>
      <w:r w:rsidR="001E616C">
        <w:t xml:space="preserve"> costs</w:t>
      </w:r>
      <w:r>
        <w:t xml:space="preserve">. </w:t>
      </w:r>
      <w:r w:rsidR="00662C8A">
        <w:t>In the year from December 2018 to December 2019, this trend continued</w:t>
      </w:r>
      <w:r w:rsidR="00CF2E10">
        <w:t xml:space="preserve"> with </w:t>
      </w:r>
      <w:r w:rsidR="00F4515A">
        <w:t xml:space="preserve">living costs for </w:t>
      </w:r>
      <w:r w:rsidR="00DF634E">
        <w:t>Newstart and Youth Allowance recipients increasing above the overall CPI.</w:t>
      </w:r>
      <w:r w:rsidR="005411C0">
        <w:t xml:space="preserve"> </w:t>
      </w:r>
      <w:r w:rsidR="009A700A">
        <w:t>While</w:t>
      </w:r>
      <w:r w:rsidR="00283B82">
        <w:t xml:space="preserve"> the </w:t>
      </w:r>
      <w:r w:rsidR="00D75412">
        <w:t xml:space="preserve">indexation of these </w:t>
      </w:r>
      <w:r w:rsidR="00283B82">
        <w:t>payments with the CPI</w:t>
      </w:r>
      <w:r w:rsidR="00D75412">
        <w:t xml:space="preserve"> meant </w:t>
      </w:r>
      <w:r w:rsidR="00465F0F">
        <w:t xml:space="preserve">that </w:t>
      </w:r>
      <w:r w:rsidR="00D75412">
        <w:t>they did increase over the year</w:t>
      </w:r>
      <w:r w:rsidR="00293F2E">
        <w:t xml:space="preserve"> (</w:t>
      </w:r>
      <w:r w:rsidR="00293F2E" w:rsidRPr="006E1EB8">
        <w:t xml:space="preserve">see Figure </w:t>
      </w:r>
      <w:r w:rsidR="006E1EB8" w:rsidRPr="006E1EB8">
        <w:t>9</w:t>
      </w:r>
      <w:r w:rsidR="00293F2E">
        <w:t>)</w:t>
      </w:r>
      <w:r w:rsidR="00D75412">
        <w:t xml:space="preserve">, </w:t>
      </w:r>
      <w:r w:rsidR="00293F2E">
        <w:t xml:space="preserve">our analysis shows that </w:t>
      </w:r>
      <w:r w:rsidR="00DB5FF6">
        <w:t>Newstart</w:t>
      </w:r>
      <w:r w:rsidR="009A700A">
        <w:t xml:space="preserve"> yet again failed to keep up with changes in the </w:t>
      </w:r>
      <w:r w:rsidR="00CC4BD6">
        <w:t xml:space="preserve">actual </w:t>
      </w:r>
      <w:r w:rsidR="009A700A">
        <w:t>cost of living</w:t>
      </w:r>
      <w:r w:rsidR="00CC4BD6">
        <w:t xml:space="preserve"> for </w:t>
      </w:r>
      <w:r w:rsidR="001669B1">
        <w:t>recipients</w:t>
      </w:r>
      <w:r w:rsidR="00690ED7">
        <w:t xml:space="preserve"> (</w:t>
      </w:r>
      <w:r w:rsidR="00690ED7" w:rsidRPr="006E1EB8">
        <w:t xml:space="preserve">see Figure </w:t>
      </w:r>
      <w:r w:rsidR="006E1EB8" w:rsidRPr="006E1EB8">
        <w:t>10</w:t>
      </w:r>
      <w:r w:rsidR="00690ED7">
        <w:t xml:space="preserve">). </w:t>
      </w:r>
      <w:r w:rsidR="006C38BE">
        <w:t>The annual increase</w:t>
      </w:r>
      <w:r w:rsidR="0086437D">
        <w:t xml:space="preserve"> in payments for </w:t>
      </w:r>
      <w:r w:rsidR="00690ED7">
        <w:t xml:space="preserve">Youth Allowance and Age Pension </w:t>
      </w:r>
      <w:r w:rsidR="0086437D">
        <w:t xml:space="preserve">recipients </w:t>
      </w:r>
      <w:r w:rsidR="00CD661C">
        <w:t>was</w:t>
      </w:r>
      <w:r w:rsidR="0086437D">
        <w:t xml:space="preserve"> slightly above the </w:t>
      </w:r>
      <w:r w:rsidR="00312EF6">
        <w:t>increase in</w:t>
      </w:r>
      <w:r w:rsidR="00CD661C">
        <w:t xml:space="preserve"> their</w:t>
      </w:r>
      <w:r w:rsidR="00312EF6">
        <w:t xml:space="preserve"> living costs</w:t>
      </w:r>
      <w:r w:rsidR="00276205">
        <w:t>, but</w:t>
      </w:r>
      <w:r w:rsidR="006C38BE">
        <w:t xml:space="preserve"> only by</w:t>
      </w:r>
      <w:r w:rsidR="00276205">
        <w:t xml:space="preserve"> $0.40 and $0.30 per </w:t>
      </w:r>
      <w:proofErr w:type="gramStart"/>
      <w:r w:rsidR="00276205">
        <w:t>week</w:t>
      </w:r>
      <w:proofErr w:type="gramEnd"/>
      <w:r w:rsidR="00276205">
        <w:t xml:space="preserve"> respectively. </w:t>
      </w:r>
      <w:r w:rsidR="0055429D">
        <w:t>Single Newstart recipient</w:t>
      </w:r>
      <w:r w:rsidR="00EE7954">
        <w:t xml:space="preserve">s with and without children </w:t>
      </w:r>
      <w:r w:rsidR="009577E2">
        <w:t xml:space="preserve">effectively </w:t>
      </w:r>
      <w:r w:rsidR="00EE7954">
        <w:t xml:space="preserve">experienced a reduction in their </w:t>
      </w:r>
      <w:r w:rsidR="009577E2">
        <w:t>income of $0.91 and $1.20 per week respectively</w:t>
      </w:r>
      <w:r w:rsidR="0040745C">
        <w:t xml:space="preserve"> </w:t>
      </w:r>
      <w:r w:rsidR="00460034">
        <w:t>after accounting for</w:t>
      </w:r>
      <w:r w:rsidR="0040745C">
        <w:t xml:space="preserve"> the change in living costs</w:t>
      </w:r>
      <w:r w:rsidR="009577E2">
        <w:t xml:space="preserve">. </w:t>
      </w:r>
    </w:p>
    <w:p w14:paraId="0B37E8DF" w14:textId="77777777" w:rsidR="00BE6391" w:rsidRDefault="00BE6391" w:rsidP="00BE6391">
      <w:pPr>
        <w:pStyle w:val="BodyText"/>
      </w:pPr>
    </w:p>
    <w:p w14:paraId="7AED6835" w14:textId="667109DC" w:rsidR="00BE6391" w:rsidRDefault="00BE6391" w:rsidP="004C590A">
      <w:pPr>
        <w:pStyle w:val="Figuretitle"/>
        <w:ind w:left="-567" w:right="-710"/>
      </w:pPr>
      <w:r w:rsidRPr="004B694E">
        <w:lastRenderedPageBreak/>
        <w:t xml:space="preserve">Figure </w:t>
      </w:r>
      <w:r w:rsidR="006E1EB8">
        <w:t>9</w:t>
      </w:r>
      <w:r w:rsidRPr="004B694E">
        <w:t xml:space="preserve"> Change in weekly income by income source, December 201</w:t>
      </w:r>
      <w:r>
        <w:t>8</w:t>
      </w:r>
      <w:r w:rsidRPr="004B694E">
        <w:t xml:space="preserve"> to </w:t>
      </w:r>
      <w:r w:rsidRPr="00E30E2D">
        <w:t>December</w:t>
      </w:r>
      <w:r w:rsidRPr="004B694E">
        <w:t xml:space="preserve"> 201</w:t>
      </w:r>
      <w:r>
        <w:t>9</w:t>
      </w:r>
      <w:r w:rsidRPr="00D25AAB">
        <w:rPr>
          <w:rStyle w:val="FootnoteReference"/>
          <w:b w:val="0"/>
          <w:bCs/>
        </w:rPr>
        <w:footnoteReference w:id="72"/>
      </w:r>
    </w:p>
    <w:p w14:paraId="00C3B81D" w14:textId="77777777" w:rsidR="00BE6391" w:rsidRDefault="00BE6391" w:rsidP="003A2B91">
      <w:pPr>
        <w:pStyle w:val="BodyText"/>
        <w:ind w:left="-567"/>
      </w:pPr>
      <w:r>
        <w:rPr>
          <w:noProof/>
        </w:rPr>
        <w:drawing>
          <wp:inline distT="0" distB="0" distL="0" distR="0" wp14:anchorId="55C6F893" wp14:editId="3EFAA5B9">
            <wp:extent cx="6120000" cy="403560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4035600"/>
                    </a:xfrm>
                    <a:prstGeom prst="rect">
                      <a:avLst/>
                    </a:prstGeom>
                    <a:noFill/>
                  </pic:spPr>
                </pic:pic>
              </a:graphicData>
            </a:graphic>
          </wp:inline>
        </w:drawing>
      </w:r>
    </w:p>
    <w:p w14:paraId="6F7AD193" w14:textId="77777777" w:rsidR="00BE6391" w:rsidRDefault="00BE6391" w:rsidP="00BE6391">
      <w:pPr>
        <w:pStyle w:val="BodyText"/>
      </w:pPr>
    </w:p>
    <w:p w14:paraId="65EEB3B7" w14:textId="76A5CBB2" w:rsidR="00BE6391" w:rsidRDefault="00BE6391" w:rsidP="00BE6391">
      <w:pPr>
        <w:pStyle w:val="Figuretitle"/>
      </w:pPr>
      <w:r w:rsidRPr="004D2236">
        <w:lastRenderedPageBreak/>
        <w:t xml:space="preserve">Figure </w:t>
      </w:r>
      <w:r w:rsidR="006E1EB8">
        <w:t>10</w:t>
      </w:r>
      <w:r w:rsidRPr="004D2236">
        <w:t xml:space="preserve"> Change in weekly income vs change in </w:t>
      </w:r>
      <w:r>
        <w:t>living cost</w:t>
      </w:r>
      <w:r w:rsidRPr="004D2236">
        <w:t>, December 201</w:t>
      </w:r>
      <w:r>
        <w:t>8</w:t>
      </w:r>
      <w:r w:rsidRPr="004D2236">
        <w:t xml:space="preserve"> to December 201</w:t>
      </w:r>
      <w:r>
        <w:t>9</w:t>
      </w:r>
      <w:r w:rsidRPr="00E30E2D">
        <w:rPr>
          <w:rStyle w:val="FootnoteReference"/>
          <w:b w:val="0"/>
          <w:bCs/>
        </w:rPr>
        <w:footnoteReference w:id="73"/>
      </w:r>
    </w:p>
    <w:p w14:paraId="117159D6" w14:textId="77777777" w:rsidR="00BE6391" w:rsidRDefault="00BE6391" w:rsidP="00BE6391">
      <w:pPr>
        <w:pStyle w:val="BodyText"/>
      </w:pPr>
      <w:r>
        <w:rPr>
          <w:noProof/>
        </w:rPr>
        <w:drawing>
          <wp:inline distT="0" distB="0" distL="0" distR="0" wp14:anchorId="67FCDFFF" wp14:editId="5791A47E">
            <wp:extent cx="5400000" cy="391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3913200"/>
                    </a:xfrm>
                    <a:prstGeom prst="rect">
                      <a:avLst/>
                    </a:prstGeom>
                    <a:noFill/>
                  </pic:spPr>
                </pic:pic>
              </a:graphicData>
            </a:graphic>
          </wp:inline>
        </w:drawing>
      </w:r>
    </w:p>
    <w:p w14:paraId="1307A76A" w14:textId="77777777" w:rsidR="00E30E2D" w:rsidRDefault="00E30E2D" w:rsidP="00732BF2">
      <w:pPr>
        <w:pStyle w:val="NoSpacing"/>
      </w:pPr>
    </w:p>
    <w:p w14:paraId="0A2C7DB3" w14:textId="22D9A7D0" w:rsidR="00E7412C" w:rsidRDefault="00D92CA8" w:rsidP="00A35F8F">
      <w:pPr>
        <w:pStyle w:val="BodyText"/>
      </w:pPr>
      <w:r>
        <w:t>On 27 April 2020, the Australian Government introduced</w:t>
      </w:r>
      <w:r w:rsidR="00C1647B">
        <w:t xml:space="preserve"> the Coronavirus Supplement</w:t>
      </w:r>
      <w:r w:rsidR="0086437D">
        <w:t xml:space="preserve"> </w:t>
      </w:r>
      <w:r w:rsidR="007B0C6D" w:rsidRPr="007B0C6D">
        <w:t xml:space="preserve">of $550 per fortnight </w:t>
      </w:r>
      <w:r w:rsidR="00952AB5">
        <w:t xml:space="preserve">which was paid automatically </w:t>
      </w:r>
      <w:r w:rsidR="00E7412C">
        <w:t>to people receiving</w:t>
      </w:r>
      <w:r w:rsidR="001356D2">
        <w:t xml:space="preserve"> the following payments up until 24 September 2020</w:t>
      </w:r>
      <w:r w:rsidR="00E7412C">
        <w:t>:</w:t>
      </w:r>
    </w:p>
    <w:p w14:paraId="1C847910" w14:textId="64C12D1C" w:rsidR="00E7412C" w:rsidRDefault="00E7412C" w:rsidP="00E7412C">
      <w:pPr>
        <w:pStyle w:val="ListBullet"/>
      </w:pPr>
      <w:r>
        <w:t>JobSeeker Payment (formerly Newstart)</w:t>
      </w:r>
    </w:p>
    <w:p w14:paraId="21250F6A" w14:textId="77777777" w:rsidR="00E7412C" w:rsidRDefault="00E7412C" w:rsidP="00E7412C">
      <w:pPr>
        <w:pStyle w:val="ListBullet"/>
      </w:pPr>
      <w:r>
        <w:t>Partner Allowance</w:t>
      </w:r>
    </w:p>
    <w:p w14:paraId="25CD1C9E" w14:textId="77777777" w:rsidR="00E7412C" w:rsidRDefault="00E7412C" w:rsidP="00E7412C">
      <w:pPr>
        <w:pStyle w:val="ListBullet"/>
      </w:pPr>
      <w:r>
        <w:t>Widow Allowance</w:t>
      </w:r>
    </w:p>
    <w:p w14:paraId="48CF9B56" w14:textId="77777777" w:rsidR="00E7412C" w:rsidRDefault="00E7412C" w:rsidP="00E7412C">
      <w:pPr>
        <w:pStyle w:val="ListBullet"/>
      </w:pPr>
      <w:r>
        <w:t>Sickness Allowance</w:t>
      </w:r>
    </w:p>
    <w:p w14:paraId="5F870616" w14:textId="77777777" w:rsidR="00E7412C" w:rsidRDefault="00E7412C" w:rsidP="00E7412C">
      <w:pPr>
        <w:pStyle w:val="ListBullet"/>
      </w:pPr>
      <w:r>
        <w:t>Youth Allowance</w:t>
      </w:r>
    </w:p>
    <w:p w14:paraId="5A015DA5" w14:textId="77777777" w:rsidR="00E7412C" w:rsidRDefault="00E7412C" w:rsidP="00E7412C">
      <w:pPr>
        <w:pStyle w:val="ListBullet"/>
      </w:pPr>
      <w:r>
        <w:t>Austudy</w:t>
      </w:r>
    </w:p>
    <w:p w14:paraId="0172731D" w14:textId="77777777" w:rsidR="00E7412C" w:rsidRDefault="00E7412C" w:rsidP="00E7412C">
      <w:pPr>
        <w:pStyle w:val="ListBullet"/>
      </w:pPr>
      <w:r>
        <w:t>ABSTUDY Living Allowance</w:t>
      </w:r>
    </w:p>
    <w:p w14:paraId="1EB6CFCB" w14:textId="77777777" w:rsidR="00E7412C" w:rsidRDefault="00E7412C" w:rsidP="00E7412C">
      <w:pPr>
        <w:pStyle w:val="ListBullet"/>
      </w:pPr>
      <w:r>
        <w:t>Parenting Payment</w:t>
      </w:r>
    </w:p>
    <w:p w14:paraId="664E5152" w14:textId="77777777" w:rsidR="00E7412C" w:rsidRDefault="00E7412C" w:rsidP="00E7412C">
      <w:pPr>
        <w:pStyle w:val="ListBullet"/>
      </w:pPr>
      <w:r>
        <w:lastRenderedPageBreak/>
        <w:t>Farm Household Allowance</w:t>
      </w:r>
    </w:p>
    <w:p w14:paraId="71DE53C5" w14:textId="206264F2" w:rsidR="00E7412C" w:rsidRDefault="00E7412C" w:rsidP="00E7412C">
      <w:pPr>
        <w:pStyle w:val="ListBullet"/>
      </w:pPr>
      <w:r>
        <w:t>Special Benefit.</w:t>
      </w:r>
    </w:p>
    <w:p w14:paraId="7E53B92D" w14:textId="5EF80915" w:rsidR="0005678E" w:rsidRDefault="005F6355" w:rsidP="00A35F8F">
      <w:pPr>
        <w:pStyle w:val="BodyText"/>
      </w:pPr>
      <w:r>
        <w:t xml:space="preserve">After 24 September 2020, the Coronavirus Supplement will be reduced by $300 to </w:t>
      </w:r>
      <w:r w:rsidR="00C266E1" w:rsidRPr="00C266E1">
        <w:t>a rate of $250 per fortnight</w:t>
      </w:r>
      <w:r w:rsidR="007B0C6D" w:rsidRPr="007B0C6D">
        <w:t xml:space="preserve"> until 31 December 2020.</w:t>
      </w:r>
      <w:r w:rsidR="007C3518">
        <w:rPr>
          <w:rStyle w:val="FootnoteReference"/>
        </w:rPr>
        <w:footnoteReference w:id="74"/>
      </w:r>
      <w:r w:rsidR="00283B82">
        <w:t xml:space="preserve"> </w:t>
      </w:r>
    </w:p>
    <w:p w14:paraId="0138CBA0" w14:textId="20F3CE75" w:rsidR="000327AD" w:rsidRDefault="00E332F6" w:rsidP="00163FA8">
      <w:pPr>
        <w:pStyle w:val="BodyText"/>
      </w:pPr>
      <w:r>
        <w:t xml:space="preserve">The </w:t>
      </w:r>
      <w:r w:rsidR="00BC52BF">
        <w:t>original $550 per fortnight Coronavirus Supplement</w:t>
      </w:r>
      <w:r w:rsidR="00751A7B">
        <w:t xml:space="preserve"> has seen the incomes of </w:t>
      </w:r>
      <w:r w:rsidR="0059750D">
        <w:t>JobSeeker and Youth Allowance</w:t>
      </w:r>
      <w:r w:rsidR="00751A7B">
        <w:t xml:space="preserve"> recipients </w:t>
      </w:r>
      <w:r w:rsidR="0027600F">
        <w:t>increase</w:t>
      </w:r>
      <w:r w:rsidR="00A36E87">
        <w:t xml:space="preserve"> </w:t>
      </w:r>
      <w:r w:rsidR="0059750D">
        <w:t xml:space="preserve">in real terms </w:t>
      </w:r>
      <w:r w:rsidR="00EC2870">
        <w:t xml:space="preserve">for the first time in over </w:t>
      </w:r>
      <w:r w:rsidR="00980810">
        <w:t>25 years,</w:t>
      </w:r>
      <w:r w:rsidR="00A1371F">
        <w:t xml:space="preserve"> </w:t>
      </w:r>
      <w:r w:rsidR="007C3518">
        <w:t xml:space="preserve">raising </w:t>
      </w:r>
      <w:r w:rsidR="00700029">
        <w:t>people’s incomes</w:t>
      </w:r>
      <w:r w:rsidR="001D2C8D">
        <w:t xml:space="preserve"> </w:t>
      </w:r>
      <w:r w:rsidR="00A36E87">
        <w:t>above the poverty line</w:t>
      </w:r>
      <w:r w:rsidR="004E4CAC">
        <w:t xml:space="preserve"> (</w:t>
      </w:r>
      <w:r w:rsidR="004E4CAC" w:rsidRPr="006E1EB8">
        <w:t xml:space="preserve">see Figure </w:t>
      </w:r>
      <w:r w:rsidR="006E1EB8">
        <w:t>11</w:t>
      </w:r>
      <w:r w:rsidR="004E4CAC">
        <w:t>). When the Coronavirus Supplement is reduced to $250 per fortnight</w:t>
      </w:r>
      <w:r w:rsidR="004122C9">
        <w:t>,</w:t>
      </w:r>
      <w:r w:rsidR="004E580B">
        <w:t xml:space="preserve"> these incomes will fall back below the poverty line</w:t>
      </w:r>
      <w:r w:rsidR="00B076C2">
        <w:t>.</w:t>
      </w:r>
      <w:r w:rsidR="00357014">
        <w:t xml:space="preserve"> </w:t>
      </w:r>
      <w:r w:rsidR="00DF1EE0">
        <w:t xml:space="preserve">Recent analysis of the impact of changes to the JobSeeker payment </w:t>
      </w:r>
      <w:r w:rsidR="0012557D">
        <w:t xml:space="preserve">has </w:t>
      </w:r>
      <w:r w:rsidR="00DF1EE0">
        <w:t>found that</w:t>
      </w:r>
      <w:r w:rsidR="005C442A">
        <w:t xml:space="preserve"> the </w:t>
      </w:r>
      <w:r w:rsidR="005851B1">
        <w:t xml:space="preserve">$550 </w:t>
      </w:r>
      <w:r w:rsidR="005C442A">
        <w:t xml:space="preserve">Coronavirus Supplement </w:t>
      </w:r>
      <w:r w:rsidR="00280807">
        <w:t>reduced the poverty rate for JobSeeker</w:t>
      </w:r>
      <w:r w:rsidR="00700029">
        <w:t xml:space="preserve"> and </w:t>
      </w:r>
      <w:r w:rsidR="00280807">
        <w:t>Youth Allowance</w:t>
      </w:r>
      <w:r w:rsidR="00163FA8">
        <w:t xml:space="preserve"> recipients</w:t>
      </w:r>
      <w:r w:rsidR="00280807">
        <w:t xml:space="preserve"> </w:t>
      </w:r>
      <w:r w:rsidR="00280807" w:rsidRPr="00280807">
        <w:t>from around 67</w:t>
      </w:r>
      <w:r w:rsidR="00163FA8">
        <w:t xml:space="preserve">% </w:t>
      </w:r>
      <w:r w:rsidR="00280807" w:rsidRPr="00280807">
        <w:t>to just under 7</w:t>
      </w:r>
      <w:r w:rsidR="00163FA8">
        <w:t>%</w:t>
      </w:r>
      <w:r w:rsidR="00700029">
        <w:t>.</w:t>
      </w:r>
      <w:r w:rsidR="00700029">
        <w:rPr>
          <w:rStyle w:val="FootnoteReference"/>
        </w:rPr>
        <w:footnoteReference w:id="75"/>
      </w:r>
      <w:r w:rsidR="00700029">
        <w:t xml:space="preserve"> </w:t>
      </w:r>
    </w:p>
    <w:p w14:paraId="395AA91C" w14:textId="10C92DE8" w:rsidR="00BE6391" w:rsidRDefault="00BE6391" w:rsidP="004C590A">
      <w:pPr>
        <w:pStyle w:val="Figuretitle"/>
        <w:ind w:left="-851" w:right="-710"/>
      </w:pPr>
      <w:r>
        <w:t xml:space="preserve">Figure </w:t>
      </w:r>
      <w:r w:rsidR="006E1EB8">
        <w:t>11</w:t>
      </w:r>
      <w:r>
        <w:t xml:space="preserve"> Changes in income support payments due to </w:t>
      </w:r>
      <w:bookmarkStart w:id="16" w:name="_Hlk50383197"/>
      <w:r>
        <w:t xml:space="preserve">the </w:t>
      </w:r>
      <w:r w:rsidRPr="000915A1">
        <w:t>introduction, reduction</w:t>
      </w:r>
      <w:r w:rsidR="00740D3C" w:rsidRPr="000915A1">
        <w:t>,</w:t>
      </w:r>
      <w:r w:rsidRPr="000915A1">
        <w:t xml:space="preserve"> and </w:t>
      </w:r>
      <w:r w:rsidR="004B757E">
        <w:t>removal of the</w:t>
      </w:r>
      <w:r w:rsidRPr="000915A1">
        <w:t xml:space="preserve"> </w:t>
      </w:r>
      <w:r>
        <w:t xml:space="preserve">Coronavirus Supplement </w:t>
      </w:r>
      <w:bookmarkEnd w:id="16"/>
      <w:r>
        <w:t>(in relation to the poverty line)</w:t>
      </w:r>
      <w:r w:rsidRPr="001C12C5">
        <w:rPr>
          <w:rStyle w:val="FootnoteReference"/>
          <w:b w:val="0"/>
          <w:bCs/>
        </w:rPr>
        <w:footnoteReference w:id="76"/>
      </w:r>
    </w:p>
    <w:p w14:paraId="66166698" w14:textId="77777777" w:rsidR="00BE6391" w:rsidRDefault="00BE6391" w:rsidP="00EF4D88">
      <w:pPr>
        <w:pStyle w:val="BodyText"/>
        <w:spacing w:after="360"/>
        <w:ind w:left="-851"/>
      </w:pPr>
      <w:r>
        <w:rPr>
          <w:noProof/>
        </w:rPr>
        <w:drawing>
          <wp:inline distT="0" distB="0" distL="0" distR="0" wp14:anchorId="0EE4006E" wp14:editId="236FCB5D">
            <wp:extent cx="6480000" cy="315360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0000" cy="3153600"/>
                    </a:xfrm>
                    <a:prstGeom prst="rect">
                      <a:avLst/>
                    </a:prstGeom>
                    <a:noFill/>
                  </pic:spPr>
                </pic:pic>
              </a:graphicData>
            </a:graphic>
          </wp:inline>
        </w:drawing>
      </w:r>
    </w:p>
    <w:p w14:paraId="71488032" w14:textId="6BD2C7E5" w:rsidR="00925036" w:rsidRDefault="00925036" w:rsidP="00163FA8">
      <w:pPr>
        <w:pStyle w:val="BodyText"/>
      </w:pPr>
      <w:r>
        <w:t>Based on</w:t>
      </w:r>
      <w:r w:rsidR="00F4716D">
        <w:t xml:space="preserve"> a poverty line of $457 per week for a single person with no children and </w:t>
      </w:r>
      <w:r w:rsidR="00266D40">
        <w:t xml:space="preserve">$731 per week for a single person with two children, we see that the </w:t>
      </w:r>
      <w:r w:rsidR="00266D40">
        <w:lastRenderedPageBreak/>
        <w:t>poverty gap</w:t>
      </w:r>
      <w:r w:rsidR="0047338B">
        <w:t xml:space="preserve"> – i.e. the difference between income and the poverty line – for </w:t>
      </w:r>
      <w:r w:rsidR="00266D40">
        <w:t xml:space="preserve"> </w:t>
      </w:r>
      <w:r w:rsidR="00417C3B">
        <w:t xml:space="preserve">JobSeeker and Youth Allowance </w:t>
      </w:r>
      <w:r w:rsidR="00345664">
        <w:t xml:space="preserve">recipients </w:t>
      </w:r>
      <w:r w:rsidR="00293A73">
        <w:t>before the introduction of the Coronavirus Supplement</w:t>
      </w:r>
      <w:r w:rsidR="0047338B">
        <w:t xml:space="preserve"> was </w:t>
      </w:r>
      <w:r w:rsidR="00D634B5">
        <w:t xml:space="preserve">$226 </w:t>
      </w:r>
      <w:r w:rsidR="008E2E96">
        <w:t xml:space="preserve">per week </w:t>
      </w:r>
      <w:r w:rsidR="00D11E5E">
        <w:t xml:space="preserve">for a single person on Youth Allowance; $173 for a single person on Newstart/JobSeeker; and </w:t>
      </w:r>
      <w:r w:rsidR="00B53AAE">
        <w:t xml:space="preserve">$151 for a single </w:t>
      </w:r>
      <w:r w:rsidR="005E43A9" w:rsidRPr="005E43A9">
        <w:t>Newstart/JobSeeker</w:t>
      </w:r>
      <w:r w:rsidR="005E43A9">
        <w:t xml:space="preserve"> recipient</w:t>
      </w:r>
      <w:r w:rsidR="00B53AAE">
        <w:t xml:space="preserve"> with</w:t>
      </w:r>
      <w:r w:rsidR="005E43A9">
        <w:t xml:space="preserve"> two</w:t>
      </w:r>
      <w:r w:rsidR="00B53AAE">
        <w:t xml:space="preserve"> children (</w:t>
      </w:r>
      <w:r w:rsidR="00B53AAE" w:rsidRPr="006E1EB8">
        <w:t xml:space="preserve">see Figure </w:t>
      </w:r>
      <w:r w:rsidR="006E1EB8" w:rsidRPr="006E1EB8">
        <w:t>12</w:t>
      </w:r>
      <w:r w:rsidR="00B53AAE">
        <w:t>).</w:t>
      </w:r>
      <w:r w:rsidR="00170E04">
        <w:t xml:space="preserve">The $550 Coronavirus </w:t>
      </w:r>
      <w:r w:rsidR="005E43A9">
        <w:t>S</w:t>
      </w:r>
      <w:r w:rsidR="00170E04">
        <w:t xml:space="preserve">upplement has </w:t>
      </w:r>
      <w:r w:rsidR="00493F01">
        <w:t>erased the poverty gap, raising incomes to</w:t>
      </w:r>
      <w:r w:rsidR="00A643E1">
        <w:t xml:space="preserve"> levels of</w:t>
      </w:r>
      <w:r w:rsidR="00493F01">
        <w:t xml:space="preserve"> </w:t>
      </w:r>
      <w:r w:rsidR="00B750C3">
        <w:t xml:space="preserve">$53, $105, and $132 </w:t>
      </w:r>
      <w:r w:rsidR="008E2E96">
        <w:t>per week</w:t>
      </w:r>
      <w:r w:rsidR="00717FA9">
        <w:t xml:space="preserve"> </w:t>
      </w:r>
      <w:r w:rsidR="00B750C3">
        <w:t>above the poverty line</w:t>
      </w:r>
      <w:r w:rsidR="000B3D6A">
        <w:t xml:space="preserve"> respectively.</w:t>
      </w:r>
      <w:r w:rsidR="00CE6231">
        <w:t xml:space="preserve"> The </w:t>
      </w:r>
      <w:r w:rsidR="00D81915">
        <w:t xml:space="preserve">looming reduction </w:t>
      </w:r>
      <w:r w:rsidR="00B36EE2">
        <w:t>of the</w:t>
      </w:r>
      <w:r w:rsidR="00D81915">
        <w:t xml:space="preserve"> Coronavirus Supplement</w:t>
      </w:r>
      <w:r w:rsidR="00B36EE2">
        <w:t xml:space="preserve"> in September 2020 and its </w:t>
      </w:r>
      <w:r w:rsidR="00717FA9">
        <w:t xml:space="preserve">pending </w:t>
      </w:r>
      <w:r w:rsidR="00B36EE2">
        <w:t>removal in January 2021</w:t>
      </w:r>
      <w:r w:rsidR="00D81915">
        <w:t xml:space="preserve"> will see the </w:t>
      </w:r>
      <w:r w:rsidR="00A07F8A">
        <w:t xml:space="preserve">return of the </w:t>
      </w:r>
      <w:r w:rsidR="00D81915">
        <w:t>poverty gap</w:t>
      </w:r>
      <w:r w:rsidR="00A07F8A">
        <w:t>.</w:t>
      </w:r>
    </w:p>
    <w:p w14:paraId="118D1738" w14:textId="47FCBE62" w:rsidR="00BE6391" w:rsidRDefault="00BE6391" w:rsidP="004C590A">
      <w:pPr>
        <w:pStyle w:val="Figuretitle"/>
        <w:ind w:left="-567" w:right="-567"/>
      </w:pPr>
      <w:r>
        <w:t xml:space="preserve">Figure </w:t>
      </w:r>
      <w:r w:rsidR="006E1EB8">
        <w:t>12</w:t>
      </w:r>
      <w:r>
        <w:t xml:space="preserve"> Poverty gap for JobSeeker and Youth Allowance recipients with </w:t>
      </w:r>
      <w:r w:rsidRPr="00956B66">
        <w:t>the introduction, reduction</w:t>
      </w:r>
      <w:r w:rsidR="00740D3C" w:rsidRPr="00956B66">
        <w:t>,</w:t>
      </w:r>
      <w:r w:rsidRPr="00956B66">
        <w:t xml:space="preserve"> and </w:t>
      </w:r>
      <w:r w:rsidR="003B3C84">
        <w:t>removal of the</w:t>
      </w:r>
      <w:r w:rsidRPr="00956B66">
        <w:t xml:space="preserve"> Coronavirus Supplement</w:t>
      </w:r>
      <w:r w:rsidRPr="00A019BA">
        <w:rPr>
          <w:rStyle w:val="FootnoteReference"/>
          <w:b w:val="0"/>
          <w:bCs/>
        </w:rPr>
        <w:footnoteReference w:id="77"/>
      </w:r>
    </w:p>
    <w:p w14:paraId="6CC07045" w14:textId="77777777" w:rsidR="00BE6391" w:rsidRDefault="00BE6391" w:rsidP="00EF4D88">
      <w:pPr>
        <w:pStyle w:val="BodyText"/>
        <w:spacing w:after="360"/>
        <w:ind w:left="-567"/>
      </w:pPr>
      <w:r>
        <w:rPr>
          <w:noProof/>
        </w:rPr>
        <w:drawing>
          <wp:inline distT="0" distB="0" distL="0" distR="0" wp14:anchorId="6D07AD79" wp14:editId="259A8004">
            <wp:extent cx="6120000" cy="4071600"/>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000" cy="4071600"/>
                    </a:xfrm>
                    <a:prstGeom prst="rect">
                      <a:avLst/>
                    </a:prstGeom>
                    <a:noFill/>
                  </pic:spPr>
                </pic:pic>
              </a:graphicData>
            </a:graphic>
          </wp:inline>
        </w:drawing>
      </w:r>
    </w:p>
    <w:p w14:paraId="7F7A7697" w14:textId="0090795B" w:rsidR="000842E5" w:rsidRDefault="00BD1584" w:rsidP="00677731">
      <w:pPr>
        <w:pStyle w:val="BodyText"/>
      </w:pPr>
      <w:r>
        <w:t xml:space="preserve">A survey </w:t>
      </w:r>
      <w:r w:rsidR="00677731">
        <w:t>of</w:t>
      </w:r>
      <w:r>
        <w:t xml:space="preserve"> </w:t>
      </w:r>
      <w:r w:rsidR="00B43373">
        <w:t xml:space="preserve">over </w:t>
      </w:r>
      <w:r w:rsidR="00B24251">
        <w:t>600</w:t>
      </w:r>
      <w:r w:rsidR="00677731">
        <w:t xml:space="preserve"> people on JobSeeker</w:t>
      </w:r>
      <w:r w:rsidR="00B43373">
        <w:t xml:space="preserve"> or other related income support payments</w:t>
      </w:r>
      <w:r w:rsidR="00882982">
        <w:t xml:space="preserve"> who were</w:t>
      </w:r>
      <w:r w:rsidR="00677731">
        <w:t xml:space="preserve"> receiving the Coronavirus Supplement</w:t>
      </w:r>
      <w:r w:rsidR="00882982">
        <w:t xml:space="preserve"> in </w:t>
      </w:r>
      <w:r w:rsidR="00B43373">
        <w:t>August</w:t>
      </w:r>
      <w:r w:rsidR="00882982">
        <w:t xml:space="preserve"> 2020 found</w:t>
      </w:r>
      <w:r w:rsidR="003E645A">
        <w:t xml:space="preserve"> that the increase</w:t>
      </w:r>
      <w:r w:rsidR="002F4CD3">
        <w:t xml:space="preserve"> to their income had </w:t>
      </w:r>
      <w:r w:rsidR="00420E9C">
        <w:t xml:space="preserve">made it </w:t>
      </w:r>
      <w:r w:rsidR="00A2671E">
        <w:t xml:space="preserve">much </w:t>
      </w:r>
      <w:r w:rsidR="00420E9C">
        <w:t>easier to cover the cost of essential goods and services:</w:t>
      </w:r>
    </w:p>
    <w:p w14:paraId="63BBCD59" w14:textId="02CBD454" w:rsidR="000842E5" w:rsidRDefault="000842E5" w:rsidP="000842E5">
      <w:pPr>
        <w:pStyle w:val="ListBullet"/>
      </w:pPr>
      <w:r>
        <w:t>8</w:t>
      </w:r>
      <w:r w:rsidR="00111E07">
        <w:t>0.8</w:t>
      </w:r>
      <w:r>
        <w:t>% reported that they were eating better</w:t>
      </w:r>
      <w:r w:rsidR="00CC5141">
        <w:t xml:space="preserve"> and more regularly</w:t>
      </w:r>
    </w:p>
    <w:p w14:paraId="36C1AC65" w14:textId="6343AB71" w:rsidR="000842E5" w:rsidRDefault="000842E5" w:rsidP="000842E5">
      <w:pPr>
        <w:pStyle w:val="ListBullet"/>
      </w:pPr>
      <w:r>
        <w:t>7</w:t>
      </w:r>
      <w:r w:rsidR="00CC5141">
        <w:t>0.7</w:t>
      </w:r>
      <w:r>
        <w:t>% reported that they were now able to catch-up on bills</w:t>
      </w:r>
    </w:p>
    <w:p w14:paraId="5D80AB6F" w14:textId="0C368375" w:rsidR="00CC5141" w:rsidRDefault="00CC5141" w:rsidP="000842E5">
      <w:pPr>
        <w:pStyle w:val="ListBullet"/>
      </w:pPr>
      <w:r>
        <w:lastRenderedPageBreak/>
        <w:t>67.8%</w:t>
      </w:r>
      <w:r w:rsidR="0069088C" w:rsidRPr="0069088C">
        <w:t xml:space="preserve"> </w:t>
      </w:r>
      <w:r w:rsidR="0069088C">
        <w:t>reported</w:t>
      </w:r>
      <w:r w:rsidR="0069088C" w:rsidRPr="0069088C">
        <w:t xml:space="preserve"> they were able to pay for medicines/heath treatments</w:t>
      </w:r>
    </w:p>
    <w:p w14:paraId="676FA5B8" w14:textId="63AA21DF" w:rsidR="000842E5" w:rsidRDefault="00CF2519" w:rsidP="000842E5">
      <w:pPr>
        <w:pStyle w:val="ListBullet"/>
      </w:pPr>
      <w:r>
        <w:t>58.8</w:t>
      </w:r>
      <w:r w:rsidR="000842E5">
        <w:t xml:space="preserve">% reported that they were finding it easier to pay </w:t>
      </w:r>
      <w:r w:rsidRPr="00CF2519">
        <w:t>rent/being able to move</w:t>
      </w:r>
      <w:r w:rsidR="000842E5">
        <w:t xml:space="preserve"> into </w:t>
      </w:r>
      <w:r w:rsidRPr="00CF2519">
        <w:t xml:space="preserve">better and </w:t>
      </w:r>
      <w:r w:rsidR="000842E5">
        <w:t>safer accommodation</w:t>
      </w:r>
    </w:p>
    <w:p w14:paraId="7C4CE17B" w14:textId="6B571B46" w:rsidR="00EA1542" w:rsidRDefault="00EA1542" w:rsidP="000842E5">
      <w:pPr>
        <w:pStyle w:val="ListBullet"/>
      </w:pPr>
      <w:r w:rsidRPr="00EA1542">
        <w:t>56.2%</w:t>
      </w:r>
      <w:r>
        <w:t xml:space="preserve"> were able</w:t>
      </w:r>
      <w:r w:rsidRPr="00EA1542">
        <w:t xml:space="preserve"> to pay off debts</w:t>
      </w:r>
    </w:p>
    <w:p w14:paraId="60A376A7" w14:textId="2F9CF9A4" w:rsidR="00633F68" w:rsidRDefault="00633F68" w:rsidP="000842E5">
      <w:pPr>
        <w:pStyle w:val="ListBullet"/>
      </w:pPr>
      <w:r w:rsidRPr="00633F68">
        <w:t>51.7</w:t>
      </w:r>
      <w:r w:rsidR="000842E5">
        <w:t xml:space="preserve">% were able to save up for </w:t>
      </w:r>
      <w:r w:rsidRPr="00633F68">
        <w:t xml:space="preserve">emergencies </w:t>
      </w:r>
    </w:p>
    <w:p w14:paraId="0158F81D" w14:textId="106B6601" w:rsidR="009A72D0" w:rsidRDefault="001E11DD" w:rsidP="000842E5">
      <w:pPr>
        <w:pStyle w:val="ListBullet"/>
      </w:pPr>
      <w:r>
        <w:t>51.6</w:t>
      </w:r>
      <w:r w:rsidR="000842E5">
        <w:t xml:space="preserve">% were able </w:t>
      </w:r>
      <w:r w:rsidR="00BC70CD" w:rsidRPr="00BC70CD">
        <w:t xml:space="preserve">to save up to purchase </w:t>
      </w:r>
      <w:r w:rsidR="000842E5">
        <w:t xml:space="preserve">major household items </w:t>
      </w:r>
      <w:r w:rsidR="00BC70CD" w:rsidRPr="00BC70CD">
        <w:t>(i.e.,</w:t>
      </w:r>
      <w:r w:rsidR="000842E5">
        <w:t xml:space="preserve"> fridges</w:t>
      </w:r>
      <w:r w:rsidR="00BC70CD" w:rsidRPr="00BC70CD">
        <w:t>,</w:t>
      </w:r>
      <w:r w:rsidR="000842E5">
        <w:t xml:space="preserve"> freezers</w:t>
      </w:r>
      <w:r w:rsidR="00BC70CD" w:rsidRPr="00BC70CD">
        <w:t>, tables)</w:t>
      </w:r>
    </w:p>
    <w:p w14:paraId="015B7615" w14:textId="5C8FBC35" w:rsidR="00BE6391" w:rsidRDefault="009A72D0" w:rsidP="000842E5">
      <w:pPr>
        <w:pStyle w:val="ListBullet"/>
      </w:pPr>
      <w:r>
        <w:t>26.0% were a</w:t>
      </w:r>
      <w:r w:rsidRPr="009A72D0">
        <w:t>ble to save up to pay for studying/training</w:t>
      </w:r>
      <w:r w:rsidR="00677731">
        <w:t>.</w:t>
      </w:r>
      <w:r w:rsidR="00420E9C">
        <w:rPr>
          <w:rStyle w:val="FootnoteReference"/>
        </w:rPr>
        <w:footnoteReference w:id="78"/>
      </w:r>
    </w:p>
    <w:p w14:paraId="6DBD416A" w14:textId="09957581" w:rsidR="001041EE" w:rsidRDefault="00751F1E" w:rsidP="00163FA8">
      <w:pPr>
        <w:pStyle w:val="BodyText"/>
      </w:pPr>
      <w:r>
        <w:t xml:space="preserve">With increased levels of unemployment, the return of the poverty gap </w:t>
      </w:r>
      <w:r w:rsidR="00977CAD">
        <w:t xml:space="preserve">is likely to see the ACT’s poverty rate increase </w:t>
      </w:r>
      <w:r w:rsidR="00693FCC">
        <w:t xml:space="preserve">above the </w:t>
      </w:r>
      <w:r w:rsidR="00977CAD">
        <w:t xml:space="preserve">pre-COVID level of 8.6% or approximately 30,000 people. </w:t>
      </w:r>
      <w:r w:rsidR="006F5E64" w:rsidRPr="006F5E64">
        <w:t xml:space="preserve">In June 2020, 22,676 people in the ACT were receiving income support payments boosted by the Coronavirus Supplement. </w:t>
      </w:r>
      <w:r w:rsidR="001041EE" w:rsidRPr="001041EE">
        <w:t xml:space="preserve">The number of people in the ACT looking for work while in receipt of JobSeeker </w:t>
      </w:r>
      <w:r w:rsidR="00750F1B">
        <w:t>or</w:t>
      </w:r>
      <w:r w:rsidR="001041EE" w:rsidRPr="001041EE">
        <w:t xml:space="preserve"> Youth Allowance has more than doubled since before the COVID-19 health emergency. From December 2019 to July 2020, the number of people in the ACT receiving these payments increased by 8,272 (126.3%), from 6,551 to 14,823. </w:t>
      </w:r>
      <w:r w:rsidR="000526C1">
        <w:t xml:space="preserve">Based on the latest ACT </w:t>
      </w:r>
      <w:r w:rsidR="00403A41">
        <w:t xml:space="preserve">job vacancy </w:t>
      </w:r>
      <w:r w:rsidR="000526C1">
        <w:t>figures</w:t>
      </w:r>
      <w:r w:rsidR="00FC1BD7">
        <w:t xml:space="preserve">, there </w:t>
      </w:r>
      <w:r w:rsidR="005E037D">
        <w:t xml:space="preserve">is </w:t>
      </w:r>
      <w:r w:rsidR="00403A41">
        <w:t xml:space="preserve">currently </w:t>
      </w:r>
      <w:r w:rsidR="005E037D">
        <w:t xml:space="preserve">only job available for every four of these </w:t>
      </w:r>
      <w:r w:rsidR="00403A41">
        <w:t>job seekers</w:t>
      </w:r>
      <w:r w:rsidR="005E037D">
        <w:t>.</w:t>
      </w:r>
      <w:r w:rsidR="00403A41">
        <w:rPr>
          <w:rStyle w:val="FootnoteReference"/>
        </w:rPr>
        <w:footnoteReference w:id="79"/>
      </w:r>
      <w:r w:rsidR="005E037D">
        <w:t xml:space="preserve"> </w:t>
      </w:r>
      <w:r w:rsidR="00BB41CD">
        <w:t xml:space="preserve">A recent analysis has estimated that the </w:t>
      </w:r>
      <w:r w:rsidR="00BD1203">
        <w:t xml:space="preserve">removal of the Coronavirus Supplement would result in the loss of a further 1,120 </w:t>
      </w:r>
      <w:r w:rsidR="000261DF">
        <w:t xml:space="preserve">full-time equivalent </w:t>
      </w:r>
      <w:r w:rsidR="00BD1203">
        <w:t>jobs in the ACT</w:t>
      </w:r>
      <w:r w:rsidR="00A750E1">
        <w:t xml:space="preserve"> in 2021-22</w:t>
      </w:r>
      <w:r w:rsidR="00BD1203">
        <w:t>.</w:t>
      </w:r>
      <w:r w:rsidR="008F324C">
        <w:rPr>
          <w:rStyle w:val="FootnoteReference"/>
        </w:rPr>
        <w:footnoteReference w:id="80"/>
      </w:r>
      <w:r w:rsidR="00BD1203">
        <w:t xml:space="preserve"> </w:t>
      </w:r>
      <w:r w:rsidR="00C2575B">
        <w:t xml:space="preserve">These figures suggest we could see </w:t>
      </w:r>
      <w:r w:rsidR="00971FAB">
        <w:t xml:space="preserve">the number of </w:t>
      </w:r>
      <w:r w:rsidR="00B360BF">
        <w:t>people living below the poverty line in the ACT increase by 25%</w:t>
      </w:r>
      <w:r w:rsidR="00AD110F">
        <w:t xml:space="preserve"> above the pre-COVID level</w:t>
      </w:r>
      <w:r w:rsidR="00B360BF">
        <w:t xml:space="preserve"> </w:t>
      </w:r>
      <w:r w:rsidR="00A4447E">
        <w:t>if the Coronavirus Supplement is removed completely</w:t>
      </w:r>
      <w:r w:rsidR="00AD110F">
        <w:t>, approaching 40,000 people.</w:t>
      </w:r>
    </w:p>
    <w:p w14:paraId="650D9D45" w14:textId="19C4B5B3" w:rsidR="00BE2181" w:rsidRDefault="00D54F7E" w:rsidP="00163FA8">
      <w:pPr>
        <w:pStyle w:val="BodyText"/>
      </w:pPr>
      <w:bookmarkStart w:id="17" w:name="_Hlk51016808"/>
      <w:r>
        <w:t xml:space="preserve">To avoid </w:t>
      </w:r>
      <w:r w:rsidR="006C1960">
        <w:t>returning</w:t>
      </w:r>
      <w:r>
        <w:t xml:space="preserve"> to a poverty gap, ACOSS has recommended that</w:t>
      </w:r>
      <w:r w:rsidR="00D233B4">
        <w:t xml:space="preserve"> the Australian Government:</w:t>
      </w:r>
    </w:p>
    <w:p w14:paraId="3824C159" w14:textId="736097E4" w:rsidR="00D233B4" w:rsidRDefault="00D233B4" w:rsidP="007C053C">
      <w:pPr>
        <w:pStyle w:val="ListBullet"/>
      </w:pPr>
      <w:r w:rsidRPr="00D233B4">
        <w:t>Set a minimum income floor across the working age payments system set at the current pension rate (including the Pension Supplement). This is currently $472 per week for a single person.</w:t>
      </w:r>
    </w:p>
    <w:p w14:paraId="5BB008F4" w14:textId="544B143C" w:rsidR="00D233B4" w:rsidRDefault="00D233B4" w:rsidP="007C053C">
      <w:pPr>
        <w:pStyle w:val="ListBullet"/>
      </w:pPr>
      <w:r w:rsidRPr="00D233B4">
        <w:t>Increase base rates of allowances to this income floor. This would require an increase of $185</w:t>
      </w:r>
      <w:r w:rsidR="00A817CA">
        <w:t xml:space="preserve"> </w:t>
      </w:r>
      <w:r w:rsidRPr="00D233B4">
        <w:t>p</w:t>
      </w:r>
      <w:r w:rsidR="00A817CA">
        <w:t xml:space="preserve">er </w:t>
      </w:r>
      <w:r w:rsidRPr="00D233B4">
        <w:t>w</w:t>
      </w:r>
      <w:r w:rsidR="00A817CA">
        <w:t>eek</w:t>
      </w:r>
      <w:r w:rsidRPr="00D233B4">
        <w:t xml:space="preserve"> to the single maximum rate of JobSeeker Payment and $235 per week for single, maximum rate of Youth Allowance. This would simplify the income support system, while securing fairness. (Note. These increases would apply to all allowance payments, including Austudy and </w:t>
      </w:r>
      <w:r w:rsidR="006E5176">
        <w:t>ABSTUDY</w:t>
      </w:r>
      <w:r w:rsidRPr="00D233B4">
        <w:t>).</w:t>
      </w:r>
    </w:p>
    <w:p w14:paraId="05585778" w14:textId="77777777" w:rsidR="007C053C" w:rsidRDefault="007C053C" w:rsidP="007C053C">
      <w:pPr>
        <w:pStyle w:val="ListBullet"/>
      </w:pPr>
      <w:r>
        <w:lastRenderedPageBreak/>
        <w:t>In addition, depending on circumstances of need, people would also receive one or more of the following supplements:</w:t>
      </w:r>
    </w:p>
    <w:p w14:paraId="58908214" w14:textId="393F0C41" w:rsidR="00EF4D74" w:rsidRDefault="007C053C" w:rsidP="00EF4D74">
      <w:pPr>
        <w:pStyle w:val="ListBullet2"/>
      </w:pPr>
      <w:r>
        <w:t>Housing Supplement: Increase the maximum rate of Commonwealth Rent Assistance by 50% from $70 to $105 per week for a single</w:t>
      </w:r>
      <w:r w:rsidR="00EF4D74" w:rsidRPr="00EF4D74">
        <w:t xml:space="preserve"> </w:t>
      </w:r>
      <w:r w:rsidR="00EF4D74">
        <w:t xml:space="preserve">person without children to </w:t>
      </w:r>
      <w:proofErr w:type="gramStart"/>
      <w:r w:rsidR="00EF4D74">
        <w:t>more adequately subsidise private rental costs</w:t>
      </w:r>
      <w:proofErr w:type="gramEnd"/>
      <w:r w:rsidR="00EF4D74">
        <w:t xml:space="preserve"> for low-income tenants.</w:t>
      </w:r>
    </w:p>
    <w:p w14:paraId="3ADB2D1B" w14:textId="68B1B0BE" w:rsidR="00EF4D74" w:rsidRDefault="00EF4D74" w:rsidP="00EF4D74">
      <w:pPr>
        <w:pStyle w:val="ListBullet2"/>
      </w:pPr>
      <w:r>
        <w:t>Disability and Illness Supplement: Introduce a Cost of Disability and Illness Supplement that recognises the additional costs faced by people with disability.</w:t>
      </w:r>
      <w:r w:rsidR="00763869">
        <w:rPr>
          <w:rStyle w:val="FootnoteReference"/>
        </w:rPr>
        <w:footnoteReference w:id="81"/>
      </w:r>
      <w:r>
        <w:t xml:space="preserve"> This </w:t>
      </w:r>
      <w:r w:rsidR="00AF6C57">
        <w:t>s</w:t>
      </w:r>
      <w:r>
        <w:t>upplement should be at least $50 per week. This is in addition to ACOSS’s long-standing call for broader access to the Disability Support Pension to avoid people with disability ending up on JobSeeker Payment.</w:t>
      </w:r>
    </w:p>
    <w:p w14:paraId="3F9C95E1" w14:textId="1B54DEEC" w:rsidR="00D233B4" w:rsidRDefault="00EF4D74" w:rsidP="00EF4D74">
      <w:pPr>
        <w:pStyle w:val="ListBullet2"/>
      </w:pPr>
      <w:r>
        <w:t>Single Parenting Supplement: Introduce a Single Parent Supplement that recognises the added costs of single parenthood. The Single Parent Supplement should be at least $200 per week (and must reflect number and age of children). This could be paid via Family Tax Benefit Part B.</w:t>
      </w:r>
    </w:p>
    <w:p w14:paraId="21826FC8" w14:textId="77777777" w:rsidR="00F46750" w:rsidRDefault="00F46750" w:rsidP="00F46750">
      <w:pPr>
        <w:pStyle w:val="ListBullet2"/>
      </w:pPr>
      <w:r>
        <w:t>Roll universal payments like the Energy Supplement into base rates of income support to simplify the system, recognising that they are intended to assist with basic household expenses.</w:t>
      </w:r>
    </w:p>
    <w:p w14:paraId="24071550" w14:textId="21F8B2DE" w:rsidR="00F46750" w:rsidRDefault="00F46750" w:rsidP="00F46750">
      <w:pPr>
        <w:pStyle w:val="ListBullet2"/>
      </w:pPr>
      <w:r>
        <w:t>Index income support payments twice per year to wages as well as prices.</w:t>
      </w:r>
    </w:p>
    <w:p w14:paraId="3EC966BE" w14:textId="5CF2ABCA" w:rsidR="00F46750" w:rsidRDefault="00F46750" w:rsidP="00F46750">
      <w:pPr>
        <w:pStyle w:val="ListBullet2"/>
      </w:pPr>
      <w:r>
        <w:t>Income support payments must not be subject to mandatory cashless debit or income management.</w:t>
      </w:r>
    </w:p>
    <w:p w14:paraId="29A88630" w14:textId="77A237C2" w:rsidR="00F46750" w:rsidRDefault="00F46750" w:rsidP="00F46750">
      <w:pPr>
        <w:pStyle w:val="ListBullet2"/>
      </w:pPr>
      <w:r>
        <w:t>Ensure all parents receiving income support payments are eligible for childcare subsidies (including additional, transition to work subsidies).</w:t>
      </w:r>
      <w:r>
        <w:rPr>
          <w:rStyle w:val="FootnoteReference"/>
        </w:rPr>
        <w:footnoteReference w:id="82"/>
      </w:r>
    </w:p>
    <w:p w14:paraId="6A3B9BB6" w14:textId="4CC842C5" w:rsidR="00615301" w:rsidRDefault="00EB6C8E" w:rsidP="00BB099F">
      <w:pPr>
        <w:pStyle w:val="BodyText"/>
      </w:pPr>
      <w:r>
        <w:t>ACOSS has also recommended that i</w:t>
      </w:r>
      <w:r w:rsidR="00DA6776" w:rsidRPr="00DA6776">
        <w:t>ncome support should urgently be expended to temporary visa holders lacking adequate income who are unable to leave the country.</w:t>
      </w:r>
      <w:r w:rsidR="003652D8">
        <w:rPr>
          <w:rStyle w:val="FootnoteReference"/>
        </w:rPr>
        <w:footnoteReference w:id="83"/>
      </w:r>
      <w:r w:rsidR="00990FE7" w:rsidRPr="00990FE7">
        <w:t xml:space="preserve"> </w:t>
      </w:r>
      <w:r w:rsidR="002223FC" w:rsidRPr="002223FC">
        <w:t xml:space="preserve">Over one million people </w:t>
      </w:r>
      <w:r w:rsidR="002223FC">
        <w:t xml:space="preserve">are </w:t>
      </w:r>
      <w:r w:rsidR="00990FE7" w:rsidRPr="00990FE7">
        <w:t>excluded from JobKeeper and Job</w:t>
      </w:r>
      <w:r w:rsidR="002B1E30">
        <w:t>S</w:t>
      </w:r>
      <w:r w:rsidR="00990FE7" w:rsidRPr="00990FE7">
        <w:t xml:space="preserve">eeker payments </w:t>
      </w:r>
      <w:r w:rsidR="00E351E1" w:rsidRPr="00E351E1">
        <w:t xml:space="preserve">despite having the right to work, study, or seek asylum. </w:t>
      </w:r>
      <w:r>
        <w:t>People in this situation</w:t>
      </w:r>
      <w:r w:rsidR="002223FC">
        <w:t xml:space="preserve"> </w:t>
      </w:r>
      <w:r w:rsidR="00990FE7" w:rsidRPr="00990FE7">
        <w:t xml:space="preserve">should be offered a form of public income support that allows them to meet essential living costs until they obtain </w:t>
      </w:r>
      <w:r w:rsidR="00990FE7" w:rsidRPr="00990FE7">
        <w:lastRenderedPageBreak/>
        <w:t>permanent residency, sufficient paid employment, or are able to safely leave the country.</w:t>
      </w:r>
    </w:p>
    <w:p w14:paraId="5BDC707C" w14:textId="17A684A6" w:rsidR="007C1F67" w:rsidRDefault="00393F34" w:rsidP="00BB099F">
      <w:pPr>
        <w:pStyle w:val="BodyText"/>
      </w:pPr>
      <w:r>
        <w:t xml:space="preserve">ACTCOSS supports </w:t>
      </w:r>
      <w:r w:rsidR="009155D5">
        <w:t xml:space="preserve">ACOSS’s recommendations </w:t>
      </w:r>
      <w:r w:rsidR="006E685C">
        <w:t xml:space="preserve">and </w:t>
      </w:r>
      <w:r w:rsidR="00FC4D50">
        <w:t>its</w:t>
      </w:r>
      <w:r w:rsidR="006E685C">
        <w:t xml:space="preserve"> </w:t>
      </w:r>
      <w:r w:rsidR="006E685C" w:rsidRPr="000D21B1">
        <w:t xml:space="preserve">Raise the Rate </w:t>
      </w:r>
      <w:r w:rsidR="004251D2" w:rsidRPr="000D21B1">
        <w:t>f</w:t>
      </w:r>
      <w:r w:rsidR="006E685C" w:rsidRPr="000D21B1">
        <w:t xml:space="preserve">or Good campaign. </w:t>
      </w:r>
      <w:r w:rsidR="00153D2C" w:rsidRPr="000D21B1">
        <w:t>As part of that campaign we are calling f</w:t>
      </w:r>
      <w:r w:rsidR="00153D2C">
        <w:t>or the $550</w:t>
      </w:r>
      <w:r w:rsidR="004251D2">
        <w:t xml:space="preserve"> per fortnight</w:t>
      </w:r>
      <w:r w:rsidR="00153D2C">
        <w:t xml:space="preserve"> Coronavirus Supplement to</w:t>
      </w:r>
      <w:r w:rsidR="004D1399" w:rsidRPr="004D1399">
        <w:t xml:space="preserve"> be kept in place</w:t>
      </w:r>
      <w:r w:rsidR="00153D2C">
        <w:t xml:space="preserve"> by the Australian Government</w:t>
      </w:r>
      <w:r w:rsidR="004D1399" w:rsidRPr="004D1399">
        <w:t xml:space="preserve"> until our social security system is fixed for good so that it keeps people out of poverty</w:t>
      </w:r>
      <w:r w:rsidR="00153D2C">
        <w:t>.</w:t>
      </w:r>
      <w:r w:rsidR="00AC483A">
        <w:rPr>
          <w:rStyle w:val="FootnoteReference"/>
        </w:rPr>
        <w:footnoteReference w:id="84"/>
      </w:r>
      <w:r w:rsidR="00153D2C">
        <w:t xml:space="preserve"> </w:t>
      </w:r>
    </w:p>
    <w:bookmarkEnd w:id="17"/>
    <w:p w14:paraId="1C0D64D3" w14:textId="3A1349A3" w:rsidR="00F07EC7" w:rsidRPr="00F07EC7" w:rsidRDefault="00693DDD" w:rsidP="00F07EC7">
      <w:pPr>
        <w:pStyle w:val="Quote"/>
      </w:pPr>
      <w:r>
        <w:t>“</w:t>
      </w:r>
      <w:r w:rsidR="008A27C6" w:rsidRPr="00F07EC7">
        <w:t>The next 12-24 months are going to be really tough for many Canberrans. As JobKeeper and JobSeeker decrease or come to an end, many more people will find themselves out of work and unable to meet their financial commitments. This is coming at a time when the recent hardship arrangements offered by banks and utility providers will be scaled back, leaving people including those who have never faced financial hardship previously,  in precarious financial situations and in need of greater support</w:t>
      </w:r>
      <w:r>
        <w:t>.”</w:t>
      </w:r>
      <w:r w:rsidR="008A27C6" w:rsidRPr="00F07EC7">
        <w:t xml:space="preserve"> </w:t>
      </w:r>
    </w:p>
    <w:p w14:paraId="724BC3EB" w14:textId="75B85461" w:rsidR="008A27C6" w:rsidRPr="00F07EC7" w:rsidRDefault="00F07EC7" w:rsidP="00F07EC7">
      <w:pPr>
        <w:pStyle w:val="Quote-source"/>
      </w:pPr>
      <w:r w:rsidRPr="00F07EC7">
        <w:t xml:space="preserve">– </w:t>
      </w:r>
      <w:r w:rsidR="008A27C6" w:rsidRPr="00F07EC7">
        <w:t>Carmel</w:t>
      </w:r>
      <w:r w:rsidRPr="00F07EC7">
        <w:t xml:space="preserve"> </w:t>
      </w:r>
      <w:r w:rsidR="008A27C6" w:rsidRPr="00F07EC7">
        <w:t xml:space="preserve">Franklin, CEO, Care Financial Counselling Service </w:t>
      </w:r>
      <w:r w:rsidR="004D5485">
        <w:br/>
      </w:r>
      <w:r w:rsidR="008A27C6" w:rsidRPr="00F07EC7">
        <w:t>and the Consumer Law Centre of the ACT</w:t>
      </w:r>
    </w:p>
    <w:p w14:paraId="6097339E" w14:textId="77777777" w:rsidR="00F07EC7" w:rsidRPr="00F07EC7" w:rsidRDefault="00F07EC7" w:rsidP="00F07EC7">
      <w:pPr>
        <w:pStyle w:val="BodyText"/>
        <w:rPr>
          <w:rStyle w:val="QuoteChar"/>
          <w:i w:val="0"/>
          <w:iCs w:val="0"/>
          <w:color w:val="auto"/>
        </w:rPr>
      </w:pPr>
    </w:p>
    <w:p w14:paraId="1D7D080F" w14:textId="15B1ABEA" w:rsidR="004D5485" w:rsidRPr="004D5485" w:rsidRDefault="00693DDD" w:rsidP="004D5485">
      <w:pPr>
        <w:pStyle w:val="Quote"/>
      </w:pPr>
      <w:r>
        <w:t>“</w:t>
      </w:r>
      <w:r w:rsidR="001A0190" w:rsidRPr="004D5485">
        <w:t>When my youngest turned eight they moved me from the sole parent pension to the Newstart which is about $150 less. So that was a huge chunk of [money] – because I mean when you get to teenagers they eat a lot, so that was a huge jump from managing, to sort of like battling… so yeah that was quite hard</w:t>
      </w:r>
      <w:r>
        <w:t>.”</w:t>
      </w:r>
      <w:r w:rsidR="001A0190" w:rsidRPr="004D5485">
        <w:t xml:space="preserve"> </w:t>
      </w:r>
    </w:p>
    <w:p w14:paraId="53CBFA09" w14:textId="0886431E" w:rsidR="001A0190" w:rsidRDefault="00F21158" w:rsidP="004D5485">
      <w:pPr>
        <w:pStyle w:val="Quote-source"/>
      </w:pPr>
      <w:r w:rsidRPr="00F07EC7">
        <w:t xml:space="preserve">– </w:t>
      </w:r>
      <w:r w:rsidR="001A0190" w:rsidRPr="004D5485">
        <w:t xml:space="preserve">Claire*, aged 51, single mother of two school-age children </w:t>
      </w:r>
      <w:r w:rsidR="00693DDD">
        <w:br/>
      </w:r>
      <w:r w:rsidR="001A0190" w:rsidRPr="004D5485">
        <w:t>who left a violent relationship</w:t>
      </w:r>
      <w:r w:rsidR="001A0190">
        <w:rPr>
          <w:rStyle w:val="FootnoteReference"/>
        </w:rPr>
        <w:footnoteReference w:id="85"/>
      </w:r>
    </w:p>
    <w:p w14:paraId="6DF1E3CD" w14:textId="77777777" w:rsidR="00F21158" w:rsidRPr="00F21158" w:rsidRDefault="00F21158" w:rsidP="00F21158">
      <w:pPr>
        <w:pStyle w:val="BodyText"/>
        <w:rPr>
          <w:rStyle w:val="QuoteChar"/>
          <w:i w:val="0"/>
          <w:iCs w:val="0"/>
          <w:color w:val="auto"/>
        </w:rPr>
      </w:pPr>
    </w:p>
    <w:p w14:paraId="2DFE9F27" w14:textId="77777777" w:rsidR="00693DDD" w:rsidRPr="00693DDD" w:rsidRDefault="00D1347C" w:rsidP="00693DDD">
      <w:pPr>
        <w:pStyle w:val="Quote"/>
      </w:pPr>
      <w:r w:rsidRPr="00693DDD">
        <w:t xml:space="preserve">Somewhere in the second week of my fortnight, I literally </w:t>
      </w:r>
      <w:proofErr w:type="gramStart"/>
      <w:r w:rsidRPr="00693DDD">
        <w:t>don’t</w:t>
      </w:r>
      <w:proofErr w:type="gramEnd"/>
      <w:r w:rsidRPr="00693DDD">
        <w:t xml:space="preserve"> have any money anymore, and I have to just go to free food services …  And if any expenses come up, you just </w:t>
      </w:r>
      <w:proofErr w:type="gramStart"/>
      <w:r w:rsidRPr="00693DDD">
        <w:t>can’t</w:t>
      </w:r>
      <w:proofErr w:type="gramEnd"/>
      <w:r w:rsidRPr="00693DDD">
        <w:t xml:space="preserve"> pay them </w:t>
      </w:r>
    </w:p>
    <w:p w14:paraId="564D6EC0" w14:textId="3326714A" w:rsidR="00D1347C" w:rsidRDefault="00693DDD" w:rsidP="00693DDD">
      <w:pPr>
        <w:pStyle w:val="Quote-source"/>
      </w:pPr>
      <w:r w:rsidRPr="00F07EC7">
        <w:t xml:space="preserve">– </w:t>
      </w:r>
      <w:r w:rsidR="00D1347C" w:rsidRPr="00693DDD">
        <w:t>Gary*, single, aged 40, on Newstart</w:t>
      </w:r>
      <w:r w:rsidR="00D1347C">
        <w:rPr>
          <w:rStyle w:val="FootnoteReference"/>
        </w:rPr>
        <w:footnoteReference w:id="86"/>
      </w:r>
    </w:p>
    <w:p w14:paraId="3A25E541" w14:textId="77777777" w:rsidR="00F21158" w:rsidRPr="00F21158" w:rsidRDefault="00F21158" w:rsidP="00F21158">
      <w:pPr>
        <w:pStyle w:val="BodyText"/>
        <w:rPr>
          <w:rStyle w:val="QuoteChar"/>
          <w:i w:val="0"/>
          <w:iCs w:val="0"/>
          <w:color w:val="auto"/>
        </w:rPr>
      </w:pPr>
    </w:p>
    <w:p w14:paraId="24582F49" w14:textId="77777777" w:rsidR="00693DDD" w:rsidRPr="00693DDD" w:rsidRDefault="0054558C" w:rsidP="004A7E68">
      <w:pPr>
        <w:pStyle w:val="Quote"/>
        <w:keepNext/>
        <w:keepLines/>
      </w:pPr>
      <w:r w:rsidRPr="00693DDD">
        <w:lastRenderedPageBreak/>
        <w:t>Since the Coronavirus Supplement, I feel I have some dignity again. I am extremely anxious about the future when the supplement stops</w:t>
      </w:r>
      <w:r w:rsidR="00C56F3C" w:rsidRPr="00693DDD">
        <w:t xml:space="preserve"> </w:t>
      </w:r>
    </w:p>
    <w:p w14:paraId="17C188F5" w14:textId="727DD0B7" w:rsidR="00D1347C" w:rsidRDefault="00693DDD" w:rsidP="004A7E68">
      <w:pPr>
        <w:pStyle w:val="Quote-source"/>
        <w:keepLines/>
      </w:pPr>
      <w:r w:rsidRPr="00F07EC7">
        <w:t>–</w:t>
      </w:r>
      <w:r>
        <w:t xml:space="preserve"> </w:t>
      </w:r>
      <w:r w:rsidR="005D684D" w:rsidRPr="00693DDD">
        <w:t xml:space="preserve">respondent to Raise the Rate </w:t>
      </w:r>
      <w:r w:rsidR="0026224C" w:rsidRPr="00693DDD">
        <w:t xml:space="preserve">campaign </w:t>
      </w:r>
      <w:r>
        <w:br/>
      </w:r>
      <w:r w:rsidR="005D684D" w:rsidRPr="00693DDD">
        <w:t>Coronavirus Supplement survey</w:t>
      </w:r>
      <w:r w:rsidR="00112F1F">
        <w:rPr>
          <w:rStyle w:val="FootnoteReference"/>
        </w:rPr>
        <w:footnoteReference w:id="87"/>
      </w:r>
    </w:p>
    <w:p w14:paraId="5A1A1884" w14:textId="77777777" w:rsidR="00693DDD" w:rsidRPr="00693DDD" w:rsidRDefault="00693DDD" w:rsidP="00693DDD">
      <w:pPr>
        <w:pStyle w:val="BodyText"/>
        <w:rPr>
          <w:rStyle w:val="QuoteChar"/>
          <w:i w:val="0"/>
          <w:iCs w:val="0"/>
          <w:color w:val="auto"/>
        </w:rPr>
      </w:pPr>
    </w:p>
    <w:p w14:paraId="74EF84EA" w14:textId="2801FF06" w:rsidR="00693DDD" w:rsidRPr="00693DDD" w:rsidRDefault="00693DDD" w:rsidP="00693DDD">
      <w:pPr>
        <w:pStyle w:val="Quote"/>
      </w:pPr>
      <w:r>
        <w:t>“</w:t>
      </w:r>
      <w:r w:rsidR="00BF33EC" w:rsidRPr="00693DDD">
        <w:t xml:space="preserve">I feel like before Coronavirus we were living in poverty. Always wondering when I </w:t>
      </w:r>
      <w:proofErr w:type="gramStart"/>
      <w:r w:rsidR="00BF33EC" w:rsidRPr="00693DDD">
        <w:t>wasn’t</w:t>
      </w:r>
      <w:proofErr w:type="gramEnd"/>
      <w:r w:rsidR="00BF33EC" w:rsidRPr="00693DDD">
        <w:t xml:space="preserve"> going to be able to scrape enough together to feed the kids again. </w:t>
      </w:r>
      <w:proofErr w:type="gramStart"/>
      <w:r w:rsidR="00BF33EC" w:rsidRPr="00693DDD">
        <w:t>At the moment</w:t>
      </w:r>
      <w:proofErr w:type="gramEnd"/>
      <w:r w:rsidR="00BF33EC" w:rsidRPr="00693DDD">
        <w:t>, I can breathe and sleep a little easier knowing everything that needs to be paid is, and the kids are fed. I don’t have anything left over to save but my children are eating better</w:t>
      </w:r>
      <w:r>
        <w:t>.”</w:t>
      </w:r>
      <w:r w:rsidR="00BF33EC" w:rsidRPr="00693DDD">
        <w:t xml:space="preserve"> </w:t>
      </w:r>
    </w:p>
    <w:p w14:paraId="25DD446B" w14:textId="52E761C1" w:rsidR="00BF33EC" w:rsidRDefault="00693DDD" w:rsidP="00693DDD">
      <w:pPr>
        <w:pStyle w:val="Quote-source"/>
      </w:pPr>
      <w:r w:rsidRPr="00F07EC7">
        <w:t>–</w:t>
      </w:r>
      <w:r>
        <w:t xml:space="preserve"> </w:t>
      </w:r>
      <w:r w:rsidR="00BF33EC" w:rsidRPr="00693DDD">
        <w:t xml:space="preserve">respondent to Raise the Rate campaign </w:t>
      </w:r>
      <w:r>
        <w:br/>
      </w:r>
      <w:r w:rsidR="00BF33EC" w:rsidRPr="00693DDD">
        <w:t>Coronavirus Supplement survey</w:t>
      </w:r>
      <w:r w:rsidR="00BF33EC">
        <w:rPr>
          <w:rStyle w:val="FootnoteReference"/>
        </w:rPr>
        <w:footnoteReference w:id="88"/>
      </w:r>
    </w:p>
    <w:p w14:paraId="62F6CC9F" w14:textId="30F4C6A7" w:rsidR="004E0ECD" w:rsidRDefault="006D59E3" w:rsidP="003E5466">
      <w:pPr>
        <w:pStyle w:val="Heading1"/>
      </w:pPr>
      <w:bookmarkStart w:id="18" w:name="_Toc51050146"/>
      <w:proofErr w:type="gramStart"/>
      <w:r>
        <w:t>Taking action</w:t>
      </w:r>
      <w:proofErr w:type="gramEnd"/>
      <w:r>
        <w:t xml:space="preserve"> on</w:t>
      </w:r>
      <w:r w:rsidR="003E5466">
        <w:t xml:space="preserve"> cost of living in the ACT</w:t>
      </w:r>
      <w:bookmarkEnd w:id="18"/>
    </w:p>
    <w:p w14:paraId="7609EB7C" w14:textId="6E24DD10" w:rsidR="003E5466" w:rsidRDefault="00B91BDE" w:rsidP="00BB099F">
      <w:pPr>
        <w:pStyle w:val="BodyText"/>
      </w:pPr>
      <w:r>
        <w:t xml:space="preserve">Ahead of </w:t>
      </w:r>
      <w:r w:rsidR="00381127">
        <w:t xml:space="preserve">the 2020 ACT Election on 17 October, ACTCOSS </w:t>
      </w:r>
      <w:r w:rsidR="001D0C0A">
        <w:t xml:space="preserve">has outlined a range of </w:t>
      </w:r>
      <w:r w:rsidR="00006835">
        <w:t xml:space="preserve">actions </w:t>
      </w:r>
      <w:r w:rsidR="001717C6">
        <w:t xml:space="preserve">needed </w:t>
      </w:r>
      <w:r w:rsidR="00006835">
        <w:t xml:space="preserve">to be undertaken by the next ACT Government to </w:t>
      </w:r>
      <w:r w:rsidR="00277E6B">
        <w:t>achieve a just and fair Canberra.</w:t>
      </w:r>
      <w:r w:rsidR="006C2D2F">
        <w:rPr>
          <w:rStyle w:val="FootnoteReference"/>
        </w:rPr>
        <w:footnoteReference w:id="89"/>
      </w:r>
      <w:r w:rsidR="00AC0F90">
        <w:t xml:space="preserve"> Th</w:t>
      </w:r>
      <w:r w:rsidR="0081656D">
        <w:t>ese</w:t>
      </w:r>
      <w:r w:rsidR="00AC0F90">
        <w:t xml:space="preserve"> include </w:t>
      </w:r>
      <w:r w:rsidR="006C2D2F">
        <w:t xml:space="preserve">a number of </w:t>
      </w:r>
      <w:r w:rsidR="00AC0F90">
        <w:t>actions</w:t>
      </w:r>
      <w:r w:rsidR="0081656D">
        <w:t xml:space="preserve"> needed to</w:t>
      </w:r>
      <w:r w:rsidR="00AC0F90">
        <w:t xml:space="preserve"> address </w:t>
      </w:r>
      <w:r w:rsidR="00893F71">
        <w:t>cost of living pressures for low-income households in the ACT</w:t>
      </w:r>
      <w:r w:rsidR="00D2068E">
        <w:t xml:space="preserve"> a</w:t>
      </w:r>
      <w:r w:rsidR="00997D6C">
        <w:t>cross a range of areas including housing, health, transport,</w:t>
      </w:r>
      <w:r w:rsidR="00275FFB">
        <w:t xml:space="preserve"> energy</w:t>
      </w:r>
      <w:r w:rsidR="00AF5F57">
        <w:t xml:space="preserve">, </w:t>
      </w:r>
      <w:r w:rsidR="007D02B9">
        <w:t>and justice</w:t>
      </w:r>
      <w:r w:rsidR="001717C6">
        <w:t>;</w:t>
      </w:r>
      <w:r w:rsidR="00D2068E">
        <w:t xml:space="preserve"> </w:t>
      </w:r>
      <w:r w:rsidR="00275FFB">
        <w:t xml:space="preserve">and for different population groups including Aboriginal and/or Torres Strait Islander people, </w:t>
      </w:r>
      <w:r w:rsidR="00202EB2">
        <w:t xml:space="preserve">older people, people with disability, and </w:t>
      </w:r>
      <w:r w:rsidR="000D0214">
        <w:t>women, children and families.</w:t>
      </w:r>
    </w:p>
    <w:p w14:paraId="629F376B" w14:textId="13D5382E" w:rsidR="000D0214" w:rsidRDefault="00707EC4" w:rsidP="00BD01A9">
      <w:pPr>
        <w:pStyle w:val="Recommendationactions"/>
      </w:pPr>
      <w:bookmarkStart w:id="19" w:name="_Hlk51016944"/>
      <w:r>
        <w:t>Action on fundamentals</w:t>
      </w:r>
      <w:r w:rsidR="00EB2760">
        <w:t>, including:</w:t>
      </w:r>
    </w:p>
    <w:p w14:paraId="795F8140" w14:textId="690CB7C6" w:rsidR="007D5CDB" w:rsidRDefault="0076217E" w:rsidP="0076217E">
      <w:pPr>
        <w:pStyle w:val="ListBullet"/>
      </w:pPr>
      <w:r w:rsidRPr="0076217E">
        <w:t xml:space="preserve">Publicly call for a permanent and adequate increase to JobSeeker, Youth </w:t>
      </w:r>
      <w:r w:rsidR="000B2325" w:rsidRPr="0076217E">
        <w:t>Allowance,</w:t>
      </w:r>
      <w:r w:rsidRPr="0076217E">
        <w:t xml:space="preserve"> and related Commonwealth payments to enable people to cover all basic costs, including keeping a roof over their heads</w:t>
      </w:r>
    </w:p>
    <w:p w14:paraId="27F311B4" w14:textId="23A07D1B" w:rsidR="003D6532" w:rsidRDefault="003D6532" w:rsidP="009E7C22">
      <w:pPr>
        <w:pStyle w:val="ListBullet"/>
      </w:pPr>
      <w:r w:rsidRPr="003D6532">
        <w:t xml:space="preserve">Incorporate all </w:t>
      </w:r>
      <w:r w:rsidR="00263F6B">
        <w:t>e</w:t>
      </w:r>
      <w:r w:rsidRPr="003D6532">
        <w:t xml:space="preserve">conomic, </w:t>
      </w:r>
      <w:r w:rsidR="00263F6B">
        <w:t>s</w:t>
      </w:r>
      <w:r w:rsidRPr="003D6532">
        <w:t>ocial</w:t>
      </w:r>
      <w:r w:rsidR="003435BD">
        <w:t>,</w:t>
      </w:r>
      <w:r w:rsidRPr="003D6532">
        <w:t xml:space="preserve"> and </w:t>
      </w:r>
      <w:r w:rsidR="00263F6B">
        <w:t>c</w:t>
      </w:r>
      <w:r w:rsidRPr="003D6532">
        <w:t>ultural rights in the</w:t>
      </w:r>
      <w:r w:rsidRPr="003D6532">
        <w:rPr>
          <w:i/>
          <w:iCs/>
        </w:rPr>
        <w:t xml:space="preserve"> </w:t>
      </w:r>
      <w:r w:rsidRPr="00263F6B">
        <w:rPr>
          <w:i/>
          <w:iCs/>
        </w:rPr>
        <w:t>Human Rights Act 2004</w:t>
      </w:r>
      <w:r>
        <w:t xml:space="preserve"> </w:t>
      </w:r>
      <w:r w:rsidR="00EB2760">
        <w:t>(ACT)</w:t>
      </w:r>
      <w:r w:rsidRPr="00263F6B">
        <w:rPr>
          <w:i/>
          <w:iCs/>
        </w:rPr>
        <w:t xml:space="preserve"> </w:t>
      </w:r>
      <w:r w:rsidRPr="003D6532">
        <w:t>including: the right to housing; the right to an adequate standard of living; the right to physical and mental health and the right to a healthy environment</w:t>
      </w:r>
    </w:p>
    <w:p w14:paraId="2219A36E" w14:textId="7596D93C" w:rsidR="00293A0F" w:rsidRDefault="00293A0F" w:rsidP="00293A0F">
      <w:pPr>
        <w:pStyle w:val="ListBullet"/>
      </w:pPr>
      <w:r w:rsidRPr="00293A0F">
        <w:t>Conduct a full needs analysis to understand Canberra’s demographic changes, increasing complexity of needs (including an aging population; growing number of births; greater diversity) and the changed Canberra geography</w:t>
      </w:r>
    </w:p>
    <w:p w14:paraId="3718DACB" w14:textId="5CB0DAE0" w:rsidR="006A6B66" w:rsidRDefault="006A6B66" w:rsidP="000D0E21">
      <w:pPr>
        <w:pStyle w:val="ListBullet"/>
      </w:pPr>
      <w:r w:rsidRPr="006A6B66">
        <w:lastRenderedPageBreak/>
        <w:t>Adequately fund community services that play a vital role in preventing, reducing, and alleviating the impacts of poverty and disadvantage in the ACT</w:t>
      </w:r>
    </w:p>
    <w:p w14:paraId="07C9A8E8" w14:textId="7D0A23AA" w:rsidR="005E7395" w:rsidRDefault="005E7395" w:rsidP="005E7395">
      <w:pPr>
        <w:pStyle w:val="ListBullet"/>
      </w:pPr>
      <w:r w:rsidRPr="005E7395">
        <w:t>Ensure that revenue is collected in a way that is progressive, equitable, efficient, and sufficient to fund quality services and infrastructure that benefit the whole Canberra community in a just and fair way. This must include targeted concessions that ease cost of living pressures for low-income households and targeted investment that addresses the structural causes of poverty and disadvantage.</w:t>
      </w:r>
    </w:p>
    <w:p w14:paraId="1CFF390A" w14:textId="1AB84C78" w:rsidR="003022ED" w:rsidRDefault="003022ED" w:rsidP="00007A1A">
      <w:pPr>
        <w:pStyle w:val="Recommendationactions"/>
      </w:pPr>
      <w:r>
        <w:t>Action on financial assistance</w:t>
      </w:r>
      <w:r w:rsidR="00EB2760">
        <w:t>, including:</w:t>
      </w:r>
    </w:p>
    <w:p w14:paraId="063BF154" w14:textId="71033B7A" w:rsidR="003022ED" w:rsidRDefault="003022ED" w:rsidP="006C2D2F">
      <w:pPr>
        <w:pStyle w:val="ListBullet"/>
      </w:pPr>
      <w:r w:rsidRPr="004E0127">
        <w:t xml:space="preserve">Review the ACT Targeted Assistance Strategy to ensure </w:t>
      </w:r>
      <w:r>
        <w:t>c</w:t>
      </w:r>
      <w:r w:rsidRPr="004E0127">
        <w:t>oncessions</w:t>
      </w:r>
      <w:r w:rsidR="00042281">
        <w:t xml:space="preserve"> and rebates</w:t>
      </w:r>
      <w:r w:rsidRPr="004E0127">
        <w:t xml:space="preserve"> are targeted to need</w:t>
      </w:r>
    </w:p>
    <w:p w14:paraId="44A5DBF0" w14:textId="3DDEBA7F" w:rsidR="003022ED" w:rsidRDefault="003022ED" w:rsidP="006C2D2F">
      <w:pPr>
        <w:pStyle w:val="ListBullet"/>
      </w:pPr>
      <w:r w:rsidRPr="003A215D">
        <w:t>Recognis</w:t>
      </w:r>
      <w:r w:rsidR="00042281">
        <w:t>e</w:t>
      </w:r>
      <w:r w:rsidRPr="003A215D">
        <w:t xml:space="preserve"> the contribution of older Canberrans to our community through a range of targeted supports and assistance points in across the city</w:t>
      </w:r>
    </w:p>
    <w:p w14:paraId="29F35769" w14:textId="77777777" w:rsidR="003022ED" w:rsidRDefault="003022ED" w:rsidP="006C2D2F">
      <w:pPr>
        <w:pStyle w:val="ListBullet"/>
      </w:pPr>
      <w:r w:rsidRPr="00524F28">
        <w:t>Extend financial and other support for all young people transitioning from care</w:t>
      </w:r>
    </w:p>
    <w:p w14:paraId="776D2D16" w14:textId="77777777" w:rsidR="003022ED" w:rsidRDefault="003022ED" w:rsidP="006C2D2F">
      <w:pPr>
        <w:pStyle w:val="ListBullet"/>
      </w:pPr>
      <w:r w:rsidRPr="00673A3E">
        <w:t xml:space="preserve">Increasing funding to financial counselling services. </w:t>
      </w:r>
    </w:p>
    <w:p w14:paraId="4BE8C607" w14:textId="110E9715" w:rsidR="00793EA7" w:rsidRDefault="00DE13CC" w:rsidP="00007A1A">
      <w:pPr>
        <w:pStyle w:val="Recommendationactions"/>
      </w:pPr>
      <w:r>
        <w:t>Action on housing affordability</w:t>
      </w:r>
      <w:r w:rsidR="00EB2760">
        <w:t>, including:</w:t>
      </w:r>
    </w:p>
    <w:p w14:paraId="1F99FB81" w14:textId="632B290F" w:rsidR="0074420E" w:rsidRPr="0074420E" w:rsidRDefault="0074420E" w:rsidP="0074420E">
      <w:pPr>
        <w:pStyle w:val="ListBullet"/>
      </w:pPr>
      <w:r w:rsidRPr="0074420E">
        <w:t>Commit to implementation of ACTCOSS’s housing affordability policy recommendations</w:t>
      </w:r>
      <w:r>
        <w:t>, including</w:t>
      </w:r>
      <w:r w:rsidR="006C2D2F">
        <w:t>:</w:t>
      </w:r>
    </w:p>
    <w:p w14:paraId="4069EDF9" w14:textId="72309C84" w:rsidR="001143BF" w:rsidRDefault="001143BF" w:rsidP="001143BF">
      <w:pPr>
        <w:pStyle w:val="ListBullet2"/>
      </w:pPr>
      <w:r w:rsidRPr="001143BF">
        <w:t xml:space="preserve">Achieve </w:t>
      </w:r>
      <w:r w:rsidR="00042281">
        <w:t xml:space="preserve">the </w:t>
      </w:r>
      <w:r w:rsidRPr="001143BF">
        <w:t>target of 15% of the Land Release Program for the supply of public, community</w:t>
      </w:r>
      <w:r w:rsidR="00042281">
        <w:t>,</w:t>
      </w:r>
      <w:r w:rsidRPr="001143BF">
        <w:t xml:space="preserve"> and affordable homes</w:t>
      </w:r>
    </w:p>
    <w:p w14:paraId="3252BBD9" w14:textId="77777777" w:rsidR="0056739F" w:rsidRPr="0056739F" w:rsidRDefault="0056739F" w:rsidP="0056739F">
      <w:pPr>
        <w:pStyle w:val="ListBullet2"/>
      </w:pPr>
      <w:r w:rsidRPr="0056739F">
        <w:t>Provide further investment in additional public housing and renewal of current stock</w:t>
      </w:r>
    </w:p>
    <w:p w14:paraId="3FBE8EC8" w14:textId="70E3C0DF" w:rsidR="001143BF" w:rsidRDefault="001A685B" w:rsidP="0051063D">
      <w:pPr>
        <w:pStyle w:val="ListBullet2"/>
      </w:pPr>
      <w:r w:rsidRPr="001A685B">
        <w:t>Increase effective land transfers to ACT community housing providers and empower them to build more community and affordable housing</w:t>
      </w:r>
    </w:p>
    <w:p w14:paraId="6C6B22F9" w14:textId="4055D30F" w:rsidR="00CA3ECA" w:rsidRDefault="00CA3ECA" w:rsidP="00CA3ECA">
      <w:pPr>
        <w:pStyle w:val="ListBullet2"/>
      </w:pPr>
      <w:r w:rsidRPr="00CA3ECA">
        <w:t>Develop an Indigenous Housing Strategy for the ACT including a pathway to a community</w:t>
      </w:r>
      <w:r w:rsidR="00042281">
        <w:t>-</w:t>
      </w:r>
      <w:r w:rsidRPr="00CA3ECA">
        <w:t>controlled Aboriginal housing organisation</w:t>
      </w:r>
      <w:r w:rsidR="006A6B66">
        <w:t>.</w:t>
      </w:r>
    </w:p>
    <w:p w14:paraId="69B3587D" w14:textId="2A7A4464" w:rsidR="00DE13CC" w:rsidRPr="001143BF" w:rsidRDefault="00DE13CC" w:rsidP="00007A1A">
      <w:pPr>
        <w:pStyle w:val="Recommendationactions"/>
      </w:pPr>
      <w:r>
        <w:t>Action on health costs</w:t>
      </w:r>
      <w:r w:rsidR="00EB2760">
        <w:t>, including:</w:t>
      </w:r>
    </w:p>
    <w:p w14:paraId="56C7F947" w14:textId="6C189B5E" w:rsidR="00502321" w:rsidRDefault="00502321" w:rsidP="00502321">
      <w:pPr>
        <w:pStyle w:val="ListBullet"/>
      </w:pPr>
      <w:r w:rsidRPr="00502321">
        <w:t>Improve access to the public health system for Canberrans on low incomes and facing other health disadvantage</w:t>
      </w:r>
    </w:p>
    <w:p w14:paraId="730FCA62" w14:textId="5EF7781E" w:rsidR="009558D1" w:rsidRDefault="009558D1" w:rsidP="006C2D2F">
      <w:pPr>
        <w:pStyle w:val="ListBullet"/>
      </w:pPr>
      <w:r w:rsidRPr="009558D1">
        <w:t>Design and implement a Disability Health Strategy</w:t>
      </w:r>
      <w:r>
        <w:t xml:space="preserve"> that addresses</w:t>
      </w:r>
      <w:r w:rsidR="00185AE1">
        <w:t xml:space="preserve"> </w:t>
      </w:r>
      <w:r w:rsidR="00185AE1" w:rsidRPr="00185AE1">
        <w:t>the poor health outcomes for people with disability that arise from economic disadvantage</w:t>
      </w:r>
    </w:p>
    <w:p w14:paraId="5F7A0F6E" w14:textId="18FD4A02" w:rsidR="00293C30" w:rsidRDefault="005A2FFD" w:rsidP="006C2D2F">
      <w:pPr>
        <w:pStyle w:val="ListBullet"/>
      </w:pPr>
      <w:r>
        <w:t>Increase funding</w:t>
      </w:r>
      <w:r w:rsidR="00293C30" w:rsidRPr="00293C30">
        <w:t xml:space="preserve"> for sexual and reproductive health services</w:t>
      </w:r>
      <w:r w:rsidR="00293C30">
        <w:t xml:space="preserve"> to </w:t>
      </w:r>
      <w:r w:rsidR="006B6993">
        <w:t xml:space="preserve">improve </w:t>
      </w:r>
      <w:r>
        <w:t xml:space="preserve">their </w:t>
      </w:r>
      <w:r w:rsidR="006B6993">
        <w:t>affordability and availability</w:t>
      </w:r>
      <w:r w:rsidR="006A6B66">
        <w:t>.</w:t>
      </w:r>
    </w:p>
    <w:p w14:paraId="17314356" w14:textId="0A6A48DF" w:rsidR="004850FB" w:rsidRDefault="004850FB" w:rsidP="00007A1A">
      <w:pPr>
        <w:pStyle w:val="Recommendationactions"/>
      </w:pPr>
      <w:r>
        <w:lastRenderedPageBreak/>
        <w:t>Action on energy affordability</w:t>
      </w:r>
      <w:r w:rsidR="00EB2760">
        <w:t>, including:</w:t>
      </w:r>
    </w:p>
    <w:p w14:paraId="3E92099C" w14:textId="186F4464" w:rsidR="00C803FA" w:rsidRDefault="00CC7D76" w:rsidP="006C2D2F">
      <w:pPr>
        <w:pStyle w:val="ListBullet"/>
      </w:pPr>
      <w:r>
        <w:t>Ensur</w:t>
      </w:r>
      <w:r w:rsidR="00121B21">
        <w:t>e the</w:t>
      </w:r>
      <w:r>
        <w:t xml:space="preserve"> </w:t>
      </w:r>
      <w:r w:rsidR="00C803FA" w:rsidRPr="00C803FA">
        <w:t xml:space="preserve">Utilities Concession </w:t>
      </w:r>
      <w:r>
        <w:t xml:space="preserve">and Utilities Hardship Fund </w:t>
      </w:r>
      <w:r w:rsidR="00C803FA" w:rsidRPr="00C803FA">
        <w:t xml:space="preserve">eligibility </w:t>
      </w:r>
      <w:r w:rsidR="00121B21">
        <w:t>are</w:t>
      </w:r>
      <w:r w:rsidR="00C803FA" w:rsidRPr="00C803FA">
        <w:t xml:space="preserve"> targeted toward need (including to</w:t>
      </w:r>
      <w:r>
        <w:t xml:space="preserve"> asylum seekers through the</w:t>
      </w:r>
      <w:r w:rsidR="00C803FA" w:rsidRPr="00C803FA">
        <w:t xml:space="preserve"> ACT Services Access Card) and continue the Energy Support Voucher program</w:t>
      </w:r>
      <w:r>
        <w:t xml:space="preserve"> </w:t>
      </w:r>
      <w:r w:rsidR="0058066B">
        <w:t>by maintaining the</w:t>
      </w:r>
      <w:r w:rsidR="00A1630A">
        <w:t xml:space="preserve"> Utilities Hardship Fund</w:t>
      </w:r>
    </w:p>
    <w:p w14:paraId="1E207D7A" w14:textId="77777777" w:rsidR="001E04C4" w:rsidRPr="001E04C4" w:rsidRDefault="001E04C4" w:rsidP="006C2D2F">
      <w:pPr>
        <w:pStyle w:val="ListBullet"/>
      </w:pPr>
      <w:r w:rsidRPr="001E04C4">
        <w:t>Implement the ICRC’s recommendation that ACT energy retailers provide their customers with regular ‘better offer notifications’ by mid-2021 at the latest</w:t>
      </w:r>
    </w:p>
    <w:p w14:paraId="3BFE18A6" w14:textId="1BA3B793" w:rsidR="00F50FCF" w:rsidRDefault="00F50FCF" w:rsidP="006C2D2F">
      <w:pPr>
        <w:pStyle w:val="ListBullet"/>
      </w:pPr>
      <w:r>
        <w:t>Expand energy efficiency and productivity programs for low-income households</w:t>
      </w:r>
      <w:r w:rsidR="0029722E">
        <w:t xml:space="preserve"> (including private rental)</w:t>
      </w:r>
      <w:r>
        <w:t xml:space="preserve"> and support the introduction of a National Low-income Energy Productivity Program in National Cabinet</w:t>
      </w:r>
    </w:p>
    <w:p w14:paraId="362547DD" w14:textId="7E7E4983" w:rsidR="00C803FA" w:rsidRDefault="00425861" w:rsidP="006C2D2F">
      <w:pPr>
        <w:pStyle w:val="ListBullet"/>
      </w:pPr>
      <w:r w:rsidRPr="00425861">
        <w:t xml:space="preserve">Introduce minimum energy performance requirements for rental properties before </w:t>
      </w:r>
      <w:r>
        <w:t xml:space="preserve">the </w:t>
      </w:r>
      <w:r w:rsidRPr="00425861">
        <w:t>end of 2021</w:t>
      </w:r>
      <w:r w:rsidR="006A6B66">
        <w:t>.</w:t>
      </w:r>
    </w:p>
    <w:p w14:paraId="56B0A888" w14:textId="707D7305" w:rsidR="004850FB" w:rsidRDefault="004850FB" w:rsidP="00007A1A">
      <w:pPr>
        <w:pStyle w:val="Recommendationactions"/>
      </w:pPr>
      <w:r>
        <w:t xml:space="preserve">Action on transport </w:t>
      </w:r>
      <w:r w:rsidR="00A4774E">
        <w:t>costs</w:t>
      </w:r>
      <w:r w:rsidR="00EB2760">
        <w:t>, including:</w:t>
      </w:r>
    </w:p>
    <w:p w14:paraId="48243B2F" w14:textId="2172D81C" w:rsidR="00800299" w:rsidRPr="00800299" w:rsidRDefault="00800299" w:rsidP="006C2D2F">
      <w:pPr>
        <w:pStyle w:val="ListBullet"/>
      </w:pPr>
      <w:r w:rsidRPr="00800299">
        <w:t xml:space="preserve">Carry out a comprehensive community needs assessment to ensure transport design, planning, </w:t>
      </w:r>
      <w:r w:rsidR="0029722E" w:rsidRPr="00800299">
        <w:t>integration,</w:t>
      </w:r>
      <w:r w:rsidRPr="00800299">
        <w:t xml:space="preserve"> and implementation address the needs of those with transport disadvantage</w:t>
      </w:r>
    </w:p>
    <w:p w14:paraId="13674186" w14:textId="77777777" w:rsidR="00354C90" w:rsidRDefault="00354C90" w:rsidP="006C2D2F">
      <w:pPr>
        <w:pStyle w:val="ListBullet"/>
      </w:pPr>
      <w:r>
        <w:t>Invest in community transport at sustainable levels with long-term commitments so that providers can renew vehicle stock and plan across a multi-year timeframe. There should be a specific community needs analysis for community transport</w:t>
      </w:r>
    </w:p>
    <w:p w14:paraId="7B49697F" w14:textId="77777777" w:rsidR="00354C90" w:rsidRDefault="00354C90" w:rsidP="006C2D2F">
      <w:pPr>
        <w:pStyle w:val="ListBullet"/>
      </w:pPr>
      <w:r>
        <w:t xml:space="preserve">Improve other on-demand transport provision including lifting the cap on the ACT Taxi Subsidy Scheme for people with disabilities, as well as delivering full compliance with the </w:t>
      </w:r>
      <w:r w:rsidRPr="005957BC">
        <w:t>Disability Discrimination Act</w:t>
      </w:r>
      <w:r>
        <w:t xml:space="preserve"> Transport Standards across the bus network</w:t>
      </w:r>
    </w:p>
    <w:p w14:paraId="4A6139B4" w14:textId="77777777" w:rsidR="00354C90" w:rsidRDefault="00354C90" w:rsidP="006C2D2F">
      <w:pPr>
        <w:pStyle w:val="ListBullet"/>
      </w:pPr>
      <w:r>
        <w:t>Improve the fairness and adequacy of transport-related concessions by extending concessions to learner, probationary and restricted driver’s licences, aligning the discount on licence fees for Health Care Card holders (currently 50% of costs) with Pension Card Holders (100%)</w:t>
      </w:r>
    </w:p>
    <w:p w14:paraId="0EEF7EF1" w14:textId="062CC4A3" w:rsidR="00354C90" w:rsidRDefault="00354C90" w:rsidP="006C2D2F">
      <w:pPr>
        <w:pStyle w:val="ListBullet"/>
      </w:pPr>
      <w:r>
        <w:t xml:space="preserve">Investigate the costs and benefits of making all public transport free through a cost benefit analysis. </w:t>
      </w:r>
    </w:p>
    <w:p w14:paraId="7E8042EE" w14:textId="44DE655D" w:rsidR="00A4774E" w:rsidRDefault="00A4774E" w:rsidP="00531D8A">
      <w:pPr>
        <w:pStyle w:val="Recommendationactions"/>
      </w:pPr>
      <w:r>
        <w:t xml:space="preserve">Action on </w:t>
      </w:r>
      <w:r w:rsidR="00673A3E">
        <w:t>equal access to justice</w:t>
      </w:r>
      <w:r w:rsidR="00EB2760">
        <w:t>, including:</w:t>
      </w:r>
    </w:p>
    <w:p w14:paraId="712E7FA8" w14:textId="28FA7118" w:rsidR="00ED3CE3" w:rsidRDefault="00ED3CE3" w:rsidP="006C2D2F">
      <w:pPr>
        <w:pStyle w:val="ListBullet"/>
      </w:pPr>
      <w:r w:rsidRPr="00ED3CE3">
        <w:t>Increas</w:t>
      </w:r>
      <w:r w:rsidR="00AD6609">
        <w:t>e</w:t>
      </w:r>
      <w:r w:rsidRPr="00ED3CE3">
        <w:t xml:space="preserve"> funding to community legal centres, mediation and individual advocacy supports to ensure equal access to justice </w:t>
      </w:r>
      <w:r w:rsidR="003609C9" w:rsidRPr="003609C9">
        <w:t>for all ACT residents, including women and children, Aboriginal and</w:t>
      </w:r>
      <w:r w:rsidR="00EB2021">
        <w:t>/</w:t>
      </w:r>
      <w:r w:rsidR="003609C9" w:rsidRPr="003609C9">
        <w:t xml:space="preserve">or Torres Strait Islander people and other Canberrans facing legal </w:t>
      </w:r>
      <w:r w:rsidR="003609C9">
        <w:t xml:space="preserve">and financial </w:t>
      </w:r>
      <w:r w:rsidR="003609C9" w:rsidRPr="003609C9">
        <w:t>disadvantage</w:t>
      </w:r>
    </w:p>
    <w:p w14:paraId="5580F143" w14:textId="5B6FC32C" w:rsidR="00AF5F57" w:rsidRDefault="00AF5F57" w:rsidP="006C2D2F">
      <w:pPr>
        <w:pStyle w:val="ListBullet"/>
      </w:pPr>
      <w:r w:rsidRPr="00AF5F57">
        <w:t>Introduce an income-based approach to ACT Government fines, fees</w:t>
      </w:r>
      <w:r w:rsidR="00A1015C">
        <w:t>,</w:t>
      </w:r>
      <w:r w:rsidRPr="00AF5F57">
        <w:t xml:space="preserve"> and other charges to ensure that penalties are not regressive</w:t>
      </w:r>
      <w:r>
        <w:t>.</w:t>
      </w:r>
    </w:p>
    <w:p w14:paraId="7810CFCF" w14:textId="7B60AFBC" w:rsidR="00ED3509" w:rsidRDefault="00FD3441" w:rsidP="00FD3441">
      <w:pPr>
        <w:pStyle w:val="Heading1-Pagebreakbefore"/>
      </w:pPr>
      <w:bookmarkStart w:id="20" w:name="_Toc51050147"/>
      <w:bookmarkEnd w:id="19"/>
      <w:r>
        <w:lastRenderedPageBreak/>
        <w:t>Conclusion</w:t>
      </w:r>
      <w:bookmarkEnd w:id="20"/>
    </w:p>
    <w:p w14:paraId="12BF36AC" w14:textId="29447F8C" w:rsidR="00707EC4" w:rsidRDefault="009864A2" w:rsidP="00D62D1C">
      <w:pPr>
        <w:pStyle w:val="BodyText"/>
      </w:pPr>
      <w:r>
        <w:t>Addressing poverty in the ACT requires significant commitment and coordinated action by the ACT and Australian governments</w:t>
      </w:r>
      <w:r w:rsidR="00BC1473">
        <w:t>. Ensuring people have a</w:t>
      </w:r>
      <w:r w:rsidR="00F71AC0">
        <w:t>dequate incomes and a</w:t>
      </w:r>
      <w:r w:rsidR="00546F16">
        <w:t xml:space="preserve">ffordable housing are </w:t>
      </w:r>
      <w:r w:rsidR="004C3AC2">
        <w:t xml:space="preserve">fundamental to </w:t>
      </w:r>
      <w:r w:rsidR="00BC1473">
        <w:t>this</w:t>
      </w:r>
      <w:r w:rsidR="00D62D1C">
        <w:t>.</w:t>
      </w:r>
      <w:r w:rsidR="007C628C">
        <w:t xml:space="preserve"> </w:t>
      </w:r>
      <w:r w:rsidR="00823A21">
        <w:t>Our economy</w:t>
      </w:r>
      <w:r w:rsidR="003C5891">
        <w:t xml:space="preserve"> needs to </w:t>
      </w:r>
      <w:r w:rsidR="00823A21">
        <w:t xml:space="preserve">provide people with </w:t>
      </w:r>
      <w:r w:rsidR="00346470">
        <w:t>secure employment and adequate wage</w:t>
      </w:r>
      <w:r w:rsidR="00A36E24">
        <w:t>s, and</w:t>
      </w:r>
      <w:r w:rsidR="00CA4D71">
        <w:t xml:space="preserve"> when</w:t>
      </w:r>
      <w:r w:rsidR="00A36E24">
        <w:t xml:space="preserve"> it fails to do so</w:t>
      </w:r>
      <w:r w:rsidR="00091029">
        <w:t>,</w:t>
      </w:r>
      <w:r w:rsidR="00BB4350">
        <w:t xml:space="preserve"> we</w:t>
      </w:r>
      <w:r w:rsidR="006664D3">
        <w:t xml:space="preserve"> need</w:t>
      </w:r>
      <w:r w:rsidR="00565D5E">
        <w:t xml:space="preserve"> </w:t>
      </w:r>
      <w:r w:rsidR="00CA4D71">
        <w:t>a</w:t>
      </w:r>
      <w:r w:rsidR="00BB4350">
        <w:t xml:space="preserve"> </w:t>
      </w:r>
      <w:r w:rsidR="005F72E5">
        <w:t>safety net</w:t>
      </w:r>
      <w:r w:rsidR="003C5891">
        <w:t xml:space="preserve"> that ensure</w:t>
      </w:r>
      <w:r w:rsidR="00346470">
        <w:t>s</w:t>
      </w:r>
      <w:r w:rsidR="003C5891">
        <w:t xml:space="preserve"> </w:t>
      </w:r>
      <w:r w:rsidR="001000DF">
        <w:t xml:space="preserve">people can afford to live </w:t>
      </w:r>
      <w:r w:rsidR="009F5582">
        <w:t>a healthy life</w:t>
      </w:r>
      <w:r w:rsidR="00542F30">
        <w:t xml:space="preserve"> – </w:t>
      </w:r>
      <w:r w:rsidR="004F364E">
        <w:t>e.g., through income support, concessions, and emergency relief</w:t>
      </w:r>
      <w:r w:rsidR="001000DF">
        <w:t>.</w:t>
      </w:r>
      <w:r w:rsidR="001B5A48">
        <w:t xml:space="preserve"> </w:t>
      </w:r>
      <w:r w:rsidR="005C5242">
        <w:t>T</w:t>
      </w:r>
      <w:r w:rsidR="005C5242" w:rsidRPr="005C5242">
        <w:t xml:space="preserve">he lack of affordable housing </w:t>
      </w:r>
      <w:r w:rsidR="005C5242">
        <w:t>i</w:t>
      </w:r>
      <w:r w:rsidR="005C5242" w:rsidRPr="005C5242">
        <w:t>s the biggest single challenge confronting people on low incomes</w:t>
      </w:r>
      <w:r w:rsidR="005C5242">
        <w:t xml:space="preserve"> in the ACT</w:t>
      </w:r>
      <w:r w:rsidR="005C5242" w:rsidRPr="005C5242">
        <w:t>.</w:t>
      </w:r>
      <w:r w:rsidR="001000DF">
        <w:t xml:space="preserve"> </w:t>
      </w:r>
      <w:r w:rsidR="001000DF" w:rsidRPr="001000DF">
        <w:t>Accessible, affordable, safe</w:t>
      </w:r>
      <w:r w:rsidR="001F3E27">
        <w:t>,</w:t>
      </w:r>
      <w:r w:rsidR="001000DF" w:rsidRPr="001000DF">
        <w:t xml:space="preserve"> and secure housing provides the necessary foundation from which people can actively meet their social, physical</w:t>
      </w:r>
      <w:r w:rsidR="001F3E27">
        <w:t>,</w:t>
      </w:r>
      <w:r w:rsidR="001000DF" w:rsidRPr="001000DF">
        <w:t xml:space="preserve"> and emotional needs. </w:t>
      </w:r>
    </w:p>
    <w:p w14:paraId="07ADBD83" w14:textId="75879CB4" w:rsidR="00874B1B" w:rsidRDefault="00874B1B" w:rsidP="00D62D1C">
      <w:pPr>
        <w:pStyle w:val="BodyText"/>
      </w:pPr>
      <w:r>
        <w:t xml:space="preserve">For over 25 years the rate of Newstart, Youth Allowance and other related payments </w:t>
      </w:r>
      <w:r w:rsidR="0031569B">
        <w:t>has failed to keep up with the pace of increases in the cost of living, trapping people in poverty.</w:t>
      </w:r>
      <w:r w:rsidR="00D149B8">
        <w:t xml:space="preserve"> </w:t>
      </w:r>
      <w:r w:rsidR="00D149B8" w:rsidRPr="00D149B8">
        <w:t>As we grapple with the ongoing health and economic crises</w:t>
      </w:r>
      <w:r w:rsidR="00582D53">
        <w:t xml:space="preserve"> brought about by COVID-19</w:t>
      </w:r>
      <w:r w:rsidR="00D149B8" w:rsidRPr="00D149B8">
        <w:t>, we must ensure everyone is supported to cover the basics. More people than ever will be struggling to find paid work. We cannot turn back to the brutality of people struggling to survive on $40 a day.</w:t>
      </w:r>
      <w:r w:rsidR="00A60378">
        <w:t xml:space="preserve"> </w:t>
      </w:r>
    </w:p>
    <w:p w14:paraId="5599D149" w14:textId="23E7497D" w:rsidR="00A60378" w:rsidRDefault="00A60378" w:rsidP="00D62D1C">
      <w:pPr>
        <w:pStyle w:val="BodyText"/>
      </w:pPr>
      <w:r w:rsidRPr="00A60378">
        <w:t>In line with the Australian Council of Social Service (ACOSS) and the Raise the Rate for Good campaign, we call on the Australian Government to keep the $550 per fortnight Coronavirus Supplement in place until our social security system is fixed for good so that it keeps people out of poverty.</w:t>
      </w:r>
    </w:p>
    <w:p w14:paraId="7AFB0245" w14:textId="7CFA3CC2" w:rsidR="00A60378" w:rsidRDefault="00D70A21" w:rsidP="00D62D1C">
      <w:pPr>
        <w:pStyle w:val="BodyText"/>
      </w:pPr>
      <w:r>
        <w:t>Inadequate levels of income support</w:t>
      </w:r>
      <w:r w:rsidR="00363A22">
        <w:t xml:space="preserve"> and relatively high rental prices in the ACT</w:t>
      </w:r>
      <w:r>
        <w:t xml:space="preserve"> has meant that </w:t>
      </w:r>
      <w:r w:rsidR="005C6EE7" w:rsidRPr="005C6EE7">
        <w:t xml:space="preserve">low-income households in the ACT </w:t>
      </w:r>
      <w:r w:rsidR="005C6EE7">
        <w:t xml:space="preserve">are </w:t>
      </w:r>
      <w:r w:rsidR="005C6EE7" w:rsidRPr="005C6EE7">
        <w:t>either locked out of the private rental market or experienc</w:t>
      </w:r>
      <w:r w:rsidR="0008387D">
        <w:t>e</w:t>
      </w:r>
      <w:r w:rsidR="005C6EE7" w:rsidRPr="005C6EE7">
        <w:t xml:space="preserve"> </w:t>
      </w:r>
      <w:r w:rsidR="00D56021">
        <w:t xml:space="preserve">significant </w:t>
      </w:r>
      <w:r w:rsidR="005C6EE7" w:rsidRPr="005C6EE7">
        <w:t>rental stress</w:t>
      </w:r>
      <w:r w:rsidR="00D56021">
        <w:t xml:space="preserve"> while trying to maintain a roof over their heads.</w:t>
      </w:r>
      <w:r w:rsidR="00CD6C84">
        <w:t xml:space="preserve"> </w:t>
      </w:r>
      <w:r w:rsidR="00991A50">
        <w:t xml:space="preserve">There is currently a shortfall of over 3,000 </w:t>
      </w:r>
      <w:r w:rsidR="00BA566B">
        <w:t>social housing properties in the ACT, with a total of 8,500 needed to be built to meet</w:t>
      </w:r>
      <w:r w:rsidR="00BF723D">
        <w:t xml:space="preserve"> current and projected</w:t>
      </w:r>
      <w:r w:rsidR="00BA566B">
        <w:t xml:space="preserve"> community need by 2036. </w:t>
      </w:r>
      <w:r w:rsidR="00991A50">
        <w:t>G</w:t>
      </w:r>
      <w:r w:rsidR="00991A50" w:rsidRPr="00991A50">
        <w:t>overnment investment in social housing is essential to avoid deepening and entrenching disadvantage and homelessness in the ACT.</w:t>
      </w:r>
    </w:p>
    <w:p w14:paraId="26F9E3B3" w14:textId="1A430D7B" w:rsidR="009F05E0" w:rsidRDefault="009F05E0" w:rsidP="00D62D1C">
      <w:pPr>
        <w:pStyle w:val="BodyText"/>
      </w:pPr>
      <w:r>
        <w:t xml:space="preserve">In addition to incomes and housing, there are many other </w:t>
      </w:r>
      <w:r w:rsidR="00284A53">
        <w:t>actions that the Australian and ACT governments can</w:t>
      </w:r>
      <w:r w:rsidR="00933F05">
        <w:t>, do,</w:t>
      </w:r>
      <w:r w:rsidR="00284A53">
        <w:t xml:space="preserve"> and should take to </w:t>
      </w:r>
      <w:r w:rsidR="00C034BD">
        <w:t xml:space="preserve">ease the cost of living pressures faced by low-income households. </w:t>
      </w:r>
      <w:r w:rsidR="00933F05">
        <w:t xml:space="preserve">The 2020 ACT Election provides a critical </w:t>
      </w:r>
      <w:r w:rsidR="004E5E3E">
        <w:t>point in time for the development of</w:t>
      </w:r>
      <w:r w:rsidR="000027CE">
        <w:t>, and commitment to, actions that will improve the wellbeing of the ACT’s low-income households</w:t>
      </w:r>
      <w:r w:rsidR="00CE6FE3">
        <w:t xml:space="preserve"> and our community overall</w:t>
      </w:r>
      <w:r w:rsidR="000027CE">
        <w:t>.</w:t>
      </w:r>
      <w:r w:rsidR="0003504C">
        <w:t xml:space="preserve"> This report outlines </w:t>
      </w:r>
      <w:r w:rsidR="00C44A13">
        <w:t>several</w:t>
      </w:r>
      <w:r w:rsidR="00262C07">
        <w:t xml:space="preserve"> areas where action is needed, including </w:t>
      </w:r>
      <w:r w:rsidR="00C44A13">
        <w:t xml:space="preserve">financial assistance, </w:t>
      </w:r>
      <w:r w:rsidR="00262C07">
        <w:t>health, housing, transport, energy, and justi</w:t>
      </w:r>
      <w:r w:rsidR="00C44A13">
        <w:t xml:space="preserve">ce. </w:t>
      </w:r>
      <w:r w:rsidR="000760A5">
        <w:t xml:space="preserve">Cost of living, financial hardship, and poverty are </w:t>
      </w:r>
      <w:r w:rsidR="00B058E9">
        <w:t xml:space="preserve">fundamental issues </w:t>
      </w:r>
      <w:r w:rsidR="00CF2D7B" w:rsidRPr="00CF2D7B">
        <w:t xml:space="preserve">the next ACT Government must act upon to achieve a just and fair Canberra.  </w:t>
      </w:r>
    </w:p>
    <w:p w14:paraId="4E3D3C4A" w14:textId="5BF53981" w:rsidR="009F4260" w:rsidRPr="009F4260" w:rsidRDefault="009F4260" w:rsidP="009F4260">
      <w:pPr>
        <w:keepNext/>
        <w:keepLines/>
        <w:pageBreakBefore/>
        <w:spacing w:after="200"/>
        <w:outlineLvl w:val="0"/>
        <w:rPr>
          <w:rFonts w:cs="Arial"/>
          <w:b/>
          <w:bCs/>
          <w:color w:val="005984"/>
          <w:kern w:val="32"/>
          <w:sz w:val="37"/>
          <w:szCs w:val="32"/>
        </w:rPr>
      </w:pPr>
      <w:bookmarkStart w:id="21" w:name="_Toc7787736"/>
      <w:bookmarkStart w:id="22" w:name="_Toc51050148"/>
      <w:r w:rsidRPr="009F4260">
        <w:rPr>
          <w:rFonts w:cs="Arial"/>
          <w:b/>
          <w:bCs/>
          <w:color w:val="005984"/>
          <w:kern w:val="32"/>
          <w:sz w:val="37"/>
          <w:szCs w:val="32"/>
        </w:rPr>
        <w:lastRenderedPageBreak/>
        <w:t xml:space="preserve">Appendix: Explanatory </w:t>
      </w:r>
      <w:r w:rsidR="00506880">
        <w:rPr>
          <w:rFonts w:cs="Arial"/>
          <w:b/>
          <w:bCs/>
          <w:color w:val="005984"/>
          <w:kern w:val="32"/>
          <w:sz w:val="37"/>
          <w:szCs w:val="32"/>
        </w:rPr>
        <w:t>n</w:t>
      </w:r>
      <w:r w:rsidRPr="009F4260">
        <w:rPr>
          <w:rFonts w:cs="Arial"/>
          <w:b/>
          <w:bCs/>
          <w:color w:val="005984"/>
          <w:kern w:val="32"/>
          <w:sz w:val="37"/>
          <w:szCs w:val="32"/>
        </w:rPr>
        <w:t>otes</w:t>
      </w:r>
      <w:bookmarkEnd w:id="21"/>
      <w:bookmarkEnd w:id="22"/>
    </w:p>
    <w:p w14:paraId="1E3EBCE0"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ACTCOSS uses the cost of living methodology developed by SACOSS and the following explanatory notes have been adapted from SACOSS.</w:t>
      </w:r>
      <w:r w:rsidRPr="009F4260">
        <w:rPr>
          <w:vertAlign w:val="superscript"/>
        </w:rPr>
        <w:footnoteReference w:id="90"/>
      </w:r>
      <w:r w:rsidRPr="009F4260">
        <w:t xml:space="preserve"> </w:t>
      </w:r>
    </w:p>
    <w:p w14:paraId="67E0969E" w14:textId="77777777" w:rsidR="009F4260" w:rsidRPr="009F4260" w:rsidRDefault="009F4260" w:rsidP="000F20C9">
      <w:pPr>
        <w:pStyle w:val="Heading2"/>
      </w:pPr>
      <w:bookmarkStart w:id="23" w:name="_Toc7787737"/>
      <w:bookmarkStart w:id="24" w:name="_Toc51050149"/>
      <w:r w:rsidRPr="009F4260">
        <w:t>Consumer Price Index and Selected Living Cost Indexes</w:t>
      </w:r>
      <w:bookmarkEnd w:id="23"/>
      <w:bookmarkEnd w:id="24"/>
    </w:p>
    <w:p w14:paraId="2DFF22E9"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The ABS Selected Living Cost Indexes uses a different methodology to the CPI in that the CPI is based on acquisition (i.e. the price at the time of acquisition of a product), while the living cost index is based on actual expenditure. This is particularly relevant in relation to housing costs where CPI traces changes in house prices, while the SLCI traces changes in the amount expended each week on housing (e.g. mortgage repayments). Further information is available in the Explanatory Notes to the Selected Living Cost Indexes.</w:t>
      </w:r>
      <w:r w:rsidRPr="009F4260">
        <w:rPr>
          <w:vertAlign w:val="superscript"/>
        </w:rPr>
        <w:footnoteReference w:id="91"/>
      </w:r>
      <w:r w:rsidRPr="009F4260">
        <w:t xml:space="preserve"> In that sense, the Selected Living Cost Indexes are not a simple disaggregation of CPI and the two are not strictly comparable. However, both indexes are used to measure changes in the cost of living over time (although that is not what CPI was designed for), and given the general usage of the CPI measure and its powerful political and economic status, it is useful to compare the two and highlight the differences for different household types.</w:t>
      </w:r>
    </w:p>
    <w:p w14:paraId="2FEB139F" w14:textId="77777777" w:rsidR="009F4260" w:rsidRPr="009F4260" w:rsidRDefault="009F4260" w:rsidP="000F20C9">
      <w:pPr>
        <w:pStyle w:val="Heading2"/>
      </w:pPr>
      <w:bookmarkStart w:id="25" w:name="_Toc7787738"/>
      <w:bookmarkStart w:id="26" w:name="_Toc51050150"/>
      <w:r w:rsidRPr="009F4260">
        <w:t>Limitations of the Selected Living Cost Indexes</w:t>
      </w:r>
      <w:bookmarkEnd w:id="25"/>
      <w:bookmarkEnd w:id="26"/>
    </w:p>
    <w:p w14:paraId="685C7F78" w14:textId="74DA7BEE"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The Selected Living Cost Indexes are more nuanced than the generic CPI in that they measure changes for different household types, but there are still a number of problems with using those indexes to show cost of living changes faced by the most vulnerable and disadvantaged in the ACT. While it is safe to assume that social security recipients are among the most vulnerable and disadvantaged, any household-based data for multi-person households says nothing about distribution of power, money and expenditure within a household and may therefore hide particular (and often gendered) structures of vulnerability and disadvantage. Further, the living cost indexes are not state based, so ACT trends or circumstances may not show up.</w:t>
      </w:r>
    </w:p>
    <w:p w14:paraId="3F930E16"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 xml:space="preserve">At the more technical level, the Selected Living Cost Indexes are for households whose predominant income is from the described source (e.g. Age Pension or government transfers). However, the expenditures that formed the base data and weighting (from the 2015-16 Household Expenditure Survey) add up to well over the actual social security payments available (even including other government payments like rent assistance, utilities allowance and family tax </w:t>
      </w:r>
      <w:r w:rsidRPr="009F4260">
        <w:lastRenderedPageBreak/>
        <w:t>benefits). Clearly many households in these categories have other sources of income, or more than one social security recipient in the same household. Like the CPI, the Living Cost Index figures reflect broad averages (even if more nuanced), but do not reflect the experience of the poorest in those categories.</w:t>
      </w:r>
    </w:p>
    <w:p w14:paraId="079046A0"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Another example of this ‘averaging problem’ is that expenditures on some items, like housing, are too low to reflect the real expenditures and changes for the most vulnerable in the housing market – again, because the worst-case scenarios are ‘averaged out’ by those in the category with other resources. For instance, if one pensioner owned their own home outright they would generally be in a better financial position than a pensioner who has to pay market rents – but if the market rent were $300 per week, the average expenditure on rent between the two would be $150 per week, much less than what the renting pensioner was actually paying.</w:t>
      </w:r>
    </w:p>
    <w:p w14:paraId="44F2196E" w14:textId="57271360"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The weightings in the Selected Living Cost Indexes are also based on a set point in time (from the Household Expenditure Survey), but over time the price of some necessities may increase rapidly, forcing people to change expenditure patterns to cover the increased cost. There is some adjustment of weightings for this, but these can</w:t>
      </w:r>
      <w:r w:rsidR="005422BF">
        <w:t>no</w:t>
      </w:r>
      <w:r w:rsidRPr="009F4260">
        <w:t>t be checked without a new survey. Alternatively, or additionally, expenditure patterns may change for a variety of other reasons. However, the weighting in the indexes does not change and so does not track the expenditure substitutions and the impact that has on cost of living and lifestyle.</w:t>
      </w:r>
    </w:p>
    <w:p w14:paraId="16C6585F"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Finally, the Selected Living Cost Indexes’ household income figures are based on households that are the average size for that household type: 1.51 people for aged pensioners, and 2.46 for other social security recipients.</w:t>
      </w:r>
      <w:r w:rsidRPr="009F4260">
        <w:rPr>
          <w:vertAlign w:val="superscript"/>
        </w:rPr>
        <w:footnoteReference w:id="92"/>
      </w:r>
      <w:r w:rsidRPr="009F4260">
        <w:t xml:space="preserve"> This makes comparison with allowances difficult. This report focuses on single person households or a single person with two children (to align to the other social security recipient household average of 2.46 persons). However, this is a proxy rather than statistical correlation.</w:t>
      </w:r>
    </w:p>
    <w:p w14:paraId="5238EBF5"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It is inevitable that any summary measure will have limitations, and as noted in the main text, the Selected Living Cost Indexes provide a robust statistical base, a long time series, and quarterly tracking of changes in the cost of living which is somewhat sensitive to low income earners.</w:t>
      </w:r>
    </w:p>
    <w:p w14:paraId="6CC0FFBA" w14:textId="48F033F2" w:rsidR="009F4260" w:rsidRPr="009F4260" w:rsidRDefault="009F4260" w:rsidP="000F20C9">
      <w:pPr>
        <w:pStyle w:val="Heading2"/>
      </w:pPr>
      <w:bookmarkStart w:id="27" w:name="_Toc7787739"/>
      <w:bookmarkStart w:id="28" w:name="_Toc51050151"/>
      <w:r w:rsidRPr="009F4260">
        <w:t>Income support payment calculations – December 201</w:t>
      </w:r>
      <w:r>
        <w:t>8</w:t>
      </w:r>
      <w:r w:rsidRPr="009F4260">
        <w:t xml:space="preserve"> to December 201</w:t>
      </w:r>
      <w:bookmarkEnd w:id="27"/>
      <w:r>
        <w:t>9</w:t>
      </w:r>
      <w:bookmarkEnd w:id="28"/>
    </w:p>
    <w:p w14:paraId="431F67B9"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 xml:space="preserve">Even using the base rate of benefits, the calculation of the relevant weekly incomes is difficult because of the complexity of the income support system which means that payment eligibility and rates change depending on the exact circumstances of the household (e.g. age of children, assets). The calculation is also complex because of changes over time in eligibility and available benefits. However, based on an assumption of a single Age Pensioner and a single Newstart recipient with two children (aged 10 and 14) – with neither receiving </w:t>
      </w:r>
      <w:r w:rsidRPr="009F4260">
        <w:lastRenderedPageBreak/>
        <w:t>Commonwealth Rent Assistance, the basic income supports payments have been calculated as follows:</w:t>
      </w:r>
    </w:p>
    <w:p w14:paraId="26DB0671" w14:textId="27CCCB5B" w:rsidR="009F4260" w:rsidRPr="009F4260" w:rsidRDefault="009F4260" w:rsidP="009F4260">
      <w:pPr>
        <w:keepNext/>
        <w:spacing w:before="240" w:after="120"/>
        <w:rPr>
          <w:b/>
          <w:sz w:val="20"/>
        </w:rPr>
      </w:pPr>
      <w:r w:rsidRPr="009F4260">
        <w:rPr>
          <w:b/>
          <w:sz w:val="20"/>
        </w:rPr>
        <w:t>Rates at 31 December 201</w:t>
      </w:r>
      <w:r w:rsidR="00A27EC2">
        <w:rPr>
          <w:b/>
          <w:sz w:val="20"/>
        </w:rPr>
        <w:t>8</w:t>
      </w:r>
    </w:p>
    <w:tbl>
      <w:tblPr>
        <w:tblStyle w:val="TableGrid"/>
        <w:tblW w:w="0" w:type="auto"/>
        <w:tblLayout w:type="fixed"/>
        <w:tblLook w:val="04A0" w:firstRow="1" w:lastRow="0" w:firstColumn="1" w:lastColumn="0" w:noHBand="0" w:noVBand="1"/>
      </w:tblPr>
      <w:tblGrid>
        <w:gridCol w:w="943"/>
        <w:gridCol w:w="944"/>
        <w:gridCol w:w="944"/>
        <w:gridCol w:w="944"/>
        <w:gridCol w:w="943"/>
        <w:gridCol w:w="944"/>
        <w:gridCol w:w="944"/>
        <w:gridCol w:w="944"/>
        <w:gridCol w:w="944"/>
        <w:gridCol w:w="944"/>
      </w:tblGrid>
      <w:tr w:rsidR="00DD509D" w:rsidRPr="009F4260" w14:paraId="3D31D272" w14:textId="7FD85026" w:rsidTr="00DD509D">
        <w:trPr>
          <w:tblHeader/>
        </w:trPr>
        <w:tc>
          <w:tcPr>
            <w:tcW w:w="943" w:type="dxa"/>
            <w:tcMar>
              <w:left w:w="113" w:type="dxa"/>
              <w:right w:w="113" w:type="dxa"/>
            </w:tcMar>
          </w:tcPr>
          <w:p w14:paraId="3B92D58C" w14:textId="77777777" w:rsidR="00DD509D" w:rsidRPr="009F4260"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bookmarkStart w:id="29" w:name="_Hlk5969855"/>
          </w:p>
        </w:tc>
        <w:tc>
          <w:tcPr>
            <w:tcW w:w="944" w:type="dxa"/>
            <w:tcMar>
              <w:left w:w="113" w:type="dxa"/>
              <w:right w:w="113" w:type="dxa"/>
            </w:tcMar>
          </w:tcPr>
          <w:p w14:paraId="0B17340E"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Base rate</w:t>
            </w:r>
          </w:p>
        </w:tc>
        <w:tc>
          <w:tcPr>
            <w:tcW w:w="944" w:type="dxa"/>
            <w:tcMar>
              <w:left w:w="113" w:type="dxa"/>
              <w:right w:w="113" w:type="dxa"/>
            </w:tcMar>
          </w:tcPr>
          <w:p w14:paraId="1434A88C" w14:textId="2B523EE2"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Pension supp</w:t>
            </w:r>
          </w:p>
        </w:tc>
        <w:tc>
          <w:tcPr>
            <w:tcW w:w="944" w:type="dxa"/>
            <w:tcMar>
              <w:left w:w="113" w:type="dxa"/>
              <w:right w:w="113" w:type="dxa"/>
            </w:tcMar>
          </w:tcPr>
          <w:p w14:paraId="4332C3D3" w14:textId="65DA6D2C"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Energy supp</w:t>
            </w:r>
          </w:p>
        </w:tc>
        <w:tc>
          <w:tcPr>
            <w:tcW w:w="943" w:type="dxa"/>
            <w:tcMar>
              <w:left w:w="113" w:type="dxa"/>
              <w:right w:w="113" w:type="dxa"/>
            </w:tcMar>
          </w:tcPr>
          <w:p w14:paraId="0D8F3BA4"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FTB A Child u13</w:t>
            </w:r>
          </w:p>
        </w:tc>
        <w:tc>
          <w:tcPr>
            <w:tcW w:w="944" w:type="dxa"/>
            <w:tcMar>
              <w:left w:w="113" w:type="dxa"/>
              <w:right w:w="113" w:type="dxa"/>
            </w:tcMar>
          </w:tcPr>
          <w:p w14:paraId="4AEFA8B7"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FTB A Child 13-15</w:t>
            </w:r>
          </w:p>
        </w:tc>
        <w:tc>
          <w:tcPr>
            <w:tcW w:w="944" w:type="dxa"/>
            <w:tcMar>
              <w:left w:w="113" w:type="dxa"/>
              <w:right w:w="113" w:type="dxa"/>
            </w:tcMar>
          </w:tcPr>
          <w:p w14:paraId="67285FC7"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FTB B</w:t>
            </w:r>
          </w:p>
        </w:tc>
        <w:tc>
          <w:tcPr>
            <w:tcW w:w="944" w:type="dxa"/>
            <w:tcMar>
              <w:left w:w="113" w:type="dxa"/>
              <w:right w:w="113" w:type="dxa"/>
            </w:tcMar>
          </w:tcPr>
          <w:p w14:paraId="12EF3355"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Pharmaceutical Benefit</w:t>
            </w:r>
          </w:p>
        </w:tc>
        <w:tc>
          <w:tcPr>
            <w:tcW w:w="944" w:type="dxa"/>
            <w:tcMar>
              <w:left w:w="113" w:type="dxa"/>
              <w:right w:w="113" w:type="dxa"/>
            </w:tcMar>
          </w:tcPr>
          <w:p w14:paraId="7D90F5C7" w14:textId="1836A94C" w:rsidR="00DD509D" w:rsidRPr="003C5136" w:rsidRDefault="003C5136"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Fortnight Total</w:t>
            </w:r>
          </w:p>
        </w:tc>
        <w:tc>
          <w:tcPr>
            <w:tcW w:w="944" w:type="dxa"/>
          </w:tcPr>
          <w:p w14:paraId="2887C994" w14:textId="4CF6CC2B" w:rsidR="00DD509D" w:rsidRPr="003C5136" w:rsidRDefault="00713AF7"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3C5136">
              <w:rPr>
                <w:sz w:val="16"/>
                <w:szCs w:val="16"/>
              </w:rPr>
              <w:t>Week Total</w:t>
            </w:r>
          </w:p>
        </w:tc>
      </w:tr>
      <w:tr w:rsidR="00DD509D" w:rsidRPr="009F4260" w14:paraId="2E160B21" w14:textId="7D273A44" w:rsidTr="00DD509D">
        <w:tc>
          <w:tcPr>
            <w:tcW w:w="943" w:type="dxa"/>
            <w:tcMar>
              <w:left w:w="113" w:type="dxa"/>
              <w:right w:w="113" w:type="dxa"/>
            </w:tcMar>
          </w:tcPr>
          <w:p w14:paraId="3B6342B2" w14:textId="77777777"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437357">
              <w:rPr>
                <w:sz w:val="16"/>
                <w:szCs w:val="16"/>
              </w:rPr>
              <w:t>Age pension, single</w:t>
            </w:r>
          </w:p>
        </w:tc>
        <w:tc>
          <w:tcPr>
            <w:tcW w:w="944" w:type="dxa"/>
            <w:tcMar>
              <w:left w:w="113" w:type="dxa"/>
              <w:right w:w="113" w:type="dxa"/>
            </w:tcMar>
          </w:tcPr>
          <w:p w14:paraId="6A0273FD" w14:textId="412A7451"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r w:rsidR="00713AF7" w:rsidRPr="00437357">
              <w:rPr>
                <w:sz w:val="16"/>
                <w:szCs w:val="16"/>
              </w:rPr>
              <w:t>834.40</w:t>
            </w:r>
          </w:p>
        </w:tc>
        <w:tc>
          <w:tcPr>
            <w:tcW w:w="944" w:type="dxa"/>
            <w:tcMar>
              <w:left w:w="113" w:type="dxa"/>
              <w:right w:w="113" w:type="dxa"/>
            </w:tcMar>
          </w:tcPr>
          <w:p w14:paraId="7B289C21" w14:textId="23990A3C" w:rsidR="00DD509D" w:rsidRPr="00437357" w:rsidRDefault="00437357"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r w:rsidR="00215524" w:rsidRPr="00437357">
              <w:rPr>
                <w:sz w:val="16"/>
                <w:szCs w:val="16"/>
              </w:rPr>
              <w:t>67.80</w:t>
            </w:r>
          </w:p>
        </w:tc>
        <w:tc>
          <w:tcPr>
            <w:tcW w:w="944" w:type="dxa"/>
            <w:tcMar>
              <w:left w:w="113" w:type="dxa"/>
              <w:right w:w="113" w:type="dxa"/>
            </w:tcMar>
          </w:tcPr>
          <w:p w14:paraId="5FFA9B6B" w14:textId="467F8733"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r w:rsidR="00756F91" w:rsidRPr="00437357">
              <w:rPr>
                <w:sz w:val="16"/>
                <w:szCs w:val="16"/>
              </w:rPr>
              <w:t>14.10</w:t>
            </w:r>
          </w:p>
        </w:tc>
        <w:tc>
          <w:tcPr>
            <w:tcW w:w="943" w:type="dxa"/>
            <w:tcMar>
              <w:left w:w="113" w:type="dxa"/>
              <w:right w:w="113" w:type="dxa"/>
            </w:tcMar>
          </w:tcPr>
          <w:p w14:paraId="2C293469" w14:textId="77777777"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p>
        </w:tc>
        <w:tc>
          <w:tcPr>
            <w:tcW w:w="944" w:type="dxa"/>
            <w:tcMar>
              <w:left w:w="113" w:type="dxa"/>
              <w:right w:w="113" w:type="dxa"/>
            </w:tcMar>
          </w:tcPr>
          <w:p w14:paraId="43CC6022" w14:textId="77777777"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p>
        </w:tc>
        <w:tc>
          <w:tcPr>
            <w:tcW w:w="944" w:type="dxa"/>
            <w:tcMar>
              <w:left w:w="113" w:type="dxa"/>
              <w:right w:w="113" w:type="dxa"/>
            </w:tcMar>
          </w:tcPr>
          <w:p w14:paraId="1290D6D7" w14:textId="77777777"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p>
        </w:tc>
        <w:tc>
          <w:tcPr>
            <w:tcW w:w="944" w:type="dxa"/>
            <w:tcMar>
              <w:left w:w="113" w:type="dxa"/>
              <w:right w:w="113" w:type="dxa"/>
            </w:tcMar>
          </w:tcPr>
          <w:p w14:paraId="598EAB74" w14:textId="77777777"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p>
        </w:tc>
        <w:tc>
          <w:tcPr>
            <w:tcW w:w="944" w:type="dxa"/>
            <w:tcMar>
              <w:left w:w="113" w:type="dxa"/>
              <w:right w:w="113" w:type="dxa"/>
            </w:tcMar>
          </w:tcPr>
          <w:p w14:paraId="51546791" w14:textId="6C52FB4C" w:rsidR="00DD509D" w:rsidRPr="00437357"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w:t>
            </w:r>
            <w:r w:rsidR="00756F91" w:rsidRPr="00437357">
              <w:rPr>
                <w:sz w:val="16"/>
                <w:szCs w:val="16"/>
              </w:rPr>
              <w:t>916.30</w:t>
            </w:r>
          </w:p>
        </w:tc>
        <w:tc>
          <w:tcPr>
            <w:tcW w:w="944" w:type="dxa"/>
          </w:tcPr>
          <w:p w14:paraId="64F33857" w14:textId="2C2D98FD" w:rsidR="00DD509D" w:rsidRPr="00437357" w:rsidRDefault="00437357"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7357">
              <w:rPr>
                <w:sz w:val="16"/>
                <w:szCs w:val="16"/>
              </w:rPr>
              <w:t>$458.15</w:t>
            </w:r>
          </w:p>
        </w:tc>
      </w:tr>
      <w:tr w:rsidR="00DD509D" w:rsidRPr="009F4260" w14:paraId="75621424" w14:textId="6BEF7152" w:rsidTr="00DD509D">
        <w:tc>
          <w:tcPr>
            <w:tcW w:w="943" w:type="dxa"/>
            <w:tcMar>
              <w:left w:w="113" w:type="dxa"/>
              <w:right w:w="113" w:type="dxa"/>
            </w:tcMar>
          </w:tcPr>
          <w:p w14:paraId="1EB5C895" w14:textId="7777777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F45595">
              <w:rPr>
                <w:sz w:val="16"/>
                <w:szCs w:val="16"/>
              </w:rPr>
              <w:t>Newstart, single, no children</w:t>
            </w:r>
          </w:p>
        </w:tc>
        <w:tc>
          <w:tcPr>
            <w:tcW w:w="944" w:type="dxa"/>
            <w:tcMar>
              <w:left w:w="113" w:type="dxa"/>
              <w:right w:w="113" w:type="dxa"/>
            </w:tcMar>
          </w:tcPr>
          <w:p w14:paraId="3EDCBC91" w14:textId="40160873"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r w:rsidR="009B25F1" w:rsidRPr="00F45595">
              <w:rPr>
                <w:sz w:val="16"/>
                <w:szCs w:val="16"/>
              </w:rPr>
              <w:t>550.20</w:t>
            </w:r>
          </w:p>
        </w:tc>
        <w:tc>
          <w:tcPr>
            <w:tcW w:w="944" w:type="dxa"/>
            <w:tcMar>
              <w:left w:w="113" w:type="dxa"/>
              <w:right w:w="113" w:type="dxa"/>
            </w:tcMar>
          </w:tcPr>
          <w:p w14:paraId="353AE89C" w14:textId="7777777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p>
        </w:tc>
        <w:tc>
          <w:tcPr>
            <w:tcW w:w="944" w:type="dxa"/>
            <w:tcMar>
              <w:left w:w="113" w:type="dxa"/>
              <w:right w:w="113" w:type="dxa"/>
            </w:tcMar>
          </w:tcPr>
          <w:p w14:paraId="2FFA6BA9" w14:textId="4B4F6658"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r w:rsidR="009B25F1" w:rsidRPr="00F45595">
              <w:rPr>
                <w:sz w:val="16"/>
                <w:szCs w:val="16"/>
              </w:rPr>
              <w:t>8.80</w:t>
            </w:r>
          </w:p>
        </w:tc>
        <w:tc>
          <w:tcPr>
            <w:tcW w:w="943" w:type="dxa"/>
            <w:tcMar>
              <w:left w:w="113" w:type="dxa"/>
              <w:right w:w="113" w:type="dxa"/>
            </w:tcMar>
          </w:tcPr>
          <w:p w14:paraId="3500F4B5" w14:textId="7777777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p>
        </w:tc>
        <w:tc>
          <w:tcPr>
            <w:tcW w:w="944" w:type="dxa"/>
            <w:tcMar>
              <w:left w:w="113" w:type="dxa"/>
              <w:right w:w="113" w:type="dxa"/>
            </w:tcMar>
          </w:tcPr>
          <w:p w14:paraId="00B89415" w14:textId="7777777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p>
        </w:tc>
        <w:tc>
          <w:tcPr>
            <w:tcW w:w="944" w:type="dxa"/>
            <w:tcMar>
              <w:left w:w="113" w:type="dxa"/>
              <w:right w:w="113" w:type="dxa"/>
            </w:tcMar>
          </w:tcPr>
          <w:p w14:paraId="44159251" w14:textId="7777777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p>
        </w:tc>
        <w:tc>
          <w:tcPr>
            <w:tcW w:w="944" w:type="dxa"/>
            <w:tcMar>
              <w:left w:w="113" w:type="dxa"/>
              <w:right w:w="113" w:type="dxa"/>
            </w:tcMar>
          </w:tcPr>
          <w:p w14:paraId="0A9AF91C" w14:textId="7777777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p>
        </w:tc>
        <w:tc>
          <w:tcPr>
            <w:tcW w:w="944" w:type="dxa"/>
            <w:tcMar>
              <w:left w:w="113" w:type="dxa"/>
              <w:right w:w="113" w:type="dxa"/>
            </w:tcMar>
          </w:tcPr>
          <w:p w14:paraId="76535147" w14:textId="43A27AD7" w:rsidR="00DD509D" w:rsidRPr="00F45595"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w:t>
            </w:r>
            <w:r w:rsidR="00F45595" w:rsidRPr="00F45595">
              <w:rPr>
                <w:sz w:val="16"/>
                <w:szCs w:val="16"/>
              </w:rPr>
              <w:t>559.00</w:t>
            </w:r>
          </w:p>
        </w:tc>
        <w:tc>
          <w:tcPr>
            <w:tcW w:w="944" w:type="dxa"/>
          </w:tcPr>
          <w:p w14:paraId="5BDB477B" w14:textId="6249C8A0" w:rsidR="00DD509D" w:rsidRPr="00F45595" w:rsidRDefault="00F45595"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F45595">
              <w:rPr>
                <w:sz w:val="16"/>
                <w:szCs w:val="16"/>
              </w:rPr>
              <w:t>$279.50</w:t>
            </w:r>
          </w:p>
        </w:tc>
      </w:tr>
      <w:tr w:rsidR="00DD509D" w:rsidRPr="009F4260" w14:paraId="304D4BB2" w14:textId="6E118496" w:rsidTr="00DD509D">
        <w:tc>
          <w:tcPr>
            <w:tcW w:w="943" w:type="dxa"/>
            <w:tcMar>
              <w:left w:w="113" w:type="dxa"/>
              <w:right w:w="113" w:type="dxa"/>
            </w:tcMar>
          </w:tcPr>
          <w:p w14:paraId="4EAB92F4" w14:textId="77777777"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0F0E2E">
              <w:rPr>
                <w:sz w:val="16"/>
                <w:szCs w:val="16"/>
              </w:rPr>
              <w:t>Newstart, single, 2 children</w:t>
            </w:r>
          </w:p>
        </w:tc>
        <w:tc>
          <w:tcPr>
            <w:tcW w:w="944" w:type="dxa"/>
            <w:tcMar>
              <w:left w:w="113" w:type="dxa"/>
              <w:right w:w="113" w:type="dxa"/>
            </w:tcMar>
          </w:tcPr>
          <w:p w14:paraId="27316772" w14:textId="6BACC98B"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6D537B" w:rsidRPr="000F0E2E">
              <w:rPr>
                <w:sz w:val="16"/>
                <w:szCs w:val="16"/>
              </w:rPr>
              <w:t>595.10</w:t>
            </w:r>
          </w:p>
        </w:tc>
        <w:tc>
          <w:tcPr>
            <w:tcW w:w="944" w:type="dxa"/>
            <w:tcMar>
              <w:left w:w="113" w:type="dxa"/>
              <w:right w:w="113" w:type="dxa"/>
            </w:tcMar>
          </w:tcPr>
          <w:p w14:paraId="2D5A3ADC" w14:textId="77777777"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p>
        </w:tc>
        <w:tc>
          <w:tcPr>
            <w:tcW w:w="944" w:type="dxa"/>
            <w:tcMar>
              <w:left w:w="113" w:type="dxa"/>
              <w:right w:w="113" w:type="dxa"/>
            </w:tcMar>
          </w:tcPr>
          <w:p w14:paraId="7990D778" w14:textId="682B9981"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6D537B" w:rsidRPr="000F0E2E">
              <w:rPr>
                <w:sz w:val="16"/>
                <w:szCs w:val="16"/>
              </w:rPr>
              <w:t>9.50</w:t>
            </w:r>
          </w:p>
        </w:tc>
        <w:tc>
          <w:tcPr>
            <w:tcW w:w="943" w:type="dxa"/>
            <w:tcMar>
              <w:left w:w="113" w:type="dxa"/>
              <w:right w:w="113" w:type="dxa"/>
            </w:tcMar>
          </w:tcPr>
          <w:p w14:paraId="44A716B9" w14:textId="1BF02E44"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925815" w:rsidRPr="000F0E2E">
              <w:rPr>
                <w:sz w:val="16"/>
                <w:szCs w:val="16"/>
              </w:rPr>
              <w:t>182.84</w:t>
            </w:r>
          </w:p>
        </w:tc>
        <w:tc>
          <w:tcPr>
            <w:tcW w:w="944" w:type="dxa"/>
            <w:tcMar>
              <w:left w:w="113" w:type="dxa"/>
              <w:right w:w="113" w:type="dxa"/>
            </w:tcMar>
          </w:tcPr>
          <w:p w14:paraId="591F820F" w14:textId="0CBF24B7"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925815" w:rsidRPr="000F0E2E">
              <w:rPr>
                <w:sz w:val="16"/>
                <w:szCs w:val="16"/>
              </w:rPr>
              <w:t>237.86</w:t>
            </w:r>
          </w:p>
        </w:tc>
        <w:tc>
          <w:tcPr>
            <w:tcW w:w="944" w:type="dxa"/>
            <w:tcMar>
              <w:left w:w="113" w:type="dxa"/>
              <w:right w:w="113" w:type="dxa"/>
            </w:tcMar>
          </w:tcPr>
          <w:p w14:paraId="28CD64E6" w14:textId="5DAB3939"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925815" w:rsidRPr="000F0E2E">
              <w:rPr>
                <w:sz w:val="16"/>
                <w:szCs w:val="16"/>
              </w:rPr>
              <w:t>108.64</w:t>
            </w:r>
          </w:p>
        </w:tc>
        <w:tc>
          <w:tcPr>
            <w:tcW w:w="944" w:type="dxa"/>
            <w:tcMar>
              <w:left w:w="113" w:type="dxa"/>
              <w:right w:w="113" w:type="dxa"/>
            </w:tcMar>
          </w:tcPr>
          <w:p w14:paraId="6AA49129" w14:textId="054FB3A3"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3F345A" w:rsidRPr="000F0E2E">
              <w:rPr>
                <w:sz w:val="16"/>
                <w:szCs w:val="16"/>
              </w:rPr>
              <w:t>6.20</w:t>
            </w:r>
          </w:p>
        </w:tc>
        <w:tc>
          <w:tcPr>
            <w:tcW w:w="944" w:type="dxa"/>
            <w:tcMar>
              <w:left w:w="113" w:type="dxa"/>
              <w:right w:w="113" w:type="dxa"/>
            </w:tcMar>
          </w:tcPr>
          <w:p w14:paraId="4661C848" w14:textId="419B7E79" w:rsidR="00DD509D" w:rsidRPr="000F0E2E"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w:t>
            </w:r>
            <w:r w:rsidR="003F345A" w:rsidRPr="000F0E2E">
              <w:rPr>
                <w:sz w:val="16"/>
                <w:szCs w:val="16"/>
              </w:rPr>
              <w:t>1140.14</w:t>
            </w:r>
          </w:p>
        </w:tc>
        <w:tc>
          <w:tcPr>
            <w:tcW w:w="944" w:type="dxa"/>
          </w:tcPr>
          <w:p w14:paraId="311860AF" w14:textId="45EA1E5C" w:rsidR="00DD509D" w:rsidRPr="000F0E2E" w:rsidRDefault="000F0E2E"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F0E2E">
              <w:rPr>
                <w:sz w:val="16"/>
                <w:szCs w:val="16"/>
              </w:rPr>
              <w:t>$570.07</w:t>
            </w:r>
          </w:p>
        </w:tc>
      </w:tr>
      <w:tr w:rsidR="00DD509D" w:rsidRPr="009F4260" w14:paraId="40E3A1EC" w14:textId="0E19DF2A" w:rsidTr="00DD509D">
        <w:tc>
          <w:tcPr>
            <w:tcW w:w="943" w:type="dxa"/>
            <w:tcMar>
              <w:left w:w="113" w:type="dxa"/>
              <w:right w:w="113" w:type="dxa"/>
            </w:tcMar>
          </w:tcPr>
          <w:p w14:paraId="205DC7D4"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3C5136">
              <w:rPr>
                <w:sz w:val="16"/>
                <w:szCs w:val="16"/>
              </w:rPr>
              <w:t>Youth Allowance, single, no children</w:t>
            </w:r>
          </w:p>
        </w:tc>
        <w:tc>
          <w:tcPr>
            <w:tcW w:w="944" w:type="dxa"/>
            <w:tcMar>
              <w:left w:w="113" w:type="dxa"/>
              <w:right w:w="113" w:type="dxa"/>
            </w:tcMar>
          </w:tcPr>
          <w:p w14:paraId="48C7D387" w14:textId="4D8AC2BB"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r w:rsidR="009C24DF" w:rsidRPr="003C5136">
              <w:rPr>
                <w:sz w:val="16"/>
                <w:szCs w:val="16"/>
              </w:rPr>
              <w:t>445.80</w:t>
            </w:r>
          </w:p>
        </w:tc>
        <w:tc>
          <w:tcPr>
            <w:tcW w:w="944" w:type="dxa"/>
            <w:tcMar>
              <w:left w:w="113" w:type="dxa"/>
              <w:right w:w="113" w:type="dxa"/>
            </w:tcMar>
          </w:tcPr>
          <w:p w14:paraId="350AAEC5"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p>
        </w:tc>
        <w:tc>
          <w:tcPr>
            <w:tcW w:w="944" w:type="dxa"/>
            <w:tcMar>
              <w:left w:w="113" w:type="dxa"/>
              <w:right w:w="113" w:type="dxa"/>
            </w:tcMar>
          </w:tcPr>
          <w:p w14:paraId="75DF9567" w14:textId="3CDEE1D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r w:rsidR="009C24DF" w:rsidRPr="003C5136">
              <w:rPr>
                <w:sz w:val="16"/>
                <w:szCs w:val="16"/>
              </w:rPr>
              <w:t>7.00</w:t>
            </w:r>
          </w:p>
        </w:tc>
        <w:tc>
          <w:tcPr>
            <w:tcW w:w="943" w:type="dxa"/>
            <w:tcMar>
              <w:left w:w="113" w:type="dxa"/>
              <w:right w:w="113" w:type="dxa"/>
            </w:tcMar>
          </w:tcPr>
          <w:p w14:paraId="1D738875"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p>
        </w:tc>
        <w:tc>
          <w:tcPr>
            <w:tcW w:w="944" w:type="dxa"/>
            <w:tcMar>
              <w:left w:w="113" w:type="dxa"/>
              <w:right w:w="113" w:type="dxa"/>
            </w:tcMar>
          </w:tcPr>
          <w:p w14:paraId="7446A3AD"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p>
        </w:tc>
        <w:tc>
          <w:tcPr>
            <w:tcW w:w="944" w:type="dxa"/>
            <w:tcMar>
              <w:left w:w="113" w:type="dxa"/>
              <w:right w:w="113" w:type="dxa"/>
            </w:tcMar>
          </w:tcPr>
          <w:p w14:paraId="5502265F"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p>
        </w:tc>
        <w:tc>
          <w:tcPr>
            <w:tcW w:w="944" w:type="dxa"/>
            <w:tcMar>
              <w:left w:w="113" w:type="dxa"/>
              <w:right w:w="113" w:type="dxa"/>
            </w:tcMar>
          </w:tcPr>
          <w:p w14:paraId="4E86F489" w14:textId="7777777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p>
        </w:tc>
        <w:tc>
          <w:tcPr>
            <w:tcW w:w="944" w:type="dxa"/>
            <w:tcMar>
              <w:left w:w="113" w:type="dxa"/>
              <w:right w:w="113" w:type="dxa"/>
            </w:tcMar>
          </w:tcPr>
          <w:p w14:paraId="2A60066F" w14:textId="4C10D597" w:rsidR="00DD509D" w:rsidRPr="003C5136"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w:t>
            </w:r>
            <w:r w:rsidR="003C5136" w:rsidRPr="003C5136">
              <w:rPr>
                <w:sz w:val="16"/>
                <w:szCs w:val="16"/>
              </w:rPr>
              <w:t>452.80</w:t>
            </w:r>
          </w:p>
        </w:tc>
        <w:tc>
          <w:tcPr>
            <w:tcW w:w="944" w:type="dxa"/>
          </w:tcPr>
          <w:p w14:paraId="1192FA18" w14:textId="7605801D" w:rsidR="00DD509D" w:rsidRPr="003C5136" w:rsidRDefault="003C5136"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C5136">
              <w:rPr>
                <w:sz w:val="16"/>
                <w:szCs w:val="16"/>
              </w:rPr>
              <w:t>$226.40</w:t>
            </w:r>
          </w:p>
        </w:tc>
      </w:tr>
    </w:tbl>
    <w:bookmarkEnd w:id="29"/>
    <w:p w14:paraId="77C7AD27" w14:textId="4B572154" w:rsidR="009F4260" w:rsidRPr="009F4260" w:rsidRDefault="009F4260" w:rsidP="009F4260">
      <w:pPr>
        <w:spacing w:before="80" w:after="280"/>
        <w:rPr>
          <w:sz w:val="18"/>
          <w:szCs w:val="20"/>
        </w:rPr>
      </w:pPr>
      <w:r w:rsidRPr="009F4260">
        <w:rPr>
          <w:sz w:val="18"/>
          <w:szCs w:val="20"/>
        </w:rPr>
        <w:t>Source: Centrelink</w:t>
      </w:r>
      <w:r w:rsidRPr="009F4260">
        <w:rPr>
          <w:i/>
          <w:iCs/>
          <w:sz w:val="18"/>
          <w:szCs w:val="20"/>
        </w:rPr>
        <w:t>, A guide to Australian Government payments 20 September-31 December 201</w:t>
      </w:r>
      <w:r w:rsidR="00C84CF5">
        <w:rPr>
          <w:i/>
          <w:iCs/>
          <w:sz w:val="18"/>
          <w:szCs w:val="20"/>
        </w:rPr>
        <w:t>8</w:t>
      </w:r>
      <w:r w:rsidRPr="009F4260">
        <w:rPr>
          <w:sz w:val="18"/>
          <w:szCs w:val="20"/>
        </w:rPr>
        <w:t>, Centrelink, Canberra, 2017.</w:t>
      </w:r>
    </w:p>
    <w:p w14:paraId="424AA9E1" w14:textId="48485F15" w:rsidR="009F4260" w:rsidRPr="009F4260" w:rsidRDefault="009F4260" w:rsidP="009F4260">
      <w:pPr>
        <w:keepNext/>
        <w:spacing w:before="240" w:after="120"/>
        <w:rPr>
          <w:b/>
          <w:sz w:val="20"/>
        </w:rPr>
      </w:pPr>
      <w:r w:rsidRPr="009F4260">
        <w:rPr>
          <w:b/>
          <w:sz w:val="20"/>
        </w:rPr>
        <w:t>Rates at 31 December 201</w:t>
      </w:r>
      <w:r w:rsidR="00A27EC2">
        <w:rPr>
          <w:b/>
          <w:sz w:val="20"/>
        </w:rPr>
        <w:t>9</w:t>
      </w:r>
    </w:p>
    <w:tbl>
      <w:tblPr>
        <w:tblStyle w:val="TableGrid"/>
        <w:tblW w:w="0" w:type="auto"/>
        <w:tblLayout w:type="fixed"/>
        <w:tblLook w:val="04A0" w:firstRow="1" w:lastRow="0" w:firstColumn="1" w:lastColumn="0" w:noHBand="0" w:noVBand="1"/>
      </w:tblPr>
      <w:tblGrid>
        <w:gridCol w:w="943"/>
        <w:gridCol w:w="944"/>
        <w:gridCol w:w="944"/>
        <w:gridCol w:w="944"/>
        <w:gridCol w:w="943"/>
        <w:gridCol w:w="944"/>
        <w:gridCol w:w="944"/>
        <w:gridCol w:w="944"/>
        <w:gridCol w:w="944"/>
        <w:gridCol w:w="944"/>
      </w:tblGrid>
      <w:tr w:rsidR="00DD509D" w:rsidRPr="009F4260" w14:paraId="45EA1377" w14:textId="288FD990" w:rsidTr="00DD509D">
        <w:trPr>
          <w:tblHeader/>
        </w:trPr>
        <w:tc>
          <w:tcPr>
            <w:tcW w:w="943" w:type="dxa"/>
            <w:tcMar>
              <w:left w:w="113" w:type="dxa"/>
              <w:right w:w="113" w:type="dxa"/>
            </w:tcMar>
          </w:tcPr>
          <w:p w14:paraId="4563E831" w14:textId="77777777" w:rsidR="00DD509D" w:rsidRPr="009F4260"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
        </w:tc>
        <w:tc>
          <w:tcPr>
            <w:tcW w:w="944" w:type="dxa"/>
            <w:tcMar>
              <w:left w:w="113" w:type="dxa"/>
              <w:right w:w="113" w:type="dxa"/>
            </w:tcMar>
          </w:tcPr>
          <w:p w14:paraId="24CF7645"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Base rate</w:t>
            </w:r>
          </w:p>
        </w:tc>
        <w:tc>
          <w:tcPr>
            <w:tcW w:w="944" w:type="dxa"/>
            <w:tcMar>
              <w:left w:w="113" w:type="dxa"/>
              <w:right w:w="113" w:type="dxa"/>
            </w:tcMar>
          </w:tcPr>
          <w:p w14:paraId="45F90012"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Pension support</w:t>
            </w:r>
          </w:p>
        </w:tc>
        <w:tc>
          <w:tcPr>
            <w:tcW w:w="944" w:type="dxa"/>
            <w:tcMar>
              <w:left w:w="113" w:type="dxa"/>
              <w:right w:w="113" w:type="dxa"/>
            </w:tcMar>
          </w:tcPr>
          <w:p w14:paraId="7C84858E"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Energy supplement</w:t>
            </w:r>
          </w:p>
        </w:tc>
        <w:tc>
          <w:tcPr>
            <w:tcW w:w="943" w:type="dxa"/>
            <w:tcMar>
              <w:left w:w="113" w:type="dxa"/>
              <w:right w:w="113" w:type="dxa"/>
            </w:tcMar>
          </w:tcPr>
          <w:p w14:paraId="0304A2AF"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FTB A Child u13</w:t>
            </w:r>
          </w:p>
        </w:tc>
        <w:tc>
          <w:tcPr>
            <w:tcW w:w="944" w:type="dxa"/>
            <w:tcMar>
              <w:left w:w="113" w:type="dxa"/>
              <w:right w:w="113" w:type="dxa"/>
            </w:tcMar>
          </w:tcPr>
          <w:p w14:paraId="63E1BE0F"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FTB A Child 13-15</w:t>
            </w:r>
          </w:p>
        </w:tc>
        <w:tc>
          <w:tcPr>
            <w:tcW w:w="944" w:type="dxa"/>
            <w:tcMar>
              <w:left w:w="113" w:type="dxa"/>
              <w:right w:w="113" w:type="dxa"/>
            </w:tcMar>
          </w:tcPr>
          <w:p w14:paraId="66451EEA"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FTB B</w:t>
            </w:r>
          </w:p>
        </w:tc>
        <w:tc>
          <w:tcPr>
            <w:tcW w:w="944" w:type="dxa"/>
            <w:tcMar>
              <w:left w:w="113" w:type="dxa"/>
              <w:right w:w="113" w:type="dxa"/>
            </w:tcMar>
          </w:tcPr>
          <w:p w14:paraId="04BFE335"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Pharmaceutical Benefit</w:t>
            </w:r>
          </w:p>
        </w:tc>
        <w:tc>
          <w:tcPr>
            <w:tcW w:w="944" w:type="dxa"/>
            <w:tcMar>
              <w:left w:w="113" w:type="dxa"/>
              <w:right w:w="113" w:type="dxa"/>
            </w:tcMar>
          </w:tcPr>
          <w:p w14:paraId="507C26D1" w14:textId="513E05DC" w:rsidR="00DD509D" w:rsidRPr="00EC477D" w:rsidRDefault="00E96B31"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 xml:space="preserve">Fortnight </w:t>
            </w:r>
            <w:r w:rsidR="00DD509D" w:rsidRPr="00EC477D">
              <w:rPr>
                <w:sz w:val="16"/>
                <w:szCs w:val="16"/>
              </w:rPr>
              <w:t>Total</w:t>
            </w:r>
          </w:p>
        </w:tc>
        <w:tc>
          <w:tcPr>
            <w:tcW w:w="944" w:type="dxa"/>
          </w:tcPr>
          <w:p w14:paraId="319A3C7C" w14:textId="47582DB4" w:rsidR="00DD509D" w:rsidRPr="00EC477D" w:rsidRDefault="00E96B31"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EC477D">
              <w:rPr>
                <w:sz w:val="16"/>
                <w:szCs w:val="16"/>
              </w:rPr>
              <w:t>Week Total</w:t>
            </w:r>
          </w:p>
        </w:tc>
      </w:tr>
      <w:tr w:rsidR="00DD509D" w:rsidRPr="009F4260" w14:paraId="158A7951" w14:textId="797C9F87" w:rsidTr="00DD509D">
        <w:tc>
          <w:tcPr>
            <w:tcW w:w="943" w:type="dxa"/>
            <w:tcMar>
              <w:left w:w="113" w:type="dxa"/>
              <w:right w:w="113" w:type="dxa"/>
            </w:tcMar>
          </w:tcPr>
          <w:p w14:paraId="3FF99984" w14:textId="77777777"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E96B31">
              <w:rPr>
                <w:sz w:val="16"/>
                <w:szCs w:val="16"/>
              </w:rPr>
              <w:t>Age pension, single</w:t>
            </w:r>
          </w:p>
        </w:tc>
        <w:tc>
          <w:tcPr>
            <w:tcW w:w="944" w:type="dxa"/>
            <w:tcMar>
              <w:left w:w="113" w:type="dxa"/>
              <w:right w:w="113" w:type="dxa"/>
            </w:tcMar>
          </w:tcPr>
          <w:p w14:paraId="65833C43" w14:textId="67841B75"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r w:rsidR="00426800" w:rsidRPr="00E96B31">
              <w:rPr>
                <w:sz w:val="16"/>
                <w:szCs w:val="16"/>
              </w:rPr>
              <w:t>850.40</w:t>
            </w:r>
          </w:p>
        </w:tc>
        <w:tc>
          <w:tcPr>
            <w:tcW w:w="944" w:type="dxa"/>
            <w:tcMar>
              <w:left w:w="113" w:type="dxa"/>
              <w:right w:w="113" w:type="dxa"/>
            </w:tcMar>
          </w:tcPr>
          <w:p w14:paraId="76ABB1F9" w14:textId="7A59F11F"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r w:rsidR="00426800" w:rsidRPr="00E96B31">
              <w:rPr>
                <w:sz w:val="16"/>
                <w:szCs w:val="16"/>
              </w:rPr>
              <w:t>68.90</w:t>
            </w:r>
          </w:p>
        </w:tc>
        <w:tc>
          <w:tcPr>
            <w:tcW w:w="944" w:type="dxa"/>
            <w:tcMar>
              <w:left w:w="113" w:type="dxa"/>
              <w:right w:w="113" w:type="dxa"/>
            </w:tcMar>
          </w:tcPr>
          <w:p w14:paraId="33D7A348" w14:textId="3199F508"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r w:rsidR="00E96B31" w:rsidRPr="00E96B31">
              <w:rPr>
                <w:sz w:val="16"/>
                <w:szCs w:val="16"/>
              </w:rPr>
              <w:t>14.10</w:t>
            </w:r>
          </w:p>
        </w:tc>
        <w:tc>
          <w:tcPr>
            <w:tcW w:w="943" w:type="dxa"/>
            <w:tcMar>
              <w:left w:w="113" w:type="dxa"/>
              <w:right w:w="113" w:type="dxa"/>
            </w:tcMar>
          </w:tcPr>
          <w:p w14:paraId="729FC484" w14:textId="77777777"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p>
        </w:tc>
        <w:tc>
          <w:tcPr>
            <w:tcW w:w="944" w:type="dxa"/>
            <w:tcMar>
              <w:left w:w="113" w:type="dxa"/>
              <w:right w:w="113" w:type="dxa"/>
            </w:tcMar>
          </w:tcPr>
          <w:p w14:paraId="7642E11A" w14:textId="77777777"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p>
        </w:tc>
        <w:tc>
          <w:tcPr>
            <w:tcW w:w="944" w:type="dxa"/>
            <w:tcMar>
              <w:left w:w="113" w:type="dxa"/>
              <w:right w:w="113" w:type="dxa"/>
            </w:tcMar>
          </w:tcPr>
          <w:p w14:paraId="7EC2AB09" w14:textId="77777777"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p>
        </w:tc>
        <w:tc>
          <w:tcPr>
            <w:tcW w:w="944" w:type="dxa"/>
            <w:tcMar>
              <w:left w:w="113" w:type="dxa"/>
              <w:right w:w="113" w:type="dxa"/>
            </w:tcMar>
          </w:tcPr>
          <w:p w14:paraId="0D287D92" w14:textId="77777777"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p>
        </w:tc>
        <w:tc>
          <w:tcPr>
            <w:tcW w:w="944" w:type="dxa"/>
            <w:tcMar>
              <w:left w:w="113" w:type="dxa"/>
              <w:right w:w="113" w:type="dxa"/>
            </w:tcMar>
          </w:tcPr>
          <w:p w14:paraId="656602E8" w14:textId="2EDB640C" w:rsidR="00DD509D" w:rsidRPr="00E96B31"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w:t>
            </w:r>
            <w:r w:rsidR="00E96B31" w:rsidRPr="00E96B31">
              <w:rPr>
                <w:sz w:val="16"/>
                <w:szCs w:val="16"/>
              </w:rPr>
              <w:t>933.40</w:t>
            </w:r>
          </w:p>
        </w:tc>
        <w:tc>
          <w:tcPr>
            <w:tcW w:w="944" w:type="dxa"/>
          </w:tcPr>
          <w:p w14:paraId="3D0109D2" w14:textId="681CAB10" w:rsidR="00DD509D" w:rsidRPr="00E96B31" w:rsidRDefault="00E96B31"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96B31">
              <w:rPr>
                <w:sz w:val="16"/>
                <w:szCs w:val="16"/>
              </w:rPr>
              <w:t>$466.70</w:t>
            </w:r>
          </w:p>
        </w:tc>
      </w:tr>
      <w:tr w:rsidR="00DD509D" w:rsidRPr="009F4260" w14:paraId="5549E245" w14:textId="44720741" w:rsidTr="00DD509D">
        <w:tc>
          <w:tcPr>
            <w:tcW w:w="943" w:type="dxa"/>
            <w:tcMar>
              <w:left w:w="113" w:type="dxa"/>
              <w:right w:w="113" w:type="dxa"/>
            </w:tcMar>
          </w:tcPr>
          <w:p w14:paraId="7C5CD5A4" w14:textId="77777777"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D46B12">
              <w:rPr>
                <w:sz w:val="16"/>
                <w:szCs w:val="16"/>
              </w:rPr>
              <w:t>Newstart, single, no children</w:t>
            </w:r>
          </w:p>
        </w:tc>
        <w:tc>
          <w:tcPr>
            <w:tcW w:w="944" w:type="dxa"/>
            <w:tcMar>
              <w:left w:w="113" w:type="dxa"/>
              <w:right w:w="113" w:type="dxa"/>
            </w:tcMar>
          </w:tcPr>
          <w:p w14:paraId="107CDDC8" w14:textId="566CC62D"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r w:rsidR="008D42C5" w:rsidRPr="00D46B12">
              <w:rPr>
                <w:sz w:val="16"/>
                <w:szCs w:val="16"/>
              </w:rPr>
              <w:t>559.00</w:t>
            </w:r>
          </w:p>
        </w:tc>
        <w:tc>
          <w:tcPr>
            <w:tcW w:w="944" w:type="dxa"/>
            <w:tcMar>
              <w:left w:w="113" w:type="dxa"/>
              <w:right w:w="113" w:type="dxa"/>
            </w:tcMar>
          </w:tcPr>
          <w:p w14:paraId="2154F609" w14:textId="77777777"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p>
        </w:tc>
        <w:tc>
          <w:tcPr>
            <w:tcW w:w="944" w:type="dxa"/>
            <w:tcMar>
              <w:left w:w="113" w:type="dxa"/>
              <w:right w:w="113" w:type="dxa"/>
            </w:tcMar>
          </w:tcPr>
          <w:p w14:paraId="536F6978" w14:textId="5317E303"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r w:rsidR="008D42C5" w:rsidRPr="00D46B12">
              <w:rPr>
                <w:sz w:val="16"/>
                <w:szCs w:val="16"/>
              </w:rPr>
              <w:t>8.80</w:t>
            </w:r>
          </w:p>
        </w:tc>
        <w:tc>
          <w:tcPr>
            <w:tcW w:w="943" w:type="dxa"/>
            <w:tcMar>
              <w:left w:w="113" w:type="dxa"/>
              <w:right w:w="113" w:type="dxa"/>
            </w:tcMar>
          </w:tcPr>
          <w:p w14:paraId="742E1541" w14:textId="77777777"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p>
        </w:tc>
        <w:tc>
          <w:tcPr>
            <w:tcW w:w="944" w:type="dxa"/>
            <w:tcMar>
              <w:left w:w="113" w:type="dxa"/>
              <w:right w:w="113" w:type="dxa"/>
            </w:tcMar>
          </w:tcPr>
          <w:p w14:paraId="26F257B3" w14:textId="77777777"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p>
        </w:tc>
        <w:tc>
          <w:tcPr>
            <w:tcW w:w="944" w:type="dxa"/>
            <w:tcMar>
              <w:left w:w="113" w:type="dxa"/>
              <w:right w:w="113" w:type="dxa"/>
            </w:tcMar>
          </w:tcPr>
          <w:p w14:paraId="3A1B35E2" w14:textId="77777777"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p>
        </w:tc>
        <w:tc>
          <w:tcPr>
            <w:tcW w:w="944" w:type="dxa"/>
            <w:tcMar>
              <w:left w:w="113" w:type="dxa"/>
              <w:right w:w="113" w:type="dxa"/>
            </w:tcMar>
          </w:tcPr>
          <w:p w14:paraId="40EF005C" w14:textId="77777777"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p>
        </w:tc>
        <w:tc>
          <w:tcPr>
            <w:tcW w:w="944" w:type="dxa"/>
            <w:tcMar>
              <w:left w:w="113" w:type="dxa"/>
              <w:right w:w="113" w:type="dxa"/>
            </w:tcMar>
          </w:tcPr>
          <w:p w14:paraId="2BED9A6C" w14:textId="14EC94DF" w:rsidR="00DD509D" w:rsidRPr="00D46B12"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w:t>
            </w:r>
            <w:r w:rsidR="00D46B12" w:rsidRPr="00D46B12">
              <w:rPr>
                <w:sz w:val="16"/>
                <w:szCs w:val="16"/>
              </w:rPr>
              <w:t>567.80</w:t>
            </w:r>
          </w:p>
        </w:tc>
        <w:tc>
          <w:tcPr>
            <w:tcW w:w="944" w:type="dxa"/>
          </w:tcPr>
          <w:p w14:paraId="658D1B8F" w14:textId="5CBB34FC" w:rsidR="00DD509D" w:rsidRPr="00D46B12" w:rsidRDefault="00D46B12"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46B12">
              <w:rPr>
                <w:sz w:val="16"/>
                <w:szCs w:val="16"/>
              </w:rPr>
              <w:t>$283.90</w:t>
            </w:r>
          </w:p>
        </w:tc>
      </w:tr>
      <w:tr w:rsidR="00DD509D" w:rsidRPr="009F4260" w14:paraId="0A32399A" w14:textId="3B08B549" w:rsidTr="00DD509D">
        <w:tc>
          <w:tcPr>
            <w:tcW w:w="943" w:type="dxa"/>
            <w:tcMar>
              <w:left w:w="113" w:type="dxa"/>
              <w:right w:w="113" w:type="dxa"/>
            </w:tcMar>
          </w:tcPr>
          <w:p w14:paraId="0E7A6462" w14:textId="77777777"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556E0C">
              <w:rPr>
                <w:sz w:val="16"/>
                <w:szCs w:val="16"/>
              </w:rPr>
              <w:t>Newstart, single, 2 children</w:t>
            </w:r>
          </w:p>
        </w:tc>
        <w:tc>
          <w:tcPr>
            <w:tcW w:w="944" w:type="dxa"/>
            <w:tcMar>
              <w:left w:w="113" w:type="dxa"/>
              <w:right w:w="113" w:type="dxa"/>
            </w:tcMar>
          </w:tcPr>
          <w:p w14:paraId="0869CBFC" w14:textId="1CCFEE12"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2945D3" w:rsidRPr="00556E0C">
              <w:rPr>
                <w:sz w:val="16"/>
                <w:szCs w:val="16"/>
              </w:rPr>
              <w:t>604.70</w:t>
            </w:r>
          </w:p>
        </w:tc>
        <w:tc>
          <w:tcPr>
            <w:tcW w:w="944" w:type="dxa"/>
            <w:tcMar>
              <w:left w:w="113" w:type="dxa"/>
              <w:right w:w="113" w:type="dxa"/>
            </w:tcMar>
          </w:tcPr>
          <w:p w14:paraId="5DC347DB" w14:textId="77777777"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p>
        </w:tc>
        <w:tc>
          <w:tcPr>
            <w:tcW w:w="944" w:type="dxa"/>
            <w:tcMar>
              <w:left w:w="113" w:type="dxa"/>
              <w:right w:w="113" w:type="dxa"/>
            </w:tcMar>
          </w:tcPr>
          <w:p w14:paraId="27A87713" w14:textId="5C96B5F9"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2945D3" w:rsidRPr="00556E0C">
              <w:rPr>
                <w:sz w:val="16"/>
                <w:szCs w:val="16"/>
              </w:rPr>
              <w:t>9.50</w:t>
            </w:r>
          </w:p>
        </w:tc>
        <w:tc>
          <w:tcPr>
            <w:tcW w:w="943" w:type="dxa"/>
            <w:tcMar>
              <w:left w:w="113" w:type="dxa"/>
              <w:right w:w="113" w:type="dxa"/>
            </w:tcMar>
          </w:tcPr>
          <w:p w14:paraId="04ECD791" w14:textId="49C66ED5"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086976" w:rsidRPr="00556E0C">
              <w:rPr>
                <w:sz w:val="16"/>
                <w:szCs w:val="16"/>
              </w:rPr>
              <w:t>186.20</w:t>
            </w:r>
          </w:p>
        </w:tc>
        <w:tc>
          <w:tcPr>
            <w:tcW w:w="944" w:type="dxa"/>
            <w:tcMar>
              <w:left w:w="113" w:type="dxa"/>
              <w:right w:w="113" w:type="dxa"/>
            </w:tcMar>
          </w:tcPr>
          <w:p w14:paraId="0D1689FB" w14:textId="15DC917F"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086976" w:rsidRPr="00556E0C">
              <w:rPr>
                <w:sz w:val="16"/>
                <w:szCs w:val="16"/>
              </w:rPr>
              <w:t>242.20</w:t>
            </w:r>
          </w:p>
        </w:tc>
        <w:tc>
          <w:tcPr>
            <w:tcW w:w="944" w:type="dxa"/>
            <w:tcMar>
              <w:left w:w="113" w:type="dxa"/>
              <w:right w:w="113" w:type="dxa"/>
            </w:tcMar>
          </w:tcPr>
          <w:p w14:paraId="34B80D6B" w14:textId="4891A10F"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086976" w:rsidRPr="00556E0C">
              <w:rPr>
                <w:sz w:val="16"/>
                <w:szCs w:val="16"/>
              </w:rPr>
              <w:t>110.60</w:t>
            </w:r>
          </w:p>
        </w:tc>
        <w:tc>
          <w:tcPr>
            <w:tcW w:w="944" w:type="dxa"/>
            <w:tcMar>
              <w:left w:w="113" w:type="dxa"/>
              <w:right w:w="113" w:type="dxa"/>
            </w:tcMar>
          </w:tcPr>
          <w:p w14:paraId="13E7944C" w14:textId="7B7B69AA"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826CAA" w:rsidRPr="00556E0C">
              <w:rPr>
                <w:sz w:val="16"/>
                <w:szCs w:val="16"/>
              </w:rPr>
              <w:t>6.20</w:t>
            </w:r>
          </w:p>
        </w:tc>
        <w:tc>
          <w:tcPr>
            <w:tcW w:w="944" w:type="dxa"/>
            <w:tcMar>
              <w:left w:w="113" w:type="dxa"/>
              <w:right w:w="113" w:type="dxa"/>
            </w:tcMar>
          </w:tcPr>
          <w:p w14:paraId="3630D398" w14:textId="32BF99C8" w:rsidR="00DD509D" w:rsidRPr="00556E0C"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w:t>
            </w:r>
            <w:r w:rsidR="00826CAA" w:rsidRPr="00556E0C">
              <w:rPr>
                <w:sz w:val="16"/>
                <w:szCs w:val="16"/>
              </w:rPr>
              <w:t>1159.40</w:t>
            </w:r>
          </w:p>
        </w:tc>
        <w:tc>
          <w:tcPr>
            <w:tcW w:w="944" w:type="dxa"/>
          </w:tcPr>
          <w:p w14:paraId="581F9553" w14:textId="48319F78" w:rsidR="00DD509D" w:rsidRPr="00556E0C" w:rsidRDefault="00556E0C"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556E0C">
              <w:rPr>
                <w:sz w:val="16"/>
                <w:szCs w:val="16"/>
              </w:rPr>
              <w:t>$579.70</w:t>
            </w:r>
          </w:p>
        </w:tc>
      </w:tr>
      <w:tr w:rsidR="00DD509D" w:rsidRPr="009F4260" w14:paraId="51402205" w14:textId="17247F5E" w:rsidTr="00DD509D">
        <w:tc>
          <w:tcPr>
            <w:tcW w:w="943" w:type="dxa"/>
            <w:tcMar>
              <w:left w:w="113" w:type="dxa"/>
              <w:right w:w="113" w:type="dxa"/>
            </w:tcMar>
          </w:tcPr>
          <w:p w14:paraId="43D87215"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EC477D">
              <w:rPr>
                <w:sz w:val="16"/>
                <w:szCs w:val="16"/>
              </w:rPr>
              <w:t>Youth Allowance, single, no children</w:t>
            </w:r>
          </w:p>
        </w:tc>
        <w:tc>
          <w:tcPr>
            <w:tcW w:w="944" w:type="dxa"/>
            <w:tcMar>
              <w:left w:w="113" w:type="dxa"/>
              <w:right w:w="113" w:type="dxa"/>
            </w:tcMar>
          </w:tcPr>
          <w:p w14:paraId="619D5EC0" w14:textId="4A00A3A5"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r w:rsidR="00A86041" w:rsidRPr="00EC477D">
              <w:rPr>
                <w:sz w:val="16"/>
                <w:szCs w:val="16"/>
              </w:rPr>
              <w:t>455.20</w:t>
            </w:r>
          </w:p>
        </w:tc>
        <w:tc>
          <w:tcPr>
            <w:tcW w:w="944" w:type="dxa"/>
            <w:tcMar>
              <w:left w:w="113" w:type="dxa"/>
              <w:right w:w="113" w:type="dxa"/>
            </w:tcMar>
          </w:tcPr>
          <w:p w14:paraId="6D48E4C2"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p>
        </w:tc>
        <w:tc>
          <w:tcPr>
            <w:tcW w:w="944" w:type="dxa"/>
            <w:tcMar>
              <w:left w:w="113" w:type="dxa"/>
              <w:right w:w="113" w:type="dxa"/>
            </w:tcMar>
          </w:tcPr>
          <w:p w14:paraId="207CCDBB" w14:textId="09818CBB"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r w:rsidR="00A86041" w:rsidRPr="00EC477D">
              <w:rPr>
                <w:sz w:val="16"/>
                <w:szCs w:val="16"/>
              </w:rPr>
              <w:t>7.00</w:t>
            </w:r>
          </w:p>
        </w:tc>
        <w:tc>
          <w:tcPr>
            <w:tcW w:w="943" w:type="dxa"/>
            <w:tcMar>
              <w:left w:w="113" w:type="dxa"/>
              <w:right w:w="113" w:type="dxa"/>
            </w:tcMar>
          </w:tcPr>
          <w:p w14:paraId="6EED3E18"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p>
        </w:tc>
        <w:tc>
          <w:tcPr>
            <w:tcW w:w="944" w:type="dxa"/>
            <w:tcMar>
              <w:left w:w="113" w:type="dxa"/>
              <w:right w:w="113" w:type="dxa"/>
            </w:tcMar>
          </w:tcPr>
          <w:p w14:paraId="1E7423A5"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p>
        </w:tc>
        <w:tc>
          <w:tcPr>
            <w:tcW w:w="944" w:type="dxa"/>
            <w:tcMar>
              <w:left w:w="113" w:type="dxa"/>
              <w:right w:w="113" w:type="dxa"/>
            </w:tcMar>
          </w:tcPr>
          <w:p w14:paraId="68882D68"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p>
        </w:tc>
        <w:tc>
          <w:tcPr>
            <w:tcW w:w="944" w:type="dxa"/>
            <w:tcMar>
              <w:left w:w="113" w:type="dxa"/>
              <w:right w:w="113" w:type="dxa"/>
            </w:tcMar>
          </w:tcPr>
          <w:p w14:paraId="4B42DF06" w14:textId="77777777"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p>
        </w:tc>
        <w:tc>
          <w:tcPr>
            <w:tcW w:w="944" w:type="dxa"/>
            <w:tcMar>
              <w:left w:w="113" w:type="dxa"/>
              <w:right w:w="113" w:type="dxa"/>
            </w:tcMar>
          </w:tcPr>
          <w:p w14:paraId="5F72C6C3" w14:textId="589C915D" w:rsidR="00DD509D" w:rsidRPr="00EC477D" w:rsidRDefault="00DD509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w:t>
            </w:r>
            <w:r w:rsidR="00A86041" w:rsidRPr="00EC477D">
              <w:rPr>
                <w:sz w:val="16"/>
                <w:szCs w:val="16"/>
              </w:rPr>
              <w:t>462.20</w:t>
            </w:r>
          </w:p>
        </w:tc>
        <w:tc>
          <w:tcPr>
            <w:tcW w:w="944" w:type="dxa"/>
          </w:tcPr>
          <w:p w14:paraId="6E36FCE2" w14:textId="38EF8A62" w:rsidR="00DD509D" w:rsidRPr="00EC477D" w:rsidRDefault="00EC477D"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EC477D">
              <w:rPr>
                <w:sz w:val="16"/>
                <w:szCs w:val="16"/>
              </w:rPr>
              <w:t>$231.10</w:t>
            </w:r>
          </w:p>
        </w:tc>
      </w:tr>
    </w:tbl>
    <w:p w14:paraId="24660B56" w14:textId="566FEEB1" w:rsidR="009F4260" w:rsidRPr="009F4260" w:rsidRDefault="009F4260" w:rsidP="009F4260">
      <w:pPr>
        <w:spacing w:before="80" w:after="280"/>
        <w:rPr>
          <w:sz w:val="18"/>
          <w:szCs w:val="20"/>
        </w:rPr>
      </w:pPr>
      <w:r w:rsidRPr="009F4260">
        <w:rPr>
          <w:sz w:val="18"/>
          <w:szCs w:val="20"/>
        </w:rPr>
        <w:t xml:space="preserve">Source: Centrelink, </w:t>
      </w:r>
      <w:r w:rsidRPr="009F4260">
        <w:rPr>
          <w:i/>
          <w:iCs/>
          <w:sz w:val="18"/>
          <w:szCs w:val="20"/>
        </w:rPr>
        <w:t>A guide to Australian Government payments 20 September-31 December 201</w:t>
      </w:r>
      <w:r w:rsidR="00C84CF5">
        <w:rPr>
          <w:i/>
          <w:iCs/>
          <w:sz w:val="18"/>
          <w:szCs w:val="20"/>
        </w:rPr>
        <w:t>9</w:t>
      </w:r>
      <w:r w:rsidRPr="009F4260">
        <w:rPr>
          <w:sz w:val="18"/>
          <w:szCs w:val="20"/>
        </w:rPr>
        <w:t>, Canberra, 2018.</w:t>
      </w:r>
    </w:p>
    <w:p w14:paraId="79CD9CD5" w14:textId="77777777" w:rsidR="009F4260" w:rsidRPr="009F4260" w:rsidRDefault="009F4260" w:rsidP="000F20C9">
      <w:pPr>
        <w:pStyle w:val="Heading2"/>
      </w:pPr>
      <w:bookmarkStart w:id="30" w:name="_Toc7787740"/>
      <w:bookmarkStart w:id="31" w:name="_Toc51050152"/>
      <w:r w:rsidRPr="009F4260">
        <w:t>How Pension rates are adjusted</w:t>
      </w:r>
      <w:bookmarkEnd w:id="30"/>
      <w:bookmarkEnd w:id="31"/>
    </w:p>
    <w:p w14:paraId="6006993A"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F4260">
        <w:t>The following explanation of pension indexation has been extracted from a guide produced by the Parliamentary Library:</w:t>
      </w:r>
    </w:p>
    <w:p w14:paraId="78313E07"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r w:rsidRPr="009F4260">
        <w:rPr>
          <w:sz w:val="22"/>
        </w:rPr>
        <w:t xml:space="preserve">Currently, pensions (including the Age Pension, Service Pension, Disability Support Pension and Carer Payment) are </w:t>
      </w:r>
      <w:hyperlink r:id="rId28" w:history="1">
        <w:r w:rsidRPr="009F4260">
          <w:rPr>
            <w:color w:val="0000FF"/>
            <w:sz w:val="22"/>
            <w:u w:val="single"/>
          </w:rPr>
          <w:t>indexed twice each year</w:t>
        </w:r>
      </w:hyperlink>
      <w:r w:rsidRPr="009F4260">
        <w:rPr>
          <w:sz w:val="22"/>
        </w:rPr>
        <w:t xml:space="preserve"> by the </w:t>
      </w:r>
      <w:r w:rsidRPr="009F4260">
        <w:rPr>
          <w:sz w:val="22"/>
        </w:rPr>
        <w:lastRenderedPageBreak/>
        <w:t xml:space="preserve">greater of the movement in the </w:t>
      </w:r>
      <w:hyperlink r:id="rId29" w:history="1">
        <w:r w:rsidRPr="009F4260">
          <w:rPr>
            <w:color w:val="0000FF"/>
            <w:sz w:val="22"/>
            <w:u w:val="single"/>
          </w:rPr>
          <w:t>Consumer Price Index</w:t>
        </w:r>
      </w:hyperlink>
      <w:r w:rsidRPr="009F4260">
        <w:rPr>
          <w:sz w:val="22"/>
        </w:rPr>
        <w:t xml:space="preserve"> (CPI) or the </w:t>
      </w:r>
      <w:hyperlink r:id="rId30" w:history="1">
        <w:r w:rsidRPr="009F4260">
          <w:rPr>
            <w:color w:val="0000FF"/>
            <w:sz w:val="22"/>
            <w:u w:val="single"/>
          </w:rPr>
          <w:t>Pensioner and Beneficiary Living Cost Index</w:t>
        </w:r>
      </w:hyperlink>
      <w:r w:rsidRPr="009F4260">
        <w:rPr>
          <w:sz w:val="22"/>
        </w:rPr>
        <w:t xml:space="preserve"> (PBLCI). They are then ‘benchmarked’ against a percentage of </w:t>
      </w:r>
      <w:hyperlink r:id="rId31" w:history="1">
        <w:r w:rsidRPr="009F4260">
          <w:rPr>
            <w:color w:val="0000FF"/>
            <w:sz w:val="22"/>
            <w:u w:val="single"/>
          </w:rPr>
          <w:t>Male Total Average Weekly Earnings</w:t>
        </w:r>
      </w:hyperlink>
      <w:r w:rsidRPr="009F4260">
        <w:rPr>
          <w:sz w:val="22"/>
        </w:rPr>
        <w:t xml:space="preserve"> (MTAWE). The combined couple rate is benchmarked to 41.76% of MTAWE; the single rate of pension is set at 66.33% of the combined couple rate (which is equal to around 27.7% of MTAWE). ‘Benchmarked’ means that after it has been indexed, the combined couple rate is checked to see whether it is equal to or higher than 41.76% of MTAWE. If the rate is lower than this percentage, the rates are increased to the appropriate benchmark level.</w:t>
      </w:r>
    </w:p>
    <w:p w14:paraId="14258B55" w14:textId="77777777" w:rsidR="009F4260" w:rsidRPr="009F4260" w:rsidRDefault="009F4260" w:rsidP="009F42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r w:rsidRPr="009F4260">
        <w:rPr>
          <w:sz w:val="22"/>
        </w:rPr>
        <w:t>The CPI is a measure of changes in the prices paid by households for a fixed basket of goods and services. Indexing pension rates to CPI maintains the real value of pensions over time. The PBLCI measures the effect of changes in prices of the out-of-pocket living expenses experienced by age pensioner and other households whose main source of income is a government payment. The PBLCI is designed to check whether their disposable incomes have kept pace with price changes. The MTAWE benchmark is not intended to maintain the value of the pension relative to costs; it is seen as ensuring pensioners maintain a certain standard of living, relative to the rest of the population.</w:t>
      </w:r>
      <w:r w:rsidRPr="009F4260">
        <w:rPr>
          <w:vertAlign w:val="superscript"/>
        </w:rPr>
        <w:footnoteReference w:id="93"/>
      </w:r>
    </w:p>
    <w:p w14:paraId="48C3B4F8" w14:textId="77777777" w:rsidR="009F4260" w:rsidRPr="009F4260" w:rsidRDefault="009F4260" w:rsidP="009F4260">
      <w:pPr>
        <w:pStyle w:val="BodyText"/>
      </w:pPr>
    </w:p>
    <w:p w14:paraId="3FCE8FBB" w14:textId="77777777" w:rsidR="003F3AC3" w:rsidRPr="00CA7855" w:rsidRDefault="003F3AC3" w:rsidP="003F3AC3">
      <w:pPr>
        <w:pStyle w:val="BodyText"/>
      </w:pPr>
    </w:p>
    <w:sectPr w:rsidR="003F3AC3" w:rsidRPr="00CA7855" w:rsidSect="002C4E3A">
      <w:headerReference w:type="even" r:id="rId32"/>
      <w:headerReference w:type="default" r:id="rId33"/>
      <w:footerReference w:type="even" r:id="rId34"/>
      <w:footerReference w:type="default" r:id="rId35"/>
      <w:headerReference w:type="first" r:id="rId36"/>
      <w:footerReference w:type="first" r:id="rId3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914E" w14:textId="77777777" w:rsidR="00257A97" w:rsidRDefault="00257A97">
      <w:r>
        <w:separator/>
      </w:r>
    </w:p>
  </w:endnote>
  <w:endnote w:type="continuationSeparator" w:id="0">
    <w:p w14:paraId="5716DDF5" w14:textId="77777777" w:rsidR="00257A97" w:rsidRDefault="00257A97">
      <w:r>
        <w:continuationSeparator/>
      </w:r>
    </w:p>
  </w:endnote>
  <w:endnote w:type="continuationNotice" w:id="1">
    <w:p w14:paraId="7D771BF4" w14:textId="77777777" w:rsidR="00257A97" w:rsidRDefault="0025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0D0E21" w:rsidRDefault="000D0E21"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0D0E21" w:rsidRDefault="000D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0D0E21" w:rsidRDefault="000D0E21"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0EA0A0" w14:textId="77777777" w:rsidR="000D0E21" w:rsidRDefault="000D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84CE" w14:textId="77777777" w:rsidR="000D0E21" w:rsidRDefault="000D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AA40" w14:textId="77777777" w:rsidR="00257A97" w:rsidRDefault="00257A97">
      <w:r>
        <w:separator/>
      </w:r>
    </w:p>
  </w:footnote>
  <w:footnote w:type="continuationSeparator" w:id="0">
    <w:p w14:paraId="24242614" w14:textId="77777777" w:rsidR="00257A97" w:rsidRDefault="00257A97">
      <w:r>
        <w:continuationSeparator/>
      </w:r>
    </w:p>
  </w:footnote>
  <w:footnote w:type="continuationNotice" w:id="1">
    <w:p w14:paraId="2EA72F80" w14:textId="77777777" w:rsidR="00257A97" w:rsidRDefault="00257A97"/>
  </w:footnote>
  <w:footnote w:id="2">
    <w:p w14:paraId="7D274A45" w14:textId="4D36F0B5" w:rsidR="000D0E21" w:rsidRPr="000971A9" w:rsidRDefault="000D0E21" w:rsidP="009C5A13">
      <w:pPr>
        <w:pStyle w:val="FootnoteText"/>
        <w:rPr>
          <w:lang w:val="en-US"/>
        </w:rPr>
      </w:pPr>
      <w:r w:rsidRPr="00FB634E">
        <w:footnoteRef/>
      </w:r>
      <w:r w:rsidRPr="00FB634E">
        <w:t xml:space="preserve"> </w:t>
      </w:r>
      <w:r>
        <w:tab/>
        <w:t xml:space="preserve">R Tanton, R Miranti </w:t>
      </w:r>
      <w:r w:rsidR="00A95C5D">
        <w:t>and</w:t>
      </w:r>
      <w:r>
        <w:t xml:space="preserve"> Y Vidyattama, </w:t>
      </w:r>
      <w:r w:rsidRPr="00E77345">
        <w:rPr>
          <w:i/>
        </w:rPr>
        <w:t>Hidden disadvantage in the ACT: report for ACT Anti-Poverty Week</w:t>
      </w:r>
      <w:r>
        <w:t>, NATSEM, University of Canberra, Canberra, October 2017, viewed 1 April 2019, &lt;</w:t>
      </w:r>
      <w:hyperlink r:id="rId1" w:history="1">
        <w:r w:rsidRPr="00D91CFE">
          <w:rPr>
            <w:rStyle w:val="Hyperlink"/>
          </w:rPr>
          <w:t>https://www.actcoss.org.au/publications/advocacy-publications/hidden-disadvantage-act-report-anti-poverty-week-2017</w:t>
        </w:r>
      </w:hyperlink>
      <w:r>
        <w:t>&gt;.</w:t>
      </w:r>
    </w:p>
  </w:footnote>
  <w:footnote w:id="3">
    <w:p w14:paraId="67592EC7" w14:textId="77777777" w:rsidR="000D0E21" w:rsidRPr="000F6628" w:rsidRDefault="000D0E21" w:rsidP="009C5A13">
      <w:pPr>
        <w:pStyle w:val="FootnoteText"/>
      </w:pPr>
      <w:r w:rsidRPr="000F6628">
        <w:footnoteRef/>
      </w:r>
      <w:r w:rsidRPr="000F6628">
        <w:t xml:space="preserve"> </w:t>
      </w:r>
      <w:r>
        <w:tab/>
        <w:t>ibid.</w:t>
      </w:r>
    </w:p>
  </w:footnote>
  <w:footnote w:id="4">
    <w:p w14:paraId="63646FEB" w14:textId="77777777" w:rsidR="000D0E21" w:rsidRPr="0082655A" w:rsidRDefault="000D0E21" w:rsidP="009C5A13">
      <w:pPr>
        <w:pStyle w:val="FootnoteText"/>
        <w:rPr>
          <w:lang w:val="en-US"/>
        </w:rPr>
      </w:pPr>
      <w:r w:rsidRPr="003216DB">
        <w:footnoteRef/>
      </w:r>
      <w:r w:rsidRPr="003216DB">
        <w:t xml:space="preserve"> </w:t>
      </w:r>
      <w:r>
        <w:tab/>
      </w:r>
      <w:r>
        <w:rPr>
          <w:lang w:val="en-US"/>
        </w:rPr>
        <w:t xml:space="preserve">E Davidson, </w:t>
      </w:r>
      <w:r w:rsidRPr="003A17F2">
        <w:rPr>
          <w:i/>
          <w:lang w:val="en-US"/>
        </w:rPr>
        <w:t>Hidden disadvantage among women in the ACT</w:t>
      </w:r>
      <w:r>
        <w:rPr>
          <w:lang w:val="en-US"/>
        </w:rPr>
        <w:t>, Women’s Centre for Health Matters, Canberra, June 2018, viewed 1 April 2019, &lt;</w:t>
      </w:r>
      <w:hyperlink r:id="rId2" w:history="1">
        <w:r w:rsidRPr="003216DB">
          <w:rPr>
            <w:rStyle w:val="Hyperlink"/>
            <w:lang w:val="en-US"/>
          </w:rPr>
          <w:t>http://www.wchm.org.au/wp-content/uploads/2018/06/Hidden-disadvantage-among-women-in-the-ACT-final.pdf</w:t>
        </w:r>
      </w:hyperlink>
      <w:r>
        <w:rPr>
          <w:lang w:val="en-US"/>
        </w:rPr>
        <w:t xml:space="preserve">&gt;; ACTCOSS unpublished analysis of ABS 2016 Census of Population and Housing using </w:t>
      </w:r>
      <w:proofErr w:type="spellStart"/>
      <w:r>
        <w:rPr>
          <w:lang w:val="en-US"/>
        </w:rPr>
        <w:t>TableBuilder</w:t>
      </w:r>
      <w:proofErr w:type="spellEnd"/>
      <w:r>
        <w:rPr>
          <w:lang w:val="en-US"/>
        </w:rPr>
        <w:t>.</w:t>
      </w:r>
    </w:p>
  </w:footnote>
  <w:footnote w:id="5">
    <w:p w14:paraId="5C587FB3" w14:textId="7B2064D2" w:rsidR="000D0E21" w:rsidRPr="007A1420" w:rsidRDefault="000D0E21" w:rsidP="009663F1">
      <w:pPr>
        <w:pStyle w:val="FootnoteText"/>
        <w:rPr>
          <w:lang w:val="en-US"/>
        </w:rPr>
      </w:pPr>
      <w:r w:rsidRPr="000309B5">
        <w:footnoteRef/>
      </w:r>
      <w:r w:rsidRPr="000309B5">
        <w:t xml:space="preserve"> </w:t>
      </w:r>
      <w:r>
        <w:tab/>
      </w:r>
      <w:r>
        <w:rPr>
          <w:lang w:val="en-US"/>
        </w:rPr>
        <w:t xml:space="preserve">ACOSS </w:t>
      </w:r>
      <w:r w:rsidR="006E56BC">
        <w:rPr>
          <w:lang w:val="en-US"/>
        </w:rPr>
        <w:t>and</w:t>
      </w:r>
      <w:r>
        <w:rPr>
          <w:lang w:val="en-US"/>
        </w:rPr>
        <w:t xml:space="preserve"> UNSW, </w:t>
      </w:r>
      <w:r w:rsidRPr="00F109AC">
        <w:rPr>
          <w:i/>
          <w:lang w:val="en-US"/>
        </w:rPr>
        <w:t>Poverty and Inequality website</w:t>
      </w:r>
      <w:r>
        <w:rPr>
          <w:lang w:val="en-US"/>
        </w:rPr>
        <w:t>,</w:t>
      </w:r>
      <w:r w:rsidRPr="00776DEE">
        <w:t xml:space="preserve"> </w:t>
      </w:r>
      <w:r>
        <w:t xml:space="preserve">Data and figures, </w:t>
      </w:r>
      <w:r w:rsidRPr="00776DEE">
        <w:rPr>
          <w:lang w:val="en-US"/>
        </w:rPr>
        <w:t>Rate of poverty by state/territory of residence</w:t>
      </w:r>
      <w:r>
        <w:rPr>
          <w:lang w:val="en-US"/>
        </w:rPr>
        <w:t xml:space="preserve">, </w:t>
      </w:r>
      <w:r w:rsidR="00247B07">
        <w:rPr>
          <w:lang w:val="en-US"/>
        </w:rPr>
        <w:t>n.d., v</w:t>
      </w:r>
      <w:r>
        <w:rPr>
          <w:lang w:val="en-US"/>
        </w:rPr>
        <w:t>iewed 31 August 2020, &lt;</w:t>
      </w:r>
      <w:hyperlink r:id="rId3" w:history="1">
        <w:r w:rsidRPr="0042665F">
          <w:rPr>
            <w:rStyle w:val="Hyperlink"/>
            <w:lang w:val="en-US"/>
          </w:rPr>
          <w:t>http://povertyandinequality.acoss.org.au/poverty/rate-of-poverty-by-state-territory-of-residence-of-people/</w:t>
        </w:r>
      </w:hyperlink>
      <w:r>
        <w:rPr>
          <w:lang w:val="en-US"/>
        </w:rPr>
        <w:t>&gt;; P Davidson, email, 18 May 2020.</w:t>
      </w:r>
    </w:p>
  </w:footnote>
  <w:footnote w:id="6">
    <w:p w14:paraId="34A92EF8" w14:textId="205E4F5D" w:rsidR="000D0E21" w:rsidRPr="00304764" w:rsidRDefault="000D0E21" w:rsidP="001379B2">
      <w:pPr>
        <w:pStyle w:val="FootnoteText"/>
        <w:rPr>
          <w:lang w:val="en-US"/>
        </w:rPr>
      </w:pPr>
      <w:r w:rsidRPr="000309B5">
        <w:footnoteRef/>
      </w:r>
      <w:r w:rsidRPr="000309B5">
        <w:t xml:space="preserve"> </w:t>
      </w:r>
      <w:r>
        <w:tab/>
        <w:t xml:space="preserve">P </w:t>
      </w:r>
      <w:r w:rsidRPr="00857F27">
        <w:rPr>
          <w:lang w:val="en-US"/>
        </w:rPr>
        <w:t>Davidson,</w:t>
      </w:r>
      <w:r>
        <w:rPr>
          <w:lang w:val="en-US"/>
        </w:rPr>
        <w:t xml:space="preserve"> P</w:t>
      </w:r>
      <w:r w:rsidRPr="00857F27">
        <w:rPr>
          <w:lang w:val="en-US"/>
        </w:rPr>
        <w:t xml:space="preserve"> Saunders, </w:t>
      </w:r>
      <w:r>
        <w:rPr>
          <w:lang w:val="en-US"/>
        </w:rPr>
        <w:t xml:space="preserve">B </w:t>
      </w:r>
      <w:r w:rsidRPr="00857F27">
        <w:rPr>
          <w:lang w:val="en-US"/>
        </w:rPr>
        <w:t>Bradbury</w:t>
      </w:r>
      <w:r>
        <w:rPr>
          <w:lang w:val="en-US"/>
        </w:rPr>
        <w:t xml:space="preserve"> </w:t>
      </w:r>
      <w:r w:rsidRPr="00857F27">
        <w:rPr>
          <w:lang w:val="en-US"/>
        </w:rPr>
        <w:t xml:space="preserve">and </w:t>
      </w:r>
      <w:r>
        <w:rPr>
          <w:lang w:val="en-US"/>
        </w:rPr>
        <w:t xml:space="preserve">M </w:t>
      </w:r>
      <w:r w:rsidRPr="00857F27">
        <w:rPr>
          <w:lang w:val="en-US"/>
        </w:rPr>
        <w:t xml:space="preserve">Wong, </w:t>
      </w:r>
      <w:r w:rsidRPr="00857F27">
        <w:rPr>
          <w:i/>
          <w:iCs/>
          <w:lang w:val="en-US"/>
        </w:rPr>
        <w:t>Poverty in Australia 2020: Part 1, Overview</w:t>
      </w:r>
      <w:r>
        <w:rPr>
          <w:lang w:val="en-US"/>
        </w:rPr>
        <w:t xml:space="preserve">. </w:t>
      </w:r>
      <w:r w:rsidRPr="00857F27">
        <w:rPr>
          <w:lang w:val="en-US"/>
        </w:rPr>
        <w:t>ACOSS/UNSW Poverty and Inequality Partnership Report No. 3</w:t>
      </w:r>
      <w:r>
        <w:rPr>
          <w:lang w:val="en-US"/>
        </w:rPr>
        <w:t xml:space="preserve">, </w:t>
      </w:r>
      <w:r w:rsidRPr="00857F27">
        <w:rPr>
          <w:lang w:val="en-US"/>
        </w:rPr>
        <w:t>ACOSS</w:t>
      </w:r>
      <w:r>
        <w:rPr>
          <w:lang w:val="en-US"/>
        </w:rPr>
        <w:t xml:space="preserve">, Sydney, </w:t>
      </w:r>
      <w:r w:rsidR="007C3F31">
        <w:rPr>
          <w:lang w:val="en-US"/>
        </w:rPr>
        <w:t xml:space="preserve">2020, </w:t>
      </w:r>
      <w:r>
        <w:rPr>
          <w:lang w:val="en-US"/>
        </w:rPr>
        <w:t>viewed 31 August 2020, &lt;</w:t>
      </w:r>
      <w:hyperlink r:id="rId4" w:history="1">
        <w:r w:rsidRPr="00FD62C6">
          <w:rPr>
            <w:rStyle w:val="Hyperlink"/>
          </w:rPr>
          <w:t>http://povertyandinequality.acoss.org.au/publication/poverty-in-australia-2020-part-1-overview/</w:t>
        </w:r>
      </w:hyperlink>
      <w:r>
        <w:rPr>
          <w:lang w:val="en-US"/>
        </w:rPr>
        <w:t xml:space="preserve">&gt;. </w:t>
      </w:r>
    </w:p>
  </w:footnote>
  <w:footnote w:id="7">
    <w:p w14:paraId="70279CB5" w14:textId="75D6465D" w:rsidR="00E91010" w:rsidRDefault="00E91010">
      <w:pPr>
        <w:pStyle w:val="FootnoteText"/>
      </w:pPr>
      <w:r w:rsidRPr="007C3F31">
        <w:footnoteRef/>
      </w:r>
      <w:r w:rsidRPr="007C3F31">
        <w:t xml:space="preserve"> </w:t>
      </w:r>
      <w:r w:rsidR="007C3F31">
        <w:tab/>
      </w:r>
      <w:r w:rsidR="00B26039">
        <w:t>ABS</w:t>
      </w:r>
      <w:r w:rsidR="00AE257A">
        <w:t xml:space="preserve">, </w:t>
      </w:r>
      <w:r w:rsidR="00AE257A" w:rsidRPr="002026D2">
        <w:rPr>
          <w:i/>
          <w:iCs/>
        </w:rPr>
        <w:t xml:space="preserve">6302.0 - Average Weekly Earnings, Australia, </w:t>
      </w:r>
      <w:r w:rsidR="00DB5F44" w:rsidRPr="002026D2">
        <w:rPr>
          <w:i/>
          <w:iCs/>
        </w:rPr>
        <w:t>May 2020</w:t>
      </w:r>
      <w:r w:rsidR="00AE257A">
        <w:t>, ABS, Canberra, 2020, viewed 14 September 2020, &lt;</w:t>
      </w:r>
      <w:hyperlink r:id="rId5" w:history="1">
        <w:r w:rsidR="00DB5F44" w:rsidRPr="00B26039">
          <w:rPr>
            <w:rStyle w:val="Hyperlink"/>
          </w:rPr>
          <w:t>https://www.abs.gov.au/AUSSTATS/abs@.nsf/allprimarymainfeatures/7F76D15354BB25D5CA2575BC001D5866?opendocument</w:t>
        </w:r>
      </w:hyperlink>
      <w:r w:rsidR="00DB5F44">
        <w:t>&gt;.</w:t>
      </w:r>
    </w:p>
  </w:footnote>
  <w:footnote w:id="8">
    <w:p w14:paraId="53464C3A" w14:textId="4D19AD94" w:rsidR="000D0E21" w:rsidRDefault="000D0E21">
      <w:pPr>
        <w:pStyle w:val="FootnoteText"/>
      </w:pPr>
      <w:r w:rsidRPr="00B67E25">
        <w:footnoteRef/>
      </w:r>
      <w:r w:rsidRPr="00B67E25">
        <w:t xml:space="preserve"> </w:t>
      </w:r>
      <w:r w:rsidR="00B67E25">
        <w:tab/>
      </w:r>
      <w:r>
        <w:t xml:space="preserve">P </w:t>
      </w:r>
      <w:r w:rsidRPr="00D92164">
        <w:t>Davidson</w:t>
      </w:r>
      <w:r>
        <w:t>, B</w:t>
      </w:r>
      <w:r w:rsidRPr="00D92164">
        <w:t xml:space="preserve"> Bradbury</w:t>
      </w:r>
      <w:r>
        <w:t xml:space="preserve"> </w:t>
      </w:r>
      <w:r w:rsidR="00B67E25">
        <w:t>and</w:t>
      </w:r>
      <w:r>
        <w:t xml:space="preserve"> M</w:t>
      </w:r>
      <w:r w:rsidRPr="00D92164">
        <w:t xml:space="preserve"> Wong</w:t>
      </w:r>
      <w:r>
        <w:t xml:space="preserve">, </w:t>
      </w:r>
      <w:r w:rsidRPr="00252A9D">
        <w:rPr>
          <w:i/>
          <w:iCs/>
        </w:rPr>
        <w:t>Poverty in Australia 2020: Part 2, Who is affected?</w:t>
      </w:r>
      <w:r>
        <w:t>,</w:t>
      </w:r>
      <w:r w:rsidRPr="00D92164">
        <w:t xml:space="preserve"> ACOSS/UNSW Poverty and Inequality Partnership Report No. 4, ACOSS</w:t>
      </w:r>
      <w:r>
        <w:t>, Sydney, 2020, p. 15, viewed 7 September 2020, &lt;</w:t>
      </w:r>
      <w:hyperlink r:id="rId6" w:history="1">
        <w:r w:rsidRPr="00B67E25">
          <w:rPr>
            <w:rStyle w:val="Hyperlink"/>
          </w:rPr>
          <w:t>http://povertyandinequality.acoss.org.au/wp-content/uploads/2020/05/Poverty-in-Australia-2020-Part-2-–-Who-is-affected_Final.pdf</w:t>
        </w:r>
      </w:hyperlink>
      <w:r>
        <w:t>&gt;.</w:t>
      </w:r>
    </w:p>
  </w:footnote>
  <w:footnote w:id="9">
    <w:p w14:paraId="2872DFDB" w14:textId="34BCD8E0" w:rsidR="000D0E21" w:rsidRPr="00B50A56" w:rsidRDefault="000D0E21" w:rsidP="00C654DA">
      <w:pPr>
        <w:pStyle w:val="FootnoteText"/>
        <w:rPr>
          <w:lang w:val="en-US"/>
        </w:rPr>
      </w:pPr>
      <w:r w:rsidRPr="00716957">
        <w:footnoteRef/>
      </w:r>
      <w:r w:rsidRPr="00716957">
        <w:t xml:space="preserve"> </w:t>
      </w:r>
      <w:r>
        <w:tab/>
      </w:r>
      <w:r>
        <w:rPr>
          <w:lang w:val="en-US"/>
        </w:rPr>
        <w:t xml:space="preserve">Department of Social Services, </w:t>
      </w:r>
      <w:r w:rsidRPr="00B645AF">
        <w:rPr>
          <w:i/>
          <w:lang w:val="en-US"/>
        </w:rPr>
        <w:t>DSS Demographics December 201</w:t>
      </w:r>
      <w:r>
        <w:rPr>
          <w:i/>
          <w:lang w:val="en-US"/>
        </w:rPr>
        <w:t>9</w:t>
      </w:r>
      <w:r>
        <w:rPr>
          <w:lang w:val="en-US"/>
        </w:rPr>
        <w:t>, DSS, Canberra, 2020, viewed 31 August 2020, &lt;</w:t>
      </w:r>
      <w:hyperlink r:id="rId7" w:history="1">
        <w:r w:rsidRPr="00716957">
          <w:rPr>
            <w:rStyle w:val="Hyperlink"/>
            <w:lang w:val="en-US"/>
          </w:rPr>
          <w:t>https://data.gov.au/dataset/ds-dga-cff2ae8a-55e4-47db-a66d-e177fe0ac6a0/details?q=dss</w:t>
        </w:r>
      </w:hyperlink>
      <w:r>
        <w:rPr>
          <w:lang w:val="en-US"/>
        </w:rPr>
        <w:t xml:space="preserve">&gt;. </w:t>
      </w:r>
    </w:p>
  </w:footnote>
  <w:footnote w:id="10">
    <w:p w14:paraId="17C642E4" w14:textId="7E24E7A1" w:rsidR="00D623B9" w:rsidRDefault="00D623B9">
      <w:pPr>
        <w:pStyle w:val="FootnoteText"/>
      </w:pPr>
      <w:r w:rsidRPr="008518C8">
        <w:footnoteRef/>
      </w:r>
      <w:r w:rsidRPr="008518C8">
        <w:t xml:space="preserve"> </w:t>
      </w:r>
      <w:r w:rsidR="008518C8">
        <w:tab/>
      </w:r>
      <w:r w:rsidR="00D83560" w:rsidRPr="00D83560">
        <w:t xml:space="preserve">Department of Social Services, </w:t>
      </w:r>
      <w:r w:rsidR="00D83560" w:rsidRPr="00D83560">
        <w:rPr>
          <w:i/>
          <w:iCs/>
        </w:rPr>
        <w:t>JobSeeker Payment and Youth Allowance Recipients - monthly profile - July 2020</w:t>
      </w:r>
      <w:r w:rsidR="00D83560" w:rsidRPr="00D83560">
        <w:t>, DSS, Canberra, 2020,</w:t>
      </w:r>
      <w:r w:rsidR="00F459A3">
        <w:t xml:space="preserve"> viewed 7 September 2020, &lt;</w:t>
      </w:r>
      <w:hyperlink r:id="rId8" w:history="1">
        <w:r w:rsidR="00F459A3" w:rsidRPr="00CF0503">
          <w:rPr>
            <w:rStyle w:val="Hyperlink"/>
          </w:rPr>
          <w:t>https://data.gov.au/data/dataset/jobseeker-payment-and-youth-allowance-recipients-monthly-profile</w:t>
        </w:r>
      </w:hyperlink>
      <w:r w:rsidR="00F459A3">
        <w:t>&gt;</w:t>
      </w:r>
      <w:r w:rsidR="00D83560" w:rsidRPr="00D83560">
        <w:t>.</w:t>
      </w:r>
    </w:p>
  </w:footnote>
  <w:footnote w:id="11">
    <w:p w14:paraId="61521E21" w14:textId="060A325E" w:rsidR="004E33D9" w:rsidRPr="004A0045" w:rsidRDefault="004E33D9">
      <w:pPr>
        <w:pStyle w:val="FootnoteText"/>
        <w:rPr>
          <w:lang w:val="en-US"/>
        </w:rPr>
      </w:pPr>
      <w:r w:rsidRPr="004A0045">
        <w:footnoteRef/>
      </w:r>
      <w:r w:rsidRPr="004A0045">
        <w:t xml:space="preserve"> </w:t>
      </w:r>
      <w:r w:rsidR="004A0045">
        <w:tab/>
        <w:t xml:space="preserve">ACTCOSS, </w:t>
      </w:r>
      <w:r w:rsidR="004A0045" w:rsidRPr="00AB094D">
        <w:rPr>
          <w:i/>
          <w:iCs/>
        </w:rPr>
        <w:t>ACT Cost of Living Report</w:t>
      </w:r>
      <w:r w:rsidR="004A0045">
        <w:t xml:space="preserve">, </w:t>
      </w:r>
      <w:r w:rsidR="00187BAD">
        <w:t>ACTCOSS, May 2019, &lt;</w:t>
      </w:r>
      <w:hyperlink r:id="rId9" w:history="1">
        <w:r w:rsidR="005A0EA0" w:rsidRPr="00360799">
          <w:rPr>
            <w:rStyle w:val="Hyperlink"/>
          </w:rPr>
          <w:t>https://www.actcoss.org.au/publications/advocacy-publications/act-cost-living-report-2019</w:t>
        </w:r>
      </w:hyperlink>
      <w:r w:rsidR="00187BAD">
        <w:t>&gt;.</w:t>
      </w:r>
    </w:p>
  </w:footnote>
  <w:footnote w:id="12">
    <w:p w14:paraId="4F8151D4" w14:textId="6E50AC26" w:rsidR="000D0E21" w:rsidRDefault="000D0E21">
      <w:pPr>
        <w:pStyle w:val="FootnoteText"/>
      </w:pPr>
      <w:r w:rsidRPr="00547BC6">
        <w:footnoteRef/>
      </w:r>
      <w:r w:rsidRPr="00547BC6">
        <w:t xml:space="preserve"> </w:t>
      </w:r>
      <w:r w:rsidR="00547BC6">
        <w:tab/>
      </w:r>
      <w:r>
        <w:t xml:space="preserve">ABS, </w:t>
      </w:r>
      <w:r w:rsidRPr="00C70601">
        <w:rPr>
          <w:i/>
          <w:iCs/>
        </w:rPr>
        <w:t>6530.0 - Household Expenditure Survey, Australia: Summary of Results, 2015-16</w:t>
      </w:r>
      <w:r>
        <w:t xml:space="preserve">, ABS, Canberra, 2017, </w:t>
      </w:r>
      <w:r w:rsidRPr="00AD67E5">
        <w:t>Table 21.1 HOUSEHOLD EXPENDITURE, Broad expenditure groups, Equivalised disposable household income quintiles, ACT</w:t>
      </w:r>
      <w:r>
        <w:t>, viewed 6 September 2020, &lt;</w:t>
      </w:r>
      <w:hyperlink r:id="rId10" w:history="1">
        <w:r w:rsidRPr="00547BC6">
          <w:rPr>
            <w:rStyle w:val="Hyperlink"/>
          </w:rPr>
          <w:t>https://www.abs.gov.au/household-expenditure</w:t>
        </w:r>
      </w:hyperlink>
      <w:r>
        <w:t>&gt;.</w:t>
      </w:r>
    </w:p>
  </w:footnote>
  <w:footnote w:id="13">
    <w:p w14:paraId="0D331E99" w14:textId="62FC3323" w:rsidR="000D0E21" w:rsidRDefault="000D0E21">
      <w:pPr>
        <w:pStyle w:val="FootnoteText"/>
      </w:pPr>
      <w:r w:rsidRPr="00156D30">
        <w:footnoteRef/>
      </w:r>
      <w:r w:rsidRPr="00156D30">
        <w:t xml:space="preserve"> </w:t>
      </w:r>
      <w:r w:rsidR="00156D30">
        <w:tab/>
      </w:r>
      <w:r>
        <w:t xml:space="preserve">ABS, </w:t>
      </w:r>
      <w:r w:rsidRPr="001B5E9B">
        <w:rPr>
          <w:i/>
          <w:iCs/>
        </w:rPr>
        <w:t>6401.0 - Consumer Price Index, Australia, Dec 2019</w:t>
      </w:r>
      <w:r>
        <w:t xml:space="preserve">, ABS, Canberra, 2020, </w:t>
      </w:r>
      <w:r w:rsidRPr="0083622C">
        <w:t>TABLE 10. CPI: Group, Sub-group and Expenditure Class, Percentage change from corresponding quarter of previous year by Capital City</w:t>
      </w:r>
      <w:r>
        <w:t xml:space="preserve"> &amp; </w:t>
      </w:r>
      <w:r w:rsidRPr="001B5E9B">
        <w:t>TABLE 11. CPI: Group, Sub-group and Expenditure Class, Percentage change from previous quarter by Capital City</w:t>
      </w:r>
      <w:r>
        <w:t>, viewed 7 September 2020, &lt;</w:t>
      </w:r>
      <w:hyperlink r:id="rId11" w:history="1">
        <w:r w:rsidRPr="00933DE7">
          <w:rPr>
            <w:rStyle w:val="Hyperlink"/>
          </w:rPr>
          <w:t>https://www.abs.gov.au/AUSSTATS/abs@.nsf/DetailsPage/6401.0Dec%202019?OpenDocument</w:t>
        </w:r>
      </w:hyperlink>
      <w:r>
        <w:t>&gt;.</w:t>
      </w:r>
    </w:p>
  </w:footnote>
  <w:footnote w:id="14">
    <w:p w14:paraId="22DEEB61" w14:textId="6C14D33F" w:rsidR="000D0E21" w:rsidRDefault="000D0E21">
      <w:pPr>
        <w:pStyle w:val="FootnoteText"/>
      </w:pPr>
      <w:r w:rsidRPr="008D6BF5">
        <w:footnoteRef/>
      </w:r>
      <w:r w:rsidRPr="008D6BF5">
        <w:t xml:space="preserve"> </w:t>
      </w:r>
      <w:r w:rsidR="008D6BF5">
        <w:tab/>
      </w:r>
      <w:r w:rsidRPr="00187393">
        <w:t xml:space="preserve">ABS, </w:t>
      </w:r>
      <w:r w:rsidRPr="00187393">
        <w:rPr>
          <w:i/>
          <w:iCs/>
        </w:rPr>
        <w:t>6401.0 - Consumer Price Index, Australia, Dec 2019</w:t>
      </w:r>
      <w:r w:rsidRPr="00187393">
        <w:t>, ABS, Canberra, 2020, TABLE 11. CPI: Group, Sub-group and Expenditure Class, Percentage change from previous quarter by Capital City, viewed 7 September 2020, &lt;</w:t>
      </w:r>
      <w:hyperlink r:id="rId12" w:history="1">
        <w:r w:rsidRPr="008D6BF5">
          <w:rPr>
            <w:rStyle w:val="Hyperlink"/>
          </w:rPr>
          <w:t>https://www.abs.gov.au/AUSSTATS/abs@.nsf/DetailsPage/6401.0Dec%202019?OpenDocument</w:t>
        </w:r>
      </w:hyperlink>
      <w:r w:rsidRPr="00187393">
        <w:t>&gt;.</w:t>
      </w:r>
    </w:p>
  </w:footnote>
  <w:footnote w:id="15">
    <w:p w14:paraId="7A0EEEA7" w14:textId="79A36FAC" w:rsidR="000D0E21" w:rsidRDefault="000D0E21">
      <w:pPr>
        <w:pStyle w:val="FootnoteText"/>
      </w:pPr>
      <w:r w:rsidRPr="003E5936">
        <w:footnoteRef/>
      </w:r>
      <w:r w:rsidRPr="003E5936">
        <w:t xml:space="preserve"> </w:t>
      </w:r>
      <w:r w:rsidR="003E5936">
        <w:tab/>
      </w:r>
      <w:r w:rsidRPr="00187393">
        <w:t xml:space="preserve">ABS, </w:t>
      </w:r>
      <w:r w:rsidRPr="00187393">
        <w:rPr>
          <w:i/>
          <w:iCs/>
        </w:rPr>
        <w:t>6401.0 - Consumer Price Index, Australia, Dec 2019</w:t>
      </w:r>
      <w:r w:rsidRPr="00187393">
        <w:t>, ABS, Canberra, 2020, TABLE 11. CPI: Group, Sub-group and Expenditure Class, Percentage change from previous quarter by Capital City, viewed 7 September 2020, &lt;</w:t>
      </w:r>
      <w:hyperlink r:id="rId13" w:history="1">
        <w:r w:rsidRPr="009E3B04">
          <w:rPr>
            <w:rStyle w:val="Hyperlink"/>
          </w:rPr>
          <w:t>https://www.abs.gov.au/AUSSTATS/abs@.nsf/DetailsPage/6401.0Dec%202019?OpenDocument</w:t>
        </w:r>
      </w:hyperlink>
      <w:r w:rsidRPr="00187393">
        <w:t>&gt;.</w:t>
      </w:r>
    </w:p>
  </w:footnote>
  <w:footnote w:id="16">
    <w:p w14:paraId="6974E0AA" w14:textId="46A63CA7" w:rsidR="000D0E21" w:rsidRDefault="000D0E21">
      <w:pPr>
        <w:pStyle w:val="FootnoteText"/>
      </w:pPr>
      <w:r w:rsidRPr="009B46AF">
        <w:footnoteRef/>
      </w:r>
      <w:r w:rsidRPr="009B46AF">
        <w:t xml:space="preserve"> </w:t>
      </w:r>
      <w:r w:rsidR="009B46AF">
        <w:tab/>
      </w:r>
      <w:r w:rsidRPr="005361DD">
        <w:t xml:space="preserve">ACOSS, Brotherhood of St Laurence </w:t>
      </w:r>
      <w:r w:rsidR="009B46AF">
        <w:t>and</w:t>
      </w:r>
      <w:r w:rsidRPr="005361DD">
        <w:t xml:space="preserve"> ANU Centre for Social Research and Methods, </w:t>
      </w:r>
      <w:r w:rsidRPr="005361DD">
        <w:rPr>
          <w:i/>
          <w:iCs/>
        </w:rPr>
        <w:t>Energy stressed in Australia</w:t>
      </w:r>
      <w:r w:rsidRPr="005361DD">
        <w:t>, ACOSS, Sydney, 2018, pp. 4-6, viewed 1 May 2019, &lt;</w:t>
      </w:r>
      <w:hyperlink r:id="rId14" w:history="1">
        <w:r w:rsidRPr="00D863A1">
          <w:rPr>
            <w:rStyle w:val="Hyperlink"/>
          </w:rPr>
          <w:t>https://www.acoss.org.au/wp-content/uploads/2018/10/Energy-Stressed-in-Australia.pdf</w:t>
        </w:r>
      </w:hyperlink>
      <w:r w:rsidRPr="005361DD">
        <w:t>&gt;.</w:t>
      </w:r>
    </w:p>
  </w:footnote>
  <w:footnote w:id="17">
    <w:p w14:paraId="641FF905" w14:textId="7C0C5400" w:rsidR="000D0E21" w:rsidRDefault="000D0E21">
      <w:pPr>
        <w:pStyle w:val="FootnoteText"/>
      </w:pPr>
      <w:r w:rsidRPr="00D863A1">
        <w:footnoteRef/>
      </w:r>
      <w:r w:rsidRPr="00D863A1">
        <w:t xml:space="preserve"> </w:t>
      </w:r>
      <w:r w:rsidR="00D863A1">
        <w:tab/>
      </w:r>
      <w:r>
        <w:t xml:space="preserve">St Vincent de Paul &amp; Alviss Consulting, </w:t>
      </w:r>
      <w:r w:rsidRPr="00C75F3F">
        <w:rPr>
          <w:i/>
          <w:iCs/>
        </w:rPr>
        <w:t>ACT energy prices July 2020: an update report of the ACT Tariff-tracking Project</w:t>
      </w:r>
      <w:r>
        <w:t>, St Vincent de Paul Society, Melbourne, 2020, p. 2, viewed 6 September 2020, &lt;</w:t>
      </w:r>
      <w:hyperlink r:id="rId15" w:history="1">
        <w:r w:rsidRPr="00472629">
          <w:rPr>
            <w:rStyle w:val="Hyperlink"/>
          </w:rPr>
          <w:t>https://www.vinnies.org.au/icms_docs/320813_ACT_Energy_Prices_July_2020.pdf</w:t>
        </w:r>
      </w:hyperlink>
      <w:r>
        <w:t>&gt;.</w:t>
      </w:r>
    </w:p>
  </w:footnote>
  <w:footnote w:id="18">
    <w:p w14:paraId="0515421D" w14:textId="126302F6" w:rsidR="000D0E21" w:rsidRDefault="000D0E21">
      <w:pPr>
        <w:pStyle w:val="FootnoteText"/>
      </w:pPr>
      <w:r w:rsidRPr="00473AF2">
        <w:footnoteRef/>
      </w:r>
      <w:r w:rsidRPr="00473AF2">
        <w:t xml:space="preserve"> </w:t>
      </w:r>
      <w:r w:rsidR="00473AF2">
        <w:tab/>
      </w:r>
      <w:r>
        <w:t xml:space="preserve">ICRC, </w:t>
      </w:r>
      <w:r w:rsidRPr="00613D1F">
        <w:rPr>
          <w:i/>
          <w:iCs/>
        </w:rPr>
        <w:t>Commission releases final report on retail electricity prices for small customers</w:t>
      </w:r>
      <w:r>
        <w:t>, Media release, ICRC, Canberra, 5 June 2020, viewed 6 September 2020, &lt;</w:t>
      </w:r>
      <w:hyperlink r:id="rId16" w:history="1">
        <w:r w:rsidRPr="00473AF2">
          <w:rPr>
            <w:rStyle w:val="Hyperlink"/>
          </w:rPr>
          <w:t>https://www.icrc.act.gov.au/__data/assets/pdf_file/0003/1556184/Media-Release-Electricity-Final-Report.pdf</w:t>
        </w:r>
      </w:hyperlink>
      <w:r>
        <w:t>&gt;.</w:t>
      </w:r>
    </w:p>
  </w:footnote>
  <w:footnote w:id="19">
    <w:p w14:paraId="73E285F4" w14:textId="2C3F64E9" w:rsidR="000D0E21" w:rsidRDefault="000D0E21">
      <w:pPr>
        <w:pStyle w:val="FootnoteText"/>
      </w:pPr>
      <w:r w:rsidRPr="00473AF2">
        <w:footnoteRef/>
      </w:r>
      <w:r w:rsidRPr="00473AF2">
        <w:t xml:space="preserve"> </w:t>
      </w:r>
      <w:r w:rsidR="00473AF2">
        <w:tab/>
      </w:r>
      <w:r w:rsidRPr="00473AF2">
        <w:t>ibid</w:t>
      </w:r>
      <w:r>
        <w:t>.</w:t>
      </w:r>
    </w:p>
  </w:footnote>
  <w:footnote w:id="20">
    <w:p w14:paraId="1AAE897B" w14:textId="6C244050" w:rsidR="000D0E21" w:rsidRDefault="000D0E21">
      <w:pPr>
        <w:pStyle w:val="FootnoteText"/>
      </w:pPr>
      <w:r w:rsidRPr="00473AF2">
        <w:footnoteRef/>
      </w:r>
      <w:r w:rsidRPr="00473AF2">
        <w:t xml:space="preserve"> </w:t>
      </w:r>
      <w:r w:rsidR="00473AF2">
        <w:tab/>
      </w:r>
      <w:r w:rsidRPr="009A13A0">
        <w:t xml:space="preserve">ACTCOSS </w:t>
      </w:r>
      <w:r w:rsidR="00473AF2">
        <w:t>and</w:t>
      </w:r>
      <w:r w:rsidRPr="009A13A0">
        <w:t xml:space="preserve"> ACT Shelter, </w:t>
      </w:r>
      <w:r w:rsidRPr="009A13A0">
        <w:rPr>
          <w:i/>
          <w:iCs/>
        </w:rPr>
        <w:t>Stories of home: why housing and homelessness matters in the lead up to the 2016 ACT election</w:t>
      </w:r>
      <w:r w:rsidRPr="009A13A0">
        <w:t>, ACTCOSS, Canberra, 2016, p. 11, viewed 5 November 2018, &lt;</w:t>
      </w:r>
      <w:hyperlink r:id="rId17" w:history="1">
        <w:r w:rsidRPr="0010708D">
          <w:rPr>
            <w:rStyle w:val="Hyperlink"/>
          </w:rPr>
          <w:t>https://www.actcoss.org.au/publications/advocacy-publications/stories-home</w:t>
        </w:r>
      </w:hyperlink>
      <w:r w:rsidRPr="009A13A0">
        <w:t>&gt;.</w:t>
      </w:r>
    </w:p>
  </w:footnote>
  <w:footnote w:id="21">
    <w:p w14:paraId="6F0FE60C" w14:textId="1069A69A" w:rsidR="000D0E21" w:rsidRDefault="000D0E21">
      <w:pPr>
        <w:pStyle w:val="FootnoteText"/>
      </w:pPr>
      <w:r w:rsidRPr="00903DAC">
        <w:footnoteRef/>
      </w:r>
      <w:r w:rsidRPr="00903DAC">
        <w:t xml:space="preserve"> </w:t>
      </w:r>
      <w:r w:rsidR="00903DAC">
        <w:tab/>
      </w:r>
      <w:r>
        <w:t xml:space="preserve">ABS, </w:t>
      </w:r>
      <w:r w:rsidRPr="008A346C">
        <w:rPr>
          <w:i/>
          <w:iCs/>
        </w:rPr>
        <w:t>4130.0 - Housing Occupancy and Costs, 2017-18</w:t>
      </w:r>
      <w:r>
        <w:t xml:space="preserve">, ABS, Canberra, 2019, Data cube 12. States and territories, </w:t>
      </w:r>
      <w:r w:rsidRPr="00CA67B8">
        <w:t>Table 12.3 HOUSING COSTS AS A PROPORTION OF GROSS HOUSEHOLD INCOME, Selected household characteristics, States</w:t>
      </w:r>
      <w:r w:rsidR="00740D3C" w:rsidRPr="00CA67B8">
        <w:t>,</w:t>
      </w:r>
      <w:r w:rsidRPr="00CA67B8">
        <w:t xml:space="preserve"> and territories, 2017–18</w:t>
      </w:r>
      <w:r>
        <w:t>, viewed 6 September 2020, &lt;</w:t>
      </w:r>
      <w:hyperlink r:id="rId18" w:history="1">
        <w:r w:rsidRPr="0038373E">
          <w:rPr>
            <w:rStyle w:val="Hyperlink"/>
          </w:rPr>
          <w:t>https://www.abs.gov.au/AUSSTATS/abs@.nsf/DetailsPage/4130.02017-18?OpenDocument</w:t>
        </w:r>
      </w:hyperlink>
      <w:r>
        <w:t>&gt;.</w:t>
      </w:r>
    </w:p>
  </w:footnote>
  <w:footnote w:id="22">
    <w:p w14:paraId="3694B0F5" w14:textId="00C56CFA" w:rsidR="000D0E21" w:rsidRDefault="000D0E21">
      <w:pPr>
        <w:pStyle w:val="FootnoteText"/>
      </w:pPr>
      <w:r w:rsidRPr="0038373E">
        <w:footnoteRef/>
      </w:r>
      <w:r w:rsidRPr="0038373E">
        <w:t xml:space="preserve"> </w:t>
      </w:r>
      <w:r w:rsidR="0038373E">
        <w:tab/>
      </w:r>
      <w:r>
        <w:t xml:space="preserve">Domain, </w:t>
      </w:r>
      <w:r w:rsidRPr="00320C26">
        <w:rPr>
          <w:i/>
          <w:iCs/>
        </w:rPr>
        <w:t>Domain rental report – June 2020</w:t>
      </w:r>
      <w:r>
        <w:t>, Canberra, Domain, Sydney, 2020, viewed 5 September 2020, &lt;</w:t>
      </w:r>
      <w:hyperlink r:id="rId19" w:history="1">
        <w:r w:rsidRPr="0038373E">
          <w:rPr>
            <w:rStyle w:val="Hyperlink"/>
          </w:rPr>
          <w:t>https://www.domain.com.au/research/rental-report/june-2020/#canberra</w:t>
        </w:r>
      </w:hyperlink>
      <w:r>
        <w:t>&gt;.</w:t>
      </w:r>
    </w:p>
  </w:footnote>
  <w:footnote w:id="23">
    <w:p w14:paraId="16532126" w14:textId="68CC3921" w:rsidR="000D0E21" w:rsidRDefault="000D0E21">
      <w:pPr>
        <w:pStyle w:val="FootnoteText"/>
      </w:pPr>
      <w:r w:rsidRPr="0038373E">
        <w:footnoteRef/>
      </w:r>
      <w:r w:rsidRPr="0038373E">
        <w:t xml:space="preserve"> </w:t>
      </w:r>
      <w:r w:rsidR="0038373E">
        <w:tab/>
      </w:r>
      <w:r>
        <w:t xml:space="preserve">Real Estate Institute of Australia, </w:t>
      </w:r>
      <w:r w:rsidRPr="00452F5E">
        <w:rPr>
          <w:i/>
          <w:iCs/>
        </w:rPr>
        <w:t>Best rental affordability results since 2007: REIA</w:t>
      </w:r>
      <w:r>
        <w:t>, media release, REIA, Canberra, 1 September 2020, viewed 5 September 2020, &lt;</w:t>
      </w:r>
      <w:hyperlink r:id="rId20" w:history="1">
        <w:r w:rsidRPr="0038373E">
          <w:rPr>
            <w:rStyle w:val="Hyperlink"/>
          </w:rPr>
          <w:t>https://reia.asn.au/wp-content/uploads/2020/09/Media-Release-2-September-2020-Best-Rental-Affordability-Results-since-2007-REIA.pdf</w:t>
        </w:r>
      </w:hyperlink>
      <w:r>
        <w:t xml:space="preserve">&gt;. </w:t>
      </w:r>
    </w:p>
  </w:footnote>
  <w:footnote w:id="24">
    <w:p w14:paraId="536806CB" w14:textId="1623ABEB" w:rsidR="000D0E21" w:rsidRDefault="000D0E21">
      <w:pPr>
        <w:pStyle w:val="FootnoteText"/>
      </w:pPr>
      <w:r w:rsidRPr="0058570D">
        <w:footnoteRef/>
      </w:r>
      <w:r w:rsidRPr="0058570D">
        <w:t xml:space="preserve"> </w:t>
      </w:r>
      <w:r w:rsidR="0058570D">
        <w:tab/>
      </w:r>
      <w:r>
        <w:t xml:space="preserve">Domain, op. cit. </w:t>
      </w:r>
    </w:p>
  </w:footnote>
  <w:footnote w:id="25">
    <w:p w14:paraId="396F6E89" w14:textId="22D6091A" w:rsidR="000D0E21" w:rsidRDefault="000D0E21">
      <w:pPr>
        <w:pStyle w:val="FootnoteText"/>
      </w:pPr>
      <w:r w:rsidRPr="0058570D">
        <w:footnoteRef/>
      </w:r>
      <w:r w:rsidRPr="0058570D">
        <w:t xml:space="preserve"> </w:t>
      </w:r>
      <w:r w:rsidR="0058570D">
        <w:tab/>
      </w:r>
      <w:r w:rsidRPr="00D91906">
        <w:t xml:space="preserve">SGS Economics &amp; Planning, </w:t>
      </w:r>
      <w:r w:rsidRPr="00D91906">
        <w:rPr>
          <w:i/>
          <w:iCs/>
        </w:rPr>
        <w:t>Rental Affordability Index, November 2019 release</w:t>
      </w:r>
      <w:r w:rsidRPr="00D91906">
        <w:t xml:space="preserve">, SGS Economics &amp; Planning, Canberra, 2019, p. 57, viewed </w:t>
      </w:r>
      <w:r>
        <w:t>5 September</w:t>
      </w:r>
      <w:r w:rsidRPr="00D91906">
        <w:t>, &lt;</w:t>
      </w:r>
      <w:hyperlink r:id="rId21" w:history="1">
        <w:r w:rsidRPr="00687C45">
          <w:rPr>
            <w:rStyle w:val="Hyperlink"/>
          </w:rPr>
          <w:t>https://www.sgsep.com.au/assets/main/Projects/SGS-Economics-and-Planning_RAI-November-2019.pdf</w:t>
        </w:r>
      </w:hyperlink>
      <w:r w:rsidRPr="00D91906">
        <w:t>&gt;.</w:t>
      </w:r>
    </w:p>
  </w:footnote>
  <w:footnote w:id="26">
    <w:p w14:paraId="1E7DD723" w14:textId="5E8EBDA3" w:rsidR="000D0E21" w:rsidRDefault="000D0E21">
      <w:pPr>
        <w:pStyle w:val="FootnoteText"/>
      </w:pPr>
      <w:r w:rsidRPr="00687C45">
        <w:footnoteRef/>
      </w:r>
      <w:r w:rsidRPr="00687C45">
        <w:t xml:space="preserve"> </w:t>
      </w:r>
      <w:r w:rsidR="00687C45">
        <w:tab/>
      </w:r>
      <w:r w:rsidRPr="00687C45">
        <w:t>ibid</w:t>
      </w:r>
      <w:r>
        <w:t>.</w:t>
      </w:r>
    </w:p>
  </w:footnote>
  <w:footnote w:id="27">
    <w:p w14:paraId="59E20E13" w14:textId="62CC5179" w:rsidR="003C0AC6" w:rsidRDefault="003C0AC6">
      <w:pPr>
        <w:pStyle w:val="FootnoteText"/>
      </w:pPr>
      <w:r>
        <w:rPr>
          <w:rStyle w:val="FootnoteReference"/>
        </w:rPr>
        <w:footnoteRef/>
      </w:r>
      <w:r>
        <w:t xml:space="preserve"> </w:t>
      </w:r>
      <w:r w:rsidR="00FC1F61" w:rsidRPr="00FC1F61">
        <w:t>Anglicare NSW South, NSW West &amp; ACT</w:t>
      </w:r>
      <w:r w:rsidR="00FC1F61">
        <w:t xml:space="preserve">, </w:t>
      </w:r>
      <w:r w:rsidR="006A3735" w:rsidRPr="00AE1EC8">
        <w:rPr>
          <w:i/>
          <w:iCs/>
        </w:rPr>
        <w:t>Rental Affordability Snapshot 2020 - Affordability in ACT and Queanbeyan</w:t>
      </w:r>
      <w:r w:rsidR="006A3735">
        <w:t xml:space="preserve">, </w:t>
      </w:r>
      <w:r w:rsidR="000B401D" w:rsidRPr="000B401D">
        <w:t>Anglicare NSW South, NSW West &amp; ACT</w:t>
      </w:r>
      <w:r w:rsidR="00C545E1">
        <w:t xml:space="preserve">, Canberra, </w:t>
      </w:r>
      <w:r w:rsidR="000B401D">
        <w:t>2020, viewed 7 September 2020, &lt;</w:t>
      </w:r>
      <w:hyperlink r:id="rId22" w:history="1">
        <w:r w:rsidR="00AE1EC8" w:rsidRPr="00CF0503">
          <w:rPr>
            <w:rStyle w:val="Hyperlink"/>
          </w:rPr>
          <w:t>https://www.anglicare.com.au/wp-content/uploads/2020/04/RAS-2020-ACT-Queanbeyan.pdf</w:t>
        </w:r>
      </w:hyperlink>
      <w:r w:rsidR="000B401D">
        <w:t>&gt;</w:t>
      </w:r>
      <w:r w:rsidR="00997913">
        <w:t>.</w:t>
      </w:r>
    </w:p>
  </w:footnote>
  <w:footnote w:id="28">
    <w:p w14:paraId="0D6878F8" w14:textId="3E3913E0" w:rsidR="00673490" w:rsidRDefault="00673490">
      <w:pPr>
        <w:pStyle w:val="FootnoteText"/>
      </w:pPr>
      <w:r w:rsidRPr="00936BD6">
        <w:footnoteRef/>
      </w:r>
      <w:r w:rsidRPr="00936BD6">
        <w:t xml:space="preserve"> </w:t>
      </w:r>
      <w:r w:rsidR="00936BD6">
        <w:tab/>
      </w:r>
      <w:r w:rsidR="00450257" w:rsidRPr="00936BD6">
        <w:t>Anglicare</w:t>
      </w:r>
      <w:r w:rsidR="00450257" w:rsidRPr="00450257">
        <w:t xml:space="preserve"> Australia, </w:t>
      </w:r>
      <w:r w:rsidR="00450257" w:rsidRPr="008B5630">
        <w:rPr>
          <w:i/>
          <w:iCs/>
        </w:rPr>
        <w:t>Rental Affordability Snapshot – Special Update, August 2020</w:t>
      </w:r>
      <w:r w:rsidR="00450257" w:rsidRPr="00450257">
        <w:t xml:space="preserve">, unpublished ACT data provided by Anglicare Australia, Canberra, 2020, </w:t>
      </w:r>
      <w:r w:rsidR="008B5630">
        <w:t>&lt;</w:t>
      </w:r>
      <w:hyperlink r:id="rId23" w:history="1">
        <w:r w:rsidR="008B5630" w:rsidRPr="00CF0503">
          <w:rPr>
            <w:rStyle w:val="Hyperlink"/>
          </w:rPr>
          <w:t>https://anglicare-ras.com/the-findings/</w:t>
        </w:r>
      </w:hyperlink>
      <w:r w:rsidR="008B5630">
        <w:t>&gt;</w:t>
      </w:r>
      <w:r w:rsidR="00997913">
        <w:t xml:space="preserve">; L Bladen, </w:t>
      </w:r>
      <w:r w:rsidR="00997913" w:rsidRPr="000C3177">
        <w:rPr>
          <w:i/>
          <w:iCs/>
        </w:rPr>
        <w:t>Rental affordability in Canberra worsens during pandemic: Anglicare</w:t>
      </w:r>
      <w:r w:rsidR="00997913">
        <w:t>, The Canberra Times, 1 September 2020, viewed 7 September 2020, &lt;</w:t>
      </w:r>
      <w:hyperlink r:id="rId24" w:history="1">
        <w:r w:rsidR="00997913" w:rsidRPr="00CF0503">
          <w:rPr>
            <w:rStyle w:val="Hyperlink"/>
          </w:rPr>
          <w:t>https://www.canberratimes.com.au/story/6902578/only-one-of-800-canberra-rentals-affordable-for-a-tenant-on-jobseeker/</w:t>
        </w:r>
      </w:hyperlink>
      <w:r w:rsidR="00997913">
        <w:t>&gt;.</w:t>
      </w:r>
    </w:p>
  </w:footnote>
  <w:footnote w:id="29">
    <w:p w14:paraId="6AAA4BF7" w14:textId="2EBC4122" w:rsidR="00997913" w:rsidRDefault="00997913">
      <w:pPr>
        <w:pStyle w:val="FootnoteText"/>
      </w:pPr>
      <w:r w:rsidRPr="00936BD6">
        <w:footnoteRef/>
      </w:r>
      <w:r w:rsidRPr="00936BD6">
        <w:t xml:space="preserve"> </w:t>
      </w:r>
      <w:r w:rsidR="00936BD6">
        <w:tab/>
      </w:r>
      <w:r>
        <w:t>ibid.</w:t>
      </w:r>
    </w:p>
  </w:footnote>
  <w:footnote w:id="30">
    <w:p w14:paraId="123BA598" w14:textId="08C32F83" w:rsidR="000D0E21" w:rsidRDefault="000D0E21">
      <w:pPr>
        <w:pStyle w:val="FootnoteText"/>
      </w:pPr>
      <w:r w:rsidRPr="005A5C84">
        <w:footnoteRef/>
      </w:r>
      <w:r w:rsidRPr="005A5C84">
        <w:t xml:space="preserve"> </w:t>
      </w:r>
      <w:r w:rsidR="005A5C84">
        <w:tab/>
      </w:r>
      <w:r w:rsidRPr="009B3A9F">
        <w:t xml:space="preserve">Productivity Commission, </w:t>
      </w:r>
      <w:r w:rsidRPr="009B3A9F">
        <w:rPr>
          <w:i/>
          <w:iCs/>
        </w:rPr>
        <w:t>Vulnerable Private Renters: Evidence and Options</w:t>
      </w:r>
      <w:r w:rsidRPr="009B3A9F">
        <w:t xml:space="preserve">, Commission Research Paper, </w:t>
      </w:r>
      <w:r>
        <w:t xml:space="preserve">Productivity Commission, </w:t>
      </w:r>
      <w:r w:rsidRPr="009B3A9F">
        <w:t>Canberra</w:t>
      </w:r>
      <w:r>
        <w:t>, 2019, viewed 5 September 2020, &lt;</w:t>
      </w:r>
      <w:hyperlink r:id="rId25" w:history="1">
        <w:r w:rsidRPr="005A5C84">
          <w:rPr>
            <w:rStyle w:val="Hyperlink"/>
          </w:rPr>
          <w:t>https://www.pc.gov.au/research/completed/renters</w:t>
        </w:r>
      </w:hyperlink>
      <w:r>
        <w:t xml:space="preserve">&gt;. </w:t>
      </w:r>
    </w:p>
  </w:footnote>
  <w:footnote w:id="31">
    <w:p w14:paraId="6EBA1EA4" w14:textId="74916DAB" w:rsidR="000D0E21" w:rsidRDefault="000D0E21">
      <w:pPr>
        <w:pStyle w:val="FootnoteText"/>
      </w:pPr>
      <w:r w:rsidRPr="00560EC9">
        <w:footnoteRef/>
      </w:r>
      <w:r w:rsidRPr="00560EC9">
        <w:t xml:space="preserve"> </w:t>
      </w:r>
      <w:r w:rsidR="00560EC9">
        <w:tab/>
      </w:r>
      <w:r w:rsidRPr="00560EC9">
        <w:t>ibid</w:t>
      </w:r>
      <w:r>
        <w:t>.</w:t>
      </w:r>
    </w:p>
  </w:footnote>
  <w:footnote w:id="32">
    <w:p w14:paraId="31F2C8AA" w14:textId="5A2BB7B1" w:rsidR="000D0E21" w:rsidRDefault="000D0E21">
      <w:pPr>
        <w:pStyle w:val="FootnoteText"/>
      </w:pPr>
      <w:r w:rsidRPr="00560EC9">
        <w:footnoteRef/>
      </w:r>
      <w:r w:rsidRPr="00560EC9">
        <w:t xml:space="preserve"> </w:t>
      </w:r>
      <w:r w:rsidR="00560EC9">
        <w:tab/>
        <w:t>i</w:t>
      </w:r>
      <w:r w:rsidRPr="00560EC9">
        <w:t>bid</w:t>
      </w:r>
      <w:r>
        <w:t>, p. 102.</w:t>
      </w:r>
    </w:p>
  </w:footnote>
  <w:footnote w:id="33">
    <w:p w14:paraId="2BAF3719" w14:textId="1FC834D6" w:rsidR="000D0E21" w:rsidRDefault="000D0E21">
      <w:pPr>
        <w:pStyle w:val="FootnoteText"/>
      </w:pPr>
      <w:r w:rsidRPr="00560EC9">
        <w:footnoteRef/>
      </w:r>
      <w:r w:rsidRPr="00560EC9">
        <w:t xml:space="preserve"> </w:t>
      </w:r>
      <w:r w:rsidR="00560EC9">
        <w:tab/>
      </w:r>
      <w:r w:rsidRPr="00560EC9">
        <w:t>ABS</w:t>
      </w:r>
      <w:r w:rsidRPr="00427596">
        <w:t xml:space="preserve">, </w:t>
      </w:r>
      <w:r w:rsidRPr="00DA4F1C">
        <w:rPr>
          <w:i/>
          <w:iCs/>
        </w:rPr>
        <w:t>4130.0 - Housing Occupancy and Costs, 2017-18</w:t>
      </w:r>
      <w:r w:rsidRPr="00427596">
        <w:t xml:space="preserve">, ABS, Canberra, 2019, Table 21.1, viewed </w:t>
      </w:r>
      <w:r>
        <w:t>5 September 2020</w:t>
      </w:r>
      <w:r w:rsidRPr="00427596">
        <w:t>, &lt;</w:t>
      </w:r>
      <w:hyperlink r:id="rId26" w:history="1">
        <w:r w:rsidRPr="00560EC9">
          <w:rPr>
            <w:rStyle w:val="Hyperlink"/>
          </w:rPr>
          <w:t>https://www.abs.gov.au/ausstats/abs@.nsf/mf/4130.0</w:t>
        </w:r>
      </w:hyperlink>
      <w:r w:rsidRPr="00427596">
        <w:t>&gt;.</w:t>
      </w:r>
    </w:p>
  </w:footnote>
  <w:footnote w:id="34">
    <w:p w14:paraId="42D4C10E" w14:textId="30B44808" w:rsidR="000D0E21" w:rsidRDefault="000D0E21">
      <w:pPr>
        <w:pStyle w:val="FootnoteText"/>
      </w:pPr>
      <w:r w:rsidRPr="00560EC9">
        <w:footnoteRef/>
      </w:r>
      <w:r w:rsidRPr="00560EC9">
        <w:t xml:space="preserve"> </w:t>
      </w:r>
      <w:r w:rsidR="00560EC9">
        <w:tab/>
      </w:r>
      <w:r w:rsidRPr="00560EC9">
        <w:t>ibid</w:t>
      </w:r>
      <w:r>
        <w:t>.</w:t>
      </w:r>
    </w:p>
  </w:footnote>
  <w:footnote w:id="35">
    <w:p w14:paraId="3154BCE8" w14:textId="21DB0669" w:rsidR="000D0E21" w:rsidRDefault="000D0E21">
      <w:pPr>
        <w:pStyle w:val="FootnoteText"/>
      </w:pPr>
      <w:r w:rsidRPr="00560EC9">
        <w:footnoteRef/>
      </w:r>
      <w:r w:rsidRPr="00560EC9">
        <w:t xml:space="preserve"> </w:t>
      </w:r>
      <w:r w:rsidR="00560EC9">
        <w:tab/>
      </w:r>
      <w:r w:rsidRPr="00560EC9">
        <w:t>Productivity</w:t>
      </w:r>
      <w:r>
        <w:t xml:space="preserve"> Commission, op. cit., p. 13.</w:t>
      </w:r>
    </w:p>
  </w:footnote>
  <w:footnote w:id="36">
    <w:p w14:paraId="4BE0C7EE" w14:textId="1239A4E3" w:rsidR="000D0E21" w:rsidRDefault="000D0E21">
      <w:pPr>
        <w:pStyle w:val="FootnoteText"/>
      </w:pPr>
      <w:r w:rsidRPr="00560EC9">
        <w:footnoteRef/>
      </w:r>
      <w:r w:rsidRPr="00560EC9">
        <w:t xml:space="preserve"> </w:t>
      </w:r>
      <w:r w:rsidR="00560EC9">
        <w:tab/>
      </w:r>
      <w:r w:rsidRPr="00560EC9">
        <w:t>ibid</w:t>
      </w:r>
      <w:r>
        <w:t>, p. 117.</w:t>
      </w:r>
    </w:p>
  </w:footnote>
  <w:footnote w:id="37">
    <w:p w14:paraId="5E1BF3BC" w14:textId="27F10652" w:rsidR="000D0E21" w:rsidRDefault="000D0E21">
      <w:pPr>
        <w:pStyle w:val="FootnoteText"/>
      </w:pPr>
      <w:r w:rsidRPr="00560EC9">
        <w:footnoteRef/>
      </w:r>
      <w:r w:rsidRPr="00560EC9">
        <w:t xml:space="preserve"> </w:t>
      </w:r>
      <w:r w:rsidR="00560EC9">
        <w:tab/>
      </w:r>
      <w:r w:rsidRPr="00560EC9">
        <w:t>ACOSS</w:t>
      </w:r>
      <w:r>
        <w:t xml:space="preserve">, </w:t>
      </w:r>
      <w:r w:rsidRPr="00DE7461">
        <w:rPr>
          <w:i/>
          <w:iCs/>
        </w:rPr>
        <w:t>Next steps for income support</w:t>
      </w:r>
      <w:r>
        <w:t>, Briefing, July 2020, ACOSS, Sydney, 2020, viewed 5 September 2020, &lt;</w:t>
      </w:r>
      <w:hyperlink r:id="rId27" w:history="1">
        <w:r w:rsidRPr="00560EC9">
          <w:rPr>
            <w:rStyle w:val="Hyperlink"/>
          </w:rPr>
          <w:t>https://www.acoss.org.au/wp-content/uploads/2020/09/Social-security-next-steps-JUL-UPDATED-2-9_.pdf</w:t>
        </w:r>
      </w:hyperlink>
      <w:r>
        <w:t xml:space="preserve">&gt;. </w:t>
      </w:r>
    </w:p>
  </w:footnote>
  <w:footnote w:id="38">
    <w:p w14:paraId="309EE0F8" w14:textId="221EB325" w:rsidR="000D0E21" w:rsidRDefault="000D0E21">
      <w:pPr>
        <w:pStyle w:val="FootnoteText"/>
      </w:pPr>
      <w:r w:rsidRPr="00560EC9">
        <w:footnoteRef/>
      </w:r>
      <w:r w:rsidRPr="00560EC9">
        <w:t xml:space="preserve"> </w:t>
      </w:r>
      <w:r w:rsidR="00560EC9">
        <w:tab/>
        <w:t>i</w:t>
      </w:r>
      <w:r w:rsidRPr="00560EC9">
        <w:t>bid</w:t>
      </w:r>
      <w:r>
        <w:t>, p. 2.</w:t>
      </w:r>
    </w:p>
  </w:footnote>
  <w:footnote w:id="39">
    <w:p w14:paraId="78CBBC36" w14:textId="5488891B" w:rsidR="000D0E21" w:rsidRDefault="000D0E21">
      <w:pPr>
        <w:pStyle w:val="FootnoteText"/>
      </w:pPr>
      <w:r w:rsidRPr="00560EC9">
        <w:footnoteRef/>
      </w:r>
      <w:r w:rsidRPr="00560EC9">
        <w:t xml:space="preserve"> </w:t>
      </w:r>
      <w:r w:rsidR="00560EC9">
        <w:tab/>
      </w:r>
      <w:r w:rsidRPr="00560EC9">
        <w:t>ACT</w:t>
      </w:r>
      <w:r>
        <w:t xml:space="preserve"> Government, </w:t>
      </w:r>
      <w:r w:rsidRPr="00E9347A">
        <w:rPr>
          <w:i/>
          <w:iCs/>
        </w:rPr>
        <w:t>August 2020 Economic and Fiscal Update</w:t>
      </w:r>
      <w:r>
        <w:t>, ACT Government, Canberra, 2020, viewed 5 September 2020, &lt;</w:t>
      </w:r>
      <w:hyperlink r:id="rId28" w:history="1">
        <w:r w:rsidRPr="00560EC9">
          <w:rPr>
            <w:rStyle w:val="Hyperlink"/>
          </w:rPr>
          <w:t>https://apps.treasury.act.gov.au/budget/economic-and-fiscal-update-2020</w:t>
        </w:r>
      </w:hyperlink>
      <w:r>
        <w:t xml:space="preserve">&gt;. </w:t>
      </w:r>
    </w:p>
  </w:footnote>
  <w:footnote w:id="40">
    <w:p w14:paraId="56DD1F37" w14:textId="6559D2B0" w:rsidR="003C4117" w:rsidRDefault="003C4117" w:rsidP="003C4117">
      <w:pPr>
        <w:pStyle w:val="FootnoteText"/>
      </w:pPr>
      <w:r w:rsidRPr="004069C5">
        <w:footnoteRef/>
      </w:r>
      <w:r w:rsidRPr="004069C5">
        <w:t xml:space="preserve"> </w:t>
      </w:r>
      <w:r w:rsidR="004069C5">
        <w:tab/>
      </w:r>
      <w:r w:rsidRPr="00D47DAF">
        <w:t xml:space="preserve">AIHW, </w:t>
      </w:r>
      <w:r w:rsidRPr="00D47DAF">
        <w:rPr>
          <w:i/>
          <w:iCs/>
        </w:rPr>
        <w:t>Housing assistance in Australia 2020</w:t>
      </w:r>
      <w:r w:rsidRPr="00D47DAF">
        <w:t>, AIHW, Canberra, 2020, Data tables: Social housing households, Table DWELLINGS.2</w:t>
      </w:r>
      <w:r>
        <w:t>,</w:t>
      </w:r>
      <w:r w:rsidRPr="00A746B7">
        <w:t xml:space="preserve"> HOUSEHOLDS.2</w:t>
      </w:r>
      <w:r>
        <w:t xml:space="preserve">, </w:t>
      </w:r>
      <w:r w:rsidRPr="00B04ED9">
        <w:t>HOUSEHOLDS.7</w:t>
      </w:r>
      <w:r>
        <w:t xml:space="preserve"> &amp; </w:t>
      </w:r>
      <w:r w:rsidRPr="00C81F1F">
        <w:t>OCCUPANTS.1</w:t>
      </w:r>
      <w:r w:rsidRPr="00D47DAF">
        <w:t>, viewed 6 September 2020, &lt;</w:t>
      </w:r>
      <w:hyperlink r:id="rId29" w:history="1">
        <w:r w:rsidRPr="004069C5">
          <w:rPr>
            <w:rStyle w:val="Hyperlink"/>
          </w:rPr>
          <w:t>https://www.aihw.gov.au/reports/housing-assistance/housing-assistance-in-australia-2020/data</w:t>
        </w:r>
      </w:hyperlink>
      <w:r w:rsidRPr="00D47DAF">
        <w:t>&gt;.</w:t>
      </w:r>
    </w:p>
  </w:footnote>
  <w:footnote w:id="41">
    <w:p w14:paraId="29E572F8" w14:textId="3F64BAAD" w:rsidR="000D0E21" w:rsidRDefault="000D0E21">
      <w:pPr>
        <w:pStyle w:val="FootnoteText"/>
      </w:pPr>
      <w:r w:rsidRPr="004069C5">
        <w:footnoteRef/>
      </w:r>
      <w:r w:rsidRPr="004069C5">
        <w:t xml:space="preserve"> </w:t>
      </w:r>
      <w:r w:rsidR="004069C5">
        <w:tab/>
      </w:r>
      <w:r w:rsidRPr="004069C5">
        <w:t>Productivity</w:t>
      </w:r>
      <w:r w:rsidRPr="00A74062">
        <w:t xml:space="preserve"> Commission, </w:t>
      </w:r>
      <w:r w:rsidRPr="00A74062">
        <w:rPr>
          <w:i/>
          <w:iCs/>
        </w:rPr>
        <w:t>Report on Government Services 2019</w:t>
      </w:r>
      <w:r w:rsidRPr="00A74062">
        <w:t>, Productivity Commission, Canberra, 2019, 18 Housing Data Tables, Table 18A.3 Descriptive data – number of social housing dwellings, at 30 June 2018, viewed at, &lt;</w:t>
      </w:r>
      <w:hyperlink r:id="rId30" w:history="1">
        <w:r w:rsidRPr="00AF3680">
          <w:rPr>
            <w:rStyle w:val="Hyperlink"/>
          </w:rPr>
          <w:t>https://www.pc.gov.au/research/ongoing/report-on-government-services/2019/housing-and-homelessness/housing</w:t>
        </w:r>
      </w:hyperlink>
      <w:r w:rsidRPr="00A74062">
        <w:t>&gt;</w:t>
      </w:r>
      <w:r>
        <w:t xml:space="preserve">; AIHW, </w:t>
      </w:r>
      <w:r w:rsidRPr="001A4F4C">
        <w:rPr>
          <w:i/>
          <w:iCs/>
        </w:rPr>
        <w:t>Housing assistance in Australia 2020</w:t>
      </w:r>
      <w:r>
        <w:t xml:space="preserve">, AIHW, Canberra, 2020, </w:t>
      </w:r>
      <w:r w:rsidRPr="00946277">
        <w:t>Data tables: Social housing households</w:t>
      </w:r>
      <w:r>
        <w:t xml:space="preserve">, </w:t>
      </w:r>
      <w:r w:rsidRPr="00946277">
        <w:t>Table DWELLINGS.2: Dwellings, by social housing program and states and territories, at 30 June 2014 to 2019</w:t>
      </w:r>
      <w:r>
        <w:t>, viewed 6 September 2020, &lt;</w:t>
      </w:r>
      <w:hyperlink r:id="rId31" w:history="1">
        <w:r w:rsidRPr="00083316">
          <w:rPr>
            <w:rStyle w:val="Hyperlink"/>
          </w:rPr>
          <w:t>https://www.aihw.gov.au/reports/housing-assistance/housing-assistance-in-australia-2020/data</w:t>
        </w:r>
      </w:hyperlink>
      <w:r>
        <w:t>&gt;.</w:t>
      </w:r>
    </w:p>
  </w:footnote>
  <w:footnote w:id="42">
    <w:p w14:paraId="6615224D" w14:textId="6D09EF86" w:rsidR="001203BB" w:rsidRDefault="001203BB">
      <w:pPr>
        <w:pStyle w:val="FootnoteText"/>
      </w:pPr>
      <w:r w:rsidRPr="00F11664">
        <w:footnoteRef/>
      </w:r>
      <w:r w:rsidRPr="00F11664">
        <w:t xml:space="preserve"> </w:t>
      </w:r>
      <w:r w:rsidR="00F11664">
        <w:tab/>
      </w:r>
      <w:r w:rsidR="008F3799">
        <w:t xml:space="preserve">Own calculations based on: </w:t>
      </w:r>
      <w:r w:rsidR="008F3799" w:rsidRPr="008F3799">
        <w:t xml:space="preserve">AIHW, </w:t>
      </w:r>
      <w:r w:rsidR="008F3799" w:rsidRPr="008F3799">
        <w:rPr>
          <w:i/>
          <w:iCs/>
        </w:rPr>
        <w:t>Housing assistance in Australia 2020</w:t>
      </w:r>
      <w:r w:rsidR="008F3799" w:rsidRPr="008F3799">
        <w:t>, AIHW, Canberra, 2020, Data tables: Social housing households, Table DWELLINGS.2: Dwellings, by social housing program and states and territories, at 30 June 2014 to 2019</w:t>
      </w:r>
      <w:r w:rsidR="009C4081">
        <w:t xml:space="preserve">; </w:t>
      </w:r>
      <w:r w:rsidR="000843AD">
        <w:t xml:space="preserve">ABS, </w:t>
      </w:r>
      <w:r w:rsidR="000843AD" w:rsidRPr="006F5BED">
        <w:rPr>
          <w:i/>
          <w:iCs/>
        </w:rPr>
        <w:t>3101.0 - Australian Demographic Statistics, Jun 2016, 2017, 2018, 2019</w:t>
      </w:r>
      <w:r w:rsidR="000843AD">
        <w:t xml:space="preserve">, </w:t>
      </w:r>
      <w:r w:rsidR="006F5BED">
        <w:t xml:space="preserve">ABS, Canberra, 2016-2019; </w:t>
      </w:r>
      <w:r w:rsidR="00F93CC9">
        <w:t xml:space="preserve">ABS, </w:t>
      </w:r>
      <w:r w:rsidR="00DC782B" w:rsidRPr="00F93CC9">
        <w:rPr>
          <w:i/>
          <w:iCs/>
        </w:rPr>
        <w:t>3236.0 - Household and Family Projections, Australia, 2016 to 2041</w:t>
      </w:r>
      <w:r w:rsidR="00DC782B">
        <w:t xml:space="preserve">, ABS, Canberra, 2019, </w:t>
      </w:r>
      <w:r w:rsidR="00A116AD">
        <w:t>Series II</w:t>
      </w:r>
      <w:r w:rsidR="00F93CC9">
        <w:t>.</w:t>
      </w:r>
    </w:p>
  </w:footnote>
  <w:footnote w:id="43">
    <w:p w14:paraId="1C88C9DC" w14:textId="6B8DB91C" w:rsidR="00F93CC9" w:rsidRDefault="00F93CC9">
      <w:pPr>
        <w:pStyle w:val="FootnoteText"/>
      </w:pPr>
      <w:r w:rsidRPr="00B246AC">
        <w:footnoteRef/>
      </w:r>
      <w:r w:rsidRPr="00B246AC">
        <w:t xml:space="preserve"> </w:t>
      </w:r>
      <w:r w:rsidR="00B246AC">
        <w:tab/>
      </w:r>
      <w:r w:rsidRPr="00F93CC9">
        <w:t xml:space="preserve">Own calculations based on: AIHW, </w:t>
      </w:r>
      <w:r w:rsidRPr="00F93CC9">
        <w:rPr>
          <w:i/>
          <w:iCs/>
        </w:rPr>
        <w:t>Housing assistance in Australia 2020</w:t>
      </w:r>
      <w:r w:rsidRPr="00F93CC9">
        <w:t xml:space="preserve">, AIHW, Canberra, 2020, Data tables: Social housing households, Table DWELLINGS.2: Dwellings, by social housing program and states and territories, at 30 June 2014 to 2019; ABS, </w:t>
      </w:r>
      <w:r w:rsidRPr="00F93CC9">
        <w:rPr>
          <w:i/>
          <w:iCs/>
        </w:rPr>
        <w:t>3101.0 - Australian Demographic Statistics, Jun 2016, 2017, 2018, 2019</w:t>
      </w:r>
      <w:r w:rsidRPr="00F93CC9">
        <w:t xml:space="preserve">, ABS, Canberra, 2016-2019; ABS, </w:t>
      </w:r>
      <w:r w:rsidRPr="00F93CC9">
        <w:rPr>
          <w:i/>
          <w:iCs/>
        </w:rPr>
        <w:t>3236.0 - Household and Family Projections, Australia, 2016 to 2041</w:t>
      </w:r>
      <w:r w:rsidRPr="00F93CC9">
        <w:t>, ABS, Canberra, 2019, Series II.</w:t>
      </w:r>
    </w:p>
  </w:footnote>
  <w:footnote w:id="44">
    <w:p w14:paraId="4D1A7C10" w14:textId="7AC618B2" w:rsidR="003C4117" w:rsidRDefault="003C4117" w:rsidP="00C04646">
      <w:pPr>
        <w:pStyle w:val="FootnoteText"/>
        <w:ind w:right="-143"/>
      </w:pPr>
      <w:r w:rsidRPr="00B246AC">
        <w:footnoteRef/>
      </w:r>
      <w:r w:rsidRPr="00B246AC">
        <w:t xml:space="preserve"> </w:t>
      </w:r>
      <w:r w:rsidR="00B246AC">
        <w:tab/>
      </w:r>
      <w:r>
        <w:t xml:space="preserve">ABS, </w:t>
      </w:r>
      <w:r w:rsidRPr="00AF3960">
        <w:rPr>
          <w:i/>
          <w:iCs/>
        </w:rPr>
        <w:t>2049.0 - Census of Population and Housing: Estimating homelessness, 2016</w:t>
      </w:r>
      <w:r>
        <w:t>, ABS, Canberra, 2018, viewed 7 September 2020, &lt;</w:t>
      </w:r>
      <w:hyperlink r:id="rId32" w:history="1">
        <w:r w:rsidRPr="00B246AC">
          <w:rPr>
            <w:rStyle w:val="Hyperlink"/>
          </w:rPr>
          <w:t>https://www.abs.gov.au/AUSSTATS/abs@.nsf/Lookup/2049.0Main+Features12016?OpenDocument</w:t>
        </w:r>
      </w:hyperlink>
      <w:r>
        <w:t xml:space="preserve">&gt;. </w:t>
      </w:r>
    </w:p>
  </w:footnote>
  <w:footnote w:id="45">
    <w:p w14:paraId="0C16418A" w14:textId="25B7852D" w:rsidR="003C4117" w:rsidRDefault="003C4117" w:rsidP="003C4117">
      <w:pPr>
        <w:pStyle w:val="FootnoteText"/>
      </w:pPr>
      <w:r w:rsidRPr="00D96D40">
        <w:footnoteRef/>
      </w:r>
      <w:r w:rsidRPr="00D96D40">
        <w:t xml:space="preserve"> </w:t>
      </w:r>
      <w:r w:rsidR="00D96D40">
        <w:tab/>
      </w:r>
      <w:r w:rsidRPr="00706D49">
        <w:t>J Lawson, H Pawson,</w:t>
      </w:r>
      <w:r w:rsidR="00D96D40">
        <w:t xml:space="preserve"> </w:t>
      </w:r>
      <w:r w:rsidRPr="00706D49">
        <w:t xml:space="preserve">L Troy, R van den Nouwelant </w:t>
      </w:r>
      <w:r w:rsidR="00D96D40">
        <w:t>and</w:t>
      </w:r>
      <w:r w:rsidRPr="00706D49">
        <w:t xml:space="preserve"> C Hamilton, </w:t>
      </w:r>
      <w:r w:rsidRPr="00706D49">
        <w:rPr>
          <w:i/>
          <w:iCs/>
        </w:rPr>
        <w:t>Social housing as infrastructure: an investment pathway</w:t>
      </w:r>
      <w:r w:rsidRPr="00706D49">
        <w:t>, AHURI Final Report 306, Australian Housing and Urban Research Institute Limited, Melbourne, 2018, p. 63, &lt;</w:t>
      </w:r>
      <w:hyperlink r:id="rId33" w:history="1">
        <w:r w:rsidRPr="00D96D40">
          <w:rPr>
            <w:rStyle w:val="Hyperlink"/>
          </w:rPr>
          <w:t>http://www.ahuri.edu.au/research/final-reports/306</w:t>
        </w:r>
      </w:hyperlink>
      <w:r w:rsidRPr="00706D49">
        <w:t>&gt;.</w:t>
      </w:r>
    </w:p>
  </w:footnote>
  <w:footnote w:id="46">
    <w:p w14:paraId="448C0D6C" w14:textId="75C8AB48" w:rsidR="00F10A85" w:rsidRDefault="00F10A85" w:rsidP="00F10A85">
      <w:pPr>
        <w:pStyle w:val="FootnoteText"/>
      </w:pPr>
      <w:r w:rsidRPr="00D96D40">
        <w:footnoteRef/>
      </w:r>
      <w:r w:rsidRPr="00D96D40">
        <w:t xml:space="preserve"> </w:t>
      </w:r>
      <w:r w:rsidR="00D96D40">
        <w:tab/>
      </w:r>
      <w:r>
        <w:t xml:space="preserve">Community Services Directorate, </w:t>
      </w:r>
      <w:r w:rsidRPr="00D302FA">
        <w:rPr>
          <w:i/>
          <w:iCs/>
        </w:rPr>
        <w:t>Social housing waiting list</w:t>
      </w:r>
      <w:r>
        <w:t>, Community Services Directorate, Canberra, 2020, viewed 6 September 2020, &lt;</w:t>
      </w:r>
      <w:hyperlink r:id="rId34" w:history="1">
        <w:r w:rsidRPr="00D96D40">
          <w:rPr>
            <w:rStyle w:val="Hyperlink"/>
          </w:rPr>
          <w:t>https://www.communityservices.act.gov.au/hcs/services/social_housing/waiting_lists</w:t>
        </w:r>
      </w:hyperlink>
      <w:r>
        <w:t xml:space="preserve">&gt;. </w:t>
      </w:r>
    </w:p>
  </w:footnote>
  <w:footnote w:id="47">
    <w:p w14:paraId="0927EA35" w14:textId="7B3D4186" w:rsidR="000D0E21" w:rsidRDefault="000D0E21">
      <w:pPr>
        <w:pStyle w:val="FootnoteText"/>
      </w:pPr>
      <w:r w:rsidRPr="00D96D40">
        <w:footnoteRef/>
      </w:r>
      <w:r w:rsidRPr="00D96D40">
        <w:t xml:space="preserve"> </w:t>
      </w:r>
      <w:r w:rsidR="00D96D40">
        <w:tab/>
      </w:r>
      <w:r>
        <w:t xml:space="preserve">D Prentice </w:t>
      </w:r>
      <w:r w:rsidR="00D96D40">
        <w:t>and</w:t>
      </w:r>
      <w:r>
        <w:t xml:space="preserve"> R Scutella, </w:t>
      </w:r>
      <w:r w:rsidRPr="00E06CB1">
        <w:rPr>
          <w:i/>
          <w:iCs/>
        </w:rPr>
        <w:t>What are the impacts of living in social housing?</w:t>
      </w:r>
      <w:r>
        <w:t>, Technical Paper No. 1/18, Infrastructure Victoria, Melbourne, 2018, viewed 5 September 2020, &lt;</w:t>
      </w:r>
      <w:hyperlink r:id="rId35" w:history="1">
        <w:r w:rsidRPr="00D96D40">
          <w:rPr>
            <w:rStyle w:val="Hyperlink"/>
          </w:rPr>
          <w:t>https://www.infrastructurevictoria.com.au/wp-content/uploads/2019/04/Infrastructure-Victoria-Technical-Paper-–-What-are-the-impacts-of-living-in-social-housing-May-2018.pdf</w:t>
        </w:r>
      </w:hyperlink>
      <w:r>
        <w:t>&gt;.</w:t>
      </w:r>
    </w:p>
  </w:footnote>
  <w:footnote w:id="48">
    <w:p w14:paraId="283A52B9" w14:textId="33543D1C" w:rsidR="000D0E21" w:rsidRDefault="000D0E21">
      <w:pPr>
        <w:pStyle w:val="FootnoteText"/>
      </w:pPr>
      <w:r w:rsidRPr="00D96D40">
        <w:footnoteRef/>
      </w:r>
      <w:r w:rsidRPr="00D96D40">
        <w:t xml:space="preserve"> </w:t>
      </w:r>
      <w:r w:rsidR="00D96D40">
        <w:tab/>
      </w:r>
      <w:r>
        <w:t xml:space="preserve">KPMG, </w:t>
      </w:r>
      <w:r w:rsidRPr="00581195">
        <w:rPr>
          <w:i/>
          <w:iCs/>
        </w:rPr>
        <w:t>Housing Ministers’ Advisory Committee Social Housing Initiative Review</w:t>
      </w:r>
      <w:r>
        <w:t>, KPMG, Melbourne, 2012, viewed 5 September 2020, &lt;</w:t>
      </w:r>
      <w:hyperlink r:id="rId36" w:history="1">
        <w:r w:rsidRPr="00444B82">
          <w:rPr>
            <w:rStyle w:val="Hyperlink"/>
          </w:rPr>
          <w:t>http://www.nwhn.net.au/admin/file/content101/c6/social_housing_initiative_review.pdf</w:t>
        </w:r>
      </w:hyperlink>
      <w:r>
        <w:t>&gt;.</w:t>
      </w:r>
    </w:p>
  </w:footnote>
  <w:footnote w:id="49">
    <w:p w14:paraId="77AFD7AA" w14:textId="2D7C55DD" w:rsidR="000D0E21" w:rsidRDefault="000D0E21">
      <w:pPr>
        <w:pStyle w:val="FootnoteText"/>
      </w:pPr>
      <w:r w:rsidRPr="00D96D40">
        <w:footnoteRef/>
      </w:r>
      <w:r w:rsidRPr="00D96D40">
        <w:t xml:space="preserve"> </w:t>
      </w:r>
      <w:r w:rsidR="00D96D40">
        <w:tab/>
      </w:r>
      <w:r w:rsidRPr="007E3D48">
        <w:t xml:space="preserve">ACTCOSS, </w:t>
      </w:r>
      <w:r w:rsidRPr="007E3D48">
        <w:rPr>
          <w:i/>
          <w:iCs/>
        </w:rPr>
        <w:t>Food security, food assistance and the affordability of healthy food in Canberra</w:t>
      </w:r>
      <w:r w:rsidRPr="007E3D48">
        <w:t>, ACTCOSS, Canberra, 2019,</w:t>
      </w:r>
      <w:r>
        <w:t xml:space="preserve"> pp. 26-7,</w:t>
      </w:r>
      <w:r w:rsidRPr="007E3D48">
        <w:t xml:space="preserve"> viewed 7 September 2020, &lt;</w:t>
      </w:r>
      <w:hyperlink r:id="rId37" w:history="1">
        <w:r w:rsidRPr="00DD6C7B">
          <w:rPr>
            <w:rStyle w:val="Hyperlink"/>
          </w:rPr>
          <w:t>https://www.actcoss.org.au/publications/advocacy-publications/report-food-security-food-assistance-and-affordability-healthy</w:t>
        </w:r>
      </w:hyperlink>
      <w:r w:rsidRPr="007E3D48">
        <w:t>&gt;</w:t>
      </w:r>
      <w:r w:rsidR="00DD6C7B">
        <w:t>.</w:t>
      </w:r>
    </w:p>
  </w:footnote>
  <w:footnote w:id="50">
    <w:p w14:paraId="7F3CB33C" w14:textId="6FC66DF2" w:rsidR="000D0E21" w:rsidRDefault="000D0E21">
      <w:pPr>
        <w:pStyle w:val="FootnoteText"/>
      </w:pPr>
      <w:r w:rsidRPr="00ED6229">
        <w:footnoteRef/>
      </w:r>
      <w:r w:rsidRPr="00ED6229">
        <w:t xml:space="preserve"> </w:t>
      </w:r>
      <w:r w:rsidR="00ED6229">
        <w:tab/>
      </w:r>
      <w:r w:rsidRPr="00ED6229">
        <w:t>ABS</w:t>
      </w:r>
      <w:r>
        <w:t xml:space="preserve">, </w:t>
      </w:r>
      <w:r w:rsidRPr="00A41E24">
        <w:rPr>
          <w:i/>
          <w:iCs/>
        </w:rPr>
        <w:t>4130.0 - Housing Occupancy and Costs, 2017-18</w:t>
      </w:r>
      <w:r>
        <w:t>, ABS, Canberra, 2020, Summary: States and Territories, viewed 6 September 2020, &lt;</w:t>
      </w:r>
      <w:hyperlink r:id="rId38" w:history="1">
        <w:r w:rsidRPr="00ED6229">
          <w:rPr>
            <w:rStyle w:val="Hyperlink"/>
          </w:rPr>
          <w:t>https://www.abs.gov.au/ausstats/abs@.nsf/Lookup/by%20Subject/4130.0~2017-18~Main%20Features~States%20and%20Territories~9</w:t>
        </w:r>
      </w:hyperlink>
      <w:r>
        <w:t>&gt;.</w:t>
      </w:r>
    </w:p>
  </w:footnote>
  <w:footnote w:id="51">
    <w:p w14:paraId="123CC182" w14:textId="4F30D98E" w:rsidR="000D0E21" w:rsidRDefault="000D0E21">
      <w:pPr>
        <w:pStyle w:val="FootnoteText"/>
      </w:pPr>
      <w:r w:rsidRPr="00ED6229">
        <w:footnoteRef/>
      </w:r>
      <w:r w:rsidRPr="00ED6229">
        <w:t xml:space="preserve"> </w:t>
      </w:r>
      <w:r w:rsidR="00ED6229">
        <w:tab/>
      </w:r>
      <w:r w:rsidRPr="00325BAC">
        <w:t xml:space="preserve">ABS, </w:t>
      </w:r>
      <w:r w:rsidRPr="00325BAC">
        <w:rPr>
          <w:i/>
          <w:iCs/>
        </w:rPr>
        <w:t>4130.0 - Housing Occupancy and Costs</w:t>
      </w:r>
      <w:r w:rsidRPr="00325BAC">
        <w:t xml:space="preserve">, 2017-18, ABS, Canberra, 2019, </w:t>
      </w:r>
      <w:r w:rsidRPr="004A3846">
        <w:t>Table 8.5 HOUSEHOLD ESTIMATES, State a</w:t>
      </w:r>
      <w:r w:rsidR="00074549">
        <w:t>3</w:t>
      </w:r>
      <w:r w:rsidRPr="004A3846">
        <w:t>nd territory, By selected household characteristics, Lower income households</w:t>
      </w:r>
      <w:r w:rsidRPr="00325BAC">
        <w:t>, viewed 5 September 2020, &lt;</w:t>
      </w:r>
      <w:hyperlink r:id="rId39" w:history="1">
        <w:r w:rsidRPr="00ED6229">
          <w:rPr>
            <w:rStyle w:val="Hyperlink"/>
          </w:rPr>
          <w:t>https://www.abs.gov.au/ausstats/abs@.nsf/mf/4130.0</w:t>
        </w:r>
      </w:hyperlink>
      <w:r w:rsidRPr="00325BAC">
        <w:t>&gt;.</w:t>
      </w:r>
    </w:p>
  </w:footnote>
  <w:footnote w:id="52">
    <w:p w14:paraId="1E190390" w14:textId="6071F5AD" w:rsidR="000D0E21" w:rsidRDefault="000D0E21">
      <w:pPr>
        <w:pStyle w:val="FootnoteText"/>
      </w:pPr>
      <w:r w:rsidRPr="00ED6229">
        <w:footnoteRef/>
      </w:r>
      <w:r w:rsidRPr="00ED6229">
        <w:t xml:space="preserve"> </w:t>
      </w:r>
      <w:r w:rsidR="00ED6229">
        <w:tab/>
      </w:r>
      <w:r w:rsidRPr="00ED6229">
        <w:t>ibid</w:t>
      </w:r>
      <w:r>
        <w:t xml:space="preserve">. </w:t>
      </w:r>
    </w:p>
  </w:footnote>
  <w:footnote w:id="53">
    <w:p w14:paraId="049F7693" w14:textId="68612036" w:rsidR="000D0E21" w:rsidRDefault="000D0E21">
      <w:pPr>
        <w:pStyle w:val="FootnoteText"/>
      </w:pPr>
      <w:r w:rsidRPr="00ED6229">
        <w:footnoteRef/>
      </w:r>
      <w:r w:rsidRPr="00ED6229">
        <w:t xml:space="preserve"> </w:t>
      </w:r>
      <w:r w:rsidR="00ED6229">
        <w:tab/>
      </w:r>
      <w:r w:rsidRPr="00ED6229">
        <w:t>ACT</w:t>
      </w:r>
      <w:r>
        <w:t xml:space="preserve"> Treasury, </w:t>
      </w:r>
      <w:r w:rsidRPr="00CB1EC7">
        <w:rPr>
          <w:i/>
          <w:iCs/>
        </w:rPr>
        <w:t>Tax reform</w:t>
      </w:r>
      <w:r>
        <w:rPr>
          <w:i/>
          <w:iCs/>
        </w:rPr>
        <w:t xml:space="preserve"> – </w:t>
      </w:r>
      <w:r w:rsidRPr="00CB1EC7">
        <w:rPr>
          <w:i/>
          <w:iCs/>
        </w:rPr>
        <w:t>Impacts and outcomes of the Government's tax reform program</w:t>
      </w:r>
      <w:r>
        <w:t>, ACT Treasury, Canberra,</w:t>
      </w:r>
      <w:r w:rsidR="00257043">
        <w:t xml:space="preserve"> n.d.,</w:t>
      </w:r>
      <w:r>
        <w:t xml:space="preserve"> viewed 6 September 2020, &lt;</w:t>
      </w:r>
      <w:hyperlink r:id="rId40" w:history="1">
        <w:r w:rsidRPr="00ED6229">
          <w:rPr>
            <w:rStyle w:val="Hyperlink"/>
          </w:rPr>
          <w:t>https://apps.treasury.act.gov.au/taxreform</w:t>
        </w:r>
      </w:hyperlink>
      <w:r>
        <w:t>&gt;.</w:t>
      </w:r>
    </w:p>
  </w:footnote>
  <w:footnote w:id="54">
    <w:p w14:paraId="1BE1F53E" w14:textId="7A5F2D21" w:rsidR="000D0E21" w:rsidRDefault="000D0E21" w:rsidP="00DA00D1">
      <w:pPr>
        <w:pStyle w:val="FootnoteText"/>
      </w:pPr>
      <w:r w:rsidRPr="00EB1227">
        <w:footnoteRef/>
      </w:r>
      <w:r w:rsidRPr="00EB1227">
        <w:t xml:space="preserve"> </w:t>
      </w:r>
      <w:r w:rsidR="00EB1227">
        <w:tab/>
      </w:r>
      <w:r>
        <w:t xml:space="preserve">Tax and Transfer Policy Institute (TTPI), Australian National University &amp; National Centre for Social and Economic Modelling (NATSEM), University of Canberra, </w:t>
      </w:r>
      <w:r w:rsidRPr="00ED16FD">
        <w:rPr>
          <w:i/>
          <w:iCs/>
        </w:rPr>
        <w:t>Analysis of the Impacts and Outcomes of the ACT Tax Reform</w:t>
      </w:r>
      <w:r>
        <w:t xml:space="preserve">, TTPI </w:t>
      </w:r>
      <w:r w:rsidR="00EB1227">
        <w:t>and</w:t>
      </w:r>
      <w:r>
        <w:t xml:space="preserve"> NATSEM, Canberra, 2020, viewed 6 September 2020, &lt;</w:t>
      </w:r>
      <w:hyperlink r:id="rId41" w:history="1">
        <w:r w:rsidRPr="00EB1227">
          <w:rPr>
            <w:rStyle w:val="Hyperlink"/>
          </w:rPr>
          <w:t>https://apps.treasury.act.gov.au/taxreform</w:t>
        </w:r>
      </w:hyperlink>
      <w:r>
        <w:t>&gt;.</w:t>
      </w:r>
    </w:p>
  </w:footnote>
  <w:footnote w:id="55">
    <w:p w14:paraId="4F968074" w14:textId="4E48D76B" w:rsidR="000D0E21" w:rsidRDefault="000D0E21">
      <w:pPr>
        <w:pStyle w:val="FootnoteText"/>
      </w:pPr>
      <w:r w:rsidRPr="00EB1227">
        <w:footnoteRef/>
      </w:r>
      <w:r w:rsidRPr="00EB1227">
        <w:t xml:space="preserve"> </w:t>
      </w:r>
      <w:r w:rsidR="00EB1227">
        <w:tab/>
      </w:r>
      <w:r w:rsidR="00682CDD" w:rsidRPr="00EB1227">
        <w:t>i</w:t>
      </w:r>
      <w:r w:rsidRPr="00EB1227">
        <w:t>bid</w:t>
      </w:r>
      <w:r>
        <w:t>, p. 18.</w:t>
      </w:r>
    </w:p>
  </w:footnote>
  <w:footnote w:id="56">
    <w:p w14:paraId="1A0E1F45" w14:textId="391C04A3" w:rsidR="000574C4" w:rsidRDefault="000574C4">
      <w:pPr>
        <w:pStyle w:val="FootnoteText"/>
      </w:pPr>
      <w:r w:rsidRPr="00EB1227">
        <w:footnoteRef/>
      </w:r>
      <w:r w:rsidRPr="00EB1227">
        <w:t xml:space="preserve"> </w:t>
      </w:r>
      <w:r w:rsidR="00EB1227">
        <w:tab/>
      </w:r>
      <w:r w:rsidR="00682CDD" w:rsidRPr="00EB1227">
        <w:t>ibid</w:t>
      </w:r>
      <w:r>
        <w:t xml:space="preserve">, p. </w:t>
      </w:r>
      <w:r w:rsidR="00682CDD">
        <w:t>21.</w:t>
      </w:r>
    </w:p>
  </w:footnote>
  <w:footnote w:id="57">
    <w:p w14:paraId="6717EC5D" w14:textId="41881E4D" w:rsidR="000D0E21" w:rsidRDefault="000D0E21">
      <w:pPr>
        <w:pStyle w:val="FootnoteText"/>
      </w:pPr>
      <w:r w:rsidRPr="00EB1227">
        <w:footnoteRef/>
      </w:r>
      <w:r w:rsidRPr="00EB1227">
        <w:t xml:space="preserve"> </w:t>
      </w:r>
      <w:r w:rsidR="00EB1227">
        <w:tab/>
      </w:r>
      <w:r w:rsidR="00682CDD" w:rsidRPr="00EB1227">
        <w:t>i</w:t>
      </w:r>
      <w:r w:rsidRPr="00EB1227">
        <w:t>bid</w:t>
      </w:r>
      <w:r>
        <w:t>, p. 67.</w:t>
      </w:r>
    </w:p>
  </w:footnote>
  <w:footnote w:id="58">
    <w:p w14:paraId="5B224A5A" w14:textId="3102BCC3" w:rsidR="002216EB" w:rsidRDefault="002216EB">
      <w:pPr>
        <w:pStyle w:val="FootnoteText"/>
      </w:pPr>
      <w:r w:rsidRPr="00EB1227">
        <w:footnoteRef/>
      </w:r>
      <w:r w:rsidRPr="00EB1227">
        <w:t xml:space="preserve"> </w:t>
      </w:r>
      <w:r w:rsidR="00EB1227">
        <w:tab/>
      </w:r>
      <w:r w:rsidR="00650D4B" w:rsidRPr="00EB1227">
        <w:t>ibid</w:t>
      </w:r>
      <w:r>
        <w:t xml:space="preserve">, p. </w:t>
      </w:r>
      <w:r w:rsidR="00650D4B">
        <w:t>21.</w:t>
      </w:r>
    </w:p>
  </w:footnote>
  <w:footnote w:id="59">
    <w:p w14:paraId="4E19CBFA" w14:textId="0633C80E" w:rsidR="00914950" w:rsidRDefault="00914950">
      <w:pPr>
        <w:pStyle w:val="FootnoteText"/>
      </w:pPr>
      <w:r w:rsidRPr="0033369D">
        <w:footnoteRef/>
      </w:r>
      <w:r w:rsidRPr="0033369D">
        <w:t xml:space="preserve"> </w:t>
      </w:r>
      <w:r w:rsidR="0033369D">
        <w:tab/>
      </w:r>
      <w:r w:rsidR="0033369D" w:rsidRPr="00EB1227">
        <w:t>ibid</w:t>
      </w:r>
      <w:r w:rsidR="0033369D">
        <w:t>, p. 18.</w:t>
      </w:r>
    </w:p>
  </w:footnote>
  <w:footnote w:id="60">
    <w:p w14:paraId="3FD94378" w14:textId="7477B27F" w:rsidR="001302D3" w:rsidRDefault="001302D3">
      <w:pPr>
        <w:pStyle w:val="FootnoteText"/>
      </w:pPr>
      <w:r w:rsidRPr="000537BE">
        <w:footnoteRef/>
      </w:r>
      <w:r w:rsidRPr="000537BE">
        <w:t xml:space="preserve"> </w:t>
      </w:r>
      <w:r w:rsidR="000537BE">
        <w:tab/>
      </w:r>
      <w:r w:rsidRPr="000537BE">
        <w:t>Tax</w:t>
      </w:r>
      <w:r w:rsidRPr="001302D3">
        <w:t xml:space="preserve"> and Transfer Policy Institute (TTPI), Australian National University &amp; National Centre for Social and Economic Modelling (NATSEM), University of Canberra, </w:t>
      </w:r>
      <w:r w:rsidRPr="001302D3">
        <w:rPr>
          <w:i/>
          <w:iCs/>
        </w:rPr>
        <w:t>Analysis of the Impacts and Outcomes of the ACT Tax Reform</w:t>
      </w:r>
      <w:r w:rsidRPr="001302D3">
        <w:t>, TTPI &amp; NATSEM, Canberra, 2020, viewed 6 September 2020, &lt;</w:t>
      </w:r>
      <w:hyperlink r:id="rId42" w:history="1">
        <w:r w:rsidRPr="000537BE">
          <w:rPr>
            <w:rStyle w:val="Hyperlink"/>
          </w:rPr>
          <w:t>https://apps.treasury.act.gov.au/taxreform</w:t>
        </w:r>
      </w:hyperlink>
      <w:r w:rsidRPr="001302D3">
        <w:t>&gt;.</w:t>
      </w:r>
    </w:p>
  </w:footnote>
  <w:footnote w:id="61">
    <w:p w14:paraId="36845D6A" w14:textId="4AC9D791" w:rsidR="000D0E21" w:rsidRDefault="000D0E21">
      <w:pPr>
        <w:pStyle w:val="FootnoteText"/>
      </w:pPr>
      <w:r w:rsidRPr="000537BE">
        <w:footnoteRef/>
      </w:r>
      <w:r w:rsidRPr="000537BE">
        <w:t xml:space="preserve"> </w:t>
      </w:r>
      <w:r w:rsidR="000537BE">
        <w:tab/>
      </w:r>
      <w:r w:rsidRPr="000537BE">
        <w:t>ACT</w:t>
      </w:r>
      <w:r>
        <w:t xml:space="preserve"> Treasury, </w:t>
      </w:r>
      <w:r w:rsidRPr="00B1295C">
        <w:rPr>
          <w:i/>
          <w:iCs/>
        </w:rPr>
        <w:t>Socio Economic Analysis on Taxation and Concessions Policy</w:t>
      </w:r>
      <w:r>
        <w:t>, ACT Treasury, Canberra, 2019, viewed 6 September 2020, &lt;</w:t>
      </w:r>
      <w:hyperlink r:id="rId43" w:history="1">
        <w:r w:rsidRPr="000537BE">
          <w:rPr>
            <w:rStyle w:val="Hyperlink"/>
          </w:rPr>
          <w:t>https://apps.treasury.act.gov.au/budget/budget-2019-20/budget-papers</w:t>
        </w:r>
      </w:hyperlink>
      <w:r>
        <w:t>&gt;.</w:t>
      </w:r>
    </w:p>
  </w:footnote>
  <w:footnote w:id="62">
    <w:p w14:paraId="7C12C7AE" w14:textId="0365A2E4" w:rsidR="000D0E21" w:rsidRDefault="000D0E21">
      <w:pPr>
        <w:pStyle w:val="FootnoteText"/>
      </w:pPr>
      <w:r w:rsidRPr="000537BE">
        <w:footnoteRef/>
      </w:r>
      <w:r w:rsidRPr="000537BE">
        <w:t xml:space="preserve"> </w:t>
      </w:r>
      <w:r w:rsidR="000537BE">
        <w:tab/>
      </w:r>
      <w:r>
        <w:t xml:space="preserve">ACT Revenue Office, </w:t>
      </w:r>
      <w:r w:rsidRPr="00AB72C6">
        <w:rPr>
          <w:i/>
          <w:iCs/>
        </w:rPr>
        <w:t>Rates assistance – 1. Pensioner</w:t>
      </w:r>
      <w:r>
        <w:t>, ACT Revenue Office, Canberra, 2020, viewed 6 September 2020, &lt;</w:t>
      </w:r>
      <w:hyperlink r:id="rId44" w:history="1">
        <w:r w:rsidRPr="000537BE">
          <w:rPr>
            <w:rStyle w:val="Hyperlink"/>
          </w:rPr>
          <w:t>https://www.revenue.act.gov.au/home-owner-assistance/rates-assistance?result_1060955_result_page=1</w:t>
        </w:r>
      </w:hyperlink>
      <w:r>
        <w:t>&gt;.</w:t>
      </w:r>
    </w:p>
  </w:footnote>
  <w:footnote w:id="63">
    <w:p w14:paraId="0E34282F" w14:textId="49888544" w:rsidR="000D0E21" w:rsidRDefault="000D0E21">
      <w:pPr>
        <w:pStyle w:val="FootnoteText"/>
      </w:pPr>
      <w:r w:rsidRPr="000537BE">
        <w:footnoteRef/>
      </w:r>
      <w:r w:rsidRPr="000537BE">
        <w:t xml:space="preserve"> </w:t>
      </w:r>
      <w:r w:rsidR="000537BE">
        <w:tab/>
      </w:r>
      <w:r w:rsidRPr="000537BE">
        <w:t>ACT</w:t>
      </w:r>
      <w:r>
        <w:t xml:space="preserve"> Revenue Office, </w:t>
      </w:r>
      <w:r w:rsidRPr="006A3D44">
        <w:rPr>
          <w:i/>
          <w:iCs/>
        </w:rPr>
        <w:t>Rates – 4. Pay your rates</w:t>
      </w:r>
      <w:r>
        <w:t>, ACT Revenue Office, Canberra, 2020, viewed 6 September 2020, &lt;</w:t>
      </w:r>
      <w:hyperlink r:id="rId45" w:history="1">
        <w:r w:rsidRPr="000537BE">
          <w:rPr>
            <w:rStyle w:val="Hyperlink"/>
          </w:rPr>
          <w:t>https://www.revenue.act.gov.au/rates?result_1060955_result_page=4</w:t>
        </w:r>
      </w:hyperlink>
      <w:r>
        <w:t>&gt;.</w:t>
      </w:r>
    </w:p>
  </w:footnote>
  <w:footnote w:id="64">
    <w:p w14:paraId="166D5877" w14:textId="27E07F60" w:rsidR="000D0E21" w:rsidRDefault="000D0E21">
      <w:pPr>
        <w:pStyle w:val="FootnoteText"/>
      </w:pPr>
      <w:r w:rsidRPr="00AE0C4F">
        <w:footnoteRef/>
      </w:r>
      <w:r w:rsidRPr="00AE0C4F">
        <w:t xml:space="preserve"> </w:t>
      </w:r>
      <w:r w:rsidR="00AE0C4F">
        <w:tab/>
      </w:r>
      <w:r w:rsidRPr="00766A99">
        <w:t xml:space="preserve">ABS, </w:t>
      </w:r>
      <w:r w:rsidRPr="00766A99">
        <w:rPr>
          <w:i/>
          <w:iCs/>
        </w:rPr>
        <w:t>6401.0 - Consumer Price Index, Australia, Dec 2019</w:t>
      </w:r>
      <w:r w:rsidRPr="00766A99">
        <w:t>, ABS, Canberra, 2020, TABLE 11. CPI: Group, Sub-group and Expenditure Class, Percentage change from previous quarter by Capital City, viewed 7 September 2020, &lt;</w:t>
      </w:r>
      <w:hyperlink r:id="rId46" w:history="1">
        <w:r w:rsidRPr="00AE0C4F">
          <w:rPr>
            <w:rStyle w:val="Hyperlink"/>
          </w:rPr>
          <w:t>https://www.abs.gov.au/AUSSTATS/abs@.nsf/DetailsPage/6401.0Dec%202019?OpenDocument</w:t>
        </w:r>
      </w:hyperlink>
      <w:r w:rsidRPr="00766A99">
        <w:t>&gt;.</w:t>
      </w:r>
    </w:p>
  </w:footnote>
  <w:footnote w:id="65">
    <w:p w14:paraId="2E689F48" w14:textId="2E5F7435" w:rsidR="000D0E21" w:rsidRDefault="000D0E21">
      <w:pPr>
        <w:pStyle w:val="FootnoteText"/>
      </w:pPr>
      <w:r w:rsidRPr="00AE0C4F">
        <w:footnoteRef/>
      </w:r>
      <w:r w:rsidRPr="00AE0C4F">
        <w:t xml:space="preserve"> </w:t>
      </w:r>
      <w:r w:rsidR="00AE0C4F">
        <w:tab/>
      </w:r>
      <w:r w:rsidRPr="00E90F63">
        <w:t xml:space="preserve">Senate Community Affairs Committee, </w:t>
      </w:r>
      <w:r w:rsidRPr="002636DA">
        <w:rPr>
          <w:i/>
          <w:iCs/>
        </w:rPr>
        <w:t>Answers to estimates questions on notice: health portfolio: supplementary budget estimates 2019 – 2020, 23 October 2019</w:t>
      </w:r>
      <w:r w:rsidRPr="00E90F63">
        <w:t xml:space="preserve">, Ref No: SQ19-000826, 2019, </w:t>
      </w:r>
      <w:r>
        <w:t>viewed 5 September 2020, &lt;</w:t>
      </w:r>
      <w:hyperlink r:id="rId47" w:history="1">
        <w:r w:rsidRPr="00AE0C4F">
          <w:rPr>
            <w:rStyle w:val="Hyperlink"/>
          </w:rPr>
          <w:t>https://www1.racgp.org.au/RACGP/media/AJGP/documents/Appendices/GP-bulk-billing-rates-by-electorate.pdf</w:t>
        </w:r>
      </w:hyperlink>
      <w:r>
        <w:t>&gt;.</w:t>
      </w:r>
    </w:p>
  </w:footnote>
  <w:footnote w:id="66">
    <w:p w14:paraId="5175AFC7" w14:textId="61A5B393" w:rsidR="000D0E21" w:rsidRDefault="000D0E21">
      <w:pPr>
        <w:pStyle w:val="FootnoteText"/>
      </w:pPr>
      <w:r w:rsidRPr="006E05C0">
        <w:footnoteRef/>
      </w:r>
      <w:r w:rsidRPr="006E05C0">
        <w:t xml:space="preserve"> </w:t>
      </w:r>
      <w:r w:rsidR="006E05C0">
        <w:tab/>
      </w:r>
      <w:r>
        <w:t xml:space="preserve">Department of Health, </w:t>
      </w:r>
      <w:r w:rsidRPr="00AB2E7A">
        <w:rPr>
          <w:i/>
          <w:iCs/>
        </w:rPr>
        <w:t>Annual Medicare Statistics – 2009-10 onwards</w:t>
      </w:r>
      <w:r>
        <w:t>, Table 10. ACT, Department of Health, Canberra, 2020, viewed 5 September 2020, &lt;</w:t>
      </w:r>
      <w:hyperlink r:id="rId48" w:history="1">
        <w:r w:rsidRPr="008E08F3">
          <w:rPr>
            <w:rStyle w:val="Hyperlink"/>
          </w:rPr>
          <w:t>https://www1.health.gov.au/internet/main/publishing.nsf/Content/Annual-Medicare-Statistics</w:t>
        </w:r>
      </w:hyperlink>
      <w:r>
        <w:t xml:space="preserve">&gt;. </w:t>
      </w:r>
    </w:p>
  </w:footnote>
  <w:footnote w:id="67">
    <w:p w14:paraId="02AE533A" w14:textId="3D4EE55F" w:rsidR="000D0E21" w:rsidRDefault="000D0E21">
      <w:pPr>
        <w:pStyle w:val="FootnoteText"/>
      </w:pPr>
      <w:r w:rsidRPr="008E08F3">
        <w:footnoteRef/>
      </w:r>
      <w:r w:rsidRPr="008E08F3">
        <w:t xml:space="preserve"> </w:t>
      </w:r>
      <w:r w:rsidR="008E08F3">
        <w:tab/>
      </w:r>
      <w:r>
        <w:t xml:space="preserve">AIHW, </w:t>
      </w:r>
      <w:r w:rsidRPr="003D4C19">
        <w:rPr>
          <w:i/>
          <w:iCs/>
        </w:rPr>
        <w:t>Patients' out-of-pocket spending on Medicare services 2016–17</w:t>
      </w:r>
      <w:r>
        <w:t xml:space="preserve">, </w:t>
      </w:r>
      <w:r w:rsidRPr="00D53FBE">
        <w:t>Data tables: Patients' out-of-pocket spending on Medicare services, 2016–17</w:t>
      </w:r>
      <w:r>
        <w:t>, Cost barrier-PHN, Canberra, 2018, viewed 5 September 2020, &lt;</w:t>
      </w:r>
      <w:hyperlink r:id="rId49" w:history="1">
        <w:r w:rsidRPr="008E08F3">
          <w:rPr>
            <w:rStyle w:val="Hyperlink"/>
          </w:rPr>
          <w:t>https://www.aihw.gov.au/reports/health-welfare-expenditure/patient-out-pocket-spending-medicare-2016-17/data</w:t>
        </w:r>
      </w:hyperlink>
      <w:r>
        <w:t>&gt;.</w:t>
      </w:r>
    </w:p>
  </w:footnote>
  <w:footnote w:id="68">
    <w:p w14:paraId="3B1E84B4" w14:textId="60C41EB7" w:rsidR="000D0E21" w:rsidRDefault="000D0E21">
      <w:pPr>
        <w:pStyle w:val="FootnoteText"/>
      </w:pPr>
      <w:r w:rsidRPr="001537F6">
        <w:footnoteRef/>
      </w:r>
      <w:r w:rsidRPr="001537F6">
        <w:t xml:space="preserve"> </w:t>
      </w:r>
      <w:r w:rsidR="001537F6">
        <w:tab/>
      </w:r>
      <w:r w:rsidR="001537F6" w:rsidRPr="001537F6">
        <w:t>i</w:t>
      </w:r>
      <w:r w:rsidRPr="001537F6">
        <w:t>bid</w:t>
      </w:r>
      <w:r>
        <w:t>, GP-PHN.</w:t>
      </w:r>
    </w:p>
  </w:footnote>
  <w:footnote w:id="69">
    <w:p w14:paraId="03997421" w14:textId="4A4DAD08" w:rsidR="000D0E21" w:rsidRDefault="000D0E21">
      <w:pPr>
        <w:pStyle w:val="FootnoteText"/>
      </w:pPr>
      <w:r w:rsidRPr="001537F6">
        <w:footnoteRef/>
      </w:r>
      <w:r w:rsidRPr="001537F6">
        <w:t xml:space="preserve"> </w:t>
      </w:r>
      <w:r w:rsidR="001537F6">
        <w:tab/>
      </w:r>
      <w:r w:rsidRPr="0025628E">
        <w:t xml:space="preserve">ACTCOSS, </w:t>
      </w:r>
      <w:r w:rsidRPr="0025628E">
        <w:rPr>
          <w:i/>
          <w:iCs/>
        </w:rPr>
        <w:t>Imagining better: reflections on access, choice and control in ACT health services for people with disability</w:t>
      </w:r>
      <w:r w:rsidRPr="0025628E">
        <w:t xml:space="preserve">, report of the Appreciative Inquiry Project supported by the ACT Office for Disability, </w:t>
      </w:r>
      <w:r>
        <w:t xml:space="preserve">ACTCOSS, Canberra, </w:t>
      </w:r>
      <w:r w:rsidRPr="0025628E">
        <w:t xml:space="preserve">2019, </w:t>
      </w:r>
      <w:r>
        <w:t>viewed 5 September 2020, &lt;</w:t>
      </w:r>
      <w:hyperlink r:id="rId50" w:history="1">
        <w:r w:rsidRPr="001537F6">
          <w:rPr>
            <w:rStyle w:val="Hyperlink"/>
          </w:rPr>
          <w:t>https://www.actcoss.org.au/sites/default/files/public/publications/2019-report-imagining-better-act-health-services-for-people-with-disability.pdf</w:t>
        </w:r>
      </w:hyperlink>
      <w:r>
        <w:t>&gt;. *Not her real name.</w:t>
      </w:r>
    </w:p>
  </w:footnote>
  <w:footnote w:id="70">
    <w:p w14:paraId="09E36A13" w14:textId="56BFC931" w:rsidR="000D0E21" w:rsidRDefault="000D0E21">
      <w:pPr>
        <w:pStyle w:val="FootnoteText"/>
      </w:pPr>
      <w:r w:rsidRPr="00954C72">
        <w:footnoteRef/>
      </w:r>
      <w:r w:rsidRPr="00954C72">
        <w:t xml:space="preserve"> </w:t>
      </w:r>
      <w:r w:rsidR="00954C72">
        <w:tab/>
      </w:r>
      <w:r>
        <w:t xml:space="preserve">ABS, </w:t>
      </w:r>
      <w:r w:rsidRPr="00840558">
        <w:rPr>
          <w:i/>
          <w:iCs/>
        </w:rPr>
        <w:t>6467.0 - Selected Living Cost Indexes, Australia, Dec 2019</w:t>
      </w:r>
      <w:r>
        <w:t>, ABS, Canberra, 2020, viewed 7 September 2020, &lt;</w:t>
      </w:r>
      <w:hyperlink r:id="rId51" w:history="1">
        <w:r w:rsidRPr="00954C72">
          <w:rPr>
            <w:rStyle w:val="Hyperlink"/>
          </w:rPr>
          <w:t>https://www.abs.gov.au/AUSSTATS/abs@.nsf/allprimarymainfeatures/8A87AA80C7CE5445CA25855F00211B90?opendocument</w:t>
        </w:r>
      </w:hyperlink>
      <w:r>
        <w:t>&gt;.</w:t>
      </w:r>
    </w:p>
  </w:footnote>
  <w:footnote w:id="71">
    <w:p w14:paraId="446401E3" w14:textId="0C433B98" w:rsidR="000D0E21" w:rsidRDefault="000D0E21">
      <w:pPr>
        <w:pStyle w:val="FootnoteText"/>
      </w:pPr>
      <w:r w:rsidRPr="00335F6E">
        <w:footnoteRef/>
      </w:r>
      <w:r w:rsidRPr="00335F6E">
        <w:t xml:space="preserve"> </w:t>
      </w:r>
      <w:r w:rsidR="00335F6E">
        <w:tab/>
      </w:r>
      <w:r>
        <w:t xml:space="preserve">ABS, </w:t>
      </w:r>
      <w:r w:rsidRPr="00655454">
        <w:rPr>
          <w:i/>
          <w:iCs/>
        </w:rPr>
        <w:t>6467.0 - Selected Living Cost Indexes, Australia, Jun 2020</w:t>
      </w:r>
      <w:r>
        <w:t>, ABS, Canberra, 2020, viewed 7 September 2020, &lt;</w:t>
      </w:r>
      <w:hyperlink r:id="rId52" w:history="1">
        <w:r w:rsidRPr="00335F6E">
          <w:rPr>
            <w:rStyle w:val="Hyperlink"/>
          </w:rPr>
          <w:t>https://www.abs.gov.au/AUSSTATS/abs@.nsf/allprimarymainfeatures/E592A3A56EBC2B31CA257C130017D2FA?opendocument</w:t>
        </w:r>
      </w:hyperlink>
      <w:r>
        <w:t>&gt;.</w:t>
      </w:r>
    </w:p>
  </w:footnote>
  <w:footnote w:id="72">
    <w:p w14:paraId="6E94A1DC" w14:textId="0112B046" w:rsidR="000D0E21" w:rsidRDefault="000D0E21" w:rsidP="00BE6391">
      <w:pPr>
        <w:pStyle w:val="FootnoteText"/>
      </w:pPr>
      <w:r w:rsidRPr="00071DE6">
        <w:footnoteRef/>
      </w:r>
      <w:r w:rsidRPr="00071DE6">
        <w:t xml:space="preserve"> </w:t>
      </w:r>
      <w:r w:rsidR="00071DE6">
        <w:tab/>
      </w:r>
      <w:r>
        <w:t>Own calculations based on</w:t>
      </w:r>
      <w:r w:rsidR="00E30E2D">
        <w:t>:</w:t>
      </w:r>
      <w:r>
        <w:t xml:space="preserve"> Centrelink, </w:t>
      </w:r>
      <w:r w:rsidRPr="004E049A">
        <w:rPr>
          <w:i/>
          <w:iCs/>
        </w:rPr>
        <w:t>A guide to Australian Government payments, 20 September to 31 December 2018</w:t>
      </w:r>
      <w:r>
        <w:t xml:space="preserve">, Centrelink, Canberra, 2018; </w:t>
      </w:r>
      <w:r w:rsidRPr="00072DE3">
        <w:t xml:space="preserve">Centrelink, </w:t>
      </w:r>
      <w:r w:rsidRPr="004E049A">
        <w:rPr>
          <w:i/>
          <w:iCs/>
        </w:rPr>
        <w:t>A guide to Australian Government payments, 20 September to 31 December 2019</w:t>
      </w:r>
      <w:r w:rsidRPr="00072DE3">
        <w:t>, Centrelink, Canberra, 201</w:t>
      </w:r>
      <w:r>
        <w:t xml:space="preserve">9; Fair Work Commission, </w:t>
      </w:r>
      <w:r w:rsidRPr="004E049A">
        <w:rPr>
          <w:i/>
          <w:iCs/>
        </w:rPr>
        <w:t>National Minimum Wage Order 2018</w:t>
      </w:r>
      <w:r>
        <w:t xml:space="preserve">, Fair Work Commission, Melbourne, 2018; Fair Work Commission, </w:t>
      </w:r>
      <w:r w:rsidRPr="004E049A">
        <w:rPr>
          <w:i/>
          <w:iCs/>
        </w:rPr>
        <w:t>National Minimum Wage Order 2019</w:t>
      </w:r>
      <w:r>
        <w:t xml:space="preserve">, Fair Work Commission, Melbourne, 2019; ABS, </w:t>
      </w:r>
      <w:r w:rsidRPr="004E049A">
        <w:rPr>
          <w:i/>
          <w:iCs/>
        </w:rPr>
        <w:t>6302.0 - Average Weekly Earnings, Australia, Nov 2018</w:t>
      </w:r>
      <w:r>
        <w:t xml:space="preserve">, ABS, Canberra, 2019; </w:t>
      </w:r>
      <w:r w:rsidRPr="00364BE2">
        <w:t xml:space="preserve">ABS, </w:t>
      </w:r>
      <w:r w:rsidRPr="004E049A">
        <w:rPr>
          <w:i/>
          <w:iCs/>
        </w:rPr>
        <w:t>6302.0 - Average Weekly Earnings, Australia, Nov 2019</w:t>
      </w:r>
      <w:r w:rsidRPr="00364BE2">
        <w:t>, ABS, Canberra, 20</w:t>
      </w:r>
      <w:r>
        <w:t>20.</w:t>
      </w:r>
    </w:p>
  </w:footnote>
  <w:footnote w:id="73">
    <w:p w14:paraId="4A1CEB44" w14:textId="5E112D76" w:rsidR="000D0E21" w:rsidRDefault="000D0E21" w:rsidP="00BE6391">
      <w:pPr>
        <w:pStyle w:val="FootnoteText"/>
      </w:pPr>
      <w:r w:rsidRPr="002A448F">
        <w:footnoteRef/>
      </w:r>
      <w:r w:rsidRPr="002A448F">
        <w:t xml:space="preserve"> </w:t>
      </w:r>
      <w:r w:rsidR="002A448F">
        <w:tab/>
      </w:r>
      <w:r>
        <w:t>Own calculations based on</w:t>
      </w:r>
      <w:r w:rsidR="002A448F">
        <w:t>:</w:t>
      </w:r>
      <w:r>
        <w:t xml:space="preserve"> Centrelink, </w:t>
      </w:r>
      <w:r w:rsidRPr="004E049A">
        <w:rPr>
          <w:i/>
          <w:iCs/>
        </w:rPr>
        <w:t>A guide to Australian Government payments, 20 September to 31 December 2018</w:t>
      </w:r>
      <w:r>
        <w:t xml:space="preserve">, Centrelink, Canberra, 2018; </w:t>
      </w:r>
      <w:r w:rsidRPr="00072DE3">
        <w:t xml:space="preserve">Centrelink, </w:t>
      </w:r>
      <w:r w:rsidRPr="004E049A">
        <w:rPr>
          <w:i/>
          <w:iCs/>
        </w:rPr>
        <w:t>A guide to Australian Government payments, 20 September to 31 December 2019</w:t>
      </w:r>
      <w:r w:rsidRPr="00072DE3">
        <w:t>, Centrelink, Canberra, 201</w:t>
      </w:r>
      <w:r>
        <w:t xml:space="preserve">9; Fair Work Commission, </w:t>
      </w:r>
      <w:r w:rsidRPr="004E049A">
        <w:rPr>
          <w:i/>
          <w:iCs/>
        </w:rPr>
        <w:t>National Minimum Wage Order 2018</w:t>
      </w:r>
      <w:r>
        <w:t xml:space="preserve">, Fair Work Commission, Melbourne, 2018; Fair Work Commission, </w:t>
      </w:r>
      <w:r w:rsidRPr="004E049A">
        <w:rPr>
          <w:i/>
          <w:iCs/>
        </w:rPr>
        <w:t>National Minimum Wage Order 2019</w:t>
      </w:r>
      <w:r>
        <w:t xml:space="preserve">, Fair Work Commission, Melbourne, 2019; ABS, </w:t>
      </w:r>
      <w:r w:rsidRPr="004E049A">
        <w:rPr>
          <w:i/>
          <w:iCs/>
        </w:rPr>
        <w:t>6302.0 - Average Weekly Earnings, Australia, Nov 2018</w:t>
      </w:r>
      <w:r>
        <w:t xml:space="preserve">, ABS, Canberra, 2019; </w:t>
      </w:r>
      <w:r w:rsidRPr="00364BE2">
        <w:t xml:space="preserve">ABS, </w:t>
      </w:r>
      <w:r w:rsidRPr="004E049A">
        <w:rPr>
          <w:i/>
          <w:iCs/>
        </w:rPr>
        <w:t>6302.0 - Average Weekly Earnings, Australia, Nov 2019</w:t>
      </w:r>
      <w:r w:rsidRPr="00364BE2">
        <w:t>, ABS, Canberra, 20</w:t>
      </w:r>
      <w:r>
        <w:t>20.</w:t>
      </w:r>
    </w:p>
  </w:footnote>
  <w:footnote w:id="74">
    <w:p w14:paraId="6C81436B" w14:textId="19D44BE3" w:rsidR="000D0E21" w:rsidRDefault="000D0E21">
      <w:pPr>
        <w:pStyle w:val="FootnoteText"/>
      </w:pPr>
      <w:r w:rsidRPr="00765A9F">
        <w:footnoteRef/>
      </w:r>
      <w:r w:rsidRPr="00765A9F">
        <w:t xml:space="preserve"> </w:t>
      </w:r>
      <w:r w:rsidR="00765A9F">
        <w:tab/>
      </w:r>
      <w:r>
        <w:t xml:space="preserve">Services Australia, </w:t>
      </w:r>
      <w:r w:rsidRPr="001F67E3">
        <w:rPr>
          <w:i/>
          <w:iCs/>
        </w:rPr>
        <w:t>Coronavirus Supplement</w:t>
      </w:r>
      <w:r>
        <w:t>, Services Australia, Canberra, 2020, viewed 7 September 2020, &lt;</w:t>
      </w:r>
      <w:hyperlink r:id="rId53" w:history="1">
        <w:r w:rsidRPr="00252013">
          <w:rPr>
            <w:rStyle w:val="Hyperlink"/>
          </w:rPr>
          <w:t>https://www.servicesaustralia.gov.au/individuals/services/centrelink/coronavirus-supplement</w:t>
        </w:r>
      </w:hyperlink>
      <w:r>
        <w:t>&gt;.</w:t>
      </w:r>
    </w:p>
  </w:footnote>
  <w:footnote w:id="75">
    <w:p w14:paraId="2EBF5BAD" w14:textId="1864448A" w:rsidR="000D0E21" w:rsidRDefault="000D0E21" w:rsidP="00700029">
      <w:pPr>
        <w:pStyle w:val="FootnoteText"/>
      </w:pPr>
      <w:r w:rsidRPr="00765A9F">
        <w:footnoteRef/>
      </w:r>
      <w:r w:rsidRPr="00765A9F">
        <w:t xml:space="preserve"> </w:t>
      </w:r>
      <w:r w:rsidR="00765A9F">
        <w:tab/>
      </w:r>
      <w:r>
        <w:t xml:space="preserve">B Phillips, M Gray &amp; N Biddle, </w:t>
      </w:r>
      <w:r w:rsidRPr="00233FD8">
        <w:rPr>
          <w:i/>
          <w:iCs/>
        </w:rPr>
        <w:t>COVID-19 JobKeeper and JobSeeker impacts on poverty and housing stress under current and alternative economic and policy scenarios</w:t>
      </w:r>
      <w:r>
        <w:t xml:space="preserve">, </w:t>
      </w:r>
      <w:r w:rsidRPr="00AD08D0">
        <w:t>ANU Centre for Social Research and Methods</w:t>
      </w:r>
      <w:r>
        <w:t>, Canberra, 2020, p. iv, viewed 7 September 2020, &lt;</w:t>
      </w:r>
      <w:hyperlink r:id="rId54" w:history="1">
        <w:r w:rsidRPr="00D043B2">
          <w:rPr>
            <w:rStyle w:val="Hyperlink"/>
          </w:rPr>
          <w:t>https://csrm.cass.anu.edu.au/sites/default/files/docs/2020/8/Impact_of_Covid19_JobKeeper_and_Jobeeker_measures_on_Poverty_and_Financial_Stress_FINAL.pdf</w:t>
        </w:r>
      </w:hyperlink>
      <w:r>
        <w:t>&gt;.</w:t>
      </w:r>
    </w:p>
  </w:footnote>
  <w:footnote w:id="76">
    <w:p w14:paraId="50A9D6DB" w14:textId="49705AE1" w:rsidR="000D0E21" w:rsidRDefault="000D0E21" w:rsidP="00BE6391">
      <w:pPr>
        <w:pStyle w:val="FootnoteText"/>
      </w:pPr>
      <w:r w:rsidRPr="00765A9F">
        <w:footnoteRef/>
      </w:r>
      <w:r w:rsidRPr="00765A9F">
        <w:t xml:space="preserve"> </w:t>
      </w:r>
      <w:r w:rsidR="00765A9F">
        <w:tab/>
      </w:r>
      <w:r>
        <w:t>Own calculations based on</w:t>
      </w:r>
      <w:r w:rsidR="00765A9F">
        <w:t>:</w:t>
      </w:r>
      <w:r>
        <w:t xml:space="preserve"> </w:t>
      </w:r>
      <w:r w:rsidRPr="007C668D">
        <w:t xml:space="preserve">Centrelink, </w:t>
      </w:r>
      <w:r w:rsidRPr="007C668D">
        <w:rPr>
          <w:i/>
          <w:iCs/>
        </w:rPr>
        <w:t xml:space="preserve">A guide to Australian Government payments, </w:t>
      </w:r>
      <w:r w:rsidRPr="00DF2B6D">
        <w:t>20 September to 31 December 2019</w:t>
      </w:r>
      <w:r>
        <w:t>; 20 March to 30 June 2020; &amp; 1 July to 19 September 2020,</w:t>
      </w:r>
      <w:r w:rsidRPr="007C668D">
        <w:t xml:space="preserve"> Centrelink, Canberra, 2019</w:t>
      </w:r>
      <w:r>
        <w:t>-20</w:t>
      </w:r>
      <w:r w:rsidRPr="007C668D">
        <w:t>;</w:t>
      </w:r>
      <w:r>
        <w:t xml:space="preserve"> </w:t>
      </w:r>
      <w:r w:rsidRPr="00A01FAF">
        <w:t xml:space="preserve">ABS, </w:t>
      </w:r>
      <w:r w:rsidRPr="00A01FAF">
        <w:rPr>
          <w:i/>
          <w:iCs/>
        </w:rPr>
        <w:t>6302.0 - Average Weekly Earnings, Australia, Nov 2019</w:t>
      </w:r>
      <w:r w:rsidRPr="00A01FAF">
        <w:t>, ABS, Canberra, 2020</w:t>
      </w:r>
      <w:r>
        <w:t xml:space="preserve">; &amp; </w:t>
      </w:r>
      <w:r w:rsidRPr="00897274">
        <w:t xml:space="preserve">ACOSS &amp; UNSW, Poverty and Inequality website, </w:t>
      </w:r>
      <w:r w:rsidRPr="00B34FFB">
        <w:rPr>
          <w:i/>
          <w:iCs/>
        </w:rPr>
        <w:t>Data and figures, Poverty lines by family type</w:t>
      </w:r>
      <w:r w:rsidRPr="00897274">
        <w:t xml:space="preserve">, </w:t>
      </w:r>
      <w:r>
        <w:t xml:space="preserve">ACOSS &amp; UNSW, Sydney 2020, </w:t>
      </w:r>
      <w:r w:rsidRPr="00897274">
        <w:t>viewed 31 August 2020, &lt;</w:t>
      </w:r>
      <w:hyperlink r:id="rId55" w:history="1">
        <w:r w:rsidRPr="00765A9F">
          <w:rPr>
            <w:rStyle w:val="Hyperlink"/>
          </w:rPr>
          <w:t>http://povertyandinequality.acoss.org.au/poverty/poverty-lines-by-family-type/</w:t>
        </w:r>
      </w:hyperlink>
      <w:r w:rsidRPr="00897274">
        <w:t>&gt;</w:t>
      </w:r>
      <w:r>
        <w:t xml:space="preserve">. </w:t>
      </w:r>
    </w:p>
  </w:footnote>
  <w:footnote w:id="77">
    <w:p w14:paraId="6987EFBF" w14:textId="7A75880D" w:rsidR="000D0E21" w:rsidRDefault="000D0E21" w:rsidP="00BE6391">
      <w:pPr>
        <w:pStyle w:val="FootnoteText"/>
      </w:pPr>
      <w:r w:rsidRPr="00C93869">
        <w:footnoteRef/>
      </w:r>
      <w:r w:rsidRPr="00C93869">
        <w:t xml:space="preserve"> </w:t>
      </w:r>
      <w:r w:rsidR="00C93869">
        <w:tab/>
      </w:r>
      <w:r w:rsidRPr="00F27AC8">
        <w:t xml:space="preserve">Own calculations based on, Centrelink, </w:t>
      </w:r>
      <w:r w:rsidRPr="001F0906">
        <w:rPr>
          <w:i/>
          <w:iCs/>
        </w:rPr>
        <w:t>A guide to Australian Government payments</w:t>
      </w:r>
      <w:r w:rsidRPr="00F27AC8">
        <w:t>, 20 September to 31 December 2019; 20 March to 30 June 2020; &amp; 1 July to 19 September 2020, Centrelink, Canberra, 2019</w:t>
      </w:r>
      <w:r>
        <w:t xml:space="preserve"> &amp; 2020</w:t>
      </w:r>
      <w:r w:rsidRPr="00F27AC8">
        <w:t xml:space="preserve">; ACOSS &amp; UNSW, Poverty and Inequality website, </w:t>
      </w:r>
      <w:r w:rsidRPr="001F0906">
        <w:rPr>
          <w:i/>
          <w:iCs/>
        </w:rPr>
        <w:t>Data and figures, Poverty lines by family type</w:t>
      </w:r>
      <w:r w:rsidRPr="00F27AC8">
        <w:t>, ACOSS &amp; UNSW, Sydney 2020, viewed 31 August 2020, &lt;</w:t>
      </w:r>
      <w:hyperlink r:id="rId56" w:history="1">
        <w:r w:rsidRPr="00C93869">
          <w:rPr>
            <w:rStyle w:val="Hyperlink"/>
          </w:rPr>
          <w:t>http://povertyandinequality.acoss.org.au/poverty/poverty-lines-by-family-type/</w:t>
        </w:r>
      </w:hyperlink>
      <w:r w:rsidRPr="00F27AC8">
        <w:t>&gt;.</w:t>
      </w:r>
    </w:p>
  </w:footnote>
  <w:footnote w:id="78">
    <w:p w14:paraId="459F4802" w14:textId="48B1A88A" w:rsidR="000D0E21" w:rsidRDefault="000D0E21" w:rsidP="00420E9C">
      <w:pPr>
        <w:pStyle w:val="FootnoteText"/>
      </w:pPr>
      <w:r w:rsidRPr="005637BE">
        <w:footnoteRef/>
      </w:r>
      <w:r w:rsidRPr="005637BE">
        <w:t xml:space="preserve"> </w:t>
      </w:r>
      <w:r w:rsidR="005637BE">
        <w:tab/>
      </w:r>
      <w:r>
        <w:t xml:space="preserve">ACOSS, </w:t>
      </w:r>
      <w:r w:rsidRPr="00420E9C">
        <w:rPr>
          <w:i/>
          <w:iCs/>
        </w:rPr>
        <w:t>‘</w:t>
      </w:r>
      <w:r w:rsidR="00F7556F" w:rsidRPr="00D1063F">
        <w:rPr>
          <w:i/>
          <w:iCs/>
        </w:rPr>
        <w:t>If it wasn’t for the Supplement, I’ve no idea where I’d be’</w:t>
      </w:r>
      <w:r w:rsidRPr="00420E9C">
        <w:rPr>
          <w:i/>
          <w:iCs/>
        </w:rPr>
        <w:t xml:space="preserve">: survey of </w:t>
      </w:r>
      <w:r w:rsidR="00F7556F" w:rsidRPr="00D1063F">
        <w:rPr>
          <w:i/>
          <w:iCs/>
        </w:rPr>
        <w:t>more than 600</w:t>
      </w:r>
      <w:r w:rsidRPr="00420E9C">
        <w:rPr>
          <w:i/>
          <w:iCs/>
        </w:rPr>
        <w:t xml:space="preserve"> people receiving the new rate of</w:t>
      </w:r>
      <w:r w:rsidR="00F7556F" w:rsidRPr="00D1063F">
        <w:rPr>
          <w:i/>
          <w:iCs/>
        </w:rPr>
        <w:t xml:space="preserve"> </w:t>
      </w:r>
      <w:r w:rsidRPr="00420E9C">
        <w:rPr>
          <w:i/>
          <w:iCs/>
        </w:rPr>
        <w:t xml:space="preserve">JobSeeker </w:t>
      </w:r>
      <w:r w:rsidR="00F7556F" w:rsidRPr="00D1063F">
        <w:rPr>
          <w:i/>
          <w:iCs/>
        </w:rPr>
        <w:t>or related income support</w:t>
      </w:r>
      <w:r>
        <w:t xml:space="preserve">, ACOSS, Sydney, 2020, viewed </w:t>
      </w:r>
      <w:r w:rsidR="00F7556F">
        <w:t>14</w:t>
      </w:r>
      <w:r>
        <w:t xml:space="preserve"> September 2020, &lt;</w:t>
      </w:r>
      <w:hyperlink r:id="rId57" w:history="1">
        <w:r w:rsidRPr="005637BE">
          <w:rPr>
            <w:rStyle w:val="Hyperlink"/>
          </w:rPr>
          <w:t>https://www.acoss.org.au/wp-content/uploads/2020/</w:t>
        </w:r>
        <w:r w:rsidR="00F7556F" w:rsidRPr="005637BE">
          <w:rPr>
            <w:rStyle w:val="Hyperlink"/>
          </w:rPr>
          <w:t>09/If-It-Wasnt-For</w:t>
        </w:r>
        <w:r w:rsidRPr="005637BE">
          <w:rPr>
            <w:rStyle w:val="Hyperlink"/>
          </w:rPr>
          <w:t>-The-</w:t>
        </w:r>
        <w:r w:rsidR="00F7556F" w:rsidRPr="005637BE">
          <w:rPr>
            <w:rStyle w:val="Hyperlink"/>
          </w:rPr>
          <w:t>Supplement-I-Dont-Know-Where-Id-Be-August-2020-JobSeeker-Survey.</w:t>
        </w:r>
        <w:r w:rsidRPr="005637BE">
          <w:rPr>
            <w:rStyle w:val="Hyperlink"/>
          </w:rPr>
          <w:t>pdf</w:t>
        </w:r>
      </w:hyperlink>
      <w:r>
        <w:t>&gt;.</w:t>
      </w:r>
    </w:p>
  </w:footnote>
  <w:footnote w:id="79">
    <w:p w14:paraId="15A4A61E" w14:textId="01729482" w:rsidR="000D0E21" w:rsidRDefault="000D0E21">
      <w:pPr>
        <w:pStyle w:val="FootnoteText"/>
      </w:pPr>
      <w:r w:rsidRPr="00DF0ECA">
        <w:footnoteRef/>
      </w:r>
      <w:r w:rsidRPr="00DF0ECA">
        <w:t xml:space="preserve"> </w:t>
      </w:r>
      <w:r w:rsidR="00DF0ECA">
        <w:tab/>
      </w:r>
      <w:r>
        <w:t xml:space="preserve">Own calculation based on ACT Treasury, </w:t>
      </w:r>
      <w:r w:rsidRPr="002515EC">
        <w:rPr>
          <w:i/>
          <w:iCs/>
        </w:rPr>
        <w:t>Job Vacancies — May 2020</w:t>
      </w:r>
      <w:r>
        <w:t xml:space="preserve">, </w:t>
      </w:r>
      <w:r w:rsidRPr="00EE43FF">
        <w:t>ABS Cat. No. 6354.0</w:t>
      </w:r>
      <w:r>
        <w:t>, ACT Treasury, Canberra, 2020, viewed 7 September 2020, &lt;</w:t>
      </w:r>
      <w:hyperlink r:id="rId58" w:history="1">
        <w:r w:rsidRPr="00DF0ECA">
          <w:rPr>
            <w:rStyle w:val="Hyperlink"/>
          </w:rPr>
          <w:t>https://apps.treasury.act.gov.au/snapshot</w:t>
        </w:r>
      </w:hyperlink>
      <w:r>
        <w:t>&gt;.</w:t>
      </w:r>
    </w:p>
  </w:footnote>
  <w:footnote w:id="80">
    <w:p w14:paraId="46D82F0B" w14:textId="3552E4FF" w:rsidR="008F324C" w:rsidRDefault="008F324C" w:rsidP="00A750E1">
      <w:pPr>
        <w:pStyle w:val="FootnoteText"/>
      </w:pPr>
      <w:r w:rsidRPr="00312B78">
        <w:footnoteRef/>
      </w:r>
      <w:r w:rsidRPr="00312B78">
        <w:t xml:space="preserve"> </w:t>
      </w:r>
      <w:r w:rsidR="00312B78">
        <w:tab/>
      </w:r>
      <w:r w:rsidR="0063245F">
        <w:t xml:space="preserve">Deloitte Access Economics, </w:t>
      </w:r>
      <w:r w:rsidR="00A750E1" w:rsidRPr="000D4FEB">
        <w:rPr>
          <w:i/>
          <w:iCs/>
        </w:rPr>
        <w:t>Estimating the economic impacts of lowering current levels of income support payments</w:t>
      </w:r>
      <w:r w:rsidR="006F5E64">
        <w:t xml:space="preserve">, Report for </w:t>
      </w:r>
      <w:r w:rsidR="00A92E87">
        <w:t>the Australian Council of Social Service, Deloitte Access Economics, Sydney, 2020,</w:t>
      </w:r>
      <w:r w:rsidR="000D4FEB">
        <w:t xml:space="preserve"> p. </w:t>
      </w:r>
      <w:r w:rsidR="005F39DF">
        <w:t xml:space="preserve">61, </w:t>
      </w:r>
      <w:r w:rsidR="00A92E87">
        <w:t>viewed 15 September 2020, &lt;</w:t>
      </w:r>
      <w:hyperlink r:id="rId59" w:history="1">
        <w:r w:rsidR="000D4FEB" w:rsidRPr="00312B78">
          <w:rPr>
            <w:rStyle w:val="Hyperlink"/>
          </w:rPr>
          <w:t>https://www.acoss.org.au/wp-content/uploads/2020/09/Final-ACOSS-Coronavirus-Supplement-to-ACOSS-09.09.2020.pdf</w:t>
        </w:r>
      </w:hyperlink>
      <w:r w:rsidR="000D4FEB">
        <w:t>&gt;.</w:t>
      </w:r>
      <w:r w:rsidR="006F5E64">
        <w:t xml:space="preserve"> </w:t>
      </w:r>
    </w:p>
  </w:footnote>
  <w:footnote w:id="81">
    <w:p w14:paraId="6FC7D075" w14:textId="34221A32" w:rsidR="00F7556F" w:rsidRDefault="00F7556F" w:rsidP="00E32377">
      <w:pPr>
        <w:pStyle w:val="FootnoteText"/>
      </w:pPr>
      <w:r w:rsidRPr="00CE4974">
        <w:footnoteRef/>
      </w:r>
      <w:r w:rsidRPr="00CE4974">
        <w:t xml:space="preserve"> </w:t>
      </w:r>
      <w:r w:rsidR="00CE4974">
        <w:tab/>
      </w:r>
      <w:r>
        <w:t xml:space="preserve">J Li, L Brown, H.N. La, R Miranti </w:t>
      </w:r>
      <w:r w:rsidR="00CE4974">
        <w:t>and</w:t>
      </w:r>
      <w:r>
        <w:t xml:space="preserve"> Y Vidyattama, </w:t>
      </w:r>
      <w:r w:rsidRPr="00FD72D1">
        <w:rPr>
          <w:i/>
          <w:iCs/>
        </w:rPr>
        <w:t>Inequalities in standards of living: evidence for improved income support for people with disability</w:t>
      </w:r>
      <w:r>
        <w:t xml:space="preserve">, </w:t>
      </w:r>
      <w:r w:rsidRPr="00155E19">
        <w:t>Report commissioned by the Australia Federation</w:t>
      </w:r>
      <w:r>
        <w:t xml:space="preserve"> </w:t>
      </w:r>
      <w:r w:rsidRPr="00155E19">
        <w:t>of Disabi</w:t>
      </w:r>
      <w:r w:rsidR="00FD75B7">
        <w:t>li</w:t>
      </w:r>
      <w:r w:rsidRPr="00155E19">
        <w:t>ty Organisations</w:t>
      </w:r>
      <w:r>
        <w:t>, NATSEM, Institute for Governance and Policy Analysis, University of Canberra, Canberra, September 2019, viewed 14 September 2020, &lt;</w:t>
      </w:r>
      <w:hyperlink r:id="rId60" w:history="1">
        <w:r w:rsidRPr="00CE4974">
          <w:rPr>
            <w:rStyle w:val="Hyperlink"/>
          </w:rPr>
          <w:t>https://www.afdo.org.au/wp-content/uploads/2019/09/02A-NATSEM-Online-Disability-Report.pdf</w:t>
        </w:r>
      </w:hyperlink>
      <w:r>
        <w:t xml:space="preserve">&gt;. </w:t>
      </w:r>
    </w:p>
  </w:footnote>
  <w:footnote w:id="82">
    <w:p w14:paraId="7F67D061" w14:textId="5ABE963F" w:rsidR="000D0E21" w:rsidRDefault="000D0E21">
      <w:pPr>
        <w:pStyle w:val="FootnoteText"/>
      </w:pPr>
      <w:r w:rsidRPr="00E453CA">
        <w:footnoteRef/>
      </w:r>
      <w:r w:rsidRPr="00E453CA">
        <w:t xml:space="preserve"> </w:t>
      </w:r>
      <w:r w:rsidR="00E453CA">
        <w:tab/>
      </w:r>
      <w:r>
        <w:t xml:space="preserve">ACOSS, </w:t>
      </w:r>
      <w:r w:rsidRPr="002D49EB">
        <w:rPr>
          <w:i/>
          <w:iCs/>
        </w:rPr>
        <w:t>Next steps for income support</w:t>
      </w:r>
      <w:r>
        <w:t>, Briefing, July 2020, ACOSS, Sydney, 2020, viewed 7 September 2020, &lt;</w:t>
      </w:r>
      <w:hyperlink r:id="rId61" w:history="1">
        <w:r w:rsidRPr="00E453CA">
          <w:rPr>
            <w:rStyle w:val="Hyperlink"/>
          </w:rPr>
          <w:t>https://www.acoss.org.au/wp-content/uploads/2020/09/Social-security-next-steps-JUL-UPDATED-2-9_.pdf</w:t>
        </w:r>
      </w:hyperlink>
      <w:r>
        <w:t>&gt;.</w:t>
      </w:r>
    </w:p>
  </w:footnote>
  <w:footnote w:id="83">
    <w:p w14:paraId="6E86F193" w14:textId="217CA2CB" w:rsidR="00F7556F" w:rsidRDefault="00F7556F" w:rsidP="003652D8">
      <w:pPr>
        <w:pStyle w:val="FootnoteText"/>
      </w:pPr>
      <w:r w:rsidRPr="00E453CA">
        <w:footnoteRef/>
      </w:r>
      <w:r w:rsidRPr="00E453CA">
        <w:t xml:space="preserve"> </w:t>
      </w:r>
      <w:r w:rsidR="00E453CA">
        <w:tab/>
      </w:r>
      <w:r>
        <w:t xml:space="preserve">ACOSS, </w:t>
      </w:r>
      <w:r w:rsidRPr="00D67377">
        <w:rPr>
          <w:i/>
          <w:iCs/>
        </w:rPr>
        <w:t>Who misses out on access to Australia’s safety net under Covid19</w:t>
      </w:r>
      <w:r>
        <w:t>, Briefing, ACOSS, Sydney, 21 April 2020, viewed 14 September 2020, &lt;</w:t>
      </w:r>
      <w:hyperlink r:id="rId62" w:history="1">
        <w:r w:rsidRPr="00E453CA">
          <w:rPr>
            <w:rStyle w:val="Hyperlink"/>
          </w:rPr>
          <w:t>https://www.acoss.org.au/wp-content/uploads/2020/04/Who-misses-out-Briefing-ACCESSIBLE-FINAL.pdf</w:t>
        </w:r>
      </w:hyperlink>
      <w:r>
        <w:t>&gt;.</w:t>
      </w:r>
    </w:p>
  </w:footnote>
  <w:footnote w:id="84">
    <w:p w14:paraId="07ABD6F7" w14:textId="76C39B8A" w:rsidR="000D0E21" w:rsidRDefault="000D0E21">
      <w:pPr>
        <w:pStyle w:val="FootnoteText"/>
      </w:pPr>
      <w:r w:rsidRPr="004A7E68">
        <w:footnoteRef/>
      </w:r>
      <w:r w:rsidRPr="004A7E68">
        <w:t xml:space="preserve"> </w:t>
      </w:r>
      <w:r w:rsidR="004A7E68">
        <w:tab/>
      </w:r>
      <w:r w:rsidRPr="004A7E68">
        <w:t>ACOSS</w:t>
      </w:r>
      <w:r>
        <w:t xml:space="preserve">, </w:t>
      </w:r>
      <w:r w:rsidRPr="00FC4D50">
        <w:rPr>
          <w:i/>
          <w:iCs/>
        </w:rPr>
        <w:t>Raise the Rate for Good</w:t>
      </w:r>
      <w:r>
        <w:t>, ACOSS, Sydney, 2020, viewed 7 September 2020, &lt;</w:t>
      </w:r>
      <w:hyperlink r:id="rId63" w:history="1">
        <w:r w:rsidRPr="004A7E68">
          <w:rPr>
            <w:rStyle w:val="Hyperlink"/>
          </w:rPr>
          <w:t>https://raisetherate.org.au/</w:t>
        </w:r>
      </w:hyperlink>
      <w:r>
        <w:t>&gt;.</w:t>
      </w:r>
    </w:p>
  </w:footnote>
  <w:footnote w:id="85">
    <w:p w14:paraId="0799ED6C" w14:textId="481EF8D2" w:rsidR="000D0E21" w:rsidRDefault="000D0E21">
      <w:pPr>
        <w:pStyle w:val="FootnoteText"/>
      </w:pPr>
      <w:r w:rsidRPr="004A7E68">
        <w:footnoteRef/>
      </w:r>
      <w:r w:rsidRPr="004A7E68">
        <w:t xml:space="preserve"> </w:t>
      </w:r>
      <w:r w:rsidR="004A7E68">
        <w:tab/>
      </w:r>
      <w:r w:rsidRPr="00337F70">
        <w:t xml:space="preserve">ACTCOSS, </w:t>
      </w:r>
      <w:r w:rsidRPr="00337F70">
        <w:rPr>
          <w:i/>
          <w:iCs/>
        </w:rPr>
        <w:t>Food security, food assistance and the affordability of healthy food in Canberra</w:t>
      </w:r>
      <w:r w:rsidRPr="00337F70">
        <w:t>, ACTCOSS, Canberra, 2019, viewed 7 September 2020, &lt;</w:t>
      </w:r>
      <w:hyperlink r:id="rId64" w:history="1">
        <w:r w:rsidRPr="004A7E68">
          <w:rPr>
            <w:rStyle w:val="Hyperlink"/>
          </w:rPr>
          <w:t>https://www.actcoss.org.au/publications/advocacy-publications/report-food-security-food-assistance-and-affordability-healthy</w:t>
        </w:r>
      </w:hyperlink>
      <w:r w:rsidRPr="00337F70">
        <w:t>&gt;</w:t>
      </w:r>
      <w:r>
        <w:t>. *Not her real name.</w:t>
      </w:r>
    </w:p>
  </w:footnote>
  <w:footnote w:id="86">
    <w:p w14:paraId="28DB4BA1" w14:textId="37D92D60" w:rsidR="000D0E21" w:rsidRDefault="000D0E21">
      <w:pPr>
        <w:pStyle w:val="FootnoteText"/>
      </w:pPr>
      <w:r w:rsidRPr="004A7E68">
        <w:footnoteRef/>
      </w:r>
      <w:r w:rsidRPr="004A7E68">
        <w:t xml:space="preserve"> </w:t>
      </w:r>
      <w:r w:rsidR="004A7E68">
        <w:tab/>
      </w:r>
      <w:r>
        <w:t>ibid., *Not his real name.</w:t>
      </w:r>
    </w:p>
  </w:footnote>
  <w:footnote w:id="87">
    <w:p w14:paraId="5A1284A7" w14:textId="14B24E1C" w:rsidR="000D0E21" w:rsidRDefault="000D0E21" w:rsidP="00F62173">
      <w:pPr>
        <w:pStyle w:val="FootnoteText"/>
      </w:pPr>
      <w:r w:rsidRPr="00F62173">
        <w:footnoteRef/>
      </w:r>
      <w:r w:rsidRPr="00F62173">
        <w:t xml:space="preserve"> </w:t>
      </w:r>
      <w:r w:rsidR="00F62173" w:rsidRPr="00F62173">
        <w:tab/>
      </w:r>
      <w:r w:rsidRPr="00F62173">
        <w:t xml:space="preserve">ACOSS, </w:t>
      </w:r>
      <w:r w:rsidRPr="00F62173">
        <w:rPr>
          <w:i/>
          <w:iCs/>
        </w:rPr>
        <w:t>‘I can finally eat fresh fruit and vegetables’: survey of 955 people receiving the new rate of</w:t>
      </w:r>
      <w:r w:rsidR="00F62173" w:rsidRPr="00F62173">
        <w:rPr>
          <w:i/>
          <w:iCs/>
        </w:rPr>
        <w:t xml:space="preserve"> </w:t>
      </w:r>
      <w:r w:rsidRPr="00F62173">
        <w:rPr>
          <w:i/>
          <w:iCs/>
        </w:rPr>
        <w:t>JobSeeker and other allowances</w:t>
      </w:r>
      <w:r w:rsidRPr="00F62173">
        <w:t>, ACOSS, Sydney, 2020, viewed 7 September 2020, &lt;</w:t>
      </w:r>
      <w:hyperlink r:id="rId65" w:history="1">
        <w:r w:rsidRPr="00F62173">
          <w:rPr>
            <w:rStyle w:val="Hyperlink"/>
          </w:rPr>
          <w:t>https://www.acoss.org.au/wp-content/uploads/2020/06/200624-I-Can-Finally-Eat-Fresh-Fruit-And-Vegetables-Results-Of-The-Coronaviru.._.pdf</w:t>
        </w:r>
      </w:hyperlink>
      <w:r w:rsidRPr="00F62173">
        <w:t>&gt;.</w:t>
      </w:r>
    </w:p>
  </w:footnote>
  <w:footnote w:id="88">
    <w:p w14:paraId="75760989" w14:textId="1DBEE4CD" w:rsidR="000D0E21" w:rsidRDefault="000D0E21">
      <w:pPr>
        <w:pStyle w:val="FootnoteText"/>
      </w:pPr>
      <w:r w:rsidRPr="00F62173">
        <w:footnoteRef/>
      </w:r>
      <w:r w:rsidRPr="00F62173">
        <w:t xml:space="preserve"> </w:t>
      </w:r>
      <w:r w:rsidR="00F62173">
        <w:tab/>
      </w:r>
      <w:r w:rsidRPr="00F62173">
        <w:t>ibid</w:t>
      </w:r>
      <w:r>
        <w:t>.</w:t>
      </w:r>
    </w:p>
  </w:footnote>
  <w:footnote w:id="89">
    <w:p w14:paraId="5653EEC8" w14:textId="22F08E8E" w:rsidR="006C2D2F" w:rsidRDefault="006C2D2F" w:rsidP="006C2D2F">
      <w:pPr>
        <w:pStyle w:val="FootnoteText"/>
      </w:pPr>
      <w:r w:rsidRPr="00F62173">
        <w:footnoteRef/>
      </w:r>
      <w:r w:rsidRPr="00F62173">
        <w:t xml:space="preserve"> </w:t>
      </w:r>
      <w:r w:rsidR="00F62173">
        <w:tab/>
      </w:r>
      <w:r w:rsidRPr="00F62173">
        <w:t>ACTCOSS</w:t>
      </w:r>
      <w:r>
        <w:t xml:space="preserve">, </w:t>
      </w:r>
      <w:r w:rsidRPr="00EF4FF3">
        <w:rPr>
          <w:i/>
          <w:iCs/>
        </w:rPr>
        <w:t>ACT Election</w:t>
      </w:r>
      <w:r>
        <w:t>, ACTCOSS, Canberra, 2020, viewed 7 September 2020, &lt;</w:t>
      </w:r>
      <w:hyperlink r:id="rId66" w:history="1">
        <w:r w:rsidRPr="00F62173">
          <w:rPr>
            <w:rStyle w:val="Hyperlink"/>
          </w:rPr>
          <w:t>https://www.actcoss.org.au/policy/act-election</w:t>
        </w:r>
      </w:hyperlink>
      <w:r>
        <w:t>&gt;.</w:t>
      </w:r>
    </w:p>
  </w:footnote>
  <w:footnote w:id="90">
    <w:p w14:paraId="7F5EE7DC" w14:textId="57C2EE11" w:rsidR="000D0E21" w:rsidRPr="001C7F0D" w:rsidRDefault="000D0E21" w:rsidP="009F4260">
      <w:pPr>
        <w:pStyle w:val="FootnoteText"/>
        <w:rPr>
          <w:lang w:val="en-US"/>
        </w:rPr>
      </w:pPr>
      <w:r w:rsidRPr="004C594C">
        <w:footnoteRef/>
      </w:r>
      <w:r w:rsidRPr="004C594C">
        <w:t xml:space="preserve"> </w:t>
      </w:r>
      <w:r>
        <w:tab/>
      </w:r>
      <w:proofErr w:type="spellStart"/>
      <w:r>
        <w:rPr>
          <w:lang w:val="en-US"/>
        </w:rPr>
        <w:t>SACOSS</w:t>
      </w:r>
      <w:proofErr w:type="spellEnd"/>
      <w:r>
        <w:rPr>
          <w:lang w:val="en-US"/>
        </w:rPr>
        <w:t xml:space="preserve">, </w:t>
      </w:r>
      <w:proofErr w:type="spellStart"/>
      <w:r w:rsidRPr="00CC4DB7">
        <w:rPr>
          <w:i/>
          <w:lang w:val="en-US"/>
        </w:rPr>
        <w:t>SACOSS</w:t>
      </w:r>
      <w:proofErr w:type="spellEnd"/>
      <w:r w:rsidRPr="00CC4DB7">
        <w:rPr>
          <w:i/>
          <w:lang w:val="en-US"/>
        </w:rPr>
        <w:t xml:space="preserve"> Cost of Living Update No. 37, December </w:t>
      </w:r>
      <w:proofErr w:type="spellStart"/>
      <w:r w:rsidRPr="00CC4DB7">
        <w:rPr>
          <w:i/>
          <w:lang w:val="en-US"/>
        </w:rPr>
        <w:t>Qtr</w:t>
      </w:r>
      <w:proofErr w:type="spellEnd"/>
      <w:r w:rsidRPr="00CC4DB7">
        <w:rPr>
          <w:i/>
          <w:lang w:val="en-US"/>
        </w:rPr>
        <w:t xml:space="preserve"> 2018</w:t>
      </w:r>
      <w:r>
        <w:rPr>
          <w:lang w:val="en-US"/>
        </w:rPr>
        <w:t xml:space="preserve">, </w:t>
      </w:r>
      <w:proofErr w:type="spellStart"/>
      <w:r>
        <w:rPr>
          <w:lang w:val="en-US"/>
        </w:rPr>
        <w:t>SACOSS</w:t>
      </w:r>
      <w:proofErr w:type="spellEnd"/>
      <w:r>
        <w:rPr>
          <w:lang w:val="en-US"/>
        </w:rPr>
        <w:t>, Adelaide, 2019, viewed 12 April 2019, &lt;</w:t>
      </w:r>
      <w:hyperlink r:id="rId67" w:history="1">
        <w:r w:rsidRPr="00BC5CFF">
          <w:rPr>
            <w:rStyle w:val="Hyperlink"/>
            <w:lang w:val="en-US"/>
          </w:rPr>
          <w:t>https://www.sacoss.org.au/sites/default/files/public/documents/Reports/Cost%20of%20Living%20Reports/190130%20Cost%20of%20Living%20Update37.pdf</w:t>
        </w:r>
      </w:hyperlink>
      <w:r>
        <w:rPr>
          <w:lang w:val="en-US"/>
        </w:rPr>
        <w:t xml:space="preserve">&gt;.  </w:t>
      </w:r>
    </w:p>
  </w:footnote>
  <w:footnote w:id="91">
    <w:p w14:paraId="76F1D4A9" w14:textId="77777777" w:rsidR="000D0E21" w:rsidRPr="00623297" w:rsidRDefault="000D0E21" w:rsidP="009F4260">
      <w:pPr>
        <w:pStyle w:val="FootnoteText"/>
      </w:pPr>
      <w:r w:rsidRPr="00623297">
        <w:footnoteRef/>
      </w:r>
      <w:r w:rsidRPr="00623297">
        <w:t xml:space="preserve"> </w:t>
      </w:r>
      <w:r>
        <w:tab/>
      </w:r>
      <w:r w:rsidRPr="00623297">
        <w:t>ABS</w:t>
      </w:r>
      <w:r>
        <w:t xml:space="preserve">, </w:t>
      </w:r>
      <w:r w:rsidRPr="00DA786B">
        <w:rPr>
          <w:i/>
        </w:rPr>
        <w:t>Selected Living Cost Indexes, Australia, December 2018: Explanatory Notes</w:t>
      </w:r>
      <w:r>
        <w:t>, Australian Bureau of Statistics, Canberra, 2019, viewed 12 April 2019, &lt;</w:t>
      </w:r>
      <w:hyperlink r:id="rId68" w:history="1">
        <w:r w:rsidRPr="00623297">
          <w:rPr>
            <w:rStyle w:val="Hyperlink"/>
          </w:rPr>
          <w:t>https://www.abs.gov.au/AUSSTATS/abs@.nsf/Lookup/6467.0Explanatory%20Notes1Dec%202018?OpenDocument</w:t>
        </w:r>
      </w:hyperlink>
      <w:r>
        <w:t xml:space="preserve">&gt;. </w:t>
      </w:r>
    </w:p>
  </w:footnote>
  <w:footnote w:id="92">
    <w:p w14:paraId="36784D68" w14:textId="77777777" w:rsidR="000D0E21" w:rsidRPr="00CE74F5" w:rsidRDefault="000D0E21" w:rsidP="009F4260">
      <w:pPr>
        <w:pStyle w:val="FootnoteText"/>
        <w:rPr>
          <w:lang w:val="en-US"/>
        </w:rPr>
      </w:pPr>
      <w:r w:rsidRPr="00871686">
        <w:footnoteRef/>
      </w:r>
      <w:r>
        <w:t xml:space="preserve"> </w:t>
      </w:r>
      <w:r>
        <w:tab/>
      </w:r>
      <w:r>
        <w:rPr>
          <w:lang w:val="en-US"/>
        </w:rPr>
        <w:t>ibid.</w:t>
      </w:r>
    </w:p>
  </w:footnote>
  <w:footnote w:id="93">
    <w:p w14:paraId="403E6BEB" w14:textId="1489B4C6" w:rsidR="000D0E21" w:rsidRPr="00241E58" w:rsidRDefault="000D0E21" w:rsidP="009F4260">
      <w:pPr>
        <w:pStyle w:val="FootnoteText"/>
        <w:rPr>
          <w:lang w:val="en-US"/>
        </w:rPr>
      </w:pPr>
      <w:r w:rsidRPr="00D674E1">
        <w:footnoteRef/>
      </w:r>
      <w:r w:rsidRPr="00D674E1">
        <w:t xml:space="preserve"> </w:t>
      </w:r>
      <w:r>
        <w:tab/>
      </w:r>
      <w:r w:rsidRPr="00241E58">
        <w:t xml:space="preserve">M Klapdor, </w:t>
      </w:r>
      <w:r w:rsidRPr="00241E58">
        <w:rPr>
          <w:i/>
        </w:rPr>
        <w:t>Pension indexation: a brief history</w:t>
      </w:r>
      <w:r w:rsidRPr="00241E58">
        <w:t>, Flag</w:t>
      </w:r>
      <w:r>
        <w:t>P</w:t>
      </w:r>
      <w:r w:rsidRPr="00241E58">
        <w:t xml:space="preserve">ost blog, Parliamentary Library, Canberra, posted 16 April 2014, </w:t>
      </w:r>
      <w:r>
        <w:t xml:space="preserve">viewed </w:t>
      </w:r>
      <w:r w:rsidRPr="00241E58">
        <w:t>13 April 2018, &lt;</w:t>
      </w:r>
      <w:hyperlink r:id="rId69" w:history="1">
        <w:r w:rsidRPr="00C15FBE">
          <w:rPr>
            <w:rStyle w:val="Hyperlink"/>
          </w:rPr>
          <w:t>https://www.aph.gov.au/About_Parliament/Parliamentary_Departments/Parliamentary_Library/FlagPost/2014/April/Pension-indexation</w:t>
        </w:r>
      </w:hyperlink>
      <w:r w:rsidRPr="00241E58">
        <w:t>&gt;. NOTE: Allowance payments, such as Newstart and Youth Allowance are indexed to the CPI only and are adjusted 6 monthly - every March and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59AB" w14:textId="77777777" w:rsidR="000D0E21" w:rsidRDefault="000D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8A29" w14:textId="594E2DA7" w:rsidR="000D0E21" w:rsidRDefault="000D0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6C16" w14:textId="77777777" w:rsidR="000D0E21" w:rsidRDefault="000D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6DAFAA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D66FB4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164FDD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9"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8"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23"/>
  </w:num>
  <w:num w:numId="4">
    <w:abstractNumId w:val="21"/>
  </w:num>
  <w:num w:numId="5">
    <w:abstractNumId w:val="20"/>
  </w:num>
  <w:num w:numId="6">
    <w:abstractNumId w:val="22"/>
  </w:num>
  <w:num w:numId="7">
    <w:abstractNumId w:val="14"/>
  </w:num>
  <w:num w:numId="8">
    <w:abstractNumId w:val="26"/>
  </w:num>
  <w:num w:numId="9">
    <w:abstractNumId w:val="11"/>
  </w:num>
  <w:num w:numId="10">
    <w:abstractNumId w:val="25"/>
  </w:num>
  <w:num w:numId="11">
    <w:abstractNumId w:val="13"/>
  </w:num>
  <w:num w:numId="12">
    <w:abstractNumId w:val="8"/>
  </w:num>
  <w:num w:numId="13">
    <w:abstractNumId w:val="24"/>
  </w:num>
  <w:num w:numId="14">
    <w:abstractNumId w:val="15"/>
  </w:num>
  <w:num w:numId="15">
    <w:abstractNumId w:val="16"/>
  </w:num>
  <w:num w:numId="16">
    <w:abstractNumId w:val="9"/>
  </w:num>
  <w:num w:numId="17">
    <w:abstractNumId w:val="19"/>
  </w:num>
  <w:num w:numId="18">
    <w:abstractNumId w:val="6"/>
  </w:num>
  <w:num w:numId="19">
    <w:abstractNumId w:val="2"/>
  </w:num>
  <w:num w:numId="20">
    <w:abstractNumId w:val="1"/>
  </w:num>
  <w:num w:numId="21">
    <w:abstractNumId w:val="3"/>
  </w:num>
  <w:num w:numId="22">
    <w:abstractNumId w:val="0"/>
  </w:num>
  <w:num w:numId="23">
    <w:abstractNumId w:val="18"/>
  </w:num>
  <w:num w:numId="24">
    <w:abstractNumId w:val="28"/>
  </w:num>
  <w:num w:numId="25">
    <w:abstractNumId w:val="27"/>
  </w:num>
  <w:num w:numId="26">
    <w:abstractNumId w:val="17"/>
  </w:num>
  <w:num w:numId="27">
    <w:abstractNumId w:val="10"/>
  </w:num>
  <w:num w:numId="28">
    <w:abstractNumId w:val="5"/>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1FDB"/>
    <w:rsid w:val="0000255E"/>
    <w:rsid w:val="000027A8"/>
    <w:rsid w:val="000027CE"/>
    <w:rsid w:val="00002C41"/>
    <w:rsid w:val="000040BA"/>
    <w:rsid w:val="00004697"/>
    <w:rsid w:val="00004C9A"/>
    <w:rsid w:val="0000517C"/>
    <w:rsid w:val="0000588C"/>
    <w:rsid w:val="00005A28"/>
    <w:rsid w:val="00005AF7"/>
    <w:rsid w:val="00005B30"/>
    <w:rsid w:val="00005FF4"/>
    <w:rsid w:val="0000614E"/>
    <w:rsid w:val="00006835"/>
    <w:rsid w:val="00006B64"/>
    <w:rsid w:val="00006E39"/>
    <w:rsid w:val="00007043"/>
    <w:rsid w:val="00007467"/>
    <w:rsid w:val="00007A1A"/>
    <w:rsid w:val="00007AF0"/>
    <w:rsid w:val="00010F14"/>
    <w:rsid w:val="000116AF"/>
    <w:rsid w:val="00011872"/>
    <w:rsid w:val="00011B78"/>
    <w:rsid w:val="00011ED0"/>
    <w:rsid w:val="000120D3"/>
    <w:rsid w:val="00012365"/>
    <w:rsid w:val="00012633"/>
    <w:rsid w:val="00012D83"/>
    <w:rsid w:val="00012E73"/>
    <w:rsid w:val="000132C9"/>
    <w:rsid w:val="000133B4"/>
    <w:rsid w:val="000134FD"/>
    <w:rsid w:val="00013ED8"/>
    <w:rsid w:val="00014172"/>
    <w:rsid w:val="00014206"/>
    <w:rsid w:val="00014249"/>
    <w:rsid w:val="000143A5"/>
    <w:rsid w:val="00014880"/>
    <w:rsid w:val="00014A41"/>
    <w:rsid w:val="00014B3B"/>
    <w:rsid w:val="0001514A"/>
    <w:rsid w:val="000152FD"/>
    <w:rsid w:val="00015F7A"/>
    <w:rsid w:val="000162B8"/>
    <w:rsid w:val="000162D8"/>
    <w:rsid w:val="000164F8"/>
    <w:rsid w:val="000166C8"/>
    <w:rsid w:val="00016946"/>
    <w:rsid w:val="00016FF9"/>
    <w:rsid w:val="00017087"/>
    <w:rsid w:val="00017818"/>
    <w:rsid w:val="00017887"/>
    <w:rsid w:val="00017FC3"/>
    <w:rsid w:val="00020547"/>
    <w:rsid w:val="00020D00"/>
    <w:rsid w:val="00020F55"/>
    <w:rsid w:val="00021051"/>
    <w:rsid w:val="000215B8"/>
    <w:rsid w:val="00021954"/>
    <w:rsid w:val="00021975"/>
    <w:rsid w:val="00022381"/>
    <w:rsid w:val="0002251B"/>
    <w:rsid w:val="00022972"/>
    <w:rsid w:val="00022CA9"/>
    <w:rsid w:val="00022E99"/>
    <w:rsid w:val="000233EA"/>
    <w:rsid w:val="000238CB"/>
    <w:rsid w:val="000239A2"/>
    <w:rsid w:val="00023C2D"/>
    <w:rsid w:val="00023C3F"/>
    <w:rsid w:val="0002453D"/>
    <w:rsid w:val="000246AF"/>
    <w:rsid w:val="000247E6"/>
    <w:rsid w:val="00024A48"/>
    <w:rsid w:val="00024AE0"/>
    <w:rsid w:val="00024DDE"/>
    <w:rsid w:val="000252FB"/>
    <w:rsid w:val="000253A9"/>
    <w:rsid w:val="00025A2F"/>
    <w:rsid w:val="00025C1D"/>
    <w:rsid w:val="00025F23"/>
    <w:rsid w:val="000261DF"/>
    <w:rsid w:val="00026723"/>
    <w:rsid w:val="000267B0"/>
    <w:rsid w:val="00026A30"/>
    <w:rsid w:val="00026B4D"/>
    <w:rsid w:val="00026C95"/>
    <w:rsid w:val="00027002"/>
    <w:rsid w:val="0002726C"/>
    <w:rsid w:val="0002768E"/>
    <w:rsid w:val="00030229"/>
    <w:rsid w:val="000302A3"/>
    <w:rsid w:val="0003057E"/>
    <w:rsid w:val="00030AAE"/>
    <w:rsid w:val="00031287"/>
    <w:rsid w:val="00031E30"/>
    <w:rsid w:val="00031E69"/>
    <w:rsid w:val="00031F38"/>
    <w:rsid w:val="00031FE2"/>
    <w:rsid w:val="000320C0"/>
    <w:rsid w:val="000321B4"/>
    <w:rsid w:val="0003248A"/>
    <w:rsid w:val="0003248F"/>
    <w:rsid w:val="000327AD"/>
    <w:rsid w:val="00032F54"/>
    <w:rsid w:val="0003306C"/>
    <w:rsid w:val="0003344E"/>
    <w:rsid w:val="00033717"/>
    <w:rsid w:val="00033E4C"/>
    <w:rsid w:val="00033FDC"/>
    <w:rsid w:val="000340E0"/>
    <w:rsid w:val="000340F8"/>
    <w:rsid w:val="000343C8"/>
    <w:rsid w:val="00034610"/>
    <w:rsid w:val="00034ABD"/>
    <w:rsid w:val="00034E48"/>
    <w:rsid w:val="0003504C"/>
    <w:rsid w:val="000350A2"/>
    <w:rsid w:val="0003516D"/>
    <w:rsid w:val="00035418"/>
    <w:rsid w:val="000355EE"/>
    <w:rsid w:val="00035679"/>
    <w:rsid w:val="000358E8"/>
    <w:rsid w:val="00036236"/>
    <w:rsid w:val="00036701"/>
    <w:rsid w:val="00036EFE"/>
    <w:rsid w:val="000372C0"/>
    <w:rsid w:val="00037427"/>
    <w:rsid w:val="000379E8"/>
    <w:rsid w:val="00037BE6"/>
    <w:rsid w:val="00040A4C"/>
    <w:rsid w:val="00040CFB"/>
    <w:rsid w:val="00040DD7"/>
    <w:rsid w:val="00040F25"/>
    <w:rsid w:val="0004163A"/>
    <w:rsid w:val="000418AF"/>
    <w:rsid w:val="00041995"/>
    <w:rsid w:val="00041A35"/>
    <w:rsid w:val="00041BF1"/>
    <w:rsid w:val="00041F28"/>
    <w:rsid w:val="00042074"/>
    <w:rsid w:val="00042281"/>
    <w:rsid w:val="00042382"/>
    <w:rsid w:val="000427DF"/>
    <w:rsid w:val="00042E96"/>
    <w:rsid w:val="0004310D"/>
    <w:rsid w:val="00043919"/>
    <w:rsid w:val="00043CF4"/>
    <w:rsid w:val="00043D22"/>
    <w:rsid w:val="00043DC8"/>
    <w:rsid w:val="00043F97"/>
    <w:rsid w:val="00044716"/>
    <w:rsid w:val="000447F4"/>
    <w:rsid w:val="00044A07"/>
    <w:rsid w:val="00044D90"/>
    <w:rsid w:val="0004507D"/>
    <w:rsid w:val="000454CC"/>
    <w:rsid w:val="00046280"/>
    <w:rsid w:val="00046C0E"/>
    <w:rsid w:val="00046F42"/>
    <w:rsid w:val="000471FF"/>
    <w:rsid w:val="00047B01"/>
    <w:rsid w:val="0005007E"/>
    <w:rsid w:val="000503BF"/>
    <w:rsid w:val="000503F9"/>
    <w:rsid w:val="00050620"/>
    <w:rsid w:val="000506CD"/>
    <w:rsid w:val="00050C3C"/>
    <w:rsid w:val="00050D10"/>
    <w:rsid w:val="00050E6A"/>
    <w:rsid w:val="00051661"/>
    <w:rsid w:val="0005220F"/>
    <w:rsid w:val="000526C1"/>
    <w:rsid w:val="00052709"/>
    <w:rsid w:val="000537BE"/>
    <w:rsid w:val="00053BCE"/>
    <w:rsid w:val="00053BED"/>
    <w:rsid w:val="00054130"/>
    <w:rsid w:val="00054338"/>
    <w:rsid w:val="000546C5"/>
    <w:rsid w:val="00054AD4"/>
    <w:rsid w:val="000550EC"/>
    <w:rsid w:val="0005513A"/>
    <w:rsid w:val="000553B2"/>
    <w:rsid w:val="00055A5F"/>
    <w:rsid w:val="00055D5E"/>
    <w:rsid w:val="00056271"/>
    <w:rsid w:val="0005637E"/>
    <w:rsid w:val="0005647A"/>
    <w:rsid w:val="0005678E"/>
    <w:rsid w:val="00056819"/>
    <w:rsid w:val="00056969"/>
    <w:rsid w:val="000574A2"/>
    <w:rsid w:val="000574C4"/>
    <w:rsid w:val="0005761B"/>
    <w:rsid w:val="000576F3"/>
    <w:rsid w:val="00057763"/>
    <w:rsid w:val="00057BF2"/>
    <w:rsid w:val="00060934"/>
    <w:rsid w:val="00060E6E"/>
    <w:rsid w:val="00060F36"/>
    <w:rsid w:val="00060F8B"/>
    <w:rsid w:val="00060FF2"/>
    <w:rsid w:val="0006183F"/>
    <w:rsid w:val="00061BD0"/>
    <w:rsid w:val="00061DBB"/>
    <w:rsid w:val="00061F28"/>
    <w:rsid w:val="00061F5A"/>
    <w:rsid w:val="000622B1"/>
    <w:rsid w:val="00063064"/>
    <w:rsid w:val="000631B7"/>
    <w:rsid w:val="000631D9"/>
    <w:rsid w:val="0006342A"/>
    <w:rsid w:val="0006399D"/>
    <w:rsid w:val="00063DF4"/>
    <w:rsid w:val="00063EE6"/>
    <w:rsid w:val="0006459D"/>
    <w:rsid w:val="000646B1"/>
    <w:rsid w:val="0006512C"/>
    <w:rsid w:val="00065212"/>
    <w:rsid w:val="000652A7"/>
    <w:rsid w:val="000659DC"/>
    <w:rsid w:val="00065AF2"/>
    <w:rsid w:val="000662EB"/>
    <w:rsid w:val="00066893"/>
    <w:rsid w:val="00066F37"/>
    <w:rsid w:val="00067018"/>
    <w:rsid w:val="00067248"/>
    <w:rsid w:val="00067529"/>
    <w:rsid w:val="000677B2"/>
    <w:rsid w:val="00067900"/>
    <w:rsid w:val="00067A96"/>
    <w:rsid w:val="00070148"/>
    <w:rsid w:val="00070324"/>
    <w:rsid w:val="0007044D"/>
    <w:rsid w:val="00070586"/>
    <w:rsid w:val="0007074A"/>
    <w:rsid w:val="00070F20"/>
    <w:rsid w:val="000717FA"/>
    <w:rsid w:val="00071BF7"/>
    <w:rsid w:val="00071DE6"/>
    <w:rsid w:val="00072957"/>
    <w:rsid w:val="00072DE3"/>
    <w:rsid w:val="0007344A"/>
    <w:rsid w:val="000734EE"/>
    <w:rsid w:val="00073589"/>
    <w:rsid w:val="000739EE"/>
    <w:rsid w:val="00073A77"/>
    <w:rsid w:val="00073E5F"/>
    <w:rsid w:val="00073F40"/>
    <w:rsid w:val="00073F60"/>
    <w:rsid w:val="0007435C"/>
    <w:rsid w:val="00074549"/>
    <w:rsid w:val="0007474E"/>
    <w:rsid w:val="0007534D"/>
    <w:rsid w:val="00075471"/>
    <w:rsid w:val="000755E9"/>
    <w:rsid w:val="000760A5"/>
    <w:rsid w:val="000762BD"/>
    <w:rsid w:val="00076AAA"/>
    <w:rsid w:val="00076CEF"/>
    <w:rsid w:val="00076D5C"/>
    <w:rsid w:val="00076F20"/>
    <w:rsid w:val="000771DF"/>
    <w:rsid w:val="000773D8"/>
    <w:rsid w:val="00077575"/>
    <w:rsid w:val="000775AC"/>
    <w:rsid w:val="00077C59"/>
    <w:rsid w:val="00077FF6"/>
    <w:rsid w:val="0008077F"/>
    <w:rsid w:val="00080AFB"/>
    <w:rsid w:val="00080EAC"/>
    <w:rsid w:val="00080F27"/>
    <w:rsid w:val="00081071"/>
    <w:rsid w:val="00081177"/>
    <w:rsid w:val="000812BB"/>
    <w:rsid w:val="00081C49"/>
    <w:rsid w:val="00081DF2"/>
    <w:rsid w:val="00081EC0"/>
    <w:rsid w:val="00082109"/>
    <w:rsid w:val="00082381"/>
    <w:rsid w:val="00082527"/>
    <w:rsid w:val="000825FA"/>
    <w:rsid w:val="00082CD6"/>
    <w:rsid w:val="00082E7C"/>
    <w:rsid w:val="00083316"/>
    <w:rsid w:val="000837F9"/>
    <w:rsid w:val="0008387D"/>
    <w:rsid w:val="000842E5"/>
    <w:rsid w:val="000843AD"/>
    <w:rsid w:val="00084C86"/>
    <w:rsid w:val="0008599F"/>
    <w:rsid w:val="00085D47"/>
    <w:rsid w:val="00085EEB"/>
    <w:rsid w:val="00085F3A"/>
    <w:rsid w:val="00086280"/>
    <w:rsid w:val="0008672D"/>
    <w:rsid w:val="0008683F"/>
    <w:rsid w:val="00086976"/>
    <w:rsid w:val="00086B46"/>
    <w:rsid w:val="00086BE3"/>
    <w:rsid w:val="00086DBE"/>
    <w:rsid w:val="00086E1B"/>
    <w:rsid w:val="00087011"/>
    <w:rsid w:val="00087369"/>
    <w:rsid w:val="000876C7"/>
    <w:rsid w:val="000900A1"/>
    <w:rsid w:val="000901F5"/>
    <w:rsid w:val="00090209"/>
    <w:rsid w:val="000909A8"/>
    <w:rsid w:val="000909FD"/>
    <w:rsid w:val="00090A4F"/>
    <w:rsid w:val="00091029"/>
    <w:rsid w:val="000910AE"/>
    <w:rsid w:val="000915A1"/>
    <w:rsid w:val="000915C3"/>
    <w:rsid w:val="00091D00"/>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6EE9"/>
    <w:rsid w:val="00097786"/>
    <w:rsid w:val="000A056E"/>
    <w:rsid w:val="000A1229"/>
    <w:rsid w:val="000A1539"/>
    <w:rsid w:val="000A161D"/>
    <w:rsid w:val="000A1786"/>
    <w:rsid w:val="000A21CD"/>
    <w:rsid w:val="000A2225"/>
    <w:rsid w:val="000A3386"/>
    <w:rsid w:val="000A34B6"/>
    <w:rsid w:val="000A3862"/>
    <w:rsid w:val="000A3A3E"/>
    <w:rsid w:val="000A3ABE"/>
    <w:rsid w:val="000A3BFE"/>
    <w:rsid w:val="000A3DD1"/>
    <w:rsid w:val="000A435D"/>
    <w:rsid w:val="000A436F"/>
    <w:rsid w:val="000A44E5"/>
    <w:rsid w:val="000A4B05"/>
    <w:rsid w:val="000A501C"/>
    <w:rsid w:val="000A5475"/>
    <w:rsid w:val="000A59FF"/>
    <w:rsid w:val="000A5B9A"/>
    <w:rsid w:val="000A5C70"/>
    <w:rsid w:val="000A5FB8"/>
    <w:rsid w:val="000A61ED"/>
    <w:rsid w:val="000A65BC"/>
    <w:rsid w:val="000A6756"/>
    <w:rsid w:val="000A70E2"/>
    <w:rsid w:val="000A762F"/>
    <w:rsid w:val="000A7647"/>
    <w:rsid w:val="000A76C9"/>
    <w:rsid w:val="000A7934"/>
    <w:rsid w:val="000A7A09"/>
    <w:rsid w:val="000A7AD6"/>
    <w:rsid w:val="000A7F11"/>
    <w:rsid w:val="000B0144"/>
    <w:rsid w:val="000B0363"/>
    <w:rsid w:val="000B0386"/>
    <w:rsid w:val="000B039C"/>
    <w:rsid w:val="000B07D4"/>
    <w:rsid w:val="000B0E7B"/>
    <w:rsid w:val="000B0FF4"/>
    <w:rsid w:val="000B1357"/>
    <w:rsid w:val="000B16EF"/>
    <w:rsid w:val="000B1876"/>
    <w:rsid w:val="000B18DC"/>
    <w:rsid w:val="000B2114"/>
    <w:rsid w:val="000B2325"/>
    <w:rsid w:val="000B2A20"/>
    <w:rsid w:val="000B2AF8"/>
    <w:rsid w:val="000B35E3"/>
    <w:rsid w:val="000B3D6A"/>
    <w:rsid w:val="000B401D"/>
    <w:rsid w:val="000B4051"/>
    <w:rsid w:val="000B4866"/>
    <w:rsid w:val="000B4A23"/>
    <w:rsid w:val="000B54FC"/>
    <w:rsid w:val="000B58B6"/>
    <w:rsid w:val="000B5CDA"/>
    <w:rsid w:val="000B6364"/>
    <w:rsid w:val="000B69F9"/>
    <w:rsid w:val="000B6ECF"/>
    <w:rsid w:val="000B6F08"/>
    <w:rsid w:val="000B705F"/>
    <w:rsid w:val="000B7938"/>
    <w:rsid w:val="000B7BA2"/>
    <w:rsid w:val="000B7CB3"/>
    <w:rsid w:val="000C03B8"/>
    <w:rsid w:val="000C06D1"/>
    <w:rsid w:val="000C0C16"/>
    <w:rsid w:val="000C0D40"/>
    <w:rsid w:val="000C1329"/>
    <w:rsid w:val="000C1B6B"/>
    <w:rsid w:val="000C1C59"/>
    <w:rsid w:val="000C1DD5"/>
    <w:rsid w:val="000C22A7"/>
    <w:rsid w:val="000C3177"/>
    <w:rsid w:val="000C363D"/>
    <w:rsid w:val="000C37C8"/>
    <w:rsid w:val="000C48BB"/>
    <w:rsid w:val="000C52BB"/>
    <w:rsid w:val="000C5384"/>
    <w:rsid w:val="000C5437"/>
    <w:rsid w:val="000C57A3"/>
    <w:rsid w:val="000C5BD7"/>
    <w:rsid w:val="000C5D11"/>
    <w:rsid w:val="000C60EE"/>
    <w:rsid w:val="000C662B"/>
    <w:rsid w:val="000C6680"/>
    <w:rsid w:val="000C7863"/>
    <w:rsid w:val="000C7B0F"/>
    <w:rsid w:val="000C7C48"/>
    <w:rsid w:val="000D0214"/>
    <w:rsid w:val="000D061F"/>
    <w:rsid w:val="000D0B03"/>
    <w:rsid w:val="000D0E21"/>
    <w:rsid w:val="000D0F69"/>
    <w:rsid w:val="000D108B"/>
    <w:rsid w:val="000D1282"/>
    <w:rsid w:val="000D1B74"/>
    <w:rsid w:val="000D1EE1"/>
    <w:rsid w:val="000D1F18"/>
    <w:rsid w:val="000D1F22"/>
    <w:rsid w:val="000D21B1"/>
    <w:rsid w:val="000D2257"/>
    <w:rsid w:val="000D23EA"/>
    <w:rsid w:val="000D27EB"/>
    <w:rsid w:val="000D3102"/>
    <w:rsid w:val="000D32E6"/>
    <w:rsid w:val="000D3721"/>
    <w:rsid w:val="000D3F21"/>
    <w:rsid w:val="000D4915"/>
    <w:rsid w:val="000D4CA8"/>
    <w:rsid w:val="000D4FEB"/>
    <w:rsid w:val="000D51EE"/>
    <w:rsid w:val="000D5270"/>
    <w:rsid w:val="000D52C3"/>
    <w:rsid w:val="000D5432"/>
    <w:rsid w:val="000D5DE6"/>
    <w:rsid w:val="000D6546"/>
    <w:rsid w:val="000D6BB1"/>
    <w:rsid w:val="000D6F56"/>
    <w:rsid w:val="000D71DB"/>
    <w:rsid w:val="000D7415"/>
    <w:rsid w:val="000D7A35"/>
    <w:rsid w:val="000D7BE6"/>
    <w:rsid w:val="000E0D39"/>
    <w:rsid w:val="000E0D95"/>
    <w:rsid w:val="000E1758"/>
    <w:rsid w:val="000E1A65"/>
    <w:rsid w:val="000E1A74"/>
    <w:rsid w:val="000E1C2E"/>
    <w:rsid w:val="000E203E"/>
    <w:rsid w:val="000E208D"/>
    <w:rsid w:val="000E20E8"/>
    <w:rsid w:val="000E2C55"/>
    <w:rsid w:val="000E31E8"/>
    <w:rsid w:val="000E3698"/>
    <w:rsid w:val="000E36BA"/>
    <w:rsid w:val="000E3D46"/>
    <w:rsid w:val="000E3E15"/>
    <w:rsid w:val="000E3E97"/>
    <w:rsid w:val="000E4AAD"/>
    <w:rsid w:val="000E4F34"/>
    <w:rsid w:val="000E5AC7"/>
    <w:rsid w:val="000E5F84"/>
    <w:rsid w:val="000E610D"/>
    <w:rsid w:val="000E6774"/>
    <w:rsid w:val="000E78F7"/>
    <w:rsid w:val="000F06D4"/>
    <w:rsid w:val="000F098E"/>
    <w:rsid w:val="000F0AA6"/>
    <w:rsid w:val="000F0C15"/>
    <w:rsid w:val="000F0E2E"/>
    <w:rsid w:val="000F14F7"/>
    <w:rsid w:val="000F1A19"/>
    <w:rsid w:val="000F1CDC"/>
    <w:rsid w:val="000F20C9"/>
    <w:rsid w:val="000F262E"/>
    <w:rsid w:val="000F27FF"/>
    <w:rsid w:val="000F39F4"/>
    <w:rsid w:val="000F3B37"/>
    <w:rsid w:val="000F4692"/>
    <w:rsid w:val="000F4F71"/>
    <w:rsid w:val="000F5085"/>
    <w:rsid w:val="000F56AC"/>
    <w:rsid w:val="000F5B27"/>
    <w:rsid w:val="000F5FDF"/>
    <w:rsid w:val="000F6BDC"/>
    <w:rsid w:val="000F6DC9"/>
    <w:rsid w:val="000F71B8"/>
    <w:rsid w:val="000F73C5"/>
    <w:rsid w:val="001000DF"/>
    <w:rsid w:val="00100B87"/>
    <w:rsid w:val="00100C37"/>
    <w:rsid w:val="00100C86"/>
    <w:rsid w:val="00101373"/>
    <w:rsid w:val="00101589"/>
    <w:rsid w:val="00101697"/>
    <w:rsid w:val="001017B4"/>
    <w:rsid w:val="00101811"/>
    <w:rsid w:val="001025CE"/>
    <w:rsid w:val="001027CF"/>
    <w:rsid w:val="00102A07"/>
    <w:rsid w:val="00102D95"/>
    <w:rsid w:val="00102D9C"/>
    <w:rsid w:val="00103BE9"/>
    <w:rsid w:val="00103FC7"/>
    <w:rsid w:val="001040E9"/>
    <w:rsid w:val="001040EC"/>
    <w:rsid w:val="001041EE"/>
    <w:rsid w:val="00104C21"/>
    <w:rsid w:val="00104FBE"/>
    <w:rsid w:val="001052A2"/>
    <w:rsid w:val="001056BD"/>
    <w:rsid w:val="00105A87"/>
    <w:rsid w:val="00106194"/>
    <w:rsid w:val="0010628C"/>
    <w:rsid w:val="00106F30"/>
    <w:rsid w:val="0010708D"/>
    <w:rsid w:val="00107200"/>
    <w:rsid w:val="00107469"/>
    <w:rsid w:val="00107897"/>
    <w:rsid w:val="00107A8C"/>
    <w:rsid w:val="0011027D"/>
    <w:rsid w:val="00110C36"/>
    <w:rsid w:val="00110CEE"/>
    <w:rsid w:val="00110FFD"/>
    <w:rsid w:val="00111019"/>
    <w:rsid w:val="00111160"/>
    <w:rsid w:val="001112E3"/>
    <w:rsid w:val="0011178F"/>
    <w:rsid w:val="00111DEF"/>
    <w:rsid w:val="00111E07"/>
    <w:rsid w:val="00112027"/>
    <w:rsid w:val="001120E4"/>
    <w:rsid w:val="00112C38"/>
    <w:rsid w:val="00112D44"/>
    <w:rsid w:val="00112D70"/>
    <w:rsid w:val="00112F1F"/>
    <w:rsid w:val="00113216"/>
    <w:rsid w:val="00113510"/>
    <w:rsid w:val="001135C2"/>
    <w:rsid w:val="0011368F"/>
    <w:rsid w:val="00113866"/>
    <w:rsid w:val="001143BF"/>
    <w:rsid w:val="00114787"/>
    <w:rsid w:val="001148A7"/>
    <w:rsid w:val="00114932"/>
    <w:rsid w:val="00114D34"/>
    <w:rsid w:val="00115181"/>
    <w:rsid w:val="001151E6"/>
    <w:rsid w:val="00115270"/>
    <w:rsid w:val="001157D9"/>
    <w:rsid w:val="00115BCE"/>
    <w:rsid w:val="00115C21"/>
    <w:rsid w:val="00116097"/>
    <w:rsid w:val="0011629A"/>
    <w:rsid w:val="0011641A"/>
    <w:rsid w:val="00116AB3"/>
    <w:rsid w:val="00116D55"/>
    <w:rsid w:val="00116F58"/>
    <w:rsid w:val="00117383"/>
    <w:rsid w:val="00117F25"/>
    <w:rsid w:val="001203BB"/>
    <w:rsid w:val="001204E3"/>
    <w:rsid w:val="001205A1"/>
    <w:rsid w:val="001205A4"/>
    <w:rsid w:val="00120B11"/>
    <w:rsid w:val="00120DE1"/>
    <w:rsid w:val="001213A3"/>
    <w:rsid w:val="0012177B"/>
    <w:rsid w:val="00121AE3"/>
    <w:rsid w:val="00121B21"/>
    <w:rsid w:val="00121D44"/>
    <w:rsid w:val="001225B7"/>
    <w:rsid w:val="00122740"/>
    <w:rsid w:val="00122DF0"/>
    <w:rsid w:val="00122E90"/>
    <w:rsid w:val="001232C5"/>
    <w:rsid w:val="00123B15"/>
    <w:rsid w:val="001244FA"/>
    <w:rsid w:val="00124AB6"/>
    <w:rsid w:val="0012505F"/>
    <w:rsid w:val="001250CD"/>
    <w:rsid w:val="001254E9"/>
    <w:rsid w:val="0012557D"/>
    <w:rsid w:val="001256A0"/>
    <w:rsid w:val="00125B92"/>
    <w:rsid w:val="00125C11"/>
    <w:rsid w:val="00126713"/>
    <w:rsid w:val="00126D22"/>
    <w:rsid w:val="001270EE"/>
    <w:rsid w:val="0012712C"/>
    <w:rsid w:val="0012720B"/>
    <w:rsid w:val="0012762E"/>
    <w:rsid w:val="00127B24"/>
    <w:rsid w:val="0013016A"/>
    <w:rsid w:val="001302D3"/>
    <w:rsid w:val="001303D4"/>
    <w:rsid w:val="00130751"/>
    <w:rsid w:val="00130D8C"/>
    <w:rsid w:val="00131322"/>
    <w:rsid w:val="00131965"/>
    <w:rsid w:val="00131AFB"/>
    <w:rsid w:val="00131D3F"/>
    <w:rsid w:val="00131D95"/>
    <w:rsid w:val="001320F0"/>
    <w:rsid w:val="00132190"/>
    <w:rsid w:val="00132552"/>
    <w:rsid w:val="0013271B"/>
    <w:rsid w:val="00132F5E"/>
    <w:rsid w:val="0013344D"/>
    <w:rsid w:val="00133C57"/>
    <w:rsid w:val="001347CA"/>
    <w:rsid w:val="00134B44"/>
    <w:rsid w:val="00134D46"/>
    <w:rsid w:val="001356D2"/>
    <w:rsid w:val="00135A61"/>
    <w:rsid w:val="00135E66"/>
    <w:rsid w:val="0013698C"/>
    <w:rsid w:val="001377DE"/>
    <w:rsid w:val="0013785B"/>
    <w:rsid w:val="001379B2"/>
    <w:rsid w:val="00137AF8"/>
    <w:rsid w:val="001405FD"/>
    <w:rsid w:val="001406ED"/>
    <w:rsid w:val="00140A42"/>
    <w:rsid w:val="00140A6B"/>
    <w:rsid w:val="00140DEA"/>
    <w:rsid w:val="00141410"/>
    <w:rsid w:val="0014153A"/>
    <w:rsid w:val="0014161E"/>
    <w:rsid w:val="001416B8"/>
    <w:rsid w:val="00141A81"/>
    <w:rsid w:val="00141CFB"/>
    <w:rsid w:val="0014217A"/>
    <w:rsid w:val="0014236F"/>
    <w:rsid w:val="001428F3"/>
    <w:rsid w:val="00142B78"/>
    <w:rsid w:val="00142EE4"/>
    <w:rsid w:val="00143411"/>
    <w:rsid w:val="001434FA"/>
    <w:rsid w:val="001442B1"/>
    <w:rsid w:val="0014484F"/>
    <w:rsid w:val="0014496B"/>
    <w:rsid w:val="00144FA2"/>
    <w:rsid w:val="001452BE"/>
    <w:rsid w:val="0014538A"/>
    <w:rsid w:val="001454B7"/>
    <w:rsid w:val="00145553"/>
    <w:rsid w:val="00145717"/>
    <w:rsid w:val="001461B9"/>
    <w:rsid w:val="00146E81"/>
    <w:rsid w:val="00146F5E"/>
    <w:rsid w:val="001473CD"/>
    <w:rsid w:val="00147756"/>
    <w:rsid w:val="00147AB7"/>
    <w:rsid w:val="0015006B"/>
    <w:rsid w:val="001503A1"/>
    <w:rsid w:val="00150904"/>
    <w:rsid w:val="00150CFB"/>
    <w:rsid w:val="001517BD"/>
    <w:rsid w:val="00151BC0"/>
    <w:rsid w:val="00151BFA"/>
    <w:rsid w:val="00151E9D"/>
    <w:rsid w:val="0015224D"/>
    <w:rsid w:val="00152293"/>
    <w:rsid w:val="00152854"/>
    <w:rsid w:val="00152A93"/>
    <w:rsid w:val="00152D3F"/>
    <w:rsid w:val="001537F6"/>
    <w:rsid w:val="00153BAA"/>
    <w:rsid w:val="00153D2C"/>
    <w:rsid w:val="001542FF"/>
    <w:rsid w:val="0015462C"/>
    <w:rsid w:val="00154F9C"/>
    <w:rsid w:val="0015585B"/>
    <w:rsid w:val="00155E19"/>
    <w:rsid w:val="00155F60"/>
    <w:rsid w:val="00156768"/>
    <w:rsid w:val="00156923"/>
    <w:rsid w:val="001569C0"/>
    <w:rsid w:val="00156A23"/>
    <w:rsid w:val="00156BB1"/>
    <w:rsid w:val="00156BED"/>
    <w:rsid w:val="00156D30"/>
    <w:rsid w:val="00156DB0"/>
    <w:rsid w:val="00157595"/>
    <w:rsid w:val="00157B88"/>
    <w:rsid w:val="00160900"/>
    <w:rsid w:val="00160947"/>
    <w:rsid w:val="00160AD9"/>
    <w:rsid w:val="001610FE"/>
    <w:rsid w:val="0016115D"/>
    <w:rsid w:val="0016197C"/>
    <w:rsid w:val="00161ABA"/>
    <w:rsid w:val="00161F07"/>
    <w:rsid w:val="0016245C"/>
    <w:rsid w:val="001626B9"/>
    <w:rsid w:val="0016318D"/>
    <w:rsid w:val="00163482"/>
    <w:rsid w:val="0016363B"/>
    <w:rsid w:val="00163FA8"/>
    <w:rsid w:val="001640E0"/>
    <w:rsid w:val="00164895"/>
    <w:rsid w:val="001648A4"/>
    <w:rsid w:val="00165605"/>
    <w:rsid w:val="00165609"/>
    <w:rsid w:val="00165792"/>
    <w:rsid w:val="001659AB"/>
    <w:rsid w:val="00165ABD"/>
    <w:rsid w:val="00165ABE"/>
    <w:rsid w:val="00165DE5"/>
    <w:rsid w:val="00165F8F"/>
    <w:rsid w:val="0016628A"/>
    <w:rsid w:val="001669B1"/>
    <w:rsid w:val="001669B2"/>
    <w:rsid w:val="00166D83"/>
    <w:rsid w:val="00167200"/>
    <w:rsid w:val="001704BE"/>
    <w:rsid w:val="00170817"/>
    <w:rsid w:val="00170CE5"/>
    <w:rsid w:val="00170E04"/>
    <w:rsid w:val="001717C6"/>
    <w:rsid w:val="00172183"/>
    <w:rsid w:val="001728CB"/>
    <w:rsid w:val="00172970"/>
    <w:rsid w:val="001734E5"/>
    <w:rsid w:val="0017355C"/>
    <w:rsid w:val="00173CE1"/>
    <w:rsid w:val="00174599"/>
    <w:rsid w:val="00174751"/>
    <w:rsid w:val="001747DD"/>
    <w:rsid w:val="001751C7"/>
    <w:rsid w:val="00175439"/>
    <w:rsid w:val="001761B3"/>
    <w:rsid w:val="00176412"/>
    <w:rsid w:val="00176562"/>
    <w:rsid w:val="001774D8"/>
    <w:rsid w:val="00177588"/>
    <w:rsid w:val="001779C5"/>
    <w:rsid w:val="00177E11"/>
    <w:rsid w:val="00177FC3"/>
    <w:rsid w:val="001800E6"/>
    <w:rsid w:val="001800FA"/>
    <w:rsid w:val="00180A90"/>
    <w:rsid w:val="00180BBF"/>
    <w:rsid w:val="00181C54"/>
    <w:rsid w:val="001821A1"/>
    <w:rsid w:val="001822D7"/>
    <w:rsid w:val="0018260E"/>
    <w:rsid w:val="00182B4C"/>
    <w:rsid w:val="00182E24"/>
    <w:rsid w:val="00182F1F"/>
    <w:rsid w:val="00182F72"/>
    <w:rsid w:val="00182FE7"/>
    <w:rsid w:val="00183229"/>
    <w:rsid w:val="0018337E"/>
    <w:rsid w:val="00183456"/>
    <w:rsid w:val="00183779"/>
    <w:rsid w:val="00183F6B"/>
    <w:rsid w:val="001843A2"/>
    <w:rsid w:val="001845B2"/>
    <w:rsid w:val="00184656"/>
    <w:rsid w:val="00185011"/>
    <w:rsid w:val="001852B7"/>
    <w:rsid w:val="00185509"/>
    <w:rsid w:val="0018574B"/>
    <w:rsid w:val="00185AE1"/>
    <w:rsid w:val="00186CFD"/>
    <w:rsid w:val="001870E5"/>
    <w:rsid w:val="00187393"/>
    <w:rsid w:val="0018739F"/>
    <w:rsid w:val="001875F8"/>
    <w:rsid w:val="00187A6C"/>
    <w:rsid w:val="00187BAD"/>
    <w:rsid w:val="00187CBC"/>
    <w:rsid w:val="0019036A"/>
    <w:rsid w:val="00190D7B"/>
    <w:rsid w:val="00190DB2"/>
    <w:rsid w:val="0019104D"/>
    <w:rsid w:val="00191DCE"/>
    <w:rsid w:val="00192451"/>
    <w:rsid w:val="0019250C"/>
    <w:rsid w:val="0019257F"/>
    <w:rsid w:val="00192C18"/>
    <w:rsid w:val="00192C79"/>
    <w:rsid w:val="00193B91"/>
    <w:rsid w:val="00193BF9"/>
    <w:rsid w:val="00193ED3"/>
    <w:rsid w:val="00194214"/>
    <w:rsid w:val="001943F6"/>
    <w:rsid w:val="001949F5"/>
    <w:rsid w:val="00194AD4"/>
    <w:rsid w:val="00194B72"/>
    <w:rsid w:val="00194C6D"/>
    <w:rsid w:val="00194DDD"/>
    <w:rsid w:val="00194E87"/>
    <w:rsid w:val="00195619"/>
    <w:rsid w:val="00195630"/>
    <w:rsid w:val="00195B32"/>
    <w:rsid w:val="00195E3B"/>
    <w:rsid w:val="00195E7B"/>
    <w:rsid w:val="00196D40"/>
    <w:rsid w:val="00196DEB"/>
    <w:rsid w:val="00196F97"/>
    <w:rsid w:val="00197372"/>
    <w:rsid w:val="00197582"/>
    <w:rsid w:val="001A0190"/>
    <w:rsid w:val="001A0305"/>
    <w:rsid w:val="001A0F4E"/>
    <w:rsid w:val="001A0FF4"/>
    <w:rsid w:val="001A11BC"/>
    <w:rsid w:val="001A120B"/>
    <w:rsid w:val="001A14C2"/>
    <w:rsid w:val="001A1514"/>
    <w:rsid w:val="001A1648"/>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2F9"/>
    <w:rsid w:val="001A4B71"/>
    <w:rsid w:val="001A4EF6"/>
    <w:rsid w:val="001A4F4C"/>
    <w:rsid w:val="001A52A3"/>
    <w:rsid w:val="001A5DAD"/>
    <w:rsid w:val="001A685B"/>
    <w:rsid w:val="001A68BD"/>
    <w:rsid w:val="001A6928"/>
    <w:rsid w:val="001A6ABB"/>
    <w:rsid w:val="001A6C17"/>
    <w:rsid w:val="001A7D8C"/>
    <w:rsid w:val="001A7E66"/>
    <w:rsid w:val="001B05E9"/>
    <w:rsid w:val="001B07B5"/>
    <w:rsid w:val="001B0E3B"/>
    <w:rsid w:val="001B111D"/>
    <w:rsid w:val="001B162F"/>
    <w:rsid w:val="001B1863"/>
    <w:rsid w:val="001B1A7A"/>
    <w:rsid w:val="001B1EE2"/>
    <w:rsid w:val="001B2112"/>
    <w:rsid w:val="001B211B"/>
    <w:rsid w:val="001B2588"/>
    <w:rsid w:val="001B2807"/>
    <w:rsid w:val="001B28B6"/>
    <w:rsid w:val="001B29BA"/>
    <w:rsid w:val="001B2F70"/>
    <w:rsid w:val="001B2FCD"/>
    <w:rsid w:val="001B322F"/>
    <w:rsid w:val="001B3533"/>
    <w:rsid w:val="001B368B"/>
    <w:rsid w:val="001B3723"/>
    <w:rsid w:val="001B3BDD"/>
    <w:rsid w:val="001B3D3F"/>
    <w:rsid w:val="001B3DA9"/>
    <w:rsid w:val="001B4A5C"/>
    <w:rsid w:val="001B5035"/>
    <w:rsid w:val="001B5137"/>
    <w:rsid w:val="001B5490"/>
    <w:rsid w:val="001B55E6"/>
    <w:rsid w:val="001B5732"/>
    <w:rsid w:val="001B5A48"/>
    <w:rsid w:val="001B5E9B"/>
    <w:rsid w:val="001B6F34"/>
    <w:rsid w:val="001B707A"/>
    <w:rsid w:val="001B73FD"/>
    <w:rsid w:val="001B74C0"/>
    <w:rsid w:val="001B76ED"/>
    <w:rsid w:val="001B7AC6"/>
    <w:rsid w:val="001C0092"/>
    <w:rsid w:val="001C017E"/>
    <w:rsid w:val="001C01A5"/>
    <w:rsid w:val="001C061C"/>
    <w:rsid w:val="001C0D90"/>
    <w:rsid w:val="001C0DCF"/>
    <w:rsid w:val="001C12C5"/>
    <w:rsid w:val="001C177B"/>
    <w:rsid w:val="001C197D"/>
    <w:rsid w:val="001C1A79"/>
    <w:rsid w:val="001C1BE1"/>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547"/>
    <w:rsid w:val="001C4727"/>
    <w:rsid w:val="001C499F"/>
    <w:rsid w:val="001C4D0A"/>
    <w:rsid w:val="001C50CA"/>
    <w:rsid w:val="001C549D"/>
    <w:rsid w:val="001C54B3"/>
    <w:rsid w:val="001C562C"/>
    <w:rsid w:val="001C58FF"/>
    <w:rsid w:val="001C5C7C"/>
    <w:rsid w:val="001C69F0"/>
    <w:rsid w:val="001C6AF4"/>
    <w:rsid w:val="001C7410"/>
    <w:rsid w:val="001C75E9"/>
    <w:rsid w:val="001C7C79"/>
    <w:rsid w:val="001C7CBE"/>
    <w:rsid w:val="001C7D84"/>
    <w:rsid w:val="001C7F1D"/>
    <w:rsid w:val="001D01D4"/>
    <w:rsid w:val="001D05C3"/>
    <w:rsid w:val="001D08F7"/>
    <w:rsid w:val="001D0975"/>
    <w:rsid w:val="001D0ADC"/>
    <w:rsid w:val="001D0C0A"/>
    <w:rsid w:val="001D0FDD"/>
    <w:rsid w:val="001D17FD"/>
    <w:rsid w:val="001D1843"/>
    <w:rsid w:val="001D1E2C"/>
    <w:rsid w:val="001D1ED9"/>
    <w:rsid w:val="001D2019"/>
    <w:rsid w:val="001D2123"/>
    <w:rsid w:val="001D2B1C"/>
    <w:rsid w:val="001D2C8D"/>
    <w:rsid w:val="001D31C1"/>
    <w:rsid w:val="001D35F6"/>
    <w:rsid w:val="001D3902"/>
    <w:rsid w:val="001D3EEA"/>
    <w:rsid w:val="001D4272"/>
    <w:rsid w:val="001D4641"/>
    <w:rsid w:val="001D50B3"/>
    <w:rsid w:val="001D52A0"/>
    <w:rsid w:val="001D5767"/>
    <w:rsid w:val="001D5BFD"/>
    <w:rsid w:val="001D5CCF"/>
    <w:rsid w:val="001D6C26"/>
    <w:rsid w:val="001D6D28"/>
    <w:rsid w:val="001D6EEF"/>
    <w:rsid w:val="001D70A4"/>
    <w:rsid w:val="001D7551"/>
    <w:rsid w:val="001E04C4"/>
    <w:rsid w:val="001E05EA"/>
    <w:rsid w:val="001E0DA5"/>
    <w:rsid w:val="001E1035"/>
    <w:rsid w:val="001E10E2"/>
    <w:rsid w:val="001E11DD"/>
    <w:rsid w:val="001E1990"/>
    <w:rsid w:val="001E1A2C"/>
    <w:rsid w:val="001E1F60"/>
    <w:rsid w:val="001E20E6"/>
    <w:rsid w:val="001E2646"/>
    <w:rsid w:val="001E2886"/>
    <w:rsid w:val="001E3664"/>
    <w:rsid w:val="001E4026"/>
    <w:rsid w:val="001E41AB"/>
    <w:rsid w:val="001E4636"/>
    <w:rsid w:val="001E468C"/>
    <w:rsid w:val="001E4979"/>
    <w:rsid w:val="001E49B5"/>
    <w:rsid w:val="001E4A2B"/>
    <w:rsid w:val="001E4B25"/>
    <w:rsid w:val="001E4D01"/>
    <w:rsid w:val="001E5335"/>
    <w:rsid w:val="001E553F"/>
    <w:rsid w:val="001E5641"/>
    <w:rsid w:val="001E5653"/>
    <w:rsid w:val="001E5968"/>
    <w:rsid w:val="001E5C12"/>
    <w:rsid w:val="001E616C"/>
    <w:rsid w:val="001E623A"/>
    <w:rsid w:val="001E6272"/>
    <w:rsid w:val="001E6369"/>
    <w:rsid w:val="001E63AC"/>
    <w:rsid w:val="001E679C"/>
    <w:rsid w:val="001E7515"/>
    <w:rsid w:val="001E7934"/>
    <w:rsid w:val="001E7C3F"/>
    <w:rsid w:val="001E7E3C"/>
    <w:rsid w:val="001F0485"/>
    <w:rsid w:val="001F0906"/>
    <w:rsid w:val="001F0CD7"/>
    <w:rsid w:val="001F0CE3"/>
    <w:rsid w:val="001F0DBC"/>
    <w:rsid w:val="001F1049"/>
    <w:rsid w:val="001F1192"/>
    <w:rsid w:val="001F15DF"/>
    <w:rsid w:val="001F16F2"/>
    <w:rsid w:val="001F1A50"/>
    <w:rsid w:val="001F1F59"/>
    <w:rsid w:val="001F2027"/>
    <w:rsid w:val="001F2C64"/>
    <w:rsid w:val="001F2CDD"/>
    <w:rsid w:val="001F311C"/>
    <w:rsid w:val="001F374E"/>
    <w:rsid w:val="001F3920"/>
    <w:rsid w:val="001F3948"/>
    <w:rsid w:val="001F3AC2"/>
    <w:rsid w:val="001F3E27"/>
    <w:rsid w:val="001F3F33"/>
    <w:rsid w:val="001F463F"/>
    <w:rsid w:val="001F495E"/>
    <w:rsid w:val="001F49A7"/>
    <w:rsid w:val="001F4E75"/>
    <w:rsid w:val="001F4EDD"/>
    <w:rsid w:val="001F5229"/>
    <w:rsid w:val="001F55B9"/>
    <w:rsid w:val="001F5781"/>
    <w:rsid w:val="001F5B8D"/>
    <w:rsid w:val="001F5E3C"/>
    <w:rsid w:val="001F67E3"/>
    <w:rsid w:val="001F6B00"/>
    <w:rsid w:val="001F6B7E"/>
    <w:rsid w:val="001F6BC4"/>
    <w:rsid w:val="001F71B1"/>
    <w:rsid w:val="001F722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217"/>
    <w:rsid w:val="00202337"/>
    <w:rsid w:val="002025DA"/>
    <w:rsid w:val="002026D2"/>
    <w:rsid w:val="00202EB2"/>
    <w:rsid w:val="00203060"/>
    <w:rsid w:val="0020314B"/>
    <w:rsid w:val="002031C2"/>
    <w:rsid w:val="002035EC"/>
    <w:rsid w:val="002037E3"/>
    <w:rsid w:val="00203A60"/>
    <w:rsid w:val="00203D00"/>
    <w:rsid w:val="00204192"/>
    <w:rsid w:val="00205671"/>
    <w:rsid w:val="00205B26"/>
    <w:rsid w:val="00206353"/>
    <w:rsid w:val="0020643D"/>
    <w:rsid w:val="00206605"/>
    <w:rsid w:val="00206802"/>
    <w:rsid w:val="00206878"/>
    <w:rsid w:val="00206882"/>
    <w:rsid w:val="00210128"/>
    <w:rsid w:val="002107DC"/>
    <w:rsid w:val="00210BB4"/>
    <w:rsid w:val="00211195"/>
    <w:rsid w:val="00211866"/>
    <w:rsid w:val="0021190B"/>
    <w:rsid w:val="00211BFA"/>
    <w:rsid w:val="00211C03"/>
    <w:rsid w:val="00211E14"/>
    <w:rsid w:val="0021218B"/>
    <w:rsid w:val="00212593"/>
    <w:rsid w:val="00212CC0"/>
    <w:rsid w:val="0021378D"/>
    <w:rsid w:val="00213D6A"/>
    <w:rsid w:val="00213EE7"/>
    <w:rsid w:val="00214B9A"/>
    <w:rsid w:val="00214ED9"/>
    <w:rsid w:val="00215524"/>
    <w:rsid w:val="00215534"/>
    <w:rsid w:val="002156C9"/>
    <w:rsid w:val="00215AE8"/>
    <w:rsid w:val="00215E2F"/>
    <w:rsid w:val="002179F6"/>
    <w:rsid w:val="00220240"/>
    <w:rsid w:val="002208BA"/>
    <w:rsid w:val="00220F80"/>
    <w:rsid w:val="002212FD"/>
    <w:rsid w:val="002216EB"/>
    <w:rsid w:val="00221DC9"/>
    <w:rsid w:val="00221F54"/>
    <w:rsid w:val="00222321"/>
    <w:rsid w:val="002223FC"/>
    <w:rsid w:val="00222565"/>
    <w:rsid w:val="00222CE1"/>
    <w:rsid w:val="00222E88"/>
    <w:rsid w:val="00223088"/>
    <w:rsid w:val="00223CC2"/>
    <w:rsid w:val="002243E1"/>
    <w:rsid w:val="002244B7"/>
    <w:rsid w:val="00224FB2"/>
    <w:rsid w:val="0022506C"/>
    <w:rsid w:val="00225085"/>
    <w:rsid w:val="002252EC"/>
    <w:rsid w:val="002254F6"/>
    <w:rsid w:val="00225685"/>
    <w:rsid w:val="00225977"/>
    <w:rsid w:val="002261C9"/>
    <w:rsid w:val="00226FEF"/>
    <w:rsid w:val="00227061"/>
    <w:rsid w:val="0022707F"/>
    <w:rsid w:val="002272FA"/>
    <w:rsid w:val="0022756C"/>
    <w:rsid w:val="00227630"/>
    <w:rsid w:val="00231640"/>
    <w:rsid w:val="00231AF3"/>
    <w:rsid w:val="00231BCE"/>
    <w:rsid w:val="0023226B"/>
    <w:rsid w:val="002327CB"/>
    <w:rsid w:val="002329E2"/>
    <w:rsid w:val="00232AE3"/>
    <w:rsid w:val="00232B10"/>
    <w:rsid w:val="00232DBA"/>
    <w:rsid w:val="00232FF4"/>
    <w:rsid w:val="002330E4"/>
    <w:rsid w:val="00233778"/>
    <w:rsid w:val="00233783"/>
    <w:rsid w:val="002339E2"/>
    <w:rsid w:val="00233FD8"/>
    <w:rsid w:val="0023406A"/>
    <w:rsid w:val="002340FA"/>
    <w:rsid w:val="0023457A"/>
    <w:rsid w:val="00234A2A"/>
    <w:rsid w:val="00234A85"/>
    <w:rsid w:val="00234C94"/>
    <w:rsid w:val="0023500A"/>
    <w:rsid w:val="0023525F"/>
    <w:rsid w:val="00235AAD"/>
    <w:rsid w:val="00235F09"/>
    <w:rsid w:val="00235FD5"/>
    <w:rsid w:val="002366F5"/>
    <w:rsid w:val="00236863"/>
    <w:rsid w:val="00236FE7"/>
    <w:rsid w:val="00237044"/>
    <w:rsid w:val="00240658"/>
    <w:rsid w:val="0024066C"/>
    <w:rsid w:val="00240EA7"/>
    <w:rsid w:val="00241283"/>
    <w:rsid w:val="002413BF"/>
    <w:rsid w:val="00241D76"/>
    <w:rsid w:val="00242583"/>
    <w:rsid w:val="002427A4"/>
    <w:rsid w:val="00242C27"/>
    <w:rsid w:val="00242F1F"/>
    <w:rsid w:val="00242F40"/>
    <w:rsid w:val="002431A5"/>
    <w:rsid w:val="0024387E"/>
    <w:rsid w:val="00243F11"/>
    <w:rsid w:val="00244063"/>
    <w:rsid w:val="0024420E"/>
    <w:rsid w:val="00245019"/>
    <w:rsid w:val="00245475"/>
    <w:rsid w:val="00245A7F"/>
    <w:rsid w:val="00245ADA"/>
    <w:rsid w:val="00245CB6"/>
    <w:rsid w:val="00245E0C"/>
    <w:rsid w:val="0024621D"/>
    <w:rsid w:val="00246869"/>
    <w:rsid w:val="00246C9A"/>
    <w:rsid w:val="002478AE"/>
    <w:rsid w:val="002478E4"/>
    <w:rsid w:val="002479B4"/>
    <w:rsid w:val="00247A8B"/>
    <w:rsid w:val="00247B07"/>
    <w:rsid w:val="00250702"/>
    <w:rsid w:val="002507B5"/>
    <w:rsid w:val="00250F34"/>
    <w:rsid w:val="0025148C"/>
    <w:rsid w:val="002515EC"/>
    <w:rsid w:val="0025187B"/>
    <w:rsid w:val="00252013"/>
    <w:rsid w:val="002527E2"/>
    <w:rsid w:val="002528E6"/>
    <w:rsid w:val="00252A9D"/>
    <w:rsid w:val="00252ABF"/>
    <w:rsid w:val="00252AE6"/>
    <w:rsid w:val="0025367C"/>
    <w:rsid w:val="0025393B"/>
    <w:rsid w:val="002539DE"/>
    <w:rsid w:val="00253EF6"/>
    <w:rsid w:val="002544EA"/>
    <w:rsid w:val="00254592"/>
    <w:rsid w:val="00254634"/>
    <w:rsid w:val="00255650"/>
    <w:rsid w:val="00255695"/>
    <w:rsid w:val="00255977"/>
    <w:rsid w:val="00255AD3"/>
    <w:rsid w:val="00255B77"/>
    <w:rsid w:val="00255C8A"/>
    <w:rsid w:val="0025628E"/>
    <w:rsid w:val="00257043"/>
    <w:rsid w:val="00257376"/>
    <w:rsid w:val="00257752"/>
    <w:rsid w:val="002578C4"/>
    <w:rsid w:val="00257A97"/>
    <w:rsid w:val="00260322"/>
    <w:rsid w:val="00261092"/>
    <w:rsid w:val="00261161"/>
    <w:rsid w:val="002612E8"/>
    <w:rsid w:val="00261B5A"/>
    <w:rsid w:val="00261CB9"/>
    <w:rsid w:val="0026224C"/>
    <w:rsid w:val="0026237A"/>
    <w:rsid w:val="002623A2"/>
    <w:rsid w:val="00262773"/>
    <w:rsid w:val="002629FD"/>
    <w:rsid w:val="00262C07"/>
    <w:rsid w:val="00262C33"/>
    <w:rsid w:val="00262D87"/>
    <w:rsid w:val="00263252"/>
    <w:rsid w:val="002636DA"/>
    <w:rsid w:val="00263929"/>
    <w:rsid w:val="0026396B"/>
    <w:rsid w:val="00263A0C"/>
    <w:rsid w:val="00263F6B"/>
    <w:rsid w:val="0026498C"/>
    <w:rsid w:val="00264A36"/>
    <w:rsid w:val="002651E6"/>
    <w:rsid w:val="002660F6"/>
    <w:rsid w:val="00266CE7"/>
    <w:rsid w:val="00266D40"/>
    <w:rsid w:val="002670F7"/>
    <w:rsid w:val="002670F9"/>
    <w:rsid w:val="00267612"/>
    <w:rsid w:val="00267CB3"/>
    <w:rsid w:val="0027018F"/>
    <w:rsid w:val="00270407"/>
    <w:rsid w:val="002707CB"/>
    <w:rsid w:val="0027090D"/>
    <w:rsid w:val="00270AFC"/>
    <w:rsid w:val="00270C51"/>
    <w:rsid w:val="00270DFE"/>
    <w:rsid w:val="00270F23"/>
    <w:rsid w:val="002714EE"/>
    <w:rsid w:val="002715E4"/>
    <w:rsid w:val="00271AE4"/>
    <w:rsid w:val="00271BDE"/>
    <w:rsid w:val="00271C59"/>
    <w:rsid w:val="002723FE"/>
    <w:rsid w:val="0027242A"/>
    <w:rsid w:val="002726DA"/>
    <w:rsid w:val="00272D0D"/>
    <w:rsid w:val="00272E49"/>
    <w:rsid w:val="00272ECC"/>
    <w:rsid w:val="0027301B"/>
    <w:rsid w:val="0027481D"/>
    <w:rsid w:val="00274836"/>
    <w:rsid w:val="00274B0D"/>
    <w:rsid w:val="00274BA8"/>
    <w:rsid w:val="00274FE0"/>
    <w:rsid w:val="0027500B"/>
    <w:rsid w:val="0027566B"/>
    <w:rsid w:val="00275E45"/>
    <w:rsid w:val="00275FFB"/>
    <w:rsid w:val="0027600F"/>
    <w:rsid w:val="00276205"/>
    <w:rsid w:val="002769F1"/>
    <w:rsid w:val="00276C2C"/>
    <w:rsid w:val="00276C4D"/>
    <w:rsid w:val="00277039"/>
    <w:rsid w:val="002773DF"/>
    <w:rsid w:val="00277936"/>
    <w:rsid w:val="0027793C"/>
    <w:rsid w:val="00277E6B"/>
    <w:rsid w:val="002802F7"/>
    <w:rsid w:val="002806A9"/>
    <w:rsid w:val="00280807"/>
    <w:rsid w:val="00281791"/>
    <w:rsid w:val="00281EA2"/>
    <w:rsid w:val="00281F49"/>
    <w:rsid w:val="00282041"/>
    <w:rsid w:val="002822AD"/>
    <w:rsid w:val="00282838"/>
    <w:rsid w:val="00282854"/>
    <w:rsid w:val="00282A20"/>
    <w:rsid w:val="0028317F"/>
    <w:rsid w:val="00283448"/>
    <w:rsid w:val="00283514"/>
    <w:rsid w:val="002839B5"/>
    <w:rsid w:val="00283B82"/>
    <w:rsid w:val="00283D06"/>
    <w:rsid w:val="00283E74"/>
    <w:rsid w:val="00284A53"/>
    <w:rsid w:val="00285514"/>
    <w:rsid w:val="002859DA"/>
    <w:rsid w:val="00285ECF"/>
    <w:rsid w:val="00286057"/>
    <w:rsid w:val="00286203"/>
    <w:rsid w:val="002868A7"/>
    <w:rsid w:val="00287082"/>
    <w:rsid w:val="002879F5"/>
    <w:rsid w:val="00287EE3"/>
    <w:rsid w:val="002900F3"/>
    <w:rsid w:val="0029021E"/>
    <w:rsid w:val="00290414"/>
    <w:rsid w:val="00290564"/>
    <w:rsid w:val="00290911"/>
    <w:rsid w:val="002909C2"/>
    <w:rsid w:val="00290D0B"/>
    <w:rsid w:val="00291CEE"/>
    <w:rsid w:val="00291E59"/>
    <w:rsid w:val="00291E9B"/>
    <w:rsid w:val="002920BF"/>
    <w:rsid w:val="0029219A"/>
    <w:rsid w:val="00292FD6"/>
    <w:rsid w:val="002933B3"/>
    <w:rsid w:val="00293705"/>
    <w:rsid w:val="00293A0F"/>
    <w:rsid w:val="00293A73"/>
    <w:rsid w:val="00293C30"/>
    <w:rsid w:val="00293F2E"/>
    <w:rsid w:val="002945D3"/>
    <w:rsid w:val="00294DD4"/>
    <w:rsid w:val="0029564D"/>
    <w:rsid w:val="002958CC"/>
    <w:rsid w:val="00295F5E"/>
    <w:rsid w:val="00295F60"/>
    <w:rsid w:val="00295F71"/>
    <w:rsid w:val="0029615B"/>
    <w:rsid w:val="00296F85"/>
    <w:rsid w:val="0029722E"/>
    <w:rsid w:val="002973AB"/>
    <w:rsid w:val="00297537"/>
    <w:rsid w:val="002977B2"/>
    <w:rsid w:val="0029781B"/>
    <w:rsid w:val="00297843"/>
    <w:rsid w:val="00297F31"/>
    <w:rsid w:val="002A045E"/>
    <w:rsid w:val="002A0C6F"/>
    <w:rsid w:val="002A0F34"/>
    <w:rsid w:val="002A17D5"/>
    <w:rsid w:val="002A1B1B"/>
    <w:rsid w:val="002A202F"/>
    <w:rsid w:val="002A2339"/>
    <w:rsid w:val="002A2535"/>
    <w:rsid w:val="002A277B"/>
    <w:rsid w:val="002A2AA6"/>
    <w:rsid w:val="002A2F3E"/>
    <w:rsid w:val="002A2FA7"/>
    <w:rsid w:val="002A3342"/>
    <w:rsid w:val="002A3705"/>
    <w:rsid w:val="002A3803"/>
    <w:rsid w:val="002A384A"/>
    <w:rsid w:val="002A39B7"/>
    <w:rsid w:val="002A3AC2"/>
    <w:rsid w:val="002A3D69"/>
    <w:rsid w:val="002A4333"/>
    <w:rsid w:val="002A43BB"/>
    <w:rsid w:val="002A448F"/>
    <w:rsid w:val="002A4618"/>
    <w:rsid w:val="002A503D"/>
    <w:rsid w:val="002A50C4"/>
    <w:rsid w:val="002A52C4"/>
    <w:rsid w:val="002A5554"/>
    <w:rsid w:val="002A6076"/>
    <w:rsid w:val="002A6230"/>
    <w:rsid w:val="002A66E2"/>
    <w:rsid w:val="002A6A5C"/>
    <w:rsid w:val="002A74CB"/>
    <w:rsid w:val="002A7776"/>
    <w:rsid w:val="002B05B1"/>
    <w:rsid w:val="002B0A88"/>
    <w:rsid w:val="002B0B42"/>
    <w:rsid w:val="002B0C9D"/>
    <w:rsid w:val="002B16CB"/>
    <w:rsid w:val="002B176B"/>
    <w:rsid w:val="002B184E"/>
    <w:rsid w:val="002B1E30"/>
    <w:rsid w:val="002B1EC9"/>
    <w:rsid w:val="002B2464"/>
    <w:rsid w:val="002B258B"/>
    <w:rsid w:val="002B27AB"/>
    <w:rsid w:val="002B28DD"/>
    <w:rsid w:val="002B2BF7"/>
    <w:rsid w:val="002B2C02"/>
    <w:rsid w:val="002B2ED0"/>
    <w:rsid w:val="002B3449"/>
    <w:rsid w:val="002B3829"/>
    <w:rsid w:val="002B3DBF"/>
    <w:rsid w:val="002B4102"/>
    <w:rsid w:val="002B411A"/>
    <w:rsid w:val="002B43BC"/>
    <w:rsid w:val="002B4612"/>
    <w:rsid w:val="002B490E"/>
    <w:rsid w:val="002B4A8C"/>
    <w:rsid w:val="002B52DB"/>
    <w:rsid w:val="002B5E59"/>
    <w:rsid w:val="002B5F9F"/>
    <w:rsid w:val="002B607A"/>
    <w:rsid w:val="002B615C"/>
    <w:rsid w:val="002B61B8"/>
    <w:rsid w:val="002B6355"/>
    <w:rsid w:val="002B642E"/>
    <w:rsid w:val="002C0CC8"/>
    <w:rsid w:val="002C0E19"/>
    <w:rsid w:val="002C11C4"/>
    <w:rsid w:val="002C16DF"/>
    <w:rsid w:val="002C1933"/>
    <w:rsid w:val="002C2BFC"/>
    <w:rsid w:val="002C33A6"/>
    <w:rsid w:val="002C34EA"/>
    <w:rsid w:val="002C41F2"/>
    <w:rsid w:val="002C46D4"/>
    <w:rsid w:val="002C4E3A"/>
    <w:rsid w:val="002C4E96"/>
    <w:rsid w:val="002C59C5"/>
    <w:rsid w:val="002C6425"/>
    <w:rsid w:val="002C6DB1"/>
    <w:rsid w:val="002C6E33"/>
    <w:rsid w:val="002C72EF"/>
    <w:rsid w:val="002C750C"/>
    <w:rsid w:val="002C7811"/>
    <w:rsid w:val="002C7F58"/>
    <w:rsid w:val="002D00FA"/>
    <w:rsid w:val="002D02C0"/>
    <w:rsid w:val="002D0595"/>
    <w:rsid w:val="002D078E"/>
    <w:rsid w:val="002D094F"/>
    <w:rsid w:val="002D0B60"/>
    <w:rsid w:val="002D0B65"/>
    <w:rsid w:val="002D0E8C"/>
    <w:rsid w:val="002D1338"/>
    <w:rsid w:val="002D15D0"/>
    <w:rsid w:val="002D221E"/>
    <w:rsid w:val="002D2363"/>
    <w:rsid w:val="002D293B"/>
    <w:rsid w:val="002D3041"/>
    <w:rsid w:val="002D365B"/>
    <w:rsid w:val="002D3697"/>
    <w:rsid w:val="002D3824"/>
    <w:rsid w:val="002D387F"/>
    <w:rsid w:val="002D3F34"/>
    <w:rsid w:val="002D3FEF"/>
    <w:rsid w:val="002D4114"/>
    <w:rsid w:val="002D412B"/>
    <w:rsid w:val="002D4412"/>
    <w:rsid w:val="002D4421"/>
    <w:rsid w:val="002D47AF"/>
    <w:rsid w:val="002D49EB"/>
    <w:rsid w:val="002D4CC6"/>
    <w:rsid w:val="002D4FFF"/>
    <w:rsid w:val="002D532B"/>
    <w:rsid w:val="002D5A24"/>
    <w:rsid w:val="002D5AA3"/>
    <w:rsid w:val="002D600F"/>
    <w:rsid w:val="002D64C8"/>
    <w:rsid w:val="002D6627"/>
    <w:rsid w:val="002D66D6"/>
    <w:rsid w:val="002D6F33"/>
    <w:rsid w:val="002D734D"/>
    <w:rsid w:val="002D73AC"/>
    <w:rsid w:val="002D761B"/>
    <w:rsid w:val="002D7706"/>
    <w:rsid w:val="002D79D5"/>
    <w:rsid w:val="002E0255"/>
    <w:rsid w:val="002E04F7"/>
    <w:rsid w:val="002E0CC1"/>
    <w:rsid w:val="002E0EBA"/>
    <w:rsid w:val="002E135F"/>
    <w:rsid w:val="002E1BD6"/>
    <w:rsid w:val="002E1C0B"/>
    <w:rsid w:val="002E2751"/>
    <w:rsid w:val="002E2779"/>
    <w:rsid w:val="002E27A1"/>
    <w:rsid w:val="002E2B82"/>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887"/>
    <w:rsid w:val="002F1993"/>
    <w:rsid w:val="002F1D8D"/>
    <w:rsid w:val="002F230D"/>
    <w:rsid w:val="002F297F"/>
    <w:rsid w:val="002F2CDD"/>
    <w:rsid w:val="002F3814"/>
    <w:rsid w:val="002F3A98"/>
    <w:rsid w:val="002F3E06"/>
    <w:rsid w:val="002F3FB6"/>
    <w:rsid w:val="002F4325"/>
    <w:rsid w:val="002F4AED"/>
    <w:rsid w:val="002F4CD3"/>
    <w:rsid w:val="002F4ECA"/>
    <w:rsid w:val="002F4F2A"/>
    <w:rsid w:val="002F4FBF"/>
    <w:rsid w:val="002F516E"/>
    <w:rsid w:val="002F52DF"/>
    <w:rsid w:val="002F5B91"/>
    <w:rsid w:val="002F5C2A"/>
    <w:rsid w:val="002F5E04"/>
    <w:rsid w:val="002F63AC"/>
    <w:rsid w:val="002F63DB"/>
    <w:rsid w:val="002F67D0"/>
    <w:rsid w:val="002F7947"/>
    <w:rsid w:val="00300045"/>
    <w:rsid w:val="003006E1"/>
    <w:rsid w:val="00300F23"/>
    <w:rsid w:val="00301102"/>
    <w:rsid w:val="0030152E"/>
    <w:rsid w:val="00301763"/>
    <w:rsid w:val="003019F2"/>
    <w:rsid w:val="00301B48"/>
    <w:rsid w:val="00301C6C"/>
    <w:rsid w:val="00301E3C"/>
    <w:rsid w:val="0030200C"/>
    <w:rsid w:val="00302190"/>
    <w:rsid w:val="003021CB"/>
    <w:rsid w:val="003022ED"/>
    <w:rsid w:val="003028F5"/>
    <w:rsid w:val="0030297F"/>
    <w:rsid w:val="00302E5C"/>
    <w:rsid w:val="003030B0"/>
    <w:rsid w:val="00303551"/>
    <w:rsid w:val="0030378F"/>
    <w:rsid w:val="003037A8"/>
    <w:rsid w:val="00303B09"/>
    <w:rsid w:val="003040F2"/>
    <w:rsid w:val="00304321"/>
    <w:rsid w:val="00304544"/>
    <w:rsid w:val="003045D9"/>
    <w:rsid w:val="00304930"/>
    <w:rsid w:val="00304B34"/>
    <w:rsid w:val="00304DED"/>
    <w:rsid w:val="00304F01"/>
    <w:rsid w:val="00304F75"/>
    <w:rsid w:val="0030586D"/>
    <w:rsid w:val="00305CA4"/>
    <w:rsid w:val="00305DD5"/>
    <w:rsid w:val="00306577"/>
    <w:rsid w:val="003067DC"/>
    <w:rsid w:val="00306809"/>
    <w:rsid w:val="003069D8"/>
    <w:rsid w:val="00306EAD"/>
    <w:rsid w:val="00307C59"/>
    <w:rsid w:val="00307FD4"/>
    <w:rsid w:val="00310543"/>
    <w:rsid w:val="003107A9"/>
    <w:rsid w:val="0031175C"/>
    <w:rsid w:val="00311D17"/>
    <w:rsid w:val="0031221C"/>
    <w:rsid w:val="003122AA"/>
    <w:rsid w:val="003124DF"/>
    <w:rsid w:val="00312B78"/>
    <w:rsid w:val="00312D6B"/>
    <w:rsid w:val="00312DD3"/>
    <w:rsid w:val="00312EF6"/>
    <w:rsid w:val="00312FD5"/>
    <w:rsid w:val="003131B4"/>
    <w:rsid w:val="00313593"/>
    <w:rsid w:val="0031364C"/>
    <w:rsid w:val="003139E1"/>
    <w:rsid w:val="00313AEE"/>
    <w:rsid w:val="00313B02"/>
    <w:rsid w:val="00314993"/>
    <w:rsid w:val="003151CA"/>
    <w:rsid w:val="003151D0"/>
    <w:rsid w:val="0031549A"/>
    <w:rsid w:val="0031569B"/>
    <w:rsid w:val="00315C2C"/>
    <w:rsid w:val="0031600C"/>
    <w:rsid w:val="0031605A"/>
    <w:rsid w:val="003161D0"/>
    <w:rsid w:val="0031629A"/>
    <w:rsid w:val="0031676C"/>
    <w:rsid w:val="00316B24"/>
    <w:rsid w:val="0031737A"/>
    <w:rsid w:val="00320722"/>
    <w:rsid w:val="00320C26"/>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4E82"/>
    <w:rsid w:val="00325064"/>
    <w:rsid w:val="003254F6"/>
    <w:rsid w:val="00325BAC"/>
    <w:rsid w:val="00325C26"/>
    <w:rsid w:val="00326FCE"/>
    <w:rsid w:val="003271A7"/>
    <w:rsid w:val="00327244"/>
    <w:rsid w:val="00327532"/>
    <w:rsid w:val="003279A9"/>
    <w:rsid w:val="00327A3B"/>
    <w:rsid w:val="00327A96"/>
    <w:rsid w:val="00327C3F"/>
    <w:rsid w:val="00330021"/>
    <w:rsid w:val="00330266"/>
    <w:rsid w:val="00330300"/>
    <w:rsid w:val="003308F2"/>
    <w:rsid w:val="003309B4"/>
    <w:rsid w:val="00330F22"/>
    <w:rsid w:val="0033181B"/>
    <w:rsid w:val="00331DDB"/>
    <w:rsid w:val="00332430"/>
    <w:rsid w:val="00332647"/>
    <w:rsid w:val="0033271E"/>
    <w:rsid w:val="0033277D"/>
    <w:rsid w:val="00332781"/>
    <w:rsid w:val="00332BBB"/>
    <w:rsid w:val="00333131"/>
    <w:rsid w:val="00333145"/>
    <w:rsid w:val="0033369D"/>
    <w:rsid w:val="0033392C"/>
    <w:rsid w:val="00333AC3"/>
    <w:rsid w:val="00334558"/>
    <w:rsid w:val="003348F4"/>
    <w:rsid w:val="00335116"/>
    <w:rsid w:val="003353E7"/>
    <w:rsid w:val="003355C3"/>
    <w:rsid w:val="00335DBA"/>
    <w:rsid w:val="00335E48"/>
    <w:rsid w:val="00335F6E"/>
    <w:rsid w:val="00336038"/>
    <w:rsid w:val="003366DF"/>
    <w:rsid w:val="00336934"/>
    <w:rsid w:val="00336974"/>
    <w:rsid w:val="00336AFC"/>
    <w:rsid w:val="00336C31"/>
    <w:rsid w:val="00337F70"/>
    <w:rsid w:val="003402BB"/>
    <w:rsid w:val="003402F1"/>
    <w:rsid w:val="003402FF"/>
    <w:rsid w:val="00340506"/>
    <w:rsid w:val="003405E1"/>
    <w:rsid w:val="0034088E"/>
    <w:rsid w:val="00340990"/>
    <w:rsid w:val="00340B17"/>
    <w:rsid w:val="00340C76"/>
    <w:rsid w:val="00341926"/>
    <w:rsid w:val="00341B81"/>
    <w:rsid w:val="00341CD2"/>
    <w:rsid w:val="00341E8C"/>
    <w:rsid w:val="003421CE"/>
    <w:rsid w:val="00342588"/>
    <w:rsid w:val="003425FE"/>
    <w:rsid w:val="003428BC"/>
    <w:rsid w:val="00342EB3"/>
    <w:rsid w:val="00343227"/>
    <w:rsid w:val="003433C6"/>
    <w:rsid w:val="0034359D"/>
    <w:rsid w:val="003435BD"/>
    <w:rsid w:val="003436DD"/>
    <w:rsid w:val="00343AA7"/>
    <w:rsid w:val="00343E41"/>
    <w:rsid w:val="00344058"/>
    <w:rsid w:val="00344C5D"/>
    <w:rsid w:val="00344FBD"/>
    <w:rsid w:val="00345664"/>
    <w:rsid w:val="003459BF"/>
    <w:rsid w:val="00346190"/>
    <w:rsid w:val="003461A1"/>
    <w:rsid w:val="00346470"/>
    <w:rsid w:val="003468B6"/>
    <w:rsid w:val="00346A41"/>
    <w:rsid w:val="00346F97"/>
    <w:rsid w:val="00347105"/>
    <w:rsid w:val="0034723E"/>
    <w:rsid w:val="00347401"/>
    <w:rsid w:val="00347BBC"/>
    <w:rsid w:val="00347BE5"/>
    <w:rsid w:val="00347F01"/>
    <w:rsid w:val="0035051B"/>
    <w:rsid w:val="0035067B"/>
    <w:rsid w:val="00350F59"/>
    <w:rsid w:val="00351307"/>
    <w:rsid w:val="003519F2"/>
    <w:rsid w:val="00352094"/>
    <w:rsid w:val="00352287"/>
    <w:rsid w:val="00352393"/>
    <w:rsid w:val="00352539"/>
    <w:rsid w:val="00352900"/>
    <w:rsid w:val="00352994"/>
    <w:rsid w:val="00352B0A"/>
    <w:rsid w:val="00352CA9"/>
    <w:rsid w:val="00353228"/>
    <w:rsid w:val="00353455"/>
    <w:rsid w:val="003537B8"/>
    <w:rsid w:val="00353906"/>
    <w:rsid w:val="00354731"/>
    <w:rsid w:val="0035476E"/>
    <w:rsid w:val="0035497B"/>
    <w:rsid w:val="00354B4F"/>
    <w:rsid w:val="00354C90"/>
    <w:rsid w:val="00354F32"/>
    <w:rsid w:val="00355582"/>
    <w:rsid w:val="0035565A"/>
    <w:rsid w:val="00355727"/>
    <w:rsid w:val="00355FA3"/>
    <w:rsid w:val="003563E1"/>
    <w:rsid w:val="0035670B"/>
    <w:rsid w:val="00357014"/>
    <w:rsid w:val="003577AB"/>
    <w:rsid w:val="0035782E"/>
    <w:rsid w:val="00357D2F"/>
    <w:rsid w:val="00360712"/>
    <w:rsid w:val="00360728"/>
    <w:rsid w:val="003609C9"/>
    <w:rsid w:val="00360A0C"/>
    <w:rsid w:val="0036104C"/>
    <w:rsid w:val="003617F5"/>
    <w:rsid w:val="003628F9"/>
    <w:rsid w:val="00363A22"/>
    <w:rsid w:val="00363F8E"/>
    <w:rsid w:val="00364470"/>
    <w:rsid w:val="00364548"/>
    <w:rsid w:val="003648DB"/>
    <w:rsid w:val="003649C7"/>
    <w:rsid w:val="00364BE2"/>
    <w:rsid w:val="00364D97"/>
    <w:rsid w:val="003652D8"/>
    <w:rsid w:val="00365899"/>
    <w:rsid w:val="00365BB7"/>
    <w:rsid w:val="00365CD9"/>
    <w:rsid w:val="00365D44"/>
    <w:rsid w:val="00366020"/>
    <w:rsid w:val="00366217"/>
    <w:rsid w:val="003665EC"/>
    <w:rsid w:val="00366618"/>
    <w:rsid w:val="00366633"/>
    <w:rsid w:val="00366A49"/>
    <w:rsid w:val="0036751C"/>
    <w:rsid w:val="00367785"/>
    <w:rsid w:val="003678ED"/>
    <w:rsid w:val="00367C4F"/>
    <w:rsid w:val="00367CBE"/>
    <w:rsid w:val="003709B0"/>
    <w:rsid w:val="003709ED"/>
    <w:rsid w:val="00370B5E"/>
    <w:rsid w:val="00370C93"/>
    <w:rsid w:val="00371448"/>
    <w:rsid w:val="0037158D"/>
    <w:rsid w:val="003715B6"/>
    <w:rsid w:val="00371931"/>
    <w:rsid w:val="00371C35"/>
    <w:rsid w:val="00371D9F"/>
    <w:rsid w:val="00371EAC"/>
    <w:rsid w:val="003729F6"/>
    <w:rsid w:val="00372ECB"/>
    <w:rsid w:val="00372F8A"/>
    <w:rsid w:val="00373754"/>
    <w:rsid w:val="0037387B"/>
    <w:rsid w:val="003738C5"/>
    <w:rsid w:val="00374349"/>
    <w:rsid w:val="00374A72"/>
    <w:rsid w:val="003750C8"/>
    <w:rsid w:val="003763BA"/>
    <w:rsid w:val="0037678B"/>
    <w:rsid w:val="00376B4A"/>
    <w:rsid w:val="00376C3B"/>
    <w:rsid w:val="00376C4B"/>
    <w:rsid w:val="00376E2D"/>
    <w:rsid w:val="00376E83"/>
    <w:rsid w:val="00377AEA"/>
    <w:rsid w:val="003809CA"/>
    <w:rsid w:val="00380D94"/>
    <w:rsid w:val="00381127"/>
    <w:rsid w:val="003812E6"/>
    <w:rsid w:val="00381763"/>
    <w:rsid w:val="00381EDF"/>
    <w:rsid w:val="00381F19"/>
    <w:rsid w:val="00382503"/>
    <w:rsid w:val="00382568"/>
    <w:rsid w:val="0038323C"/>
    <w:rsid w:val="003835ED"/>
    <w:rsid w:val="0038373E"/>
    <w:rsid w:val="00383981"/>
    <w:rsid w:val="003839DF"/>
    <w:rsid w:val="00383F23"/>
    <w:rsid w:val="003846CE"/>
    <w:rsid w:val="0038498D"/>
    <w:rsid w:val="003849B6"/>
    <w:rsid w:val="00385819"/>
    <w:rsid w:val="003859D4"/>
    <w:rsid w:val="00386482"/>
    <w:rsid w:val="00386BA9"/>
    <w:rsid w:val="00386E39"/>
    <w:rsid w:val="00387462"/>
    <w:rsid w:val="00387698"/>
    <w:rsid w:val="00387719"/>
    <w:rsid w:val="0038793B"/>
    <w:rsid w:val="00387AEF"/>
    <w:rsid w:val="00387B48"/>
    <w:rsid w:val="00387E8D"/>
    <w:rsid w:val="003905A8"/>
    <w:rsid w:val="003905D6"/>
    <w:rsid w:val="003908AA"/>
    <w:rsid w:val="00390E78"/>
    <w:rsid w:val="00391629"/>
    <w:rsid w:val="00391A05"/>
    <w:rsid w:val="003921E2"/>
    <w:rsid w:val="003921F0"/>
    <w:rsid w:val="003925D4"/>
    <w:rsid w:val="00392EDF"/>
    <w:rsid w:val="003930F2"/>
    <w:rsid w:val="00393213"/>
    <w:rsid w:val="0039354A"/>
    <w:rsid w:val="0039368C"/>
    <w:rsid w:val="003938A9"/>
    <w:rsid w:val="00393A4C"/>
    <w:rsid w:val="00393A60"/>
    <w:rsid w:val="00393F34"/>
    <w:rsid w:val="00394089"/>
    <w:rsid w:val="003943DF"/>
    <w:rsid w:val="003947AF"/>
    <w:rsid w:val="003947CF"/>
    <w:rsid w:val="00394858"/>
    <w:rsid w:val="00394B21"/>
    <w:rsid w:val="00394B5F"/>
    <w:rsid w:val="00394DDC"/>
    <w:rsid w:val="00395364"/>
    <w:rsid w:val="003959AB"/>
    <w:rsid w:val="00395B9F"/>
    <w:rsid w:val="00396B6E"/>
    <w:rsid w:val="0039703B"/>
    <w:rsid w:val="00397175"/>
    <w:rsid w:val="00397234"/>
    <w:rsid w:val="0039753B"/>
    <w:rsid w:val="003976CA"/>
    <w:rsid w:val="0039775F"/>
    <w:rsid w:val="00397974"/>
    <w:rsid w:val="00397CE3"/>
    <w:rsid w:val="003A0150"/>
    <w:rsid w:val="003A0162"/>
    <w:rsid w:val="003A0B98"/>
    <w:rsid w:val="003A0BAE"/>
    <w:rsid w:val="003A1130"/>
    <w:rsid w:val="003A1600"/>
    <w:rsid w:val="003A17A7"/>
    <w:rsid w:val="003A18AF"/>
    <w:rsid w:val="003A1A8C"/>
    <w:rsid w:val="003A200C"/>
    <w:rsid w:val="003A215D"/>
    <w:rsid w:val="003A23EC"/>
    <w:rsid w:val="003A2554"/>
    <w:rsid w:val="003A25C2"/>
    <w:rsid w:val="003A26CC"/>
    <w:rsid w:val="003A2A3E"/>
    <w:rsid w:val="003A2B91"/>
    <w:rsid w:val="003A2BF3"/>
    <w:rsid w:val="003A2D48"/>
    <w:rsid w:val="003A34C5"/>
    <w:rsid w:val="003A3897"/>
    <w:rsid w:val="003A3985"/>
    <w:rsid w:val="003A3E0E"/>
    <w:rsid w:val="003A3F59"/>
    <w:rsid w:val="003A436A"/>
    <w:rsid w:val="003A521B"/>
    <w:rsid w:val="003A528A"/>
    <w:rsid w:val="003A53B0"/>
    <w:rsid w:val="003A573C"/>
    <w:rsid w:val="003A5998"/>
    <w:rsid w:val="003A62B0"/>
    <w:rsid w:val="003A6566"/>
    <w:rsid w:val="003A6A02"/>
    <w:rsid w:val="003A7014"/>
    <w:rsid w:val="003A79AA"/>
    <w:rsid w:val="003B0651"/>
    <w:rsid w:val="003B070C"/>
    <w:rsid w:val="003B0AEB"/>
    <w:rsid w:val="003B0AFD"/>
    <w:rsid w:val="003B0BA5"/>
    <w:rsid w:val="003B0C6A"/>
    <w:rsid w:val="003B0EC3"/>
    <w:rsid w:val="003B12E6"/>
    <w:rsid w:val="003B1BDE"/>
    <w:rsid w:val="003B1DA8"/>
    <w:rsid w:val="003B1DEF"/>
    <w:rsid w:val="003B1E25"/>
    <w:rsid w:val="003B1F0B"/>
    <w:rsid w:val="003B251C"/>
    <w:rsid w:val="003B265D"/>
    <w:rsid w:val="003B29DC"/>
    <w:rsid w:val="003B2EF6"/>
    <w:rsid w:val="003B34D9"/>
    <w:rsid w:val="003B3622"/>
    <w:rsid w:val="003B362A"/>
    <w:rsid w:val="003B3773"/>
    <w:rsid w:val="003B3992"/>
    <w:rsid w:val="003B3C84"/>
    <w:rsid w:val="003B4118"/>
    <w:rsid w:val="003B45BF"/>
    <w:rsid w:val="003B4D7F"/>
    <w:rsid w:val="003B534D"/>
    <w:rsid w:val="003B5F20"/>
    <w:rsid w:val="003B60A7"/>
    <w:rsid w:val="003B6261"/>
    <w:rsid w:val="003B6799"/>
    <w:rsid w:val="003B6A83"/>
    <w:rsid w:val="003B6B7C"/>
    <w:rsid w:val="003B73D3"/>
    <w:rsid w:val="003B76F5"/>
    <w:rsid w:val="003B7871"/>
    <w:rsid w:val="003B7927"/>
    <w:rsid w:val="003B7A61"/>
    <w:rsid w:val="003B7A9F"/>
    <w:rsid w:val="003C0AC6"/>
    <w:rsid w:val="003C14D2"/>
    <w:rsid w:val="003C1793"/>
    <w:rsid w:val="003C2013"/>
    <w:rsid w:val="003C2158"/>
    <w:rsid w:val="003C26DE"/>
    <w:rsid w:val="003C27CE"/>
    <w:rsid w:val="003C296F"/>
    <w:rsid w:val="003C2EF0"/>
    <w:rsid w:val="003C3155"/>
    <w:rsid w:val="003C3468"/>
    <w:rsid w:val="003C375F"/>
    <w:rsid w:val="003C3796"/>
    <w:rsid w:val="003C3C21"/>
    <w:rsid w:val="003C3C83"/>
    <w:rsid w:val="003C3E24"/>
    <w:rsid w:val="003C4117"/>
    <w:rsid w:val="003C427E"/>
    <w:rsid w:val="003C4865"/>
    <w:rsid w:val="003C4B7B"/>
    <w:rsid w:val="003C5136"/>
    <w:rsid w:val="003C5891"/>
    <w:rsid w:val="003C5AFB"/>
    <w:rsid w:val="003C67E9"/>
    <w:rsid w:val="003C67FA"/>
    <w:rsid w:val="003C6FCD"/>
    <w:rsid w:val="003C79DA"/>
    <w:rsid w:val="003D0071"/>
    <w:rsid w:val="003D0130"/>
    <w:rsid w:val="003D0558"/>
    <w:rsid w:val="003D0921"/>
    <w:rsid w:val="003D09B7"/>
    <w:rsid w:val="003D09BC"/>
    <w:rsid w:val="003D13BA"/>
    <w:rsid w:val="003D158F"/>
    <w:rsid w:val="003D1B7F"/>
    <w:rsid w:val="003D1EF8"/>
    <w:rsid w:val="003D200E"/>
    <w:rsid w:val="003D21FE"/>
    <w:rsid w:val="003D246F"/>
    <w:rsid w:val="003D2712"/>
    <w:rsid w:val="003D304D"/>
    <w:rsid w:val="003D320D"/>
    <w:rsid w:val="003D3347"/>
    <w:rsid w:val="003D3636"/>
    <w:rsid w:val="003D3638"/>
    <w:rsid w:val="003D3772"/>
    <w:rsid w:val="003D4044"/>
    <w:rsid w:val="003D4C19"/>
    <w:rsid w:val="003D5B03"/>
    <w:rsid w:val="003D5E16"/>
    <w:rsid w:val="003D62C3"/>
    <w:rsid w:val="003D6532"/>
    <w:rsid w:val="003D6C69"/>
    <w:rsid w:val="003D6F08"/>
    <w:rsid w:val="003D7038"/>
    <w:rsid w:val="003D75D4"/>
    <w:rsid w:val="003D7AFC"/>
    <w:rsid w:val="003D7DFA"/>
    <w:rsid w:val="003E0953"/>
    <w:rsid w:val="003E095C"/>
    <w:rsid w:val="003E0A7A"/>
    <w:rsid w:val="003E173D"/>
    <w:rsid w:val="003E178C"/>
    <w:rsid w:val="003E1D6D"/>
    <w:rsid w:val="003E1EE7"/>
    <w:rsid w:val="003E1F57"/>
    <w:rsid w:val="003E2694"/>
    <w:rsid w:val="003E26DF"/>
    <w:rsid w:val="003E274F"/>
    <w:rsid w:val="003E288C"/>
    <w:rsid w:val="003E3926"/>
    <w:rsid w:val="003E438A"/>
    <w:rsid w:val="003E47A9"/>
    <w:rsid w:val="003E481E"/>
    <w:rsid w:val="003E4BE5"/>
    <w:rsid w:val="003E4C30"/>
    <w:rsid w:val="003E50EC"/>
    <w:rsid w:val="003E5466"/>
    <w:rsid w:val="003E58AF"/>
    <w:rsid w:val="003E5936"/>
    <w:rsid w:val="003E595A"/>
    <w:rsid w:val="003E5E45"/>
    <w:rsid w:val="003E62AF"/>
    <w:rsid w:val="003E645A"/>
    <w:rsid w:val="003E6820"/>
    <w:rsid w:val="003E6EF5"/>
    <w:rsid w:val="003E7332"/>
    <w:rsid w:val="003E790B"/>
    <w:rsid w:val="003F0004"/>
    <w:rsid w:val="003F0AC2"/>
    <w:rsid w:val="003F12D4"/>
    <w:rsid w:val="003F1990"/>
    <w:rsid w:val="003F2D20"/>
    <w:rsid w:val="003F301A"/>
    <w:rsid w:val="003F32F7"/>
    <w:rsid w:val="003F345A"/>
    <w:rsid w:val="003F34F9"/>
    <w:rsid w:val="003F3564"/>
    <w:rsid w:val="003F393B"/>
    <w:rsid w:val="003F3AC3"/>
    <w:rsid w:val="003F489E"/>
    <w:rsid w:val="003F4B3E"/>
    <w:rsid w:val="003F4CB4"/>
    <w:rsid w:val="003F4DBF"/>
    <w:rsid w:val="003F520F"/>
    <w:rsid w:val="003F5F43"/>
    <w:rsid w:val="003F6031"/>
    <w:rsid w:val="003F6410"/>
    <w:rsid w:val="003F657F"/>
    <w:rsid w:val="003F6C45"/>
    <w:rsid w:val="003F6D90"/>
    <w:rsid w:val="003F6DE4"/>
    <w:rsid w:val="003F71F3"/>
    <w:rsid w:val="003F7B6D"/>
    <w:rsid w:val="0040019B"/>
    <w:rsid w:val="00400377"/>
    <w:rsid w:val="00400491"/>
    <w:rsid w:val="004007BB"/>
    <w:rsid w:val="00400BDE"/>
    <w:rsid w:val="00400CFD"/>
    <w:rsid w:val="00400F72"/>
    <w:rsid w:val="004013BC"/>
    <w:rsid w:val="004020E6"/>
    <w:rsid w:val="00402B62"/>
    <w:rsid w:val="00402D20"/>
    <w:rsid w:val="0040311E"/>
    <w:rsid w:val="00403A41"/>
    <w:rsid w:val="00403B06"/>
    <w:rsid w:val="00403B58"/>
    <w:rsid w:val="00404BBB"/>
    <w:rsid w:val="00405862"/>
    <w:rsid w:val="00405982"/>
    <w:rsid w:val="00405BC3"/>
    <w:rsid w:val="00405DE5"/>
    <w:rsid w:val="00405F16"/>
    <w:rsid w:val="004061CE"/>
    <w:rsid w:val="0040655A"/>
    <w:rsid w:val="00406872"/>
    <w:rsid w:val="004069C5"/>
    <w:rsid w:val="004072EF"/>
    <w:rsid w:val="0040745C"/>
    <w:rsid w:val="004075DA"/>
    <w:rsid w:val="004077E3"/>
    <w:rsid w:val="0040792B"/>
    <w:rsid w:val="00407D9B"/>
    <w:rsid w:val="00407DF6"/>
    <w:rsid w:val="00407E64"/>
    <w:rsid w:val="00410008"/>
    <w:rsid w:val="00410671"/>
    <w:rsid w:val="00410B8E"/>
    <w:rsid w:val="00411A8C"/>
    <w:rsid w:val="00411CAB"/>
    <w:rsid w:val="00411E86"/>
    <w:rsid w:val="00411EBD"/>
    <w:rsid w:val="004122C9"/>
    <w:rsid w:val="00412522"/>
    <w:rsid w:val="004125A1"/>
    <w:rsid w:val="00412A9B"/>
    <w:rsid w:val="00413062"/>
    <w:rsid w:val="0041312C"/>
    <w:rsid w:val="0041338B"/>
    <w:rsid w:val="00413A3A"/>
    <w:rsid w:val="0041464D"/>
    <w:rsid w:val="00414706"/>
    <w:rsid w:val="00414C53"/>
    <w:rsid w:val="00415279"/>
    <w:rsid w:val="0041530D"/>
    <w:rsid w:val="004154CD"/>
    <w:rsid w:val="00415E4B"/>
    <w:rsid w:val="00416059"/>
    <w:rsid w:val="0041632F"/>
    <w:rsid w:val="004164A1"/>
    <w:rsid w:val="004166F1"/>
    <w:rsid w:val="00417ADA"/>
    <w:rsid w:val="00417C3B"/>
    <w:rsid w:val="00417DD2"/>
    <w:rsid w:val="00420DBD"/>
    <w:rsid w:val="00420E9C"/>
    <w:rsid w:val="00421119"/>
    <w:rsid w:val="00421189"/>
    <w:rsid w:val="0042120F"/>
    <w:rsid w:val="004212E7"/>
    <w:rsid w:val="004219A0"/>
    <w:rsid w:val="00421AE6"/>
    <w:rsid w:val="00422678"/>
    <w:rsid w:val="00422942"/>
    <w:rsid w:val="00422B55"/>
    <w:rsid w:val="004230BD"/>
    <w:rsid w:val="00423507"/>
    <w:rsid w:val="00423873"/>
    <w:rsid w:val="0042393D"/>
    <w:rsid w:val="00423C00"/>
    <w:rsid w:val="0042409B"/>
    <w:rsid w:val="00424D19"/>
    <w:rsid w:val="00424EE1"/>
    <w:rsid w:val="004251D2"/>
    <w:rsid w:val="00425861"/>
    <w:rsid w:val="00425AE2"/>
    <w:rsid w:val="004260BB"/>
    <w:rsid w:val="0042637A"/>
    <w:rsid w:val="00426800"/>
    <w:rsid w:val="004268CB"/>
    <w:rsid w:val="004269BA"/>
    <w:rsid w:val="00426E07"/>
    <w:rsid w:val="004274EE"/>
    <w:rsid w:val="00427596"/>
    <w:rsid w:val="00427C27"/>
    <w:rsid w:val="00427CCC"/>
    <w:rsid w:val="00427F68"/>
    <w:rsid w:val="004300CB"/>
    <w:rsid w:val="00430453"/>
    <w:rsid w:val="00430BCC"/>
    <w:rsid w:val="00431F5E"/>
    <w:rsid w:val="0043295B"/>
    <w:rsid w:val="00432ADA"/>
    <w:rsid w:val="00432E24"/>
    <w:rsid w:val="0043367B"/>
    <w:rsid w:val="004336E9"/>
    <w:rsid w:val="00433873"/>
    <w:rsid w:val="00433923"/>
    <w:rsid w:val="00433981"/>
    <w:rsid w:val="00433AAE"/>
    <w:rsid w:val="00434C95"/>
    <w:rsid w:val="00435077"/>
    <w:rsid w:val="0043510A"/>
    <w:rsid w:val="0043628A"/>
    <w:rsid w:val="00436382"/>
    <w:rsid w:val="0043646E"/>
    <w:rsid w:val="00436D92"/>
    <w:rsid w:val="004371D7"/>
    <w:rsid w:val="00437357"/>
    <w:rsid w:val="00437437"/>
    <w:rsid w:val="0043750A"/>
    <w:rsid w:val="004378BC"/>
    <w:rsid w:val="00437DAA"/>
    <w:rsid w:val="00437DEF"/>
    <w:rsid w:val="0044013B"/>
    <w:rsid w:val="00440C17"/>
    <w:rsid w:val="00440E91"/>
    <w:rsid w:val="00441A68"/>
    <w:rsid w:val="00441E0E"/>
    <w:rsid w:val="00442EFE"/>
    <w:rsid w:val="004433C6"/>
    <w:rsid w:val="0044349D"/>
    <w:rsid w:val="00443D48"/>
    <w:rsid w:val="00444056"/>
    <w:rsid w:val="004440B5"/>
    <w:rsid w:val="00444B82"/>
    <w:rsid w:val="00444C2D"/>
    <w:rsid w:val="00444F5C"/>
    <w:rsid w:val="0044610F"/>
    <w:rsid w:val="00446316"/>
    <w:rsid w:val="00446833"/>
    <w:rsid w:val="004475C4"/>
    <w:rsid w:val="00450257"/>
    <w:rsid w:val="00450CA7"/>
    <w:rsid w:val="00450E29"/>
    <w:rsid w:val="00451082"/>
    <w:rsid w:val="00451329"/>
    <w:rsid w:val="00451427"/>
    <w:rsid w:val="00451647"/>
    <w:rsid w:val="004516CA"/>
    <w:rsid w:val="004518C2"/>
    <w:rsid w:val="00451C48"/>
    <w:rsid w:val="00452F5E"/>
    <w:rsid w:val="0045351A"/>
    <w:rsid w:val="004537B4"/>
    <w:rsid w:val="004539A1"/>
    <w:rsid w:val="0045443F"/>
    <w:rsid w:val="004544BC"/>
    <w:rsid w:val="004546C3"/>
    <w:rsid w:val="00454A40"/>
    <w:rsid w:val="004551D5"/>
    <w:rsid w:val="0045527E"/>
    <w:rsid w:val="004564BE"/>
    <w:rsid w:val="00456D24"/>
    <w:rsid w:val="004571BA"/>
    <w:rsid w:val="0045729F"/>
    <w:rsid w:val="004573F7"/>
    <w:rsid w:val="004574E2"/>
    <w:rsid w:val="00457A81"/>
    <w:rsid w:val="00457AAB"/>
    <w:rsid w:val="00457C9F"/>
    <w:rsid w:val="00457ED6"/>
    <w:rsid w:val="00460034"/>
    <w:rsid w:val="004601B2"/>
    <w:rsid w:val="0046032F"/>
    <w:rsid w:val="00460519"/>
    <w:rsid w:val="0046065B"/>
    <w:rsid w:val="00460FD9"/>
    <w:rsid w:val="004610EC"/>
    <w:rsid w:val="00461268"/>
    <w:rsid w:val="00461327"/>
    <w:rsid w:val="004614CA"/>
    <w:rsid w:val="004621F8"/>
    <w:rsid w:val="004622A5"/>
    <w:rsid w:val="00462646"/>
    <w:rsid w:val="004626EB"/>
    <w:rsid w:val="004629C5"/>
    <w:rsid w:val="00462C08"/>
    <w:rsid w:val="00462C40"/>
    <w:rsid w:val="00463471"/>
    <w:rsid w:val="00463ECF"/>
    <w:rsid w:val="004640A5"/>
    <w:rsid w:val="0046428D"/>
    <w:rsid w:val="0046450E"/>
    <w:rsid w:val="00464B63"/>
    <w:rsid w:val="00464E17"/>
    <w:rsid w:val="00464E39"/>
    <w:rsid w:val="00465D3D"/>
    <w:rsid w:val="00465F0F"/>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46A"/>
    <w:rsid w:val="00470832"/>
    <w:rsid w:val="0047134A"/>
    <w:rsid w:val="0047195B"/>
    <w:rsid w:val="00471E03"/>
    <w:rsid w:val="004722CE"/>
    <w:rsid w:val="004723E6"/>
    <w:rsid w:val="00472629"/>
    <w:rsid w:val="00472D1F"/>
    <w:rsid w:val="00472FF6"/>
    <w:rsid w:val="004731B6"/>
    <w:rsid w:val="00473274"/>
    <w:rsid w:val="0047338B"/>
    <w:rsid w:val="00473A5B"/>
    <w:rsid w:val="00473AF2"/>
    <w:rsid w:val="004741C3"/>
    <w:rsid w:val="00474AC9"/>
    <w:rsid w:val="00474C3D"/>
    <w:rsid w:val="00475940"/>
    <w:rsid w:val="00475C78"/>
    <w:rsid w:val="004761A7"/>
    <w:rsid w:val="0047641B"/>
    <w:rsid w:val="00476CCF"/>
    <w:rsid w:val="00476D01"/>
    <w:rsid w:val="00476F39"/>
    <w:rsid w:val="00477321"/>
    <w:rsid w:val="00477499"/>
    <w:rsid w:val="00477781"/>
    <w:rsid w:val="00477962"/>
    <w:rsid w:val="00477A08"/>
    <w:rsid w:val="00477EE4"/>
    <w:rsid w:val="00477FA4"/>
    <w:rsid w:val="0048043A"/>
    <w:rsid w:val="0048095A"/>
    <w:rsid w:val="00480B52"/>
    <w:rsid w:val="00481D25"/>
    <w:rsid w:val="0048202B"/>
    <w:rsid w:val="0048212A"/>
    <w:rsid w:val="00482349"/>
    <w:rsid w:val="0048290A"/>
    <w:rsid w:val="00482AF8"/>
    <w:rsid w:val="00482D1C"/>
    <w:rsid w:val="00482EC7"/>
    <w:rsid w:val="0048302C"/>
    <w:rsid w:val="0048306C"/>
    <w:rsid w:val="00483383"/>
    <w:rsid w:val="00483441"/>
    <w:rsid w:val="00483EA9"/>
    <w:rsid w:val="00483FFD"/>
    <w:rsid w:val="00484659"/>
    <w:rsid w:val="0048474B"/>
    <w:rsid w:val="004847D9"/>
    <w:rsid w:val="00484F1C"/>
    <w:rsid w:val="004850FB"/>
    <w:rsid w:val="004853FA"/>
    <w:rsid w:val="00485A2F"/>
    <w:rsid w:val="00485B68"/>
    <w:rsid w:val="00485D1E"/>
    <w:rsid w:val="00486159"/>
    <w:rsid w:val="0048640C"/>
    <w:rsid w:val="004867EE"/>
    <w:rsid w:val="00487036"/>
    <w:rsid w:val="00487243"/>
    <w:rsid w:val="004873A7"/>
    <w:rsid w:val="0048797C"/>
    <w:rsid w:val="00487BDA"/>
    <w:rsid w:val="00487EE1"/>
    <w:rsid w:val="00490467"/>
    <w:rsid w:val="00490D37"/>
    <w:rsid w:val="0049184C"/>
    <w:rsid w:val="00491A12"/>
    <w:rsid w:val="0049217C"/>
    <w:rsid w:val="004924E6"/>
    <w:rsid w:val="004925DF"/>
    <w:rsid w:val="00492C2D"/>
    <w:rsid w:val="004930B3"/>
    <w:rsid w:val="00493223"/>
    <w:rsid w:val="0049327D"/>
    <w:rsid w:val="004935F7"/>
    <w:rsid w:val="00493C14"/>
    <w:rsid w:val="00493D53"/>
    <w:rsid w:val="00493F01"/>
    <w:rsid w:val="00494B73"/>
    <w:rsid w:val="00495005"/>
    <w:rsid w:val="00495338"/>
    <w:rsid w:val="00495737"/>
    <w:rsid w:val="00496102"/>
    <w:rsid w:val="004969C7"/>
    <w:rsid w:val="00496D13"/>
    <w:rsid w:val="00496FED"/>
    <w:rsid w:val="00497CE6"/>
    <w:rsid w:val="00497F1E"/>
    <w:rsid w:val="004A0045"/>
    <w:rsid w:val="004A00C3"/>
    <w:rsid w:val="004A056C"/>
    <w:rsid w:val="004A068D"/>
    <w:rsid w:val="004A06F8"/>
    <w:rsid w:val="004A10FE"/>
    <w:rsid w:val="004A1197"/>
    <w:rsid w:val="004A157C"/>
    <w:rsid w:val="004A1855"/>
    <w:rsid w:val="004A1A16"/>
    <w:rsid w:val="004A1E96"/>
    <w:rsid w:val="004A2197"/>
    <w:rsid w:val="004A2804"/>
    <w:rsid w:val="004A29B2"/>
    <w:rsid w:val="004A29B3"/>
    <w:rsid w:val="004A2F68"/>
    <w:rsid w:val="004A33D4"/>
    <w:rsid w:val="004A36C6"/>
    <w:rsid w:val="004A3846"/>
    <w:rsid w:val="004A3D9E"/>
    <w:rsid w:val="004A4446"/>
    <w:rsid w:val="004A4CAB"/>
    <w:rsid w:val="004A4E31"/>
    <w:rsid w:val="004A5AAF"/>
    <w:rsid w:val="004A5E2D"/>
    <w:rsid w:val="004A5E42"/>
    <w:rsid w:val="004A628A"/>
    <w:rsid w:val="004A6543"/>
    <w:rsid w:val="004A6976"/>
    <w:rsid w:val="004A73A7"/>
    <w:rsid w:val="004A7A08"/>
    <w:rsid w:val="004A7E68"/>
    <w:rsid w:val="004B0108"/>
    <w:rsid w:val="004B0151"/>
    <w:rsid w:val="004B056E"/>
    <w:rsid w:val="004B0B81"/>
    <w:rsid w:val="004B1670"/>
    <w:rsid w:val="004B16A3"/>
    <w:rsid w:val="004B2234"/>
    <w:rsid w:val="004B265B"/>
    <w:rsid w:val="004B2A86"/>
    <w:rsid w:val="004B2CEA"/>
    <w:rsid w:val="004B317F"/>
    <w:rsid w:val="004B33D9"/>
    <w:rsid w:val="004B3509"/>
    <w:rsid w:val="004B3C3E"/>
    <w:rsid w:val="004B4166"/>
    <w:rsid w:val="004B430E"/>
    <w:rsid w:val="004B46BF"/>
    <w:rsid w:val="004B48D1"/>
    <w:rsid w:val="004B4D11"/>
    <w:rsid w:val="004B4E7C"/>
    <w:rsid w:val="004B4ECD"/>
    <w:rsid w:val="004B548C"/>
    <w:rsid w:val="004B54EA"/>
    <w:rsid w:val="004B5787"/>
    <w:rsid w:val="004B6062"/>
    <w:rsid w:val="004B6238"/>
    <w:rsid w:val="004B6510"/>
    <w:rsid w:val="004B694E"/>
    <w:rsid w:val="004B6A79"/>
    <w:rsid w:val="004B6CB9"/>
    <w:rsid w:val="004B6D08"/>
    <w:rsid w:val="004B6DD2"/>
    <w:rsid w:val="004B7126"/>
    <w:rsid w:val="004B757E"/>
    <w:rsid w:val="004B76A9"/>
    <w:rsid w:val="004C01BF"/>
    <w:rsid w:val="004C0387"/>
    <w:rsid w:val="004C06EF"/>
    <w:rsid w:val="004C0831"/>
    <w:rsid w:val="004C0E18"/>
    <w:rsid w:val="004C14C0"/>
    <w:rsid w:val="004C1D53"/>
    <w:rsid w:val="004C1DA0"/>
    <w:rsid w:val="004C20B8"/>
    <w:rsid w:val="004C2935"/>
    <w:rsid w:val="004C299E"/>
    <w:rsid w:val="004C2B94"/>
    <w:rsid w:val="004C33E8"/>
    <w:rsid w:val="004C3515"/>
    <w:rsid w:val="004C3AC2"/>
    <w:rsid w:val="004C3E56"/>
    <w:rsid w:val="004C42B9"/>
    <w:rsid w:val="004C46C5"/>
    <w:rsid w:val="004C4911"/>
    <w:rsid w:val="004C4B9F"/>
    <w:rsid w:val="004C588A"/>
    <w:rsid w:val="004C590A"/>
    <w:rsid w:val="004C5DEB"/>
    <w:rsid w:val="004C5E07"/>
    <w:rsid w:val="004C5F67"/>
    <w:rsid w:val="004C64AB"/>
    <w:rsid w:val="004C64F9"/>
    <w:rsid w:val="004C660B"/>
    <w:rsid w:val="004C6666"/>
    <w:rsid w:val="004C70BD"/>
    <w:rsid w:val="004C7A14"/>
    <w:rsid w:val="004C7B9E"/>
    <w:rsid w:val="004C7E97"/>
    <w:rsid w:val="004D0675"/>
    <w:rsid w:val="004D0BB3"/>
    <w:rsid w:val="004D0CE2"/>
    <w:rsid w:val="004D1330"/>
    <w:rsid w:val="004D1399"/>
    <w:rsid w:val="004D1B0D"/>
    <w:rsid w:val="004D214A"/>
    <w:rsid w:val="004D2236"/>
    <w:rsid w:val="004D24B0"/>
    <w:rsid w:val="004D29F0"/>
    <w:rsid w:val="004D2A84"/>
    <w:rsid w:val="004D311C"/>
    <w:rsid w:val="004D32F6"/>
    <w:rsid w:val="004D33E4"/>
    <w:rsid w:val="004D3F44"/>
    <w:rsid w:val="004D3FC2"/>
    <w:rsid w:val="004D456C"/>
    <w:rsid w:val="004D485F"/>
    <w:rsid w:val="004D4FC2"/>
    <w:rsid w:val="004D525C"/>
    <w:rsid w:val="004D5336"/>
    <w:rsid w:val="004D5485"/>
    <w:rsid w:val="004D55D2"/>
    <w:rsid w:val="004D59A0"/>
    <w:rsid w:val="004D6C04"/>
    <w:rsid w:val="004D6C99"/>
    <w:rsid w:val="004D734E"/>
    <w:rsid w:val="004D741D"/>
    <w:rsid w:val="004D783B"/>
    <w:rsid w:val="004E0127"/>
    <w:rsid w:val="004E0223"/>
    <w:rsid w:val="004E0242"/>
    <w:rsid w:val="004E049A"/>
    <w:rsid w:val="004E0A75"/>
    <w:rsid w:val="004E0B3F"/>
    <w:rsid w:val="004E0D1D"/>
    <w:rsid w:val="004E0ECD"/>
    <w:rsid w:val="004E14B8"/>
    <w:rsid w:val="004E1A49"/>
    <w:rsid w:val="004E1DB4"/>
    <w:rsid w:val="004E1E35"/>
    <w:rsid w:val="004E2110"/>
    <w:rsid w:val="004E254A"/>
    <w:rsid w:val="004E3213"/>
    <w:rsid w:val="004E3255"/>
    <w:rsid w:val="004E3338"/>
    <w:rsid w:val="004E33D9"/>
    <w:rsid w:val="004E345E"/>
    <w:rsid w:val="004E388D"/>
    <w:rsid w:val="004E3B7A"/>
    <w:rsid w:val="004E3CEB"/>
    <w:rsid w:val="004E4659"/>
    <w:rsid w:val="004E4B03"/>
    <w:rsid w:val="004E4CAC"/>
    <w:rsid w:val="004E4E17"/>
    <w:rsid w:val="004E580B"/>
    <w:rsid w:val="004E5872"/>
    <w:rsid w:val="004E5D63"/>
    <w:rsid w:val="004E5E3E"/>
    <w:rsid w:val="004E6617"/>
    <w:rsid w:val="004E693B"/>
    <w:rsid w:val="004E6ED3"/>
    <w:rsid w:val="004E7459"/>
    <w:rsid w:val="004E782C"/>
    <w:rsid w:val="004E7D14"/>
    <w:rsid w:val="004F0192"/>
    <w:rsid w:val="004F01A7"/>
    <w:rsid w:val="004F01F6"/>
    <w:rsid w:val="004F0383"/>
    <w:rsid w:val="004F03E9"/>
    <w:rsid w:val="004F0D2B"/>
    <w:rsid w:val="004F10B2"/>
    <w:rsid w:val="004F1C2F"/>
    <w:rsid w:val="004F1E8F"/>
    <w:rsid w:val="004F1EC7"/>
    <w:rsid w:val="004F2066"/>
    <w:rsid w:val="004F242D"/>
    <w:rsid w:val="004F2855"/>
    <w:rsid w:val="004F32EA"/>
    <w:rsid w:val="004F364E"/>
    <w:rsid w:val="004F376D"/>
    <w:rsid w:val="004F429F"/>
    <w:rsid w:val="004F42D6"/>
    <w:rsid w:val="004F4466"/>
    <w:rsid w:val="004F4562"/>
    <w:rsid w:val="004F4C9C"/>
    <w:rsid w:val="004F5EC1"/>
    <w:rsid w:val="004F6015"/>
    <w:rsid w:val="004F62FD"/>
    <w:rsid w:val="004F6332"/>
    <w:rsid w:val="004F67A2"/>
    <w:rsid w:val="004F68B0"/>
    <w:rsid w:val="004F6D18"/>
    <w:rsid w:val="004F79AB"/>
    <w:rsid w:val="004F7BDE"/>
    <w:rsid w:val="00500186"/>
    <w:rsid w:val="0050034B"/>
    <w:rsid w:val="005014DB"/>
    <w:rsid w:val="00501AE1"/>
    <w:rsid w:val="00501E15"/>
    <w:rsid w:val="00502321"/>
    <w:rsid w:val="00502459"/>
    <w:rsid w:val="00503191"/>
    <w:rsid w:val="0050326D"/>
    <w:rsid w:val="005035DD"/>
    <w:rsid w:val="00503E32"/>
    <w:rsid w:val="0050458B"/>
    <w:rsid w:val="005047CB"/>
    <w:rsid w:val="005047F1"/>
    <w:rsid w:val="00504B40"/>
    <w:rsid w:val="00504C1B"/>
    <w:rsid w:val="00505225"/>
    <w:rsid w:val="005056AC"/>
    <w:rsid w:val="00505D84"/>
    <w:rsid w:val="0050601B"/>
    <w:rsid w:val="00506108"/>
    <w:rsid w:val="0050667D"/>
    <w:rsid w:val="00506880"/>
    <w:rsid w:val="005068F5"/>
    <w:rsid w:val="00506BB4"/>
    <w:rsid w:val="00506C38"/>
    <w:rsid w:val="00506C3E"/>
    <w:rsid w:val="00506CE7"/>
    <w:rsid w:val="00506E01"/>
    <w:rsid w:val="00506E46"/>
    <w:rsid w:val="0050702C"/>
    <w:rsid w:val="005101F9"/>
    <w:rsid w:val="005105DB"/>
    <w:rsid w:val="0051063D"/>
    <w:rsid w:val="00510683"/>
    <w:rsid w:val="00510876"/>
    <w:rsid w:val="00510AAD"/>
    <w:rsid w:val="00510B51"/>
    <w:rsid w:val="0051130C"/>
    <w:rsid w:val="00511429"/>
    <w:rsid w:val="00512111"/>
    <w:rsid w:val="005124E1"/>
    <w:rsid w:val="005129C7"/>
    <w:rsid w:val="005132AC"/>
    <w:rsid w:val="005137E9"/>
    <w:rsid w:val="005139AB"/>
    <w:rsid w:val="005139B9"/>
    <w:rsid w:val="005143FD"/>
    <w:rsid w:val="00514623"/>
    <w:rsid w:val="005148F8"/>
    <w:rsid w:val="00514F81"/>
    <w:rsid w:val="00515684"/>
    <w:rsid w:val="0051582F"/>
    <w:rsid w:val="00515CFA"/>
    <w:rsid w:val="00515E5B"/>
    <w:rsid w:val="0051655C"/>
    <w:rsid w:val="005166BA"/>
    <w:rsid w:val="00516D97"/>
    <w:rsid w:val="00517195"/>
    <w:rsid w:val="00517731"/>
    <w:rsid w:val="00517788"/>
    <w:rsid w:val="005179F5"/>
    <w:rsid w:val="00517AFB"/>
    <w:rsid w:val="00517BAB"/>
    <w:rsid w:val="00517F94"/>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4F28"/>
    <w:rsid w:val="00525088"/>
    <w:rsid w:val="005250E1"/>
    <w:rsid w:val="005258A2"/>
    <w:rsid w:val="00525972"/>
    <w:rsid w:val="00525B98"/>
    <w:rsid w:val="00525D2D"/>
    <w:rsid w:val="00526991"/>
    <w:rsid w:val="005269DB"/>
    <w:rsid w:val="00526FBE"/>
    <w:rsid w:val="00527322"/>
    <w:rsid w:val="00527605"/>
    <w:rsid w:val="00527DD2"/>
    <w:rsid w:val="00527F5D"/>
    <w:rsid w:val="005304A4"/>
    <w:rsid w:val="00530886"/>
    <w:rsid w:val="00530B7B"/>
    <w:rsid w:val="00530C74"/>
    <w:rsid w:val="0053128D"/>
    <w:rsid w:val="005313F3"/>
    <w:rsid w:val="005313FE"/>
    <w:rsid w:val="00531429"/>
    <w:rsid w:val="0053157E"/>
    <w:rsid w:val="00531671"/>
    <w:rsid w:val="00531D3A"/>
    <w:rsid w:val="00531D8A"/>
    <w:rsid w:val="00531E7F"/>
    <w:rsid w:val="005320F9"/>
    <w:rsid w:val="0053263B"/>
    <w:rsid w:val="0053263D"/>
    <w:rsid w:val="00532BA0"/>
    <w:rsid w:val="00533102"/>
    <w:rsid w:val="0053321F"/>
    <w:rsid w:val="005337F3"/>
    <w:rsid w:val="00534056"/>
    <w:rsid w:val="0053447F"/>
    <w:rsid w:val="00534C4A"/>
    <w:rsid w:val="00535625"/>
    <w:rsid w:val="00535754"/>
    <w:rsid w:val="00535D54"/>
    <w:rsid w:val="00535F5D"/>
    <w:rsid w:val="005361DD"/>
    <w:rsid w:val="00536582"/>
    <w:rsid w:val="005365A8"/>
    <w:rsid w:val="00536855"/>
    <w:rsid w:val="0053698C"/>
    <w:rsid w:val="00536A50"/>
    <w:rsid w:val="00536D53"/>
    <w:rsid w:val="00536EB7"/>
    <w:rsid w:val="005370DC"/>
    <w:rsid w:val="005376E4"/>
    <w:rsid w:val="00537CE9"/>
    <w:rsid w:val="0054035C"/>
    <w:rsid w:val="00540720"/>
    <w:rsid w:val="0054094E"/>
    <w:rsid w:val="00540AD1"/>
    <w:rsid w:val="005411C0"/>
    <w:rsid w:val="005414E9"/>
    <w:rsid w:val="005422BF"/>
    <w:rsid w:val="005426C3"/>
    <w:rsid w:val="00542C0F"/>
    <w:rsid w:val="00542D06"/>
    <w:rsid w:val="00542E4E"/>
    <w:rsid w:val="00542F30"/>
    <w:rsid w:val="00543A31"/>
    <w:rsid w:val="00543AE9"/>
    <w:rsid w:val="00543E2F"/>
    <w:rsid w:val="005442DF"/>
    <w:rsid w:val="00544747"/>
    <w:rsid w:val="00545029"/>
    <w:rsid w:val="005454A3"/>
    <w:rsid w:val="0054558C"/>
    <w:rsid w:val="00545620"/>
    <w:rsid w:val="00545AD8"/>
    <w:rsid w:val="00545AF1"/>
    <w:rsid w:val="00545D8E"/>
    <w:rsid w:val="0054612E"/>
    <w:rsid w:val="00546465"/>
    <w:rsid w:val="00546855"/>
    <w:rsid w:val="005469E6"/>
    <w:rsid w:val="00546E3A"/>
    <w:rsid w:val="00546F16"/>
    <w:rsid w:val="00547430"/>
    <w:rsid w:val="005474B0"/>
    <w:rsid w:val="00547806"/>
    <w:rsid w:val="005478D2"/>
    <w:rsid w:val="00547A54"/>
    <w:rsid w:val="00547BC6"/>
    <w:rsid w:val="00547F6E"/>
    <w:rsid w:val="005506A3"/>
    <w:rsid w:val="005508AA"/>
    <w:rsid w:val="005509AE"/>
    <w:rsid w:val="00550C30"/>
    <w:rsid w:val="00551030"/>
    <w:rsid w:val="00551575"/>
    <w:rsid w:val="00551A99"/>
    <w:rsid w:val="00551B34"/>
    <w:rsid w:val="00551D50"/>
    <w:rsid w:val="00551F88"/>
    <w:rsid w:val="005525C4"/>
    <w:rsid w:val="00552759"/>
    <w:rsid w:val="0055280A"/>
    <w:rsid w:val="00552915"/>
    <w:rsid w:val="0055299B"/>
    <w:rsid w:val="0055321E"/>
    <w:rsid w:val="005535E1"/>
    <w:rsid w:val="005536C2"/>
    <w:rsid w:val="00553C0D"/>
    <w:rsid w:val="00553E04"/>
    <w:rsid w:val="00554195"/>
    <w:rsid w:val="0055429D"/>
    <w:rsid w:val="00554BEF"/>
    <w:rsid w:val="00555085"/>
    <w:rsid w:val="00555428"/>
    <w:rsid w:val="005554E9"/>
    <w:rsid w:val="0055654B"/>
    <w:rsid w:val="005566D6"/>
    <w:rsid w:val="00556839"/>
    <w:rsid w:val="00556E0C"/>
    <w:rsid w:val="00556E59"/>
    <w:rsid w:val="00556ECF"/>
    <w:rsid w:val="005572EF"/>
    <w:rsid w:val="0055771E"/>
    <w:rsid w:val="00557F04"/>
    <w:rsid w:val="00560DE1"/>
    <w:rsid w:val="00560EB2"/>
    <w:rsid w:val="00560EC9"/>
    <w:rsid w:val="0056193C"/>
    <w:rsid w:val="00561A9B"/>
    <w:rsid w:val="00561CBF"/>
    <w:rsid w:val="00562138"/>
    <w:rsid w:val="005622AF"/>
    <w:rsid w:val="00562571"/>
    <w:rsid w:val="00562BF6"/>
    <w:rsid w:val="00562E87"/>
    <w:rsid w:val="00562F6F"/>
    <w:rsid w:val="005630AA"/>
    <w:rsid w:val="0056332B"/>
    <w:rsid w:val="00563386"/>
    <w:rsid w:val="005637BE"/>
    <w:rsid w:val="005638C1"/>
    <w:rsid w:val="00563A1C"/>
    <w:rsid w:val="00563FB8"/>
    <w:rsid w:val="005648FF"/>
    <w:rsid w:val="005651F6"/>
    <w:rsid w:val="0056540C"/>
    <w:rsid w:val="00565586"/>
    <w:rsid w:val="0056594D"/>
    <w:rsid w:val="00565D5E"/>
    <w:rsid w:val="00566A41"/>
    <w:rsid w:val="00566DB5"/>
    <w:rsid w:val="0056720E"/>
    <w:rsid w:val="0056739F"/>
    <w:rsid w:val="00567BA4"/>
    <w:rsid w:val="00567ED0"/>
    <w:rsid w:val="00567F82"/>
    <w:rsid w:val="005701D9"/>
    <w:rsid w:val="00570538"/>
    <w:rsid w:val="00570A2C"/>
    <w:rsid w:val="00570AD7"/>
    <w:rsid w:val="00571012"/>
    <w:rsid w:val="00571168"/>
    <w:rsid w:val="00571319"/>
    <w:rsid w:val="005719E7"/>
    <w:rsid w:val="0057206E"/>
    <w:rsid w:val="00572A8C"/>
    <w:rsid w:val="00572B7E"/>
    <w:rsid w:val="00572BFE"/>
    <w:rsid w:val="00572D65"/>
    <w:rsid w:val="005730FC"/>
    <w:rsid w:val="005734F0"/>
    <w:rsid w:val="0057369A"/>
    <w:rsid w:val="00573985"/>
    <w:rsid w:val="00573D75"/>
    <w:rsid w:val="00573E5C"/>
    <w:rsid w:val="00574050"/>
    <w:rsid w:val="0057449D"/>
    <w:rsid w:val="005746CD"/>
    <w:rsid w:val="005749A3"/>
    <w:rsid w:val="00575514"/>
    <w:rsid w:val="005755AD"/>
    <w:rsid w:val="00575B22"/>
    <w:rsid w:val="00575D8C"/>
    <w:rsid w:val="00576318"/>
    <w:rsid w:val="005765A5"/>
    <w:rsid w:val="00576830"/>
    <w:rsid w:val="005770A0"/>
    <w:rsid w:val="00577101"/>
    <w:rsid w:val="00577123"/>
    <w:rsid w:val="00577189"/>
    <w:rsid w:val="0057761F"/>
    <w:rsid w:val="005778F3"/>
    <w:rsid w:val="005779E6"/>
    <w:rsid w:val="00577C5B"/>
    <w:rsid w:val="00577CFC"/>
    <w:rsid w:val="0058066B"/>
    <w:rsid w:val="005808E8"/>
    <w:rsid w:val="00580937"/>
    <w:rsid w:val="00581195"/>
    <w:rsid w:val="00581542"/>
    <w:rsid w:val="00581671"/>
    <w:rsid w:val="0058288A"/>
    <w:rsid w:val="00582C23"/>
    <w:rsid w:val="00582D17"/>
    <w:rsid w:val="00582D53"/>
    <w:rsid w:val="00582F6E"/>
    <w:rsid w:val="005833C2"/>
    <w:rsid w:val="00583B0A"/>
    <w:rsid w:val="00584592"/>
    <w:rsid w:val="005848C4"/>
    <w:rsid w:val="00584FDB"/>
    <w:rsid w:val="005851B1"/>
    <w:rsid w:val="0058570D"/>
    <w:rsid w:val="005859A4"/>
    <w:rsid w:val="00585A18"/>
    <w:rsid w:val="00585D00"/>
    <w:rsid w:val="00586039"/>
    <w:rsid w:val="005869E0"/>
    <w:rsid w:val="00586B9E"/>
    <w:rsid w:val="00586C1E"/>
    <w:rsid w:val="00586E5E"/>
    <w:rsid w:val="0058714C"/>
    <w:rsid w:val="005876FA"/>
    <w:rsid w:val="00587789"/>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2EF7"/>
    <w:rsid w:val="0059370F"/>
    <w:rsid w:val="00593932"/>
    <w:rsid w:val="00593977"/>
    <w:rsid w:val="005942A7"/>
    <w:rsid w:val="00594A5A"/>
    <w:rsid w:val="00594B39"/>
    <w:rsid w:val="00594B46"/>
    <w:rsid w:val="00594D16"/>
    <w:rsid w:val="00595057"/>
    <w:rsid w:val="005952EA"/>
    <w:rsid w:val="00595513"/>
    <w:rsid w:val="005957BC"/>
    <w:rsid w:val="00595852"/>
    <w:rsid w:val="00595A38"/>
    <w:rsid w:val="00595D50"/>
    <w:rsid w:val="00595F6D"/>
    <w:rsid w:val="00596033"/>
    <w:rsid w:val="00596235"/>
    <w:rsid w:val="005964B7"/>
    <w:rsid w:val="005973DE"/>
    <w:rsid w:val="005973F1"/>
    <w:rsid w:val="0059750D"/>
    <w:rsid w:val="00597544"/>
    <w:rsid w:val="00597852"/>
    <w:rsid w:val="0059792A"/>
    <w:rsid w:val="00597984"/>
    <w:rsid w:val="00597D7A"/>
    <w:rsid w:val="00597EA2"/>
    <w:rsid w:val="00597F89"/>
    <w:rsid w:val="005A05EF"/>
    <w:rsid w:val="005A068F"/>
    <w:rsid w:val="005A0967"/>
    <w:rsid w:val="005A0EA0"/>
    <w:rsid w:val="005A176F"/>
    <w:rsid w:val="005A17EA"/>
    <w:rsid w:val="005A2481"/>
    <w:rsid w:val="005A26D9"/>
    <w:rsid w:val="005A27E4"/>
    <w:rsid w:val="005A286A"/>
    <w:rsid w:val="005A2CE0"/>
    <w:rsid w:val="005A2D7F"/>
    <w:rsid w:val="005A2FFD"/>
    <w:rsid w:val="005A38A1"/>
    <w:rsid w:val="005A44C3"/>
    <w:rsid w:val="005A4503"/>
    <w:rsid w:val="005A4AF2"/>
    <w:rsid w:val="005A5211"/>
    <w:rsid w:val="005A5555"/>
    <w:rsid w:val="005A55C0"/>
    <w:rsid w:val="005A563E"/>
    <w:rsid w:val="005A5C84"/>
    <w:rsid w:val="005A6096"/>
    <w:rsid w:val="005A6AC5"/>
    <w:rsid w:val="005A6C10"/>
    <w:rsid w:val="005A6F15"/>
    <w:rsid w:val="005A737B"/>
    <w:rsid w:val="005A7485"/>
    <w:rsid w:val="005A74ED"/>
    <w:rsid w:val="005A7BCD"/>
    <w:rsid w:val="005A7C48"/>
    <w:rsid w:val="005B0296"/>
    <w:rsid w:val="005B05DF"/>
    <w:rsid w:val="005B0E69"/>
    <w:rsid w:val="005B0F5B"/>
    <w:rsid w:val="005B12CD"/>
    <w:rsid w:val="005B1A92"/>
    <w:rsid w:val="005B1B30"/>
    <w:rsid w:val="005B2805"/>
    <w:rsid w:val="005B2859"/>
    <w:rsid w:val="005B2EA2"/>
    <w:rsid w:val="005B3173"/>
    <w:rsid w:val="005B3282"/>
    <w:rsid w:val="005B3546"/>
    <w:rsid w:val="005B35A5"/>
    <w:rsid w:val="005B35AA"/>
    <w:rsid w:val="005B3675"/>
    <w:rsid w:val="005B36AC"/>
    <w:rsid w:val="005B3B05"/>
    <w:rsid w:val="005B3E02"/>
    <w:rsid w:val="005B4B27"/>
    <w:rsid w:val="005B4BE9"/>
    <w:rsid w:val="005B5036"/>
    <w:rsid w:val="005B52D5"/>
    <w:rsid w:val="005B57B6"/>
    <w:rsid w:val="005B5900"/>
    <w:rsid w:val="005B591D"/>
    <w:rsid w:val="005B5ADE"/>
    <w:rsid w:val="005B5C55"/>
    <w:rsid w:val="005B5DC4"/>
    <w:rsid w:val="005B682C"/>
    <w:rsid w:val="005B6A11"/>
    <w:rsid w:val="005B6B7C"/>
    <w:rsid w:val="005B7163"/>
    <w:rsid w:val="005B7306"/>
    <w:rsid w:val="005B7602"/>
    <w:rsid w:val="005B79E9"/>
    <w:rsid w:val="005B7DDB"/>
    <w:rsid w:val="005B7F53"/>
    <w:rsid w:val="005C00DE"/>
    <w:rsid w:val="005C02B0"/>
    <w:rsid w:val="005C0CF3"/>
    <w:rsid w:val="005C147E"/>
    <w:rsid w:val="005C158B"/>
    <w:rsid w:val="005C1810"/>
    <w:rsid w:val="005C1C3F"/>
    <w:rsid w:val="005C1E9F"/>
    <w:rsid w:val="005C23A4"/>
    <w:rsid w:val="005C2C71"/>
    <w:rsid w:val="005C2DB6"/>
    <w:rsid w:val="005C2F2F"/>
    <w:rsid w:val="005C2F40"/>
    <w:rsid w:val="005C33FE"/>
    <w:rsid w:val="005C3AD0"/>
    <w:rsid w:val="005C3D13"/>
    <w:rsid w:val="005C3DE2"/>
    <w:rsid w:val="005C442A"/>
    <w:rsid w:val="005C477A"/>
    <w:rsid w:val="005C47DE"/>
    <w:rsid w:val="005C48F5"/>
    <w:rsid w:val="005C4933"/>
    <w:rsid w:val="005C4B8B"/>
    <w:rsid w:val="005C4DE5"/>
    <w:rsid w:val="005C50A6"/>
    <w:rsid w:val="005C50FE"/>
    <w:rsid w:val="005C5242"/>
    <w:rsid w:val="005C52AC"/>
    <w:rsid w:val="005C532D"/>
    <w:rsid w:val="005C564E"/>
    <w:rsid w:val="005C6EE7"/>
    <w:rsid w:val="005C7131"/>
    <w:rsid w:val="005C7649"/>
    <w:rsid w:val="005C7726"/>
    <w:rsid w:val="005C7E2F"/>
    <w:rsid w:val="005D00E9"/>
    <w:rsid w:val="005D01F8"/>
    <w:rsid w:val="005D0275"/>
    <w:rsid w:val="005D0D2D"/>
    <w:rsid w:val="005D0EB8"/>
    <w:rsid w:val="005D117B"/>
    <w:rsid w:val="005D1596"/>
    <w:rsid w:val="005D1782"/>
    <w:rsid w:val="005D17B9"/>
    <w:rsid w:val="005D1C78"/>
    <w:rsid w:val="005D1E03"/>
    <w:rsid w:val="005D20D0"/>
    <w:rsid w:val="005D27C0"/>
    <w:rsid w:val="005D2BE4"/>
    <w:rsid w:val="005D306F"/>
    <w:rsid w:val="005D36F8"/>
    <w:rsid w:val="005D3801"/>
    <w:rsid w:val="005D3984"/>
    <w:rsid w:val="005D3A12"/>
    <w:rsid w:val="005D3B69"/>
    <w:rsid w:val="005D4645"/>
    <w:rsid w:val="005D4E44"/>
    <w:rsid w:val="005D502C"/>
    <w:rsid w:val="005D5636"/>
    <w:rsid w:val="005D5985"/>
    <w:rsid w:val="005D5BB7"/>
    <w:rsid w:val="005D5CC3"/>
    <w:rsid w:val="005D5D49"/>
    <w:rsid w:val="005D6019"/>
    <w:rsid w:val="005D684D"/>
    <w:rsid w:val="005D6BC2"/>
    <w:rsid w:val="005D6F67"/>
    <w:rsid w:val="005D6FE9"/>
    <w:rsid w:val="005D7107"/>
    <w:rsid w:val="005D7896"/>
    <w:rsid w:val="005D7902"/>
    <w:rsid w:val="005E037D"/>
    <w:rsid w:val="005E06BD"/>
    <w:rsid w:val="005E0937"/>
    <w:rsid w:val="005E0CCE"/>
    <w:rsid w:val="005E0D7D"/>
    <w:rsid w:val="005E1411"/>
    <w:rsid w:val="005E1841"/>
    <w:rsid w:val="005E1FF7"/>
    <w:rsid w:val="005E2653"/>
    <w:rsid w:val="005E2A08"/>
    <w:rsid w:val="005E2F1A"/>
    <w:rsid w:val="005E304B"/>
    <w:rsid w:val="005E34B0"/>
    <w:rsid w:val="005E35FB"/>
    <w:rsid w:val="005E365E"/>
    <w:rsid w:val="005E37AA"/>
    <w:rsid w:val="005E3909"/>
    <w:rsid w:val="005E3BDF"/>
    <w:rsid w:val="005E42E3"/>
    <w:rsid w:val="005E43A9"/>
    <w:rsid w:val="005E449E"/>
    <w:rsid w:val="005E4528"/>
    <w:rsid w:val="005E49E4"/>
    <w:rsid w:val="005E4AE5"/>
    <w:rsid w:val="005E4B45"/>
    <w:rsid w:val="005E4E72"/>
    <w:rsid w:val="005E70A5"/>
    <w:rsid w:val="005E7395"/>
    <w:rsid w:val="005E7B4E"/>
    <w:rsid w:val="005F00DE"/>
    <w:rsid w:val="005F0493"/>
    <w:rsid w:val="005F066A"/>
    <w:rsid w:val="005F104A"/>
    <w:rsid w:val="005F15CD"/>
    <w:rsid w:val="005F2236"/>
    <w:rsid w:val="005F24E0"/>
    <w:rsid w:val="005F2671"/>
    <w:rsid w:val="005F29C5"/>
    <w:rsid w:val="005F2A4E"/>
    <w:rsid w:val="005F2E76"/>
    <w:rsid w:val="005F3220"/>
    <w:rsid w:val="005F3443"/>
    <w:rsid w:val="005F39DF"/>
    <w:rsid w:val="005F40A1"/>
    <w:rsid w:val="005F45AF"/>
    <w:rsid w:val="005F4C34"/>
    <w:rsid w:val="005F4C69"/>
    <w:rsid w:val="005F4F3C"/>
    <w:rsid w:val="005F504C"/>
    <w:rsid w:val="005F51D3"/>
    <w:rsid w:val="005F5693"/>
    <w:rsid w:val="005F5AAD"/>
    <w:rsid w:val="005F615D"/>
    <w:rsid w:val="005F61FE"/>
    <w:rsid w:val="005F6355"/>
    <w:rsid w:val="005F644A"/>
    <w:rsid w:val="005F6728"/>
    <w:rsid w:val="005F6B3F"/>
    <w:rsid w:val="005F6B88"/>
    <w:rsid w:val="005F6BF9"/>
    <w:rsid w:val="005F72E5"/>
    <w:rsid w:val="005F76C0"/>
    <w:rsid w:val="005F783D"/>
    <w:rsid w:val="00600213"/>
    <w:rsid w:val="00600BDB"/>
    <w:rsid w:val="006018AA"/>
    <w:rsid w:val="00601BF3"/>
    <w:rsid w:val="00601C3A"/>
    <w:rsid w:val="00602059"/>
    <w:rsid w:val="00602283"/>
    <w:rsid w:val="00602B33"/>
    <w:rsid w:val="00603AA1"/>
    <w:rsid w:val="00603E9C"/>
    <w:rsid w:val="00603F4E"/>
    <w:rsid w:val="006040A7"/>
    <w:rsid w:val="00604687"/>
    <w:rsid w:val="00604783"/>
    <w:rsid w:val="0060484A"/>
    <w:rsid w:val="00604A55"/>
    <w:rsid w:val="00605074"/>
    <w:rsid w:val="00605191"/>
    <w:rsid w:val="00605A01"/>
    <w:rsid w:val="00605DF8"/>
    <w:rsid w:val="00606C10"/>
    <w:rsid w:val="00606F5C"/>
    <w:rsid w:val="0060745B"/>
    <w:rsid w:val="00607593"/>
    <w:rsid w:val="006078E0"/>
    <w:rsid w:val="00607D86"/>
    <w:rsid w:val="0061012C"/>
    <w:rsid w:val="00610C46"/>
    <w:rsid w:val="00610F08"/>
    <w:rsid w:val="006115A3"/>
    <w:rsid w:val="00611729"/>
    <w:rsid w:val="00611AD5"/>
    <w:rsid w:val="00611B39"/>
    <w:rsid w:val="00612C40"/>
    <w:rsid w:val="00612F94"/>
    <w:rsid w:val="00612FBE"/>
    <w:rsid w:val="006139D4"/>
    <w:rsid w:val="00613D1F"/>
    <w:rsid w:val="00613E7A"/>
    <w:rsid w:val="00614446"/>
    <w:rsid w:val="00614D59"/>
    <w:rsid w:val="00614FE8"/>
    <w:rsid w:val="00615301"/>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12A"/>
    <w:rsid w:val="0062336D"/>
    <w:rsid w:val="00623D06"/>
    <w:rsid w:val="00623DA3"/>
    <w:rsid w:val="00623F4C"/>
    <w:rsid w:val="006245DC"/>
    <w:rsid w:val="0062536F"/>
    <w:rsid w:val="00625492"/>
    <w:rsid w:val="00625A21"/>
    <w:rsid w:val="0062605B"/>
    <w:rsid w:val="0062623D"/>
    <w:rsid w:val="00626355"/>
    <w:rsid w:val="006270C7"/>
    <w:rsid w:val="0062731B"/>
    <w:rsid w:val="006275F5"/>
    <w:rsid w:val="0062793F"/>
    <w:rsid w:val="006279E3"/>
    <w:rsid w:val="00630012"/>
    <w:rsid w:val="006303C8"/>
    <w:rsid w:val="006306F2"/>
    <w:rsid w:val="006309EC"/>
    <w:rsid w:val="00630E5A"/>
    <w:rsid w:val="00630ED8"/>
    <w:rsid w:val="00630F45"/>
    <w:rsid w:val="0063109E"/>
    <w:rsid w:val="0063245F"/>
    <w:rsid w:val="0063286A"/>
    <w:rsid w:val="00632D90"/>
    <w:rsid w:val="00632E65"/>
    <w:rsid w:val="00632EFF"/>
    <w:rsid w:val="006330CE"/>
    <w:rsid w:val="0063331F"/>
    <w:rsid w:val="006338CA"/>
    <w:rsid w:val="00633F68"/>
    <w:rsid w:val="006342FF"/>
    <w:rsid w:val="006344E8"/>
    <w:rsid w:val="0063456E"/>
    <w:rsid w:val="006348E3"/>
    <w:rsid w:val="00634D06"/>
    <w:rsid w:val="00634D3E"/>
    <w:rsid w:val="00634E51"/>
    <w:rsid w:val="00634ECA"/>
    <w:rsid w:val="0063539D"/>
    <w:rsid w:val="006365FD"/>
    <w:rsid w:val="006368BF"/>
    <w:rsid w:val="00636AAA"/>
    <w:rsid w:val="00636B6B"/>
    <w:rsid w:val="00636CB0"/>
    <w:rsid w:val="00637014"/>
    <w:rsid w:val="00637310"/>
    <w:rsid w:val="00637572"/>
    <w:rsid w:val="0063766D"/>
    <w:rsid w:val="00637673"/>
    <w:rsid w:val="00637DDD"/>
    <w:rsid w:val="00637F03"/>
    <w:rsid w:val="00640695"/>
    <w:rsid w:val="006408E8"/>
    <w:rsid w:val="006409BD"/>
    <w:rsid w:val="00640FF1"/>
    <w:rsid w:val="00641156"/>
    <w:rsid w:val="00641B60"/>
    <w:rsid w:val="0064266E"/>
    <w:rsid w:val="006426FA"/>
    <w:rsid w:val="006428AB"/>
    <w:rsid w:val="00643008"/>
    <w:rsid w:val="00643809"/>
    <w:rsid w:val="00643C58"/>
    <w:rsid w:val="00644558"/>
    <w:rsid w:val="00644768"/>
    <w:rsid w:val="00644847"/>
    <w:rsid w:val="00644BF3"/>
    <w:rsid w:val="006454A0"/>
    <w:rsid w:val="0064598E"/>
    <w:rsid w:val="00646111"/>
    <w:rsid w:val="00646184"/>
    <w:rsid w:val="006461AC"/>
    <w:rsid w:val="006462B7"/>
    <w:rsid w:val="00646435"/>
    <w:rsid w:val="00646966"/>
    <w:rsid w:val="00646B49"/>
    <w:rsid w:val="00646E40"/>
    <w:rsid w:val="006470CB"/>
    <w:rsid w:val="00647756"/>
    <w:rsid w:val="00647A3E"/>
    <w:rsid w:val="00647C1F"/>
    <w:rsid w:val="00647CA5"/>
    <w:rsid w:val="00650286"/>
    <w:rsid w:val="006507D6"/>
    <w:rsid w:val="00650D4B"/>
    <w:rsid w:val="0065103A"/>
    <w:rsid w:val="006511F1"/>
    <w:rsid w:val="00651487"/>
    <w:rsid w:val="0065153E"/>
    <w:rsid w:val="00651C52"/>
    <w:rsid w:val="0065282D"/>
    <w:rsid w:val="00652C4A"/>
    <w:rsid w:val="00652E8D"/>
    <w:rsid w:val="00652EE7"/>
    <w:rsid w:val="006535BE"/>
    <w:rsid w:val="00653B20"/>
    <w:rsid w:val="00654069"/>
    <w:rsid w:val="006542E2"/>
    <w:rsid w:val="006544F1"/>
    <w:rsid w:val="00654944"/>
    <w:rsid w:val="00654964"/>
    <w:rsid w:val="00654BD5"/>
    <w:rsid w:val="0065506E"/>
    <w:rsid w:val="00655168"/>
    <w:rsid w:val="006552D8"/>
    <w:rsid w:val="00655454"/>
    <w:rsid w:val="0065572F"/>
    <w:rsid w:val="00655928"/>
    <w:rsid w:val="00655A56"/>
    <w:rsid w:val="00655CE2"/>
    <w:rsid w:val="006569F1"/>
    <w:rsid w:val="00656C9A"/>
    <w:rsid w:val="00656D13"/>
    <w:rsid w:val="00657055"/>
    <w:rsid w:val="006572E7"/>
    <w:rsid w:val="00657663"/>
    <w:rsid w:val="00657B4E"/>
    <w:rsid w:val="00657ED5"/>
    <w:rsid w:val="00660E13"/>
    <w:rsid w:val="0066143C"/>
    <w:rsid w:val="006616E4"/>
    <w:rsid w:val="00661900"/>
    <w:rsid w:val="0066191E"/>
    <w:rsid w:val="00661AAF"/>
    <w:rsid w:val="00661DA9"/>
    <w:rsid w:val="0066225F"/>
    <w:rsid w:val="00662BEB"/>
    <w:rsid w:val="00662C8A"/>
    <w:rsid w:val="00663955"/>
    <w:rsid w:val="00663979"/>
    <w:rsid w:val="00663F92"/>
    <w:rsid w:val="006641B3"/>
    <w:rsid w:val="006641DC"/>
    <w:rsid w:val="006645ED"/>
    <w:rsid w:val="00665105"/>
    <w:rsid w:val="00665197"/>
    <w:rsid w:val="006654B0"/>
    <w:rsid w:val="0066568F"/>
    <w:rsid w:val="00665D3E"/>
    <w:rsid w:val="0066618F"/>
    <w:rsid w:val="006664D3"/>
    <w:rsid w:val="006667BB"/>
    <w:rsid w:val="006668DE"/>
    <w:rsid w:val="006669ED"/>
    <w:rsid w:val="00666A07"/>
    <w:rsid w:val="00667060"/>
    <w:rsid w:val="0066755E"/>
    <w:rsid w:val="00667672"/>
    <w:rsid w:val="006676BF"/>
    <w:rsid w:val="00667DBA"/>
    <w:rsid w:val="00670153"/>
    <w:rsid w:val="00670167"/>
    <w:rsid w:val="00670205"/>
    <w:rsid w:val="0067040A"/>
    <w:rsid w:val="00670795"/>
    <w:rsid w:val="00670F1F"/>
    <w:rsid w:val="00671170"/>
    <w:rsid w:val="00671A1F"/>
    <w:rsid w:val="00671D24"/>
    <w:rsid w:val="00672293"/>
    <w:rsid w:val="00672346"/>
    <w:rsid w:val="00672368"/>
    <w:rsid w:val="00673490"/>
    <w:rsid w:val="00673A3E"/>
    <w:rsid w:val="00673D54"/>
    <w:rsid w:val="00673EB3"/>
    <w:rsid w:val="006743A3"/>
    <w:rsid w:val="0067447D"/>
    <w:rsid w:val="00675105"/>
    <w:rsid w:val="0067512C"/>
    <w:rsid w:val="00675198"/>
    <w:rsid w:val="0067525D"/>
    <w:rsid w:val="00675C04"/>
    <w:rsid w:val="00675C6E"/>
    <w:rsid w:val="0067615B"/>
    <w:rsid w:val="006764D8"/>
    <w:rsid w:val="006766BA"/>
    <w:rsid w:val="00676AE5"/>
    <w:rsid w:val="00676EDF"/>
    <w:rsid w:val="006771D3"/>
    <w:rsid w:val="00677731"/>
    <w:rsid w:val="00677B69"/>
    <w:rsid w:val="00677BA6"/>
    <w:rsid w:val="00677E60"/>
    <w:rsid w:val="0068001E"/>
    <w:rsid w:val="00680278"/>
    <w:rsid w:val="00680DBD"/>
    <w:rsid w:val="006810AB"/>
    <w:rsid w:val="00681808"/>
    <w:rsid w:val="00681E07"/>
    <w:rsid w:val="00681E39"/>
    <w:rsid w:val="00682864"/>
    <w:rsid w:val="006828FA"/>
    <w:rsid w:val="00682CDD"/>
    <w:rsid w:val="00682D4B"/>
    <w:rsid w:val="006831FB"/>
    <w:rsid w:val="0068377F"/>
    <w:rsid w:val="00683A74"/>
    <w:rsid w:val="00683AEB"/>
    <w:rsid w:val="00683CD7"/>
    <w:rsid w:val="00683E93"/>
    <w:rsid w:val="00683FA7"/>
    <w:rsid w:val="0068432B"/>
    <w:rsid w:val="006844F6"/>
    <w:rsid w:val="00684501"/>
    <w:rsid w:val="006845B4"/>
    <w:rsid w:val="00684E25"/>
    <w:rsid w:val="00685DDA"/>
    <w:rsid w:val="00686418"/>
    <w:rsid w:val="00686C68"/>
    <w:rsid w:val="006870A3"/>
    <w:rsid w:val="006875BD"/>
    <w:rsid w:val="00687852"/>
    <w:rsid w:val="00687C45"/>
    <w:rsid w:val="00687CD8"/>
    <w:rsid w:val="00690440"/>
    <w:rsid w:val="00690508"/>
    <w:rsid w:val="0069088C"/>
    <w:rsid w:val="0069088E"/>
    <w:rsid w:val="00690A9C"/>
    <w:rsid w:val="00690D0F"/>
    <w:rsid w:val="00690ED7"/>
    <w:rsid w:val="00690F90"/>
    <w:rsid w:val="00691402"/>
    <w:rsid w:val="00691699"/>
    <w:rsid w:val="00691A80"/>
    <w:rsid w:val="00691B7F"/>
    <w:rsid w:val="00691FEB"/>
    <w:rsid w:val="00692849"/>
    <w:rsid w:val="00692DC8"/>
    <w:rsid w:val="00692E56"/>
    <w:rsid w:val="0069305D"/>
    <w:rsid w:val="006934DC"/>
    <w:rsid w:val="006936A6"/>
    <w:rsid w:val="00693DDD"/>
    <w:rsid w:val="00693FCC"/>
    <w:rsid w:val="0069418D"/>
    <w:rsid w:val="00694492"/>
    <w:rsid w:val="006950D2"/>
    <w:rsid w:val="00695513"/>
    <w:rsid w:val="006958A4"/>
    <w:rsid w:val="00695920"/>
    <w:rsid w:val="006959FD"/>
    <w:rsid w:val="0069624D"/>
    <w:rsid w:val="006967C8"/>
    <w:rsid w:val="006968D1"/>
    <w:rsid w:val="006970A0"/>
    <w:rsid w:val="00697628"/>
    <w:rsid w:val="00697CB2"/>
    <w:rsid w:val="006A0020"/>
    <w:rsid w:val="006A0727"/>
    <w:rsid w:val="006A093E"/>
    <w:rsid w:val="006A0D25"/>
    <w:rsid w:val="006A0D68"/>
    <w:rsid w:val="006A0EDA"/>
    <w:rsid w:val="006A1C3F"/>
    <w:rsid w:val="006A21D9"/>
    <w:rsid w:val="006A2307"/>
    <w:rsid w:val="006A2469"/>
    <w:rsid w:val="006A24A0"/>
    <w:rsid w:val="006A2827"/>
    <w:rsid w:val="006A2C2E"/>
    <w:rsid w:val="006A2D7C"/>
    <w:rsid w:val="006A33AA"/>
    <w:rsid w:val="006A3409"/>
    <w:rsid w:val="006A3431"/>
    <w:rsid w:val="006A3735"/>
    <w:rsid w:val="006A3799"/>
    <w:rsid w:val="006A3D44"/>
    <w:rsid w:val="006A40E4"/>
    <w:rsid w:val="006A422F"/>
    <w:rsid w:val="006A4531"/>
    <w:rsid w:val="006A4D4D"/>
    <w:rsid w:val="006A4D82"/>
    <w:rsid w:val="006A4F9C"/>
    <w:rsid w:val="006A501F"/>
    <w:rsid w:val="006A5806"/>
    <w:rsid w:val="006A5FA2"/>
    <w:rsid w:val="006A67BD"/>
    <w:rsid w:val="006A6B66"/>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573"/>
    <w:rsid w:val="006B37B8"/>
    <w:rsid w:val="006B38A8"/>
    <w:rsid w:val="006B39FB"/>
    <w:rsid w:val="006B3E41"/>
    <w:rsid w:val="006B46B5"/>
    <w:rsid w:val="006B48D3"/>
    <w:rsid w:val="006B4F91"/>
    <w:rsid w:val="006B51C1"/>
    <w:rsid w:val="006B533D"/>
    <w:rsid w:val="006B5598"/>
    <w:rsid w:val="006B6993"/>
    <w:rsid w:val="006B6ADC"/>
    <w:rsid w:val="006B7472"/>
    <w:rsid w:val="006B74A7"/>
    <w:rsid w:val="006B74DC"/>
    <w:rsid w:val="006B7619"/>
    <w:rsid w:val="006B7850"/>
    <w:rsid w:val="006B7943"/>
    <w:rsid w:val="006C0AEF"/>
    <w:rsid w:val="006C0D30"/>
    <w:rsid w:val="006C1086"/>
    <w:rsid w:val="006C11D7"/>
    <w:rsid w:val="006C1447"/>
    <w:rsid w:val="006C1960"/>
    <w:rsid w:val="006C27C6"/>
    <w:rsid w:val="006C28B6"/>
    <w:rsid w:val="006C2ACF"/>
    <w:rsid w:val="006C2D2F"/>
    <w:rsid w:val="006C3209"/>
    <w:rsid w:val="006C324E"/>
    <w:rsid w:val="006C3496"/>
    <w:rsid w:val="006C3584"/>
    <w:rsid w:val="006C38BE"/>
    <w:rsid w:val="006C3CB8"/>
    <w:rsid w:val="006C4249"/>
    <w:rsid w:val="006C4592"/>
    <w:rsid w:val="006C490B"/>
    <w:rsid w:val="006C4C9A"/>
    <w:rsid w:val="006C5846"/>
    <w:rsid w:val="006C5A35"/>
    <w:rsid w:val="006C5C1B"/>
    <w:rsid w:val="006C60E5"/>
    <w:rsid w:val="006C6B4A"/>
    <w:rsid w:val="006C6F0E"/>
    <w:rsid w:val="006C70F8"/>
    <w:rsid w:val="006C7489"/>
    <w:rsid w:val="006C7528"/>
    <w:rsid w:val="006C75C0"/>
    <w:rsid w:val="006C75FF"/>
    <w:rsid w:val="006C7834"/>
    <w:rsid w:val="006C7873"/>
    <w:rsid w:val="006C7FC3"/>
    <w:rsid w:val="006D0CDD"/>
    <w:rsid w:val="006D10F4"/>
    <w:rsid w:val="006D1BD8"/>
    <w:rsid w:val="006D1DB6"/>
    <w:rsid w:val="006D1E75"/>
    <w:rsid w:val="006D1EA6"/>
    <w:rsid w:val="006D2177"/>
    <w:rsid w:val="006D2AF8"/>
    <w:rsid w:val="006D33EB"/>
    <w:rsid w:val="006D349E"/>
    <w:rsid w:val="006D3A28"/>
    <w:rsid w:val="006D449A"/>
    <w:rsid w:val="006D466B"/>
    <w:rsid w:val="006D480F"/>
    <w:rsid w:val="006D537B"/>
    <w:rsid w:val="006D5700"/>
    <w:rsid w:val="006D57BF"/>
    <w:rsid w:val="006D58A0"/>
    <w:rsid w:val="006D59E3"/>
    <w:rsid w:val="006D5D14"/>
    <w:rsid w:val="006D6477"/>
    <w:rsid w:val="006D6611"/>
    <w:rsid w:val="006D6742"/>
    <w:rsid w:val="006D69E8"/>
    <w:rsid w:val="006D6A56"/>
    <w:rsid w:val="006D6BAE"/>
    <w:rsid w:val="006D6E79"/>
    <w:rsid w:val="006D702C"/>
    <w:rsid w:val="006D7526"/>
    <w:rsid w:val="006D7575"/>
    <w:rsid w:val="006D7C2A"/>
    <w:rsid w:val="006E03C4"/>
    <w:rsid w:val="006E05C0"/>
    <w:rsid w:val="006E0884"/>
    <w:rsid w:val="006E0F37"/>
    <w:rsid w:val="006E1825"/>
    <w:rsid w:val="006E196E"/>
    <w:rsid w:val="006E1EB8"/>
    <w:rsid w:val="006E31F4"/>
    <w:rsid w:val="006E34E2"/>
    <w:rsid w:val="006E3531"/>
    <w:rsid w:val="006E39CF"/>
    <w:rsid w:val="006E3A95"/>
    <w:rsid w:val="006E3CF2"/>
    <w:rsid w:val="006E3D94"/>
    <w:rsid w:val="006E4094"/>
    <w:rsid w:val="006E46C9"/>
    <w:rsid w:val="006E47D5"/>
    <w:rsid w:val="006E4FAE"/>
    <w:rsid w:val="006E5176"/>
    <w:rsid w:val="006E519B"/>
    <w:rsid w:val="006E56BC"/>
    <w:rsid w:val="006E577F"/>
    <w:rsid w:val="006E59C4"/>
    <w:rsid w:val="006E5A7C"/>
    <w:rsid w:val="006E685C"/>
    <w:rsid w:val="006E75EF"/>
    <w:rsid w:val="006E79D5"/>
    <w:rsid w:val="006F00AF"/>
    <w:rsid w:val="006F00F4"/>
    <w:rsid w:val="006F04C2"/>
    <w:rsid w:val="006F0739"/>
    <w:rsid w:val="006F08DA"/>
    <w:rsid w:val="006F0EF9"/>
    <w:rsid w:val="006F1050"/>
    <w:rsid w:val="006F1743"/>
    <w:rsid w:val="006F188F"/>
    <w:rsid w:val="006F1E87"/>
    <w:rsid w:val="006F1F5C"/>
    <w:rsid w:val="006F1FC6"/>
    <w:rsid w:val="006F2204"/>
    <w:rsid w:val="006F2339"/>
    <w:rsid w:val="006F24CA"/>
    <w:rsid w:val="006F2669"/>
    <w:rsid w:val="006F2CBE"/>
    <w:rsid w:val="006F2E76"/>
    <w:rsid w:val="006F362E"/>
    <w:rsid w:val="006F3B13"/>
    <w:rsid w:val="006F3D09"/>
    <w:rsid w:val="006F3E14"/>
    <w:rsid w:val="006F46F7"/>
    <w:rsid w:val="006F4D0A"/>
    <w:rsid w:val="006F4D0D"/>
    <w:rsid w:val="006F50AF"/>
    <w:rsid w:val="006F50E1"/>
    <w:rsid w:val="006F5443"/>
    <w:rsid w:val="006F55BD"/>
    <w:rsid w:val="006F5926"/>
    <w:rsid w:val="006F5BED"/>
    <w:rsid w:val="006F5DF7"/>
    <w:rsid w:val="006F5E64"/>
    <w:rsid w:val="006F61C3"/>
    <w:rsid w:val="006F6489"/>
    <w:rsid w:val="006F690B"/>
    <w:rsid w:val="006F6C23"/>
    <w:rsid w:val="006F7845"/>
    <w:rsid w:val="006F7B86"/>
    <w:rsid w:val="006F7BC7"/>
    <w:rsid w:val="006F7F84"/>
    <w:rsid w:val="00700029"/>
    <w:rsid w:val="007001D5"/>
    <w:rsid w:val="00700C49"/>
    <w:rsid w:val="00700F0F"/>
    <w:rsid w:val="007011D6"/>
    <w:rsid w:val="007013C3"/>
    <w:rsid w:val="00701783"/>
    <w:rsid w:val="0070183A"/>
    <w:rsid w:val="00701DD2"/>
    <w:rsid w:val="0070200C"/>
    <w:rsid w:val="0070284D"/>
    <w:rsid w:val="00702938"/>
    <w:rsid w:val="00703089"/>
    <w:rsid w:val="007035F3"/>
    <w:rsid w:val="00703974"/>
    <w:rsid w:val="00703B06"/>
    <w:rsid w:val="00703E20"/>
    <w:rsid w:val="00703E35"/>
    <w:rsid w:val="007048B5"/>
    <w:rsid w:val="00704C54"/>
    <w:rsid w:val="00704DBE"/>
    <w:rsid w:val="0070512A"/>
    <w:rsid w:val="007054B3"/>
    <w:rsid w:val="00705B4B"/>
    <w:rsid w:val="00706C8F"/>
    <w:rsid w:val="00706D49"/>
    <w:rsid w:val="00706EE5"/>
    <w:rsid w:val="007070B2"/>
    <w:rsid w:val="00707576"/>
    <w:rsid w:val="00707781"/>
    <w:rsid w:val="007077C5"/>
    <w:rsid w:val="00707CC2"/>
    <w:rsid w:val="00707EC4"/>
    <w:rsid w:val="00707F84"/>
    <w:rsid w:val="00710352"/>
    <w:rsid w:val="007108A9"/>
    <w:rsid w:val="00710C17"/>
    <w:rsid w:val="00710E3E"/>
    <w:rsid w:val="0071177A"/>
    <w:rsid w:val="00711B92"/>
    <w:rsid w:val="00711F91"/>
    <w:rsid w:val="00712137"/>
    <w:rsid w:val="00712967"/>
    <w:rsid w:val="00712EA0"/>
    <w:rsid w:val="007132D3"/>
    <w:rsid w:val="00713AF7"/>
    <w:rsid w:val="0071415C"/>
    <w:rsid w:val="007141BD"/>
    <w:rsid w:val="00714686"/>
    <w:rsid w:val="007146CE"/>
    <w:rsid w:val="0071471F"/>
    <w:rsid w:val="00714865"/>
    <w:rsid w:val="00714E19"/>
    <w:rsid w:val="00715050"/>
    <w:rsid w:val="0071510A"/>
    <w:rsid w:val="007155CF"/>
    <w:rsid w:val="0071582E"/>
    <w:rsid w:val="00715A31"/>
    <w:rsid w:val="00715C40"/>
    <w:rsid w:val="00715D51"/>
    <w:rsid w:val="0071615B"/>
    <w:rsid w:val="00716365"/>
    <w:rsid w:val="00716D70"/>
    <w:rsid w:val="00717113"/>
    <w:rsid w:val="00717AC9"/>
    <w:rsid w:val="00717B73"/>
    <w:rsid w:val="00717BFB"/>
    <w:rsid w:val="00717FA9"/>
    <w:rsid w:val="007204E4"/>
    <w:rsid w:val="0072053A"/>
    <w:rsid w:val="0072084C"/>
    <w:rsid w:val="00720F26"/>
    <w:rsid w:val="00720F95"/>
    <w:rsid w:val="007211DA"/>
    <w:rsid w:val="007211E8"/>
    <w:rsid w:val="007213B5"/>
    <w:rsid w:val="00721ACE"/>
    <w:rsid w:val="00721DE8"/>
    <w:rsid w:val="007220F7"/>
    <w:rsid w:val="007223C2"/>
    <w:rsid w:val="0072272C"/>
    <w:rsid w:val="00722998"/>
    <w:rsid w:val="0072322A"/>
    <w:rsid w:val="007239E0"/>
    <w:rsid w:val="0072479C"/>
    <w:rsid w:val="00724FA7"/>
    <w:rsid w:val="0072513C"/>
    <w:rsid w:val="007254C6"/>
    <w:rsid w:val="00725783"/>
    <w:rsid w:val="00725E2E"/>
    <w:rsid w:val="007262F0"/>
    <w:rsid w:val="007262F2"/>
    <w:rsid w:val="0072645E"/>
    <w:rsid w:val="007266A0"/>
    <w:rsid w:val="0072678D"/>
    <w:rsid w:val="007269B3"/>
    <w:rsid w:val="00727129"/>
    <w:rsid w:val="007277F8"/>
    <w:rsid w:val="00727ECC"/>
    <w:rsid w:val="00727FD8"/>
    <w:rsid w:val="0073003E"/>
    <w:rsid w:val="0073039A"/>
    <w:rsid w:val="00730601"/>
    <w:rsid w:val="00730D41"/>
    <w:rsid w:val="00731E6C"/>
    <w:rsid w:val="00732072"/>
    <w:rsid w:val="00732181"/>
    <w:rsid w:val="007323A6"/>
    <w:rsid w:val="00732A07"/>
    <w:rsid w:val="00732BF2"/>
    <w:rsid w:val="00732F62"/>
    <w:rsid w:val="007337EA"/>
    <w:rsid w:val="007337F9"/>
    <w:rsid w:val="00733D16"/>
    <w:rsid w:val="00733D34"/>
    <w:rsid w:val="00733DBB"/>
    <w:rsid w:val="00734073"/>
    <w:rsid w:val="007340FF"/>
    <w:rsid w:val="00734361"/>
    <w:rsid w:val="00734388"/>
    <w:rsid w:val="007345F4"/>
    <w:rsid w:val="0073523E"/>
    <w:rsid w:val="007362E3"/>
    <w:rsid w:val="007365D6"/>
    <w:rsid w:val="00736CDF"/>
    <w:rsid w:val="00736EDD"/>
    <w:rsid w:val="007372C2"/>
    <w:rsid w:val="00737B55"/>
    <w:rsid w:val="0074001E"/>
    <w:rsid w:val="007400ED"/>
    <w:rsid w:val="007402DD"/>
    <w:rsid w:val="00740D3C"/>
    <w:rsid w:val="0074112C"/>
    <w:rsid w:val="00741866"/>
    <w:rsid w:val="00741D26"/>
    <w:rsid w:val="00741D40"/>
    <w:rsid w:val="0074208D"/>
    <w:rsid w:val="00742895"/>
    <w:rsid w:val="007435F0"/>
    <w:rsid w:val="00743E96"/>
    <w:rsid w:val="00744029"/>
    <w:rsid w:val="007440DF"/>
    <w:rsid w:val="0074420E"/>
    <w:rsid w:val="00744329"/>
    <w:rsid w:val="007443B4"/>
    <w:rsid w:val="00744943"/>
    <w:rsid w:val="00744F72"/>
    <w:rsid w:val="007458DC"/>
    <w:rsid w:val="00745A27"/>
    <w:rsid w:val="00745D3C"/>
    <w:rsid w:val="00745F3D"/>
    <w:rsid w:val="00746110"/>
    <w:rsid w:val="0074650A"/>
    <w:rsid w:val="00746785"/>
    <w:rsid w:val="00746958"/>
    <w:rsid w:val="00747417"/>
    <w:rsid w:val="0074748F"/>
    <w:rsid w:val="00747A66"/>
    <w:rsid w:val="00747CD7"/>
    <w:rsid w:val="00750154"/>
    <w:rsid w:val="007505EA"/>
    <w:rsid w:val="00750F1B"/>
    <w:rsid w:val="00750FE0"/>
    <w:rsid w:val="00751868"/>
    <w:rsid w:val="00751A7B"/>
    <w:rsid w:val="00751B16"/>
    <w:rsid w:val="00751F1E"/>
    <w:rsid w:val="0075278F"/>
    <w:rsid w:val="00752E06"/>
    <w:rsid w:val="00753890"/>
    <w:rsid w:val="00753A8E"/>
    <w:rsid w:val="00753B90"/>
    <w:rsid w:val="00754142"/>
    <w:rsid w:val="00754335"/>
    <w:rsid w:val="0075460B"/>
    <w:rsid w:val="00754641"/>
    <w:rsid w:val="00754671"/>
    <w:rsid w:val="0075484F"/>
    <w:rsid w:val="00755458"/>
    <w:rsid w:val="0075590B"/>
    <w:rsid w:val="00755C38"/>
    <w:rsid w:val="00755DE8"/>
    <w:rsid w:val="0075606C"/>
    <w:rsid w:val="00756110"/>
    <w:rsid w:val="007566BB"/>
    <w:rsid w:val="0075674F"/>
    <w:rsid w:val="007568BB"/>
    <w:rsid w:val="00756BC7"/>
    <w:rsid w:val="00756E93"/>
    <w:rsid w:val="00756F1C"/>
    <w:rsid w:val="00756F91"/>
    <w:rsid w:val="007578B3"/>
    <w:rsid w:val="00757A80"/>
    <w:rsid w:val="007604BC"/>
    <w:rsid w:val="00760895"/>
    <w:rsid w:val="00760AFB"/>
    <w:rsid w:val="00760EE2"/>
    <w:rsid w:val="00761A45"/>
    <w:rsid w:val="0076217E"/>
    <w:rsid w:val="00762335"/>
    <w:rsid w:val="0076283A"/>
    <w:rsid w:val="00762CCA"/>
    <w:rsid w:val="00762E43"/>
    <w:rsid w:val="00762E8E"/>
    <w:rsid w:val="00762F0F"/>
    <w:rsid w:val="00763869"/>
    <w:rsid w:val="00763B3D"/>
    <w:rsid w:val="00763BFD"/>
    <w:rsid w:val="00763C31"/>
    <w:rsid w:val="00763DF7"/>
    <w:rsid w:val="00764A66"/>
    <w:rsid w:val="00764B3D"/>
    <w:rsid w:val="00765092"/>
    <w:rsid w:val="00765238"/>
    <w:rsid w:val="00765A9F"/>
    <w:rsid w:val="00765C10"/>
    <w:rsid w:val="00765D40"/>
    <w:rsid w:val="007662DF"/>
    <w:rsid w:val="0076663B"/>
    <w:rsid w:val="007667C7"/>
    <w:rsid w:val="00766A99"/>
    <w:rsid w:val="00766BA7"/>
    <w:rsid w:val="00766CCF"/>
    <w:rsid w:val="00766F41"/>
    <w:rsid w:val="007671EE"/>
    <w:rsid w:val="007677DA"/>
    <w:rsid w:val="00770486"/>
    <w:rsid w:val="007704F1"/>
    <w:rsid w:val="0077106A"/>
    <w:rsid w:val="0077164B"/>
    <w:rsid w:val="00771699"/>
    <w:rsid w:val="00772161"/>
    <w:rsid w:val="007724E6"/>
    <w:rsid w:val="0077286D"/>
    <w:rsid w:val="007730E5"/>
    <w:rsid w:val="007736D7"/>
    <w:rsid w:val="00773D46"/>
    <w:rsid w:val="00774281"/>
    <w:rsid w:val="007743B0"/>
    <w:rsid w:val="0077542B"/>
    <w:rsid w:val="007755A8"/>
    <w:rsid w:val="007755F8"/>
    <w:rsid w:val="00775C01"/>
    <w:rsid w:val="007762F6"/>
    <w:rsid w:val="00776737"/>
    <w:rsid w:val="00776BAC"/>
    <w:rsid w:val="00776BE8"/>
    <w:rsid w:val="00776DEE"/>
    <w:rsid w:val="007804FA"/>
    <w:rsid w:val="00780760"/>
    <w:rsid w:val="00780A48"/>
    <w:rsid w:val="00781112"/>
    <w:rsid w:val="00781146"/>
    <w:rsid w:val="00781277"/>
    <w:rsid w:val="00781DC1"/>
    <w:rsid w:val="00781F4B"/>
    <w:rsid w:val="007823A8"/>
    <w:rsid w:val="00782818"/>
    <w:rsid w:val="007829C5"/>
    <w:rsid w:val="007833E9"/>
    <w:rsid w:val="00783EFD"/>
    <w:rsid w:val="00784625"/>
    <w:rsid w:val="00784774"/>
    <w:rsid w:val="0078492A"/>
    <w:rsid w:val="007851A4"/>
    <w:rsid w:val="00785732"/>
    <w:rsid w:val="007858A6"/>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81D"/>
    <w:rsid w:val="007928B7"/>
    <w:rsid w:val="00792959"/>
    <w:rsid w:val="00792DFE"/>
    <w:rsid w:val="00793831"/>
    <w:rsid w:val="00793B73"/>
    <w:rsid w:val="00793D5B"/>
    <w:rsid w:val="00793EA7"/>
    <w:rsid w:val="007943BF"/>
    <w:rsid w:val="007944CC"/>
    <w:rsid w:val="00795136"/>
    <w:rsid w:val="00795838"/>
    <w:rsid w:val="007959ED"/>
    <w:rsid w:val="007969AA"/>
    <w:rsid w:val="00796D64"/>
    <w:rsid w:val="00797054"/>
    <w:rsid w:val="00797169"/>
    <w:rsid w:val="00797380"/>
    <w:rsid w:val="0079764A"/>
    <w:rsid w:val="0079791B"/>
    <w:rsid w:val="00797BC9"/>
    <w:rsid w:val="00797C1E"/>
    <w:rsid w:val="00797D7F"/>
    <w:rsid w:val="007A002B"/>
    <w:rsid w:val="007A093C"/>
    <w:rsid w:val="007A0E6C"/>
    <w:rsid w:val="007A0EA2"/>
    <w:rsid w:val="007A115F"/>
    <w:rsid w:val="007A1371"/>
    <w:rsid w:val="007A21AD"/>
    <w:rsid w:val="007A2247"/>
    <w:rsid w:val="007A23C9"/>
    <w:rsid w:val="007A2479"/>
    <w:rsid w:val="007A2551"/>
    <w:rsid w:val="007A351B"/>
    <w:rsid w:val="007A3739"/>
    <w:rsid w:val="007A4A59"/>
    <w:rsid w:val="007A53F3"/>
    <w:rsid w:val="007A59BD"/>
    <w:rsid w:val="007A6823"/>
    <w:rsid w:val="007A6989"/>
    <w:rsid w:val="007A71F0"/>
    <w:rsid w:val="007A73D1"/>
    <w:rsid w:val="007A75F8"/>
    <w:rsid w:val="007A7C9A"/>
    <w:rsid w:val="007B027E"/>
    <w:rsid w:val="007B02F5"/>
    <w:rsid w:val="007B0A90"/>
    <w:rsid w:val="007B0C6D"/>
    <w:rsid w:val="007B0CED"/>
    <w:rsid w:val="007B0FE5"/>
    <w:rsid w:val="007B106B"/>
    <w:rsid w:val="007B1133"/>
    <w:rsid w:val="007B1493"/>
    <w:rsid w:val="007B1D99"/>
    <w:rsid w:val="007B1F0B"/>
    <w:rsid w:val="007B249C"/>
    <w:rsid w:val="007B25B4"/>
    <w:rsid w:val="007B2C63"/>
    <w:rsid w:val="007B2C6A"/>
    <w:rsid w:val="007B317A"/>
    <w:rsid w:val="007B3A87"/>
    <w:rsid w:val="007B3E2A"/>
    <w:rsid w:val="007B3F96"/>
    <w:rsid w:val="007B4042"/>
    <w:rsid w:val="007B4062"/>
    <w:rsid w:val="007B4275"/>
    <w:rsid w:val="007B433F"/>
    <w:rsid w:val="007B4484"/>
    <w:rsid w:val="007B4AF3"/>
    <w:rsid w:val="007B4D44"/>
    <w:rsid w:val="007B4DF3"/>
    <w:rsid w:val="007B4E55"/>
    <w:rsid w:val="007B4EC4"/>
    <w:rsid w:val="007B4FB5"/>
    <w:rsid w:val="007B50D5"/>
    <w:rsid w:val="007B52E8"/>
    <w:rsid w:val="007B556E"/>
    <w:rsid w:val="007B573D"/>
    <w:rsid w:val="007B5C7E"/>
    <w:rsid w:val="007B6523"/>
    <w:rsid w:val="007B6551"/>
    <w:rsid w:val="007B6CC1"/>
    <w:rsid w:val="007B6F75"/>
    <w:rsid w:val="007B6FED"/>
    <w:rsid w:val="007B6FFF"/>
    <w:rsid w:val="007B7543"/>
    <w:rsid w:val="007B789C"/>
    <w:rsid w:val="007B79E2"/>
    <w:rsid w:val="007C053C"/>
    <w:rsid w:val="007C0850"/>
    <w:rsid w:val="007C0B63"/>
    <w:rsid w:val="007C11F7"/>
    <w:rsid w:val="007C1C54"/>
    <w:rsid w:val="007C1DB6"/>
    <w:rsid w:val="007C1E7F"/>
    <w:rsid w:val="007C1F67"/>
    <w:rsid w:val="007C2290"/>
    <w:rsid w:val="007C2447"/>
    <w:rsid w:val="007C2A95"/>
    <w:rsid w:val="007C2D2F"/>
    <w:rsid w:val="007C2F1E"/>
    <w:rsid w:val="007C3317"/>
    <w:rsid w:val="007C340C"/>
    <w:rsid w:val="007C3518"/>
    <w:rsid w:val="007C3930"/>
    <w:rsid w:val="007C3DB1"/>
    <w:rsid w:val="007C3F31"/>
    <w:rsid w:val="007C41BC"/>
    <w:rsid w:val="007C5673"/>
    <w:rsid w:val="007C5885"/>
    <w:rsid w:val="007C5A00"/>
    <w:rsid w:val="007C5E18"/>
    <w:rsid w:val="007C6241"/>
    <w:rsid w:val="007C628C"/>
    <w:rsid w:val="007C668D"/>
    <w:rsid w:val="007C68BD"/>
    <w:rsid w:val="007C6983"/>
    <w:rsid w:val="007C6B95"/>
    <w:rsid w:val="007C6C85"/>
    <w:rsid w:val="007C763C"/>
    <w:rsid w:val="007C76B6"/>
    <w:rsid w:val="007C76EB"/>
    <w:rsid w:val="007C7733"/>
    <w:rsid w:val="007C7DF1"/>
    <w:rsid w:val="007D02B9"/>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5CDB"/>
    <w:rsid w:val="007E02E8"/>
    <w:rsid w:val="007E0618"/>
    <w:rsid w:val="007E0689"/>
    <w:rsid w:val="007E0BF8"/>
    <w:rsid w:val="007E0CAA"/>
    <w:rsid w:val="007E12E8"/>
    <w:rsid w:val="007E1650"/>
    <w:rsid w:val="007E1B64"/>
    <w:rsid w:val="007E1BBB"/>
    <w:rsid w:val="007E1BFF"/>
    <w:rsid w:val="007E262C"/>
    <w:rsid w:val="007E265A"/>
    <w:rsid w:val="007E353D"/>
    <w:rsid w:val="007E3D48"/>
    <w:rsid w:val="007E3FF8"/>
    <w:rsid w:val="007E4305"/>
    <w:rsid w:val="007E4679"/>
    <w:rsid w:val="007E486A"/>
    <w:rsid w:val="007E4F58"/>
    <w:rsid w:val="007E5101"/>
    <w:rsid w:val="007E560C"/>
    <w:rsid w:val="007E62B1"/>
    <w:rsid w:val="007E62ED"/>
    <w:rsid w:val="007E62FF"/>
    <w:rsid w:val="007E680E"/>
    <w:rsid w:val="007E6CF7"/>
    <w:rsid w:val="007E6D4D"/>
    <w:rsid w:val="007E6D94"/>
    <w:rsid w:val="007E71CE"/>
    <w:rsid w:val="007E770D"/>
    <w:rsid w:val="007E7993"/>
    <w:rsid w:val="007E7C66"/>
    <w:rsid w:val="007E7F21"/>
    <w:rsid w:val="007F04DD"/>
    <w:rsid w:val="007F0584"/>
    <w:rsid w:val="007F06B8"/>
    <w:rsid w:val="007F0882"/>
    <w:rsid w:val="007F091A"/>
    <w:rsid w:val="007F0B73"/>
    <w:rsid w:val="007F0CDB"/>
    <w:rsid w:val="007F1074"/>
    <w:rsid w:val="007F13D0"/>
    <w:rsid w:val="007F1461"/>
    <w:rsid w:val="007F14A5"/>
    <w:rsid w:val="007F1553"/>
    <w:rsid w:val="007F1B5B"/>
    <w:rsid w:val="007F2141"/>
    <w:rsid w:val="007F24D6"/>
    <w:rsid w:val="007F2984"/>
    <w:rsid w:val="007F2A49"/>
    <w:rsid w:val="007F2B1C"/>
    <w:rsid w:val="007F2EB1"/>
    <w:rsid w:val="007F2FBE"/>
    <w:rsid w:val="007F3851"/>
    <w:rsid w:val="007F3ACD"/>
    <w:rsid w:val="007F45C5"/>
    <w:rsid w:val="007F5D51"/>
    <w:rsid w:val="007F5E02"/>
    <w:rsid w:val="007F62AE"/>
    <w:rsid w:val="007F6922"/>
    <w:rsid w:val="007F6EB7"/>
    <w:rsid w:val="007F70FA"/>
    <w:rsid w:val="007F71C9"/>
    <w:rsid w:val="007F739A"/>
    <w:rsid w:val="007F7634"/>
    <w:rsid w:val="007F7735"/>
    <w:rsid w:val="007F7BF6"/>
    <w:rsid w:val="007F7CAC"/>
    <w:rsid w:val="007F7E8D"/>
    <w:rsid w:val="007F7EAB"/>
    <w:rsid w:val="008000DF"/>
    <w:rsid w:val="00800299"/>
    <w:rsid w:val="008010C5"/>
    <w:rsid w:val="008015A8"/>
    <w:rsid w:val="00801603"/>
    <w:rsid w:val="008017E9"/>
    <w:rsid w:val="00801AC0"/>
    <w:rsid w:val="00801CF0"/>
    <w:rsid w:val="00801D13"/>
    <w:rsid w:val="0080215B"/>
    <w:rsid w:val="008021F1"/>
    <w:rsid w:val="00802266"/>
    <w:rsid w:val="00802327"/>
    <w:rsid w:val="00802AAF"/>
    <w:rsid w:val="00802DCD"/>
    <w:rsid w:val="008032D7"/>
    <w:rsid w:val="0080388A"/>
    <w:rsid w:val="00803961"/>
    <w:rsid w:val="00803C9F"/>
    <w:rsid w:val="00803CD8"/>
    <w:rsid w:val="00804333"/>
    <w:rsid w:val="00804343"/>
    <w:rsid w:val="008047E8"/>
    <w:rsid w:val="00804F39"/>
    <w:rsid w:val="0080513B"/>
    <w:rsid w:val="0080586A"/>
    <w:rsid w:val="008067C1"/>
    <w:rsid w:val="00806860"/>
    <w:rsid w:val="00806C7B"/>
    <w:rsid w:val="00807627"/>
    <w:rsid w:val="00807B2E"/>
    <w:rsid w:val="00810320"/>
    <w:rsid w:val="008103D4"/>
    <w:rsid w:val="008104FB"/>
    <w:rsid w:val="00810C07"/>
    <w:rsid w:val="00811217"/>
    <w:rsid w:val="0081167C"/>
    <w:rsid w:val="00811CCA"/>
    <w:rsid w:val="00811F42"/>
    <w:rsid w:val="008122B2"/>
    <w:rsid w:val="00812682"/>
    <w:rsid w:val="008129B2"/>
    <w:rsid w:val="00812D9C"/>
    <w:rsid w:val="00812DDF"/>
    <w:rsid w:val="00813264"/>
    <w:rsid w:val="00813352"/>
    <w:rsid w:val="008138AF"/>
    <w:rsid w:val="00813A2C"/>
    <w:rsid w:val="0081431D"/>
    <w:rsid w:val="008143B4"/>
    <w:rsid w:val="0081459C"/>
    <w:rsid w:val="0081477D"/>
    <w:rsid w:val="0081500C"/>
    <w:rsid w:val="008154AA"/>
    <w:rsid w:val="008157FD"/>
    <w:rsid w:val="00816192"/>
    <w:rsid w:val="0081656D"/>
    <w:rsid w:val="0081667A"/>
    <w:rsid w:val="008166C7"/>
    <w:rsid w:val="008167B7"/>
    <w:rsid w:val="0081683D"/>
    <w:rsid w:val="00816B38"/>
    <w:rsid w:val="00816C3B"/>
    <w:rsid w:val="00817744"/>
    <w:rsid w:val="00820524"/>
    <w:rsid w:val="00820D7A"/>
    <w:rsid w:val="00820E2F"/>
    <w:rsid w:val="00820EC1"/>
    <w:rsid w:val="00820F7E"/>
    <w:rsid w:val="0082177C"/>
    <w:rsid w:val="008218A2"/>
    <w:rsid w:val="0082194B"/>
    <w:rsid w:val="0082195A"/>
    <w:rsid w:val="00821F55"/>
    <w:rsid w:val="008226B0"/>
    <w:rsid w:val="00822869"/>
    <w:rsid w:val="00822A82"/>
    <w:rsid w:val="00822E78"/>
    <w:rsid w:val="0082315F"/>
    <w:rsid w:val="00823568"/>
    <w:rsid w:val="0082397E"/>
    <w:rsid w:val="00823999"/>
    <w:rsid w:val="00823A21"/>
    <w:rsid w:val="00823CBE"/>
    <w:rsid w:val="00824DD9"/>
    <w:rsid w:val="008252C2"/>
    <w:rsid w:val="00825441"/>
    <w:rsid w:val="0082547D"/>
    <w:rsid w:val="00825AC1"/>
    <w:rsid w:val="00825B61"/>
    <w:rsid w:val="00825BC4"/>
    <w:rsid w:val="00825C2B"/>
    <w:rsid w:val="00825F2B"/>
    <w:rsid w:val="00826174"/>
    <w:rsid w:val="0082654E"/>
    <w:rsid w:val="008268F0"/>
    <w:rsid w:val="008269F8"/>
    <w:rsid w:val="00826A21"/>
    <w:rsid w:val="00826CAA"/>
    <w:rsid w:val="00827270"/>
    <w:rsid w:val="00827322"/>
    <w:rsid w:val="0082797C"/>
    <w:rsid w:val="00827BC9"/>
    <w:rsid w:val="008301E5"/>
    <w:rsid w:val="00830299"/>
    <w:rsid w:val="00831028"/>
    <w:rsid w:val="00831594"/>
    <w:rsid w:val="008318AC"/>
    <w:rsid w:val="00831B2B"/>
    <w:rsid w:val="00831C0C"/>
    <w:rsid w:val="008325EF"/>
    <w:rsid w:val="008327BF"/>
    <w:rsid w:val="00832B66"/>
    <w:rsid w:val="00832C5F"/>
    <w:rsid w:val="008332DA"/>
    <w:rsid w:val="008332EE"/>
    <w:rsid w:val="008334F3"/>
    <w:rsid w:val="00833D88"/>
    <w:rsid w:val="00833E66"/>
    <w:rsid w:val="00833EDF"/>
    <w:rsid w:val="00834152"/>
    <w:rsid w:val="00834156"/>
    <w:rsid w:val="008342D1"/>
    <w:rsid w:val="008342FD"/>
    <w:rsid w:val="00834AF0"/>
    <w:rsid w:val="00834EC7"/>
    <w:rsid w:val="00834FD8"/>
    <w:rsid w:val="00835022"/>
    <w:rsid w:val="00835BBB"/>
    <w:rsid w:val="00836176"/>
    <w:rsid w:val="0083622C"/>
    <w:rsid w:val="00836301"/>
    <w:rsid w:val="008363F7"/>
    <w:rsid w:val="008375FB"/>
    <w:rsid w:val="008379C9"/>
    <w:rsid w:val="00837BB4"/>
    <w:rsid w:val="00837C40"/>
    <w:rsid w:val="00840558"/>
    <w:rsid w:val="008409AB"/>
    <w:rsid w:val="00840EAB"/>
    <w:rsid w:val="00841451"/>
    <w:rsid w:val="008416CA"/>
    <w:rsid w:val="008418E2"/>
    <w:rsid w:val="0084193D"/>
    <w:rsid w:val="00841F59"/>
    <w:rsid w:val="00842018"/>
    <w:rsid w:val="0084215E"/>
    <w:rsid w:val="0084289B"/>
    <w:rsid w:val="00842AD0"/>
    <w:rsid w:val="00842BDF"/>
    <w:rsid w:val="00842FDA"/>
    <w:rsid w:val="008432B9"/>
    <w:rsid w:val="008435EC"/>
    <w:rsid w:val="00843789"/>
    <w:rsid w:val="008438B6"/>
    <w:rsid w:val="00843BBB"/>
    <w:rsid w:val="00843DA6"/>
    <w:rsid w:val="00844365"/>
    <w:rsid w:val="00844B6B"/>
    <w:rsid w:val="00844C1D"/>
    <w:rsid w:val="00844D06"/>
    <w:rsid w:val="00844DBD"/>
    <w:rsid w:val="00844F03"/>
    <w:rsid w:val="0084533F"/>
    <w:rsid w:val="0084573A"/>
    <w:rsid w:val="008457EB"/>
    <w:rsid w:val="00845F98"/>
    <w:rsid w:val="00845FEE"/>
    <w:rsid w:val="0084675D"/>
    <w:rsid w:val="00846809"/>
    <w:rsid w:val="00846A7F"/>
    <w:rsid w:val="00846BDC"/>
    <w:rsid w:val="00846CC2"/>
    <w:rsid w:val="008471EB"/>
    <w:rsid w:val="00847A08"/>
    <w:rsid w:val="00847A9E"/>
    <w:rsid w:val="00847B55"/>
    <w:rsid w:val="00847F70"/>
    <w:rsid w:val="008504AA"/>
    <w:rsid w:val="0085065A"/>
    <w:rsid w:val="0085066F"/>
    <w:rsid w:val="008508B5"/>
    <w:rsid w:val="00850D89"/>
    <w:rsid w:val="00850F57"/>
    <w:rsid w:val="00850FF6"/>
    <w:rsid w:val="008518C8"/>
    <w:rsid w:val="00851AA5"/>
    <w:rsid w:val="00851DE0"/>
    <w:rsid w:val="00851E38"/>
    <w:rsid w:val="00852071"/>
    <w:rsid w:val="00852280"/>
    <w:rsid w:val="0085229B"/>
    <w:rsid w:val="008525B5"/>
    <w:rsid w:val="00852680"/>
    <w:rsid w:val="00852B62"/>
    <w:rsid w:val="00852D16"/>
    <w:rsid w:val="0085342F"/>
    <w:rsid w:val="008535E9"/>
    <w:rsid w:val="008538B8"/>
    <w:rsid w:val="00853CE5"/>
    <w:rsid w:val="00853CF1"/>
    <w:rsid w:val="00854303"/>
    <w:rsid w:val="0085442C"/>
    <w:rsid w:val="00854605"/>
    <w:rsid w:val="00854640"/>
    <w:rsid w:val="0085483C"/>
    <w:rsid w:val="00854B33"/>
    <w:rsid w:val="00854C96"/>
    <w:rsid w:val="0085526D"/>
    <w:rsid w:val="00855461"/>
    <w:rsid w:val="00855706"/>
    <w:rsid w:val="008568CC"/>
    <w:rsid w:val="008568D3"/>
    <w:rsid w:val="00856D09"/>
    <w:rsid w:val="00856D33"/>
    <w:rsid w:val="0085777E"/>
    <w:rsid w:val="00857845"/>
    <w:rsid w:val="00857F27"/>
    <w:rsid w:val="00860016"/>
    <w:rsid w:val="00860110"/>
    <w:rsid w:val="008602CE"/>
    <w:rsid w:val="008603DF"/>
    <w:rsid w:val="00860674"/>
    <w:rsid w:val="008606B3"/>
    <w:rsid w:val="00860756"/>
    <w:rsid w:val="00860B82"/>
    <w:rsid w:val="00860D96"/>
    <w:rsid w:val="00860F24"/>
    <w:rsid w:val="00860FD6"/>
    <w:rsid w:val="0086127C"/>
    <w:rsid w:val="0086160C"/>
    <w:rsid w:val="00861A61"/>
    <w:rsid w:val="00861D77"/>
    <w:rsid w:val="00862223"/>
    <w:rsid w:val="0086247F"/>
    <w:rsid w:val="008624A3"/>
    <w:rsid w:val="008628AF"/>
    <w:rsid w:val="008629C6"/>
    <w:rsid w:val="00862BDD"/>
    <w:rsid w:val="00862E5D"/>
    <w:rsid w:val="00863156"/>
    <w:rsid w:val="008639E0"/>
    <w:rsid w:val="0086437D"/>
    <w:rsid w:val="00864385"/>
    <w:rsid w:val="00864861"/>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50"/>
    <w:rsid w:val="008673F0"/>
    <w:rsid w:val="00867612"/>
    <w:rsid w:val="00867CEB"/>
    <w:rsid w:val="00867FFA"/>
    <w:rsid w:val="00870218"/>
    <w:rsid w:val="0087087C"/>
    <w:rsid w:val="0087098D"/>
    <w:rsid w:val="00872234"/>
    <w:rsid w:val="00872C36"/>
    <w:rsid w:val="00872F2D"/>
    <w:rsid w:val="00872F78"/>
    <w:rsid w:val="00873431"/>
    <w:rsid w:val="0087350B"/>
    <w:rsid w:val="00873E0E"/>
    <w:rsid w:val="008746D0"/>
    <w:rsid w:val="00874A48"/>
    <w:rsid w:val="00874B1B"/>
    <w:rsid w:val="008753FF"/>
    <w:rsid w:val="008756F7"/>
    <w:rsid w:val="00875874"/>
    <w:rsid w:val="008761B1"/>
    <w:rsid w:val="00876243"/>
    <w:rsid w:val="0087624D"/>
    <w:rsid w:val="00876527"/>
    <w:rsid w:val="00876A0E"/>
    <w:rsid w:val="00876A4E"/>
    <w:rsid w:val="00876DD9"/>
    <w:rsid w:val="00876EA8"/>
    <w:rsid w:val="0087755A"/>
    <w:rsid w:val="0087768C"/>
    <w:rsid w:val="00877760"/>
    <w:rsid w:val="008779E9"/>
    <w:rsid w:val="00877B84"/>
    <w:rsid w:val="00880043"/>
    <w:rsid w:val="00880111"/>
    <w:rsid w:val="0088062F"/>
    <w:rsid w:val="00880D36"/>
    <w:rsid w:val="008810B3"/>
    <w:rsid w:val="008814DB"/>
    <w:rsid w:val="008815E0"/>
    <w:rsid w:val="00881E7D"/>
    <w:rsid w:val="00882283"/>
    <w:rsid w:val="0088248D"/>
    <w:rsid w:val="00882982"/>
    <w:rsid w:val="00882B64"/>
    <w:rsid w:val="00882F95"/>
    <w:rsid w:val="00883645"/>
    <w:rsid w:val="008838D6"/>
    <w:rsid w:val="0088405E"/>
    <w:rsid w:val="00884406"/>
    <w:rsid w:val="00884D3F"/>
    <w:rsid w:val="00885754"/>
    <w:rsid w:val="00885E97"/>
    <w:rsid w:val="00885F5D"/>
    <w:rsid w:val="008861E2"/>
    <w:rsid w:val="00886399"/>
    <w:rsid w:val="0088687D"/>
    <w:rsid w:val="00886888"/>
    <w:rsid w:val="00886E83"/>
    <w:rsid w:val="00886F42"/>
    <w:rsid w:val="008906E8"/>
    <w:rsid w:val="00890702"/>
    <w:rsid w:val="00890AEE"/>
    <w:rsid w:val="00890C5C"/>
    <w:rsid w:val="00890D2D"/>
    <w:rsid w:val="00890D5E"/>
    <w:rsid w:val="00891061"/>
    <w:rsid w:val="0089115A"/>
    <w:rsid w:val="008912D5"/>
    <w:rsid w:val="008913BB"/>
    <w:rsid w:val="008917F7"/>
    <w:rsid w:val="008917FC"/>
    <w:rsid w:val="00891AB0"/>
    <w:rsid w:val="008927ED"/>
    <w:rsid w:val="00892FA1"/>
    <w:rsid w:val="00892FF0"/>
    <w:rsid w:val="00893511"/>
    <w:rsid w:val="00893629"/>
    <w:rsid w:val="00893806"/>
    <w:rsid w:val="00893AD1"/>
    <w:rsid w:val="00893D4A"/>
    <w:rsid w:val="00893F71"/>
    <w:rsid w:val="00894060"/>
    <w:rsid w:val="0089450F"/>
    <w:rsid w:val="008946A3"/>
    <w:rsid w:val="0089489B"/>
    <w:rsid w:val="00894EEC"/>
    <w:rsid w:val="00894FAF"/>
    <w:rsid w:val="0089597A"/>
    <w:rsid w:val="008959C9"/>
    <w:rsid w:val="00895B8B"/>
    <w:rsid w:val="00895CEA"/>
    <w:rsid w:val="00896123"/>
    <w:rsid w:val="00896729"/>
    <w:rsid w:val="00896C22"/>
    <w:rsid w:val="00896F33"/>
    <w:rsid w:val="00897228"/>
    <w:rsid w:val="0089725F"/>
    <w:rsid w:val="00897274"/>
    <w:rsid w:val="0089758A"/>
    <w:rsid w:val="00897A59"/>
    <w:rsid w:val="00897A9E"/>
    <w:rsid w:val="008A0013"/>
    <w:rsid w:val="008A00BF"/>
    <w:rsid w:val="008A024F"/>
    <w:rsid w:val="008A08E7"/>
    <w:rsid w:val="008A112A"/>
    <w:rsid w:val="008A1E2D"/>
    <w:rsid w:val="008A21CC"/>
    <w:rsid w:val="008A23AD"/>
    <w:rsid w:val="008A24AA"/>
    <w:rsid w:val="008A2786"/>
    <w:rsid w:val="008A27C6"/>
    <w:rsid w:val="008A2C4E"/>
    <w:rsid w:val="008A2F58"/>
    <w:rsid w:val="008A3120"/>
    <w:rsid w:val="008A3238"/>
    <w:rsid w:val="008A32FF"/>
    <w:rsid w:val="008A346C"/>
    <w:rsid w:val="008A36A7"/>
    <w:rsid w:val="008A3996"/>
    <w:rsid w:val="008A3E59"/>
    <w:rsid w:val="008A3F36"/>
    <w:rsid w:val="008A4634"/>
    <w:rsid w:val="008A4A7D"/>
    <w:rsid w:val="008A4CDA"/>
    <w:rsid w:val="008A58B9"/>
    <w:rsid w:val="008A59AD"/>
    <w:rsid w:val="008A6033"/>
    <w:rsid w:val="008A6CB4"/>
    <w:rsid w:val="008A6D74"/>
    <w:rsid w:val="008A7BCE"/>
    <w:rsid w:val="008B0293"/>
    <w:rsid w:val="008B056D"/>
    <w:rsid w:val="008B085F"/>
    <w:rsid w:val="008B0B45"/>
    <w:rsid w:val="008B116B"/>
    <w:rsid w:val="008B13EA"/>
    <w:rsid w:val="008B1403"/>
    <w:rsid w:val="008B144E"/>
    <w:rsid w:val="008B14E4"/>
    <w:rsid w:val="008B1597"/>
    <w:rsid w:val="008B1881"/>
    <w:rsid w:val="008B1D1A"/>
    <w:rsid w:val="008B1FFA"/>
    <w:rsid w:val="008B2189"/>
    <w:rsid w:val="008B24A4"/>
    <w:rsid w:val="008B273D"/>
    <w:rsid w:val="008B2C96"/>
    <w:rsid w:val="008B2DFC"/>
    <w:rsid w:val="008B35B1"/>
    <w:rsid w:val="008B3E07"/>
    <w:rsid w:val="008B4141"/>
    <w:rsid w:val="008B4182"/>
    <w:rsid w:val="008B4F14"/>
    <w:rsid w:val="008B5125"/>
    <w:rsid w:val="008B5560"/>
    <w:rsid w:val="008B5630"/>
    <w:rsid w:val="008B5903"/>
    <w:rsid w:val="008B5AA6"/>
    <w:rsid w:val="008B5AA7"/>
    <w:rsid w:val="008B5AE0"/>
    <w:rsid w:val="008B5DD4"/>
    <w:rsid w:val="008B6739"/>
    <w:rsid w:val="008B6844"/>
    <w:rsid w:val="008B6C92"/>
    <w:rsid w:val="008B6CEF"/>
    <w:rsid w:val="008B6DC7"/>
    <w:rsid w:val="008B7971"/>
    <w:rsid w:val="008B7C5C"/>
    <w:rsid w:val="008B7FCD"/>
    <w:rsid w:val="008C0549"/>
    <w:rsid w:val="008C15C3"/>
    <w:rsid w:val="008C1C73"/>
    <w:rsid w:val="008C1FAE"/>
    <w:rsid w:val="008C295E"/>
    <w:rsid w:val="008C3084"/>
    <w:rsid w:val="008C3299"/>
    <w:rsid w:val="008C34A4"/>
    <w:rsid w:val="008C3517"/>
    <w:rsid w:val="008C38DD"/>
    <w:rsid w:val="008C3A1C"/>
    <w:rsid w:val="008C4399"/>
    <w:rsid w:val="008C4417"/>
    <w:rsid w:val="008C4580"/>
    <w:rsid w:val="008C4B52"/>
    <w:rsid w:val="008C4BC6"/>
    <w:rsid w:val="008C51D0"/>
    <w:rsid w:val="008C5453"/>
    <w:rsid w:val="008C5EAD"/>
    <w:rsid w:val="008C5EF8"/>
    <w:rsid w:val="008C5F4C"/>
    <w:rsid w:val="008C6C1C"/>
    <w:rsid w:val="008C6DEF"/>
    <w:rsid w:val="008C7124"/>
    <w:rsid w:val="008C727B"/>
    <w:rsid w:val="008C75CD"/>
    <w:rsid w:val="008C781D"/>
    <w:rsid w:val="008C7CB3"/>
    <w:rsid w:val="008D0084"/>
    <w:rsid w:val="008D0375"/>
    <w:rsid w:val="008D04E5"/>
    <w:rsid w:val="008D05B4"/>
    <w:rsid w:val="008D0796"/>
    <w:rsid w:val="008D0AD3"/>
    <w:rsid w:val="008D1663"/>
    <w:rsid w:val="008D223D"/>
    <w:rsid w:val="008D2358"/>
    <w:rsid w:val="008D244A"/>
    <w:rsid w:val="008D27A4"/>
    <w:rsid w:val="008D29BD"/>
    <w:rsid w:val="008D314E"/>
    <w:rsid w:val="008D32EB"/>
    <w:rsid w:val="008D34C4"/>
    <w:rsid w:val="008D350D"/>
    <w:rsid w:val="008D3966"/>
    <w:rsid w:val="008D3B07"/>
    <w:rsid w:val="008D42C5"/>
    <w:rsid w:val="008D42CD"/>
    <w:rsid w:val="008D45A6"/>
    <w:rsid w:val="008D4F05"/>
    <w:rsid w:val="008D4F10"/>
    <w:rsid w:val="008D501E"/>
    <w:rsid w:val="008D54CF"/>
    <w:rsid w:val="008D5832"/>
    <w:rsid w:val="008D58AA"/>
    <w:rsid w:val="008D6061"/>
    <w:rsid w:val="008D6442"/>
    <w:rsid w:val="008D64F8"/>
    <w:rsid w:val="008D68DA"/>
    <w:rsid w:val="008D6BF5"/>
    <w:rsid w:val="008D6E22"/>
    <w:rsid w:val="008D6F74"/>
    <w:rsid w:val="008D705B"/>
    <w:rsid w:val="008D74EC"/>
    <w:rsid w:val="008D7C27"/>
    <w:rsid w:val="008D7FCB"/>
    <w:rsid w:val="008E01F4"/>
    <w:rsid w:val="008E0615"/>
    <w:rsid w:val="008E0694"/>
    <w:rsid w:val="008E08F3"/>
    <w:rsid w:val="008E0AD8"/>
    <w:rsid w:val="008E0D17"/>
    <w:rsid w:val="008E1E55"/>
    <w:rsid w:val="008E20C9"/>
    <w:rsid w:val="008E20E0"/>
    <w:rsid w:val="008E2575"/>
    <w:rsid w:val="008E2685"/>
    <w:rsid w:val="008E2868"/>
    <w:rsid w:val="008E2E96"/>
    <w:rsid w:val="008E2FF7"/>
    <w:rsid w:val="008E34AA"/>
    <w:rsid w:val="008E38D9"/>
    <w:rsid w:val="008E3AB4"/>
    <w:rsid w:val="008E4DE1"/>
    <w:rsid w:val="008E4E70"/>
    <w:rsid w:val="008E5163"/>
    <w:rsid w:val="008E51F2"/>
    <w:rsid w:val="008E54C1"/>
    <w:rsid w:val="008E565F"/>
    <w:rsid w:val="008E5F4A"/>
    <w:rsid w:val="008E5F79"/>
    <w:rsid w:val="008E5F89"/>
    <w:rsid w:val="008E622D"/>
    <w:rsid w:val="008E6306"/>
    <w:rsid w:val="008E63E1"/>
    <w:rsid w:val="008E64A5"/>
    <w:rsid w:val="008E6513"/>
    <w:rsid w:val="008E7F09"/>
    <w:rsid w:val="008F02DD"/>
    <w:rsid w:val="008F0938"/>
    <w:rsid w:val="008F1320"/>
    <w:rsid w:val="008F14A5"/>
    <w:rsid w:val="008F28A9"/>
    <w:rsid w:val="008F2CA6"/>
    <w:rsid w:val="008F2E52"/>
    <w:rsid w:val="008F2F1D"/>
    <w:rsid w:val="008F324C"/>
    <w:rsid w:val="008F3799"/>
    <w:rsid w:val="008F3897"/>
    <w:rsid w:val="008F3A21"/>
    <w:rsid w:val="008F3E22"/>
    <w:rsid w:val="008F467D"/>
    <w:rsid w:val="008F4744"/>
    <w:rsid w:val="008F49A5"/>
    <w:rsid w:val="008F4C99"/>
    <w:rsid w:val="008F4CA6"/>
    <w:rsid w:val="008F5229"/>
    <w:rsid w:val="008F5BEF"/>
    <w:rsid w:val="008F60E3"/>
    <w:rsid w:val="008F6843"/>
    <w:rsid w:val="008F68CF"/>
    <w:rsid w:val="008F6EEB"/>
    <w:rsid w:val="008F7197"/>
    <w:rsid w:val="00900414"/>
    <w:rsid w:val="00900756"/>
    <w:rsid w:val="0090101F"/>
    <w:rsid w:val="009010B0"/>
    <w:rsid w:val="00901440"/>
    <w:rsid w:val="009017A9"/>
    <w:rsid w:val="009019D8"/>
    <w:rsid w:val="0090211F"/>
    <w:rsid w:val="00902656"/>
    <w:rsid w:val="00902718"/>
    <w:rsid w:val="00902915"/>
    <w:rsid w:val="00902FDE"/>
    <w:rsid w:val="009031AF"/>
    <w:rsid w:val="009032CD"/>
    <w:rsid w:val="009032E9"/>
    <w:rsid w:val="00903396"/>
    <w:rsid w:val="00903DAC"/>
    <w:rsid w:val="00903EA1"/>
    <w:rsid w:val="00904612"/>
    <w:rsid w:val="0090496B"/>
    <w:rsid w:val="009049F7"/>
    <w:rsid w:val="00904EE2"/>
    <w:rsid w:val="009050B0"/>
    <w:rsid w:val="00905469"/>
    <w:rsid w:val="0090669D"/>
    <w:rsid w:val="00906EA8"/>
    <w:rsid w:val="0090742B"/>
    <w:rsid w:val="00907D7D"/>
    <w:rsid w:val="00907F45"/>
    <w:rsid w:val="0091015D"/>
    <w:rsid w:val="0091065F"/>
    <w:rsid w:val="009106B4"/>
    <w:rsid w:val="00910A3D"/>
    <w:rsid w:val="00910B54"/>
    <w:rsid w:val="00910B73"/>
    <w:rsid w:val="00910BD5"/>
    <w:rsid w:val="0091113B"/>
    <w:rsid w:val="009113EF"/>
    <w:rsid w:val="00911F0C"/>
    <w:rsid w:val="00911FCA"/>
    <w:rsid w:val="0091212A"/>
    <w:rsid w:val="00912148"/>
    <w:rsid w:val="00912415"/>
    <w:rsid w:val="009125C6"/>
    <w:rsid w:val="00912774"/>
    <w:rsid w:val="009129E8"/>
    <w:rsid w:val="00912FE0"/>
    <w:rsid w:val="0091314D"/>
    <w:rsid w:val="009135ED"/>
    <w:rsid w:val="00913748"/>
    <w:rsid w:val="009139BB"/>
    <w:rsid w:val="00913E3C"/>
    <w:rsid w:val="00914013"/>
    <w:rsid w:val="00914436"/>
    <w:rsid w:val="00914950"/>
    <w:rsid w:val="009149A3"/>
    <w:rsid w:val="0091544A"/>
    <w:rsid w:val="009155D5"/>
    <w:rsid w:val="00915698"/>
    <w:rsid w:val="00915AC9"/>
    <w:rsid w:val="00915B11"/>
    <w:rsid w:val="00916372"/>
    <w:rsid w:val="0091687A"/>
    <w:rsid w:val="009168C8"/>
    <w:rsid w:val="0091729A"/>
    <w:rsid w:val="00917826"/>
    <w:rsid w:val="00917913"/>
    <w:rsid w:val="00917A26"/>
    <w:rsid w:val="00917A7D"/>
    <w:rsid w:val="00917C4A"/>
    <w:rsid w:val="00917CD3"/>
    <w:rsid w:val="00917E93"/>
    <w:rsid w:val="00920477"/>
    <w:rsid w:val="0092052D"/>
    <w:rsid w:val="0092053F"/>
    <w:rsid w:val="00920912"/>
    <w:rsid w:val="00920F06"/>
    <w:rsid w:val="0092112C"/>
    <w:rsid w:val="0092188C"/>
    <w:rsid w:val="00921C8C"/>
    <w:rsid w:val="00922136"/>
    <w:rsid w:val="0092248E"/>
    <w:rsid w:val="00922B2C"/>
    <w:rsid w:val="00922BB0"/>
    <w:rsid w:val="00922C38"/>
    <w:rsid w:val="00922E91"/>
    <w:rsid w:val="009232EF"/>
    <w:rsid w:val="00923891"/>
    <w:rsid w:val="00923BCC"/>
    <w:rsid w:val="0092412C"/>
    <w:rsid w:val="0092460A"/>
    <w:rsid w:val="009249F9"/>
    <w:rsid w:val="00924CF7"/>
    <w:rsid w:val="00924E41"/>
    <w:rsid w:val="00924F0C"/>
    <w:rsid w:val="00925036"/>
    <w:rsid w:val="009250FD"/>
    <w:rsid w:val="0092547A"/>
    <w:rsid w:val="00925696"/>
    <w:rsid w:val="00925815"/>
    <w:rsid w:val="00925F78"/>
    <w:rsid w:val="00926398"/>
    <w:rsid w:val="00926518"/>
    <w:rsid w:val="00926820"/>
    <w:rsid w:val="00926A54"/>
    <w:rsid w:val="00926C5F"/>
    <w:rsid w:val="00926F44"/>
    <w:rsid w:val="009275EC"/>
    <w:rsid w:val="00927DCD"/>
    <w:rsid w:val="00930177"/>
    <w:rsid w:val="0093044F"/>
    <w:rsid w:val="0093080E"/>
    <w:rsid w:val="0093088B"/>
    <w:rsid w:val="00930A85"/>
    <w:rsid w:val="00930ABD"/>
    <w:rsid w:val="00930CE4"/>
    <w:rsid w:val="0093123C"/>
    <w:rsid w:val="0093160C"/>
    <w:rsid w:val="009316C0"/>
    <w:rsid w:val="009317AC"/>
    <w:rsid w:val="00931DCD"/>
    <w:rsid w:val="00931E44"/>
    <w:rsid w:val="00931F20"/>
    <w:rsid w:val="00932947"/>
    <w:rsid w:val="00932D18"/>
    <w:rsid w:val="00932D35"/>
    <w:rsid w:val="00932DD8"/>
    <w:rsid w:val="00932EB2"/>
    <w:rsid w:val="0093355E"/>
    <w:rsid w:val="00933DE7"/>
    <w:rsid w:val="00933F05"/>
    <w:rsid w:val="00934462"/>
    <w:rsid w:val="009347B0"/>
    <w:rsid w:val="00934860"/>
    <w:rsid w:val="00934ADF"/>
    <w:rsid w:val="00934B10"/>
    <w:rsid w:val="00934E98"/>
    <w:rsid w:val="00935218"/>
    <w:rsid w:val="009352DF"/>
    <w:rsid w:val="009354E8"/>
    <w:rsid w:val="00935F80"/>
    <w:rsid w:val="00935FCD"/>
    <w:rsid w:val="0093638E"/>
    <w:rsid w:val="0093664F"/>
    <w:rsid w:val="0093667E"/>
    <w:rsid w:val="00936A66"/>
    <w:rsid w:val="00936BD6"/>
    <w:rsid w:val="00936ECE"/>
    <w:rsid w:val="0093729E"/>
    <w:rsid w:val="0093733C"/>
    <w:rsid w:val="009376B2"/>
    <w:rsid w:val="00937880"/>
    <w:rsid w:val="00937BEB"/>
    <w:rsid w:val="00937C40"/>
    <w:rsid w:val="00937C5B"/>
    <w:rsid w:val="00937E2C"/>
    <w:rsid w:val="00940111"/>
    <w:rsid w:val="009401A9"/>
    <w:rsid w:val="00940AAA"/>
    <w:rsid w:val="00940B10"/>
    <w:rsid w:val="00940C01"/>
    <w:rsid w:val="00940CD5"/>
    <w:rsid w:val="00940FCC"/>
    <w:rsid w:val="0094114A"/>
    <w:rsid w:val="00941B66"/>
    <w:rsid w:val="00941C07"/>
    <w:rsid w:val="00942392"/>
    <w:rsid w:val="00942524"/>
    <w:rsid w:val="009428AC"/>
    <w:rsid w:val="00942AA6"/>
    <w:rsid w:val="0094304F"/>
    <w:rsid w:val="0094333D"/>
    <w:rsid w:val="00943466"/>
    <w:rsid w:val="00943C77"/>
    <w:rsid w:val="00943E1D"/>
    <w:rsid w:val="00943FA3"/>
    <w:rsid w:val="0094400A"/>
    <w:rsid w:val="00944465"/>
    <w:rsid w:val="00944479"/>
    <w:rsid w:val="009445E1"/>
    <w:rsid w:val="009447C3"/>
    <w:rsid w:val="00945059"/>
    <w:rsid w:val="009450E8"/>
    <w:rsid w:val="0094606D"/>
    <w:rsid w:val="0094611E"/>
    <w:rsid w:val="00946277"/>
    <w:rsid w:val="00946342"/>
    <w:rsid w:val="00947759"/>
    <w:rsid w:val="00947B8C"/>
    <w:rsid w:val="009501AE"/>
    <w:rsid w:val="009501BB"/>
    <w:rsid w:val="009505BA"/>
    <w:rsid w:val="0095074E"/>
    <w:rsid w:val="00950A9F"/>
    <w:rsid w:val="00951189"/>
    <w:rsid w:val="009511A1"/>
    <w:rsid w:val="00951A04"/>
    <w:rsid w:val="00951B61"/>
    <w:rsid w:val="00951C06"/>
    <w:rsid w:val="00951EA3"/>
    <w:rsid w:val="00951EAA"/>
    <w:rsid w:val="009522F6"/>
    <w:rsid w:val="00952AB5"/>
    <w:rsid w:val="00953040"/>
    <w:rsid w:val="00953280"/>
    <w:rsid w:val="00953864"/>
    <w:rsid w:val="0095391F"/>
    <w:rsid w:val="00953BF0"/>
    <w:rsid w:val="00953E2B"/>
    <w:rsid w:val="009540DD"/>
    <w:rsid w:val="0095418E"/>
    <w:rsid w:val="009543E8"/>
    <w:rsid w:val="00954C72"/>
    <w:rsid w:val="00954C8E"/>
    <w:rsid w:val="009550BC"/>
    <w:rsid w:val="0095519B"/>
    <w:rsid w:val="009558D1"/>
    <w:rsid w:val="00955B2B"/>
    <w:rsid w:val="009561C0"/>
    <w:rsid w:val="009569E7"/>
    <w:rsid w:val="00956B66"/>
    <w:rsid w:val="00956E0A"/>
    <w:rsid w:val="00957317"/>
    <w:rsid w:val="0095766A"/>
    <w:rsid w:val="009576AF"/>
    <w:rsid w:val="009577E2"/>
    <w:rsid w:val="009578A6"/>
    <w:rsid w:val="00957C7F"/>
    <w:rsid w:val="00957D83"/>
    <w:rsid w:val="009602CB"/>
    <w:rsid w:val="009602D2"/>
    <w:rsid w:val="00960BAD"/>
    <w:rsid w:val="00960E07"/>
    <w:rsid w:val="009611B8"/>
    <w:rsid w:val="00961D8A"/>
    <w:rsid w:val="00961E9B"/>
    <w:rsid w:val="00961FF6"/>
    <w:rsid w:val="00962CDC"/>
    <w:rsid w:val="00962F09"/>
    <w:rsid w:val="009633CD"/>
    <w:rsid w:val="0096409E"/>
    <w:rsid w:val="00964169"/>
    <w:rsid w:val="00964188"/>
    <w:rsid w:val="00964FCF"/>
    <w:rsid w:val="00965353"/>
    <w:rsid w:val="00965535"/>
    <w:rsid w:val="00965DF4"/>
    <w:rsid w:val="00965E5E"/>
    <w:rsid w:val="00965F52"/>
    <w:rsid w:val="009660F6"/>
    <w:rsid w:val="00966337"/>
    <w:rsid w:val="009663BF"/>
    <w:rsid w:val="009663F1"/>
    <w:rsid w:val="0096653F"/>
    <w:rsid w:val="00966DCC"/>
    <w:rsid w:val="00966F63"/>
    <w:rsid w:val="00966F83"/>
    <w:rsid w:val="00967152"/>
    <w:rsid w:val="0096728B"/>
    <w:rsid w:val="00967614"/>
    <w:rsid w:val="0096765A"/>
    <w:rsid w:val="009676B9"/>
    <w:rsid w:val="0096771C"/>
    <w:rsid w:val="0096787F"/>
    <w:rsid w:val="00967ABA"/>
    <w:rsid w:val="00967E95"/>
    <w:rsid w:val="0097022C"/>
    <w:rsid w:val="009702B0"/>
    <w:rsid w:val="0097065A"/>
    <w:rsid w:val="0097154A"/>
    <w:rsid w:val="00971FAB"/>
    <w:rsid w:val="009724CE"/>
    <w:rsid w:val="0097287D"/>
    <w:rsid w:val="00972A23"/>
    <w:rsid w:val="0097331A"/>
    <w:rsid w:val="00973755"/>
    <w:rsid w:val="00973CCC"/>
    <w:rsid w:val="00973ED1"/>
    <w:rsid w:val="0097402A"/>
    <w:rsid w:val="009741BE"/>
    <w:rsid w:val="009746CE"/>
    <w:rsid w:val="00974A13"/>
    <w:rsid w:val="00974A87"/>
    <w:rsid w:val="0097519E"/>
    <w:rsid w:val="00975374"/>
    <w:rsid w:val="009753DD"/>
    <w:rsid w:val="0097574D"/>
    <w:rsid w:val="0097592D"/>
    <w:rsid w:val="00975933"/>
    <w:rsid w:val="00975BD3"/>
    <w:rsid w:val="00975EAB"/>
    <w:rsid w:val="00975F21"/>
    <w:rsid w:val="0097617E"/>
    <w:rsid w:val="0097643E"/>
    <w:rsid w:val="0097652C"/>
    <w:rsid w:val="00976B65"/>
    <w:rsid w:val="0097757E"/>
    <w:rsid w:val="00977614"/>
    <w:rsid w:val="009777C4"/>
    <w:rsid w:val="00977CAD"/>
    <w:rsid w:val="00980025"/>
    <w:rsid w:val="0098004F"/>
    <w:rsid w:val="00980307"/>
    <w:rsid w:val="00980810"/>
    <w:rsid w:val="00981325"/>
    <w:rsid w:val="00981748"/>
    <w:rsid w:val="009819A5"/>
    <w:rsid w:val="009819D2"/>
    <w:rsid w:val="00981AE9"/>
    <w:rsid w:val="00981E4C"/>
    <w:rsid w:val="0098216F"/>
    <w:rsid w:val="009821D3"/>
    <w:rsid w:val="00982331"/>
    <w:rsid w:val="009823F9"/>
    <w:rsid w:val="00982842"/>
    <w:rsid w:val="00982851"/>
    <w:rsid w:val="009828E8"/>
    <w:rsid w:val="00982C36"/>
    <w:rsid w:val="00982C3B"/>
    <w:rsid w:val="00983614"/>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D12"/>
    <w:rsid w:val="00985FBB"/>
    <w:rsid w:val="009863B8"/>
    <w:rsid w:val="00986435"/>
    <w:rsid w:val="009864A2"/>
    <w:rsid w:val="009865B0"/>
    <w:rsid w:val="009866FB"/>
    <w:rsid w:val="00986730"/>
    <w:rsid w:val="0098674E"/>
    <w:rsid w:val="0098692E"/>
    <w:rsid w:val="00987081"/>
    <w:rsid w:val="00987365"/>
    <w:rsid w:val="009873EA"/>
    <w:rsid w:val="009879F4"/>
    <w:rsid w:val="00987D5A"/>
    <w:rsid w:val="00987D9E"/>
    <w:rsid w:val="00990165"/>
    <w:rsid w:val="009905E6"/>
    <w:rsid w:val="00990609"/>
    <w:rsid w:val="00990841"/>
    <w:rsid w:val="00990ADB"/>
    <w:rsid w:val="00990ECE"/>
    <w:rsid w:val="00990FE7"/>
    <w:rsid w:val="0099113D"/>
    <w:rsid w:val="00991799"/>
    <w:rsid w:val="00991A10"/>
    <w:rsid w:val="00991A50"/>
    <w:rsid w:val="00991B1D"/>
    <w:rsid w:val="00991C7F"/>
    <w:rsid w:val="009922E7"/>
    <w:rsid w:val="00992489"/>
    <w:rsid w:val="00992575"/>
    <w:rsid w:val="00992EAA"/>
    <w:rsid w:val="00993002"/>
    <w:rsid w:val="0099370F"/>
    <w:rsid w:val="00993A62"/>
    <w:rsid w:val="0099440A"/>
    <w:rsid w:val="00994719"/>
    <w:rsid w:val="0099473B"/>
    <w:rsid w:val="00995649"/>
    <w:rsid w:val="00995A68"/>
    <w:rsid w:val="00995BEB"/>
    <w:rsid w:val="00995C86"/>
    <w:rsid w:val="00995C92"/>
    <w:rsid w:val="00995E46"/>
    <w:rsid w:val="00996C82"/>
    <w:rsid w:val="00996EDE"/>
    <w:rsid w:val="00997162"/>
    <w:rsid w:val="00997646"/>
    <w:rsid w:val="00997728"/>
    <w:rsid w:val="00997913"/>
    <w:rsid w:val="00997922"/>
    <w:rsid w:val="00997CE6"/>
    <w:rsid w:val="00997CFA"/>
    <w:rsid w:val="00997D6C"/>
    <w:rsid w:val="009A01C8"/>
    <w:rsid w:val="009A02F3"/>
    <w:rsid w:val="009A0771"/>
    <w:rsid w:val="009A099A"/>
    <w:rsid w:val="009A0AB5"/>
    <w:rsid w:val="009A0C5C"/>
    <w:rsid w:val="009A0E6F"/>
    <w:rsid w:val="009A13A0"/>
    <w:rsid w:val="009A1A97"/>
    <w:rsid w:val="009A1F50"/>
    <w:rsid w:val="009A22E4"/>
    <w:rsid w:val="009A2662"/>
    <w:rsid w:val="009A2922"/>
    <w:rsid w:val="009A3056"/>
    <w:rsid w:val="009A311D"/>
    <w:rsid w:val="009A358D"/>
    <w:rsid w:val="009A3985"/>
    <w:rsid w:val="009A4338"/>
    <w:rsid w:val="009A44F0"/>
    <w:rsid w:val="009A4AB7"/>
    <w:rsid w:val="009A5AE8"/>
    <w:rsid w:val="009A5B44"/>
    <w:rsid w:val="009A5C09"/>
    <w:rsid w:val="009A5C2F"/>
    <w:rsid w:val="009A606F"/>
    <w:rsid w:val="009A64AF"/>
    <w:rsid w:val="009A6B1B"/>
    <w:rsid w:val="009A6D38"/>
    <w:rsid w:val="009A6FAF"/>
    <w:rsid w:val="009A700A"/>
    <w:rsid w:val="009A72D0"/>
    <w:rsid w:val="009A76C5"/>
    <w:rsid w:val="009A7851"/>
    <w:rsid w:val="009A7E16"/>
    <w:rsid w:val="009B00CD"/>
    <w:rsid w:val="009B0559"/>
    <w:rsid w:val="009B0ED2"/>
    <w:rsid w:val="009B1166"/>
    <w:rsid w:val="009B11AC"/>
    <w:rsid w:val="009B147B"/>
    <w:rsid w:val="009B18C3"/>
    <w:rsid w:val="009B1E72"/>
    <w:rsid w:val="009B1E9E"/>
    <w:rsid w:val="009B25F1"/>
    <w:rsid w:val="009B2D01"/>
    <w:rsid w:val="009B3306"/>
    <w:rsid w:val="009B3A9F"/>
    <w:rsid w:val="009B3DD5"/>
    <w:rsid w:val="009B42B1"/>
    <w:rsid w:val="009B42E8"/>
    <w:rsid w:val="009B4401"/>
    <w:rsid w:val="009B463F"/>
    <w:rsid w:val="009B4649"/>
    <w:rsid w:val="009B46AF"/>
    <w:rsid w:val="009B47BC"/>
    <w:rsid w:val="009B4BEC"/>
    <w:rsid w:val="009B4FC2"/>
    <w:rsid w:val="009B517B"/>
    <w:rsid w:val="009B5339"/>
    <w:rsid w:val="009B54AB"/>
    <w:rsid w:val="009B5ECA"/>
    <w:rsid w:val="009B64E3"/>
    <w:rsid w:val="009B66C4"/>
    <w:rsid w:val="009B6709"/>
    <w:rsid w:val="009B673C"/>
    <w:rsid w:val="009B69DB"/>
    <w:rsid w:val="009B6BB1"/>
    <w:rsid w:val="009B6E6E"/>
    <w:rsid w:val="009B7C76"/>
    <w:rsid w:val="009C0439"/>
    <w:rsid w:val="009C04A7"/>
    <w:rsid w:val="009C0845"/>
    <w:rsid w:val="009C087B"/>
    <w:rsid w:val="009C108D"/>
    <w:rsid w:val="009C13A2"/>
    <w:rsid w:val="009C141D"/>
    <w:rsid w:val="009C1941"/>
    <w:rsid w:val="009C24DF"/>
    <w:rsid w:val="009C297B"/>
    <w:rsid w:val="009C2B09"/>
    <w:rsid w:val="009C2B7D"/>
    <w:rsid w:val="009C2CF6"/>
    <w:rsid w:val="009C30D3"/>
    <w:rsid w:val="009C368C"/>
    <w:rsid w:val="009C3824"/>
    <w:rsid w:val="009C4081"/>
    <w:rsid w:val="009C409F"/>
    <w:rsid w:val="009C49D8"/>
    <w:rsid w:val="009C505F"/>
    <w:rsid w:val="009C57A6"/>
    <w:rsid w:val="009C59DA"/>
    <w:rsid w:val="009C5A13"/>
    <w:rsid w:val="009C5EA3"/>
    <w:rsid w:val="009C6520"/>
    <w:rsid w:val="009C6A40"/>
    <w:rsid w:val="009C6C77"/>
    <w:rsid w:val="009C6CD9"/>
    <w:rsid w:val="009C6DB6"/>
    <w:rsid w:val="009C6E3D"/>
    <w:rsid w:val="009C713C"/>
    <w:rsid w:val="009C7C11"/>
    <w:rsid w:val="009C7CB6"/>
    <w:rsid w:val="009C7F51"/>
    <w:rsid w:val="009D0666"/>
    <w:rsid w:val="009D0774"/>
    <w:rsid w:val="009D0DFA"/>
    <w:rsid w:val="009D13E1"/>
    <w:rsid w:val="009D1896"/>
    <w:rsid w:val="009D1CD7"/>
    <w:rsid w:val="009D23F4"/>
    <w:rsid w:val="009D2820"/>
    <w:rsid w:val="009D2862"/>
    <w:rsid w:val="009D2BE0"/>
    <w:rsid w:val="009D32D1"/>
    <w:rsid w:val="009D3401"/>
    <w:rsid w:val="009D41F4"/>
    <w:rsid w:val="009D423C"/>
    <w:rsid w:val="009D42EB"/>
    <w:rsid w:val="009D484B"/>
    <w:rsid w:val="009D4C13"/>
    <w:rsid w:val="009D51DC"/>
    <w:rsid w:val="009D534F"/>
    <w:rsid w:val="009D57E5"/>
    <w:rsid w:val="009D5FFA"/>
    <w:rsid w:val="009D64C0"/>
    <w:rsid w:val="009D7411"/>
    <w:rsid w:val="009D7469"/>
    <w:rsid w:val="009D746B"/>
    <w:rsid w:val="009D7489"/>
    <w:rsid w:val="009D77CF"/>
    <w:rsid w:val="009E0506"/>
    <w:rsid w:val="009E1AA6"/>
    <w:rsid w:val="009E2A7B"/>
    <w:rsid w:val="009E309C"/>
    <w:rsid w:val="009E36AA"/>
    <w:rsid w:val="009E38C0"/>
    <w:rsid w:val="009E3B04"/>
    <w:rsid w:val="009E4115"/>
    <w:rsid w:val="009E449B"/>
    <w:rsid w:val="009E44BA"/>
    <w:rsid w:val="009E47BE"/>
    <w:rsid w:val="009E4F1B"/>
    <w:rsid w:val="009E510E"/>
    <w:rsid w:val="009E5264"/>
    <w:rsid w:val="009E6485"/>
    <w:rsid w:val="009E6FA6"/>
    <w:rsid w:val="009E747F"/>
    <w:rsid w:val="009E74A3"/>
    <w:rsid w:val="009E7C13"/>
    <w:rsid w:val="009E7C22"/>
    <w:rsid w:val="009E7E77"/>
    <w:rsid w:val="009F05E0"/>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260"/>
    <w:rsid w:val="009F4831"/>
    <w:rsid w:val="009F5582"/>
    <w:rsid w:val="009F5F47"/>
    <w:rsid w:val="009F6377"/>
    <w:rsid w:val="009F6D30"/>
    <w:rsid w:val="009F7044"/>
    <w:rsid w:val="009F7184"/>
    <w:rsid w:val="009F720D"/>
    <w:rsid w:val="009F7B90"/>
    <w:rsid w:val="00A00731"/>
    <w:rsid w:val="00A00800"/>
    <w:rsid w:val="00A00A1B"/>
    <w:rsid w:val="00A00ACD"/>
    <w:rsid w:val="00A011A4"/>
    <w:rsid w:val="00A018E2"/>
    <w:rsid w:val="00A019BA"/>
    <w:rsid w:val="00A01BF5"/>
    <w:rsid w:val="00A01FAF"/>
    <w:rsid w:val="00A020EB"/>
    <w:rsid w:val="00A0261B"/>
    <w:rsid w:val="00A0292C"/>
    <w:rsid w:val="00A02982"/>
    <w:rsid w:val="00A02B9C"/>
    <w:rsid w:val="00A043A8"/>
    <w:rsid w:val="00A04607"/>
    <w:rsid w:val="00A049EF"/>
    <w:rsid w:val="00A05327"/>
    <w:rsid w:val="00A05B14"/>
    <w:rsid w:val="00A05C59"/>
    <w:rsid w:val="00A06050"/>
    <w:rsid w:val="00A06DC9"/>
    <w:rsid w:val="00A070AB"/>
    <w:rsid w:val="00A0714D"/>
    <w:rsid w:val="00A079D3"/>
    <w:rsid w:val="00A07C30"/>
    <w:rsid w:val="00A07F8A"/>
    <w:rsid w:val="00A1015C"/>
    <w:rsid w:val="00A101BC"/>
    <w:rsid w:val="00A10268"/>
    <w:rsid w:val="00A102DF"/>
    <w:rsid w:val="00A10529"/>
    <w:rsid w:val="00A10639"/>
    <w:rsid w:val="00A10674"/>
    <w:rsid w:val="00A10907"/>
    <w:rsid w:val="00A10A1C"/>
    <w:rsid w:val="00A116AD"/>
    <w:rsid w:val="00A11BB9"/>
    <w:rsid w:val="00A1226F"/>
    <w:rsid w:val="00A12920"/>
    <w:rsid w:val="00A12A6A"/>
    <w:rsid w:val="00A134CC"/>
    <w:rsid w:val="00A13624"/>
    <w:rsid w:val="00A1371F"/>
    <w:rsid w:val="00A1392B"/>
    <w:rsid w:val="00A13B86"/>
    <w:rsid w:val="00A13BAF"/>
    <w:rsid w:val="00A1449B"/>
    <w:rsid w:val="00A14CE7"/>
    <w:rsid w:val="00A14F81"/>
    <w:rsid w:val="00A156B6"/>
    <w:rsid w:val="00A15A12"/>
    <w:rsid w:val="00A162F0"/>
    <w:rsid w:val="00A1630A"/>
    <w:rsid w:val="00A163B6"/>
    <w:rsid w:val="00A16B49"/>
    <w:rsid w:val="00A174BB"/>
    <w:rsid w:val="00A175C0"/>
    <w:rsid w:val="00A1766C"/>
    <w:rsid w:val="00A17DE4"/>
    <w:rsid w:val="00A17EE3"/>
    <w:rsid w:val="00A20056"/>
    <w:rsid w:val="00A204A1"/>
    <w:rsid w:val="00A2053E"/>
    <w:rsid w:val="00A20A16"/>
    <w:rsid w:val="00A20A32"/>
    <w:rsid w:val="00A214D3"/>
    <w:rsid w:val="00A21606"/>
    <w:rsid w:val="00A21819"/>
    <w:rsid w:val="00A21B7A"/>
    <w:rsid w:val="00A22686"/>
    <w:rsid w:val="00A22C0F"/>
    <w:rsid w:val="00A23691"/>
    <w:rsid w:val="00A23CB6"/>
    <w:rsid w:val="00A23FAE"/>
    <w:rsid w:val="00A23FF2"/>
    <w:rsid w:val="00A24418"/>
    <w:rsid w:val="00A24766"/>
    <w:rsid w:val="00A24ABC"/>
    <w:rsid w:val="00A24E04"/>
    <w:rsid w:val="00A25713"/>
    <w:rsid w:val="00A25825"/>
    <w:rsid w:val="00A259A7"/>
    <w:rsid w:val="00A25ACD"/>
    <w:rsid w:val="00A25D85"/>
    <w:rsid w:val="00A261C7"/>
    <w:rsid w:val="00A2645F"/>
    <w:rsid w:val="00A266A6"/>
    <w:rsid w:val="00A2671E"/>
    <w:rsid w:val="00A26CDB"/>
    <w:rsid w:val="00A26FED"/>
    <w:rsid w:val="00A2779D"/>
    <w:rsid w:val="00A27B6D"/>
    <w:rsid w:val="00A27BC8"/>
    <w:rsid w:val="00A27EC2"/>
    <w:rsid w:val="00A30D0F"/>
    <w:rsid w:val="00A30D59"/>
    <w:rsid w:val="00A310E7"/>
    <w:rsid w:val="00A3110A"/>
    <w:rsid w:val="00A311F9"/>
    <w:rsid w:val="00A317E1"/>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5F8F"/>
    <w:rsid w:val="00A36DF6"/>
    <w:rsid w:val="00A36E24"/>
    <w:rsid w:val="00A36E87"/>
    <w:rsid w:val="00A36F9C"/>
    <w:rsid w:val="00A37809"/>
    <w:rsid w:val="00A3787D"/>
    <w:rsid w:val="00A37AC1"/>
    <w:rsid w:val="00A37C94"/>
    <w:rsid w:val="00A37CEB"/>
    <w:rsid w:val="00A40523"/>
    <w:rsid w:val="00A4054C"/>
    <w:rsid w:val="00A40569"/>
    <w:rsid w:val="00A40B5F"/>
    <w:rsid w:val="00A40C3C"/>
    <w:rsid w:val="00A415B4"/>
    <w:rsid w:val="00A4171C"/>
    <w:rsid w:val="00A41904"/>
    <w:rsid w:val="00A41A67"/>
    <w:rsid w:val="00A41B8C"/>
    <w:rsid w:val="00A41E24"/>
    <w:rsid w:val="00A41E41"/>
    <w:rsid w:val="00A42328"/>
    <w:rsid w:val="00A42345"/>
    <w:rsid w:val="00A4267E"/>
    <w:rsid w:val="00A4396D"/>
    <w:rsid w:val="00A44029"/>
    <w:rsid w:val="00A4434C"/>
    <w:rsid w:val="00A4447E"/>
    <w:rsid w:val="00A4454B"/>
    <w:rsid w:val="00A44AC1"/>
    <w:rsid w:val="00A44FA8"/>
    <w:rsid w:val="00A457DD"/>
    <w:rsid w:val="00A45BEF"/>
    <w:rsid w:val="00A46350"/>
    <w:rsid w:val="00A46577"/>
    <w:rsid w:val="00A46629"/>
    <w:rsid w:val="00A46B49"/>
    <w:rsid w:val="00A473F2"/>
    <w:rsid w:val="00A47415"/>
    <w:rsid w:val="00A4774E"/>
    <w:rsid w:val="00A47B9B"/>
    <w:rsid w:val="00A505A9"/>
    <w:rsid w:val="00A50895"/>
    <w:rsid w:val="00A50EF7"/>
    <w:rsid w:val="00A5113D"/>
    <w:rsid w:val="00A51219"/>
    <w:rsid w:val="00A52342"/>
    <w:rsid w:val="00A525B4"/>
    <w:rsid w:val="00A52DDB"/>
    <w:rsid w:val="00A52E32"/>
    <w:rsid w:val="00A537C1"/>
    <w:rsid w:val="00A53AD4"/>
    <w:rsid w:val="00A54666"/>
    <w:rsid w:val="00A548AD"/>
    <w:rsid w:val="00A54F7A"/>
    <w:rsid w:val="00A551D8"/>
    <w:rsid w:val="00A55557"/>
    <w:rsid w:val="00A55ED6"/>
    <w:rsid w:val="00A55F0F"/>
    <w:rsid w:val="00A562A2"/>
    <w:rsid w:val="00A564D6"/>
    <w:rsid w:val="00A56A11"/>
    <w:rsid w:val="00A56B9F"/>
    <w:rsid w:val="00A575AE"/>
    <w:rsid w:val="00A57676"/>
    <w:rsid w:val="00A57677"/>
    <w:rsid w:val="00A57702"/>
    <w:rsid w:val="00A57D4E"/>
    <w:rsid w:val="00A57F34"/>
    <w:rsid w:val="00A60378"/>
    <w:rsid w:val="00A603C5"/>
    <w:rsid w:val="00A60442"/>
    <w:rsid w:val="00A60CE6"/>
    <w:rsid w:val="00A60F6F"/>
    <w:rsid w:val="00A60F78"/>
    <w:rsid w:val="00A61419"/>
    <w:rsid w:val="00A614AC"/>
    <w:rsid w:val="00A615DA"/>
    <w:rsid w:val="00A61D71"/>
    <w:rsid w:val="00A62036"/>
    <w:rsid w:val="00A62435"/>
    <w:rsid w:val="00A62558"/>
    <w:rsid w:val="00A62A21"/>
    <w:rsid w:val="00A62FA1"/>
    <w:rsid w:val="00A63372"/>
    <w:rsid w:val="00A63685"/>
    <w:rsid w:val="00A6391F"/>
    <w:rsid w:val="00A63AD5"/>
    <w:rsid w:val="00A643E1"/>
    <w:rsid w:val="00A64CC8"/>
    <w:rsid w:val="00A64FBF"/>
    <w:rsid w:val="00A65045"/>
    <w:rsid w:val="00A65274"/>
    <w:rsid w:val="00A652D8"/>
    <w:rsid w:val="00A654BD"/>
    <w:rsid w:val="00A65527"/>
    <w:rsid w:val="00A65CE8"/>
    <w:rsid w:val="00A66068"/>
    <w:rsid w:val="00A66E1A"/>
    <w:rsid w:val="00A66EEA"/>
    <w:rsid w:val="00A672A0"/>
    <w:rsid w:val="00A701D8"/>
    <w:rsid w:val="00A702DD"/>
    <w:rsid w:val="00A7053C"/>
    <w:rsid w:val="00A71829"/>
    <w:rsid w:val="00A71F28"/>
    <w:rsid w:val="00A72750"/>
    <w:rsid w:val="00A72A31"/>
    <w:rsid w:val="00A72E60"/>
    <w:rsid w:val="00A72E7F"/>
    <w:rsid w:val="00A7350B"/>
    <w:rsid w:val="00A73704"/>
    <w:rsid w:val="00A73A0E"/>
    <w:rsid w:val="00A73DAF"/>
    <w:rsid w:val="00A73E04"/>
    <w:rsid w:val="00A73E82"/>
    <w:rsid w:val="00A74062"/>
    <w:rsid w:val="00A7431A"/>
    <w:rsid w:val="00A74467"/>
    <w:rsid w:val="00A746B7"/>
    <w:rsid w:val="00A7489D"/>
    <w:rsid w:val="00A749BA"/>
    <w:rsid w:val="00A74F3B"/>
    <w:rsid w:val="00A75020"/>
    <w:rsid w:val="00A750E1"/>
    <w:rsid w:val="00A75967"/>
    <w:rsid w:val="00A75D54"/>
    <w:rsid w:val="00A76960"/>
    <w:rsid w:val="00A77953"/>
    <w:rsid w:val="00A80408"/>
    <w:rsid w:val="00A804BB"/>
    <w:rsid w:val="00A80701"/>
    <w:rsid w:val="00A807CC"/>
    <w:rsid w:val="00A80EE5"/>
    <w:rsid w:val="00A80EF8"/>
    <w:rsid w:val="00A817CA"/>
    <w:rsid w:val="00A81CE8"/>
    <w:rsid w:val="00A81FC6"/>
    <w:rsid w:val="00A82827"/>
    <w:rsid w:val="00A831B0"/>
    <w:rsid w:val="00A83233"/>
    <w:rsid w:val="00A83588"/>
    <w:rsid w:val="00A838D7"/>
    <w:rsid w:val="00A83A12"/>
    <w:rsid w:val="00A83AB7"/>
    <w:rsid w:val="00A83DB4"/>
    <w:rsid w:val="00A847A6"/>
    <w:rsid w:val="00A84943"/>
    <w:rsid w:val="00A84BDD"/>
    <w:rsid w:val="00A84F3F"/>
    <w:rsid w:val="00A850BE"/>
    <w:rsid w:val="00A85209"/>
    <w:rsid w:val="00A86041"/>
    <w:rsid w:val="00A86CBB"/>
    <w:rsid w:val="00A8700E"/>
    <w:rsid w:val="00A8786A"/>
    <w:rsid w:val="00A87886"/>
    <w:rsid w:val="00A87CA3"/>
    <w:rsid w:val="00A87ECB"/>
    <w:rsid w:val="00A9022D"/>
    <w:rsid w:val="00A902DF"/>
    <w:rsid w:val="00A90499"/>
    <w:rsid w:val="00A90F3A"/>
    <w:rsid w:val="00A9146A"/>
    <w:rsid w:val="00A91FA5"/>
    <w:rsid w:val="00A91FB3"/>
    <w:rsid w:val="00A92258"/>
    <w:rsid w:val="00A92574"/>
    <w:rsid w:val="00A9257C"/>
    <w:rsid w:val="00A92BA7"/>
    <w:rsid w:val="00A92C33"/>
    <w:rsid w:val="00A92E87"/>
    <w:rsid w:val="00A92EBB"/>
    <w:rsid w:val="00A9339E"/>
    <w:rsid w:val="00A93504"/>
    <w:rsid w:val="00A93D64"/>
    <w:rsid w:val="00A94652"/>
    <w:rsid w:val="00A946CF"/>
    <w:rsid w:val="00A946D4"/>
    <w:rsid w:val="00A9489A"/>
    <w:rsid w:val="00A948C2"/>
    <w:rsid w:val="00A94A5B"/>
    <w:rsid w:val="00A94BA9"/>
    <w:rsid w:val="00A94D7F"/>
    <w:rsid w:val="00A94EA6"/>
    <w:rsid w:val="00A95832"/>
    <w:rsid w:val="00A95C5D"/>
    <w:rsid w:val="00A95EFD"/>
    <w:rsid w:val="00A96435"/>
    <w:rsid w:val="00A967F3"/>
    <w:rsid w:val="00A969BA"/>
    <w:rsid w:val="00A96F85"/>
    <w:rsid w:val="00A9799E"/>
    <w:rsid w:val="00A979DE"/>
    <w:rsid w:val="00A97FDE"/>
    <w:rsid w:val="00AA0689"/>
    <w:rsid w:val="00AA07FA"/>
    <w:rsid w:val="00AA08D3"/>
    <w:rsid w:val="00AA13FE"/>
    <w:rsid w:val="00AA18E4"/>
    <w:rsid w:val="00AA1A44"/>
    <w:rsid w:val="00AA1B8D"/>
    <w:rsid w:val="00AA29C6"/>
    <w:rsid w:val="00AA2D00"/>
    <w:rsid w:val="00AA2FF2"/>
    <w:rsid w:val="00AA3B6C"/>
    <w:rsid w:val="00AA3E9A"/>
    <w:rsid w:val="00AA444C"/>
    <w:rsid w:val="00AA46AF"/>
    <w:rsid w:val="00AA49D6"/>
    <w:rsid w:val="00AA4AA7"/>
    <w:rsid w:val="00AA4B5D"/>
    <w:rsid w:val="00AA5729"/>
    <w:rsid w:val="00AA6CA0"/>
    <w:rsid w:val="00AA737C"/>
    <w:rsid w:val="00AA746A"/>
    <w:rsid w:val="00AA7C9A"/>
    <w:rsid w:val="00AA7CB8"/>
    <w:rsid w:val="00AA7E88"/>
    <w:rsid w:val="00AB05CB"/>
    <w:rsid w:val="00AB094D"/>
    <w:rsid w:val="00AB0D44"/>
    <w:rsid w:val="00AB151E"/>
    <w:rsid w:val="00AB1A4A"/>
    <w:rsid w:val="00AB255D"/>
    <w:rsid w:val="00AB26E0"/>
    <w:rsid w:val="00AB285F"/>
    <w:rsid w:val="00AB2DA8"/>
    <w:rsid w:val="00AB2E7A"/>
    <w:rsid w:val="00AB30AB"/>
    <w:rsid w:val="00AB3B09"/>
    <w:rsid w:val="00AB3B58"/>
    <w:rsid w:val="00AB3C14"/>
    <w:rsid w:val="00AB3F7E"/>
    <w:rsid w:val="00AB487F"/>
    <w:rsid w:val="00AB49E3"/>
    <w:rsid w:val="00AB4AC0"/>
    <w:rsid w:val="00AB4B31"/>
    <w:rsid w:val="00AB4B90"/>
    <w:rsid w:val="00AB4F4E"/>
    <w:rsid w:val="00AB5B17"/>
    <w:rsid w:val="00AB5B73"/>
    <w:rsid w:val="00AB5C2F"/>
    <w:rsid w:val="00AB6141"/>
    <w:rsid w:val="00AB61F3"/>
    <w:rsid w:val="00AB6A73"/>
    <w:rsid w:val="00AB6AB5"/>
    <w:rsid w:val="00AB72C6"/>
    <w:rsid w:val="00AB73B4"/>
    <w:rsid w:val="00AB76D3"/>
    <w:rsid w:val="00AB796F"/>
    <w:rsid w:val="00AB79D2"/>
    <w:rsid w:val="00AC0708"/>
    <w:rsid w:val="00AC0AEA"/>
    <w:rsid w:val="00AC0F90"/>
    <w:rsid w:val="00AC1596"/>
    <w:rsid w:val="00AC1A41"/>
    <w:rsid w:val="00AC1EAB"/>
    <w:rsid w:val="00AC1FF7"/>
    <w:rsid w:val="00AC256D"/>
    <w:rsid w:val="00AC2B3E"/>
    <w:rsid w:val="00AC2CC0"/>
    <w:rsid w:val="00AC316F"/>
    <w:rsid w:val="00AC35BC"/>
    <w:rsid w:val="00AC3715"/>
    <w:rsid w:val="00AC3C76"/>
    <w:rsid w:val="00AC483A"/>
    <w:rsid w:val="00AC484A"/>
    <w:rsid w:val="00AC49C1"/>
    <w:rsid w:val="00AC4C87"/>
    <w:rsid w:val="00AC51AC"/>
    <w:rsid w:val="00AC5246"/>
    <w:rsid w:val="00AC5298"/>
    <w:rsid w:val="00AC5E72"/>
    <w:rsid w:val="00AC5F45"/>
    <w:rsid w:val="00AC60D4"/>
    <w:rsid w:val="00AC620A"/>
    <w:rsid w:val="00AC625D"/>
    <w:rsid w:val="00AC76D1"/>
    <w:rsid w:val="00AC7ABF"/>
    <w:rsid w:val="00AD03F0"/>
    <w:rsid w:val="00AD04E5"/>
    <w:rsid w:val="00AD08D0"/>
    <w:rsid w:val="00AD0BCE"/>
    <w:rsid w:val="00AD0D35"/>
    <w:rsid w:val="00AD1069"/>
    <w:rsid w:val="00AD110F"/>
    <w:rsid w:val="00AD1986"/>
    <w:rsid w:val="00AD1D6B"/>
    <w:rsid w:val="00AD1E31"/>
    <w:rsid w:val="00AD1EA4"/>
    <w:rsid w:val="00AD20A6"/>
    <w:rsid w:val="00AD2B5B"/>
    <w:rsid w:val="00AD2D8E"/>
    <w:rsid w:val="00AD2E0E"/>
    <w:rsid w:val="00AD2E83"/>
    <w:rsid w:val="00AD2F17"/>
    <w:rsid w:val="00AD30A6"/>
    <w:rsid w:val="00AD3DC4"/>
    <w:rsid w:val="00AD4025"/>
    <w:rsid w:val="00AD4216"/>
    <w:rsid w:val="00AD4F66"/>
    <w:rsid w:val="00AD55B9"/>
    <w:rsid w:val="00AD56B0"/>
    <w:rsid w:val="00AD5703"/>
    <w:rsid w:val="00AD577F"/>
    <w:rsid w:val="00AD5A65"/>
    <w:rsid w:val="00AD5D61"/>
    <w:rsid w:val="00AD5EA7"/>
    <w:rsid w:val="00AD6227"/>
    <w:rsid w:val="00AD626B"/>
    <w:rsid w:val="00AD6609"/>
    <w:rsid w:val="00AD67E5"/>
    <w:rsid w:val="00AD68B2"/>
    <w:rsid w:val="00AD6F9C"/>
    <w:rsid w:val="00AD703F"/>
    <w:rsid w:val="00AD7377"/>
    <w:rsid w:val="00AE0997"/>
    <w:rsid w:val="00AE0C4F"/>
    <w:rsid w:val="00AE0DB6"/>
    <w:rsid w:val="00AE0F21"/>
    <w:rsid w:val="00AE0F65"/>
    <w:rsid w:val="00AE1EC8"/>
    <w:rsid w:val="00AE1EED"/>
    <w:rsid w:val="00AE22A4"/>
    <w:rsid w:val="00AE257A"/>
    <w:rsid w:val="00AE28C2"/>
    <w:rsid w:val="00AE29A3"/>
    <w:rsid w:val="00AE2AEB"/>
    <w:rsid w:val="00AE2F72"/>
    <w:rsid w:val="00AE3377"/>
    <w:rsid w:val="00AE3A79"/>
    <w:rsid w:val="00AE3C93"/>
    <w:rsid w:val="00AE3DA6"/>
    <w:rsid w:val="00AE3DE3"/>
    <w:rsid w:val="00AE3FCC"/>
    <w:rsid w:val="00AE4115"/>
    <w:rsid w:val="00AE411A"/>
    <w:rsid w:val="00AE41F5"/>
    <w:rsid w:val="00AE4564"/>
    <w:rsid w:val="00AE4A57"/>
    <w:rsid w:val="00AE4A86"/>
    <w:rsid w:val="00AE4AF7"/>
    <w:rsid w:val="00AE5493"/>
    <w:rsid w:val="00AE551E"/>
    <w:rsid w:val="00AE58C8"/>
    <w:rsid w:val="00AE5BA5"/>
    <w:rsid w:val="00AE5C90"/>
    <w:rsid w:val="00AE5F43"/>
    <w:rsid w:val="00AE662C"/>
    <w:rsid w:val="00AE670E"/>
    <w:rsid w:val="00AE68CA"/>
    <w:rsid w:val="00AE6B3C"/>
    <w:rsid w:val="00AE7542"/>
    <w:rsid w:val="00AE7D04"/>
    <w:rsid w:val="00AE7E51"/>
    <w:rsid w:val="00AF0350"/>
    <w:rsid w:val="00AF0A8B"/>
    <w:rsid w:val="00AF0EBD"/>
    <w:rsid w:val="00AF0F1D"/>
    <w:rsid w:val="00AF18FE"/>
    <w:rsid w:val="00AF1D67"/>
    <w:rsid w:val="00AF2AC5"/>
    <w:rsid w:val="00AF3238"/>
    <w:rsid w:val="00AF3473"/>
    <w:rsid w:val="00AF3680"/>
    <w:rsid w:val="00AF393D"/>
    <w:rsid w:val="00AF3960"/>
    <w:rsid w:val="00AF3AE1"/>
    <w:rsid w:val="00AF4021"/>
    <w:rsid w:val="00AF4033"/>
    <w:rsid w:val="00AF469C"/>
    <w:rsid w:val="00AF4AC9"/>
    <w:rsid w:val="00AF4C00"/>
    <w:rsid w:val="00AF4F29"/>
    <w:rsid w:val="00AF5625"/>
    <w:rsid w:val="00AF5AC6"/>
    <w:rsid w:val="00AF5D5B"/>
    <w:rsid w:val="00AF5DFE"/>
    <w:rsid w:val="00AF5F57"/>
    <w:rsid w:val="00AF6046"/>
    <w:rsid w:val="00AF630E"/>
    <w:rsid w:val="00AF6456"/>
    <w:rsid w:val="00AF6612"/>
    <w:rsid w:val="00AF6701"/>
    <w:rsid w:val="00AF6783"/>
    <w:rsid w:val="00AF6C57"/>
    <w:rsid w:val="00AF76C2"/>
    <w:rsid w:val="00B007C3"/>
    <w:rsid w:val="00B00C28"/>
    <w:rsid w:val="00B011AA"/>
    <w:rsid w:val="00B01253"/>
    <w:rsid w:val="00B014FF"/>
    <w:rsid w:val="00B015AC"/>
    <w:rsid w:val="00B01BF4"/>
    <w:rsid w:val="00B01D33"/>
    <w:rsid w:val="00B0219F"/>
    <w:rsid w:val="00B0261D"/>
    <w:rsid w:val="00B02F69"/>
    <w:rsid w:val="00B03A44"/>
    <w:rsid w:val="00B03B05"/>
    <w:rsid w:val="00B03CFB"/>
    <w:rsid w:val="00B041EC"/>
    <w:rsid w:val="00B042A5"/>
    <w:rsid w:val="00B04384"/>
    <w:rsid w:val="00B04ED9"/>
    <w:rsid w:val="00B051C4"/>
    <w:rsid w:val="00B05705"/>
    <w:rsid w:val="00B058C0"/>
    <w:rsid w:val="00B058E9"/>
    <w:rsid w:val="00B0686D"/>
    <w:rsid w:val="00B06E43"/>
    <w:rsid w:val="00B076C2"/>
    <w:rsid w:val="00B078E8"/>
    <w:rsid w:val="00B07C69"/>
    <w:rsid w:val="00B07D99"/>
    <w:rsid w:val="00B106A4"/>
    <w:rsid w:val="00B10A78"/>
    <w:rsid w:val="00B10F5A"/>
    <w:rsid w:val="00B11175"/>
    <w:rsid w:val="00B1140B"/>
    <w:rsid w:val="00B11AB1"/>
    <w:rsid w:val="00B11B64"/>
    <w:rsid w:val="00B11BF8"/>
    <w:rsid w:val="00B11C3F"/>
    <w:rsid w:val="00B11C97"/>
    <w:rsid w:val="00B11E93"/>
    <w:rsid w:val="00B11FA5"/>
    <w:rsid w:val="00B12229"/>
    <w:rsid w:val="00B124BF"/>
    <w:rsid w:val="00B1295C"/>
    <w:rsid w:val="00B13194"/>
    <w:rsid w:val="00B13393"/>
    <w:rsid w:val="00B133ED"/>
    <w:rsid w:val="00B13469"/>
    <w:rsid w:val="00B13A39"/>
    <w:rsid w:val="00B13AED"/>
    <w:rsid w:val="00B13F83"/>
    <w:rsid w:val="00B141E8"/>
    <w:rsid w:val="00B143D6"/>
    <w:rsid w:val="00B14B56"/>
    <w:rsid w:val="00B14C39"/>
    <w:rsid w:val="00B1524D"/>
    <w:rsid w:val="00B1589A"/>
    <w:rsid w:val="00B15956"/>
    <w:rsid w:val="00B15E83"/>
    <w:rsid w:val="00B163CB"/>
    <w:rsid w:val="00B165E2"/>
    <w:rsid w:val="00B16800"/>
    <w:rsid w:val="00B16CB0"/>
    <w:rsid w:val="00B16EB5"/>
    <w:rsid w:val="00B17148"/>
    <w:rsid w:val="00B17BE5"/>
    <w:rsid w:val="00B204C7"/>
    <w:rsid w:val="00B20C31"/>
    <w:rsid w:val="00B20D50"/>
    <w:rsid w:val="00B2129C"/>
    <w:rsid w:val="00B2141C"/>
    <w:rsid w:val="00B21666"/>
    <w:rsid w:val="00B218E5"/>
    <w:rsid w:val="00B21AA4"/>
    <w:rsid w:val="00B21C32"/>
    <w:rsid w:val="00B22191"/>
    <w:rsid w:val="00B227F3"/>
    <w:rsid w:val="00B2295A"/>
    <w:rsid w:val="00B22D5A"/>
    <w:rsid w:val="00B22E40"/>
    <w:rsid w:val="00B22FB0"/>
    <w:rsid w:val="00B23156"/>
    <w:rsid w:val="00B2316F"/>
    <w:rsid w:val="00B2370E"/>
    <w:rsid w:val="00B23ABD"/>
    <w:rsid w:val="00B23B3E"/>
    <w:rsid w:val="00B23B68"/>
    <w:rsid w:val="00B23FF9"/>
    <w:rsid w:val="00B2405C"/>
    <w:rsid w:val="00B24251"/>
    <w:rsid w:val="00B246AC"/>
    <w:rsid w:val="00B248FB"/>
    <w:rsid w:val="00B24B8B"/>
    <w:rsid w:val="00B25192"/>
    <w:rsid w:val="00B25589"/>
    <w:rsid w:val="00B2572C"/>
    <w:rsid w:val="00B25AD2"/>
    <w:rsid w:val="00B2603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080"/>
    <w:rsid w:val="00B321FA"/>
    <w:rsid w:val="00B333DF"/>
    <w:rsid w:val="00B33B04"/>
    <w:rsid w:val="00B33B7C"/>
    <w:rsid w:val="00B33C07"/>
    <w:rsid w:val="00B33E4D"/>
    <w:rsid w:val="00B33EF1"/>
    <w:rsid w:val="00B34020"/>
    <w:rsid w:val="00B340CF"/>
    <w:rsid w:val="00B345EA"/>
    <w:rsid w:val="00B34939"/>
    <w:rsid w:val="00B349BA"/>
    <w:rsid w:val="00B34FFB"/>
    <w:rsid w:val="00B35A65"/>
    <w:rsid w:val="00B35BAE"/>
    <w:rsid w:val="00B360BF"/>
    <w:rsid w:val="00B36122"/>
    <w:rsid w:val="00B36358"/>
    <w:rsid w:val="00B367B2"/>
    <w:rsid w:val="00B368CF"/>
    <w:rsid w:val="00B36D98"/>
    <w:rsid w:val="00B36EE2"/>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1EB7"/>
    <w:rsid w:val="00B42D76"/>
    <w:rsid w:val="00B431EB"/>
    <w:rsid w:val="00B432C9"/>
    <w:rsid w:val="00B43373"/>
    <w:rsid w:val="00B433DD"/>
    <w:rsid w:val="00B43AF3"/>
    <w:rsid w:val="00B43B2D"/>
    <w:rsid w:val="00B43BDF"/>
    <w:rsid w:val="00B44C63"/>
    <w:rsid w:val="00B4516C"/>
    <w:rsid w:val="00B45A3C"/>
    <w:rsid w:val="00B45D6F"/>
    <w:rsid w:val="00B4601E"/>
    <w:rsid w:val="00B46B56"/>
    <w:rsid w:val="00B46BBD"/>
    <w:rsid w:val="00B471F9"/>
    <w:rsid w:val="00B4733D"/>
    <w:rsid w:val="00B476E0"/>
    <w:rsid w:val="00B50992"/>
    <w:rsid w:val="00B50DD7"/>
    <w:rsid w:val="00B51142"/>
    <w:rsid w:val="00B51173"/>
    <w:rsid w:val="00B51849"/>
    <w:rsid w:val="00B526E6"/>
    <w:rsid w:val="00B52958"/>
    <w:rsid w:val="00B52993"/>
    <w:rsid w:val="00B52B86"/>
    <w:rsid w:val="00B52D18"/>
    <w:rsid w:val="00B53162"/>
    <w:rsid w:val="00B53204"/>
    <w:rsid w:val="00B53649"/>
    <w:rsid w:val="00B53680"/>
    <w:rsid w:val="00B53AAE"/>
    <w:rsid w:val="00B53BB5"/>
    <w:rsid w:val="00B53CAD"/>
    <w:rsid w:val="00B53D90"/>
    <w:rsid w:val="00B541EF"/>
    <w:rsid w:val="00B543BF"/>
    <w:rsid w:val="00B545DD"/>
    <w:rsid w:val="00B54630"/>
    <w:rsid w:val="00B54727"/>
    <w:rsid w:val="00B55050"/>
    <w:rsid w:val="00B557AA"/>
    <w:rsid w:val="00B55BFC"/>
    <w:rsid w:val="00B5649B"/>
    <w:rsid w:val="00B56937"/>
    <w:rsid w:val="00B56B58"/>
    <w:rsid w:val="00B56BC3"/>
    <w:rsid w:val="00B56E2C"/>
    <w:rsid w:val="00B56EEF"/>
    <w:rsid w:val="00B571BD"/>
    <w:rsid w:val="00B572E8"/>
    <w:rsid w:val="00B575EA"/>
    <w:rsid w:val="00B577FC"/>
    <w:rsid w:val="00B57CEF"/>
    <w:rsid w:val="00B57EDB"/>
    <w:rsid w:val="00B60662"/>
    <w:rsid w:val="00B60770"/>
    <w:rsid w:val="00B614D7"/>
    <w:rsid w:val="00B61C8B"/>
    <w:rsid w:val="00B61E59"/>
    <w:rsid w:val="00B621E8"/>
    <w:rsid w:val="00B628F3"/>
    <w:rsid w:val="00B63E81"/>
    <w:rsid w:val="00B6414F"/>
    <w:rsid w:val="00B641C3"/>
    <w:rsid w:val="00B643E6"/>
    <w:rsid w:val="00B6443F"/>
    <w:rsid w:val="00B6469C"/>
    <w:rsid w:val="00B6486C"/>
    <w:rsid w:val="00B648B7"/>
    <w:rsid w:val="00B64B6B"/>
    <w:rsid w:val="00B6506C"/>
    <w:rsid w:val="00B65324"/>
    <w:rsid w:val="00B65C17"/>
    <w:rsid w:val="00B65FC5"/>
    <w:rsid w:val="00B66202"/>
    <w:rsid w:val="00B663C8"/>
    <w:rsid w:val="00B666A2"/>
    <w:rsid w:val="00B66F90"/>
    <w:rsid w:val="00B6736F"/>
    <w:rsid w:val="00B6737E"/>
    <w:rsid w:val="00B674D9"/>
    <w:rsid w:val="00B67963"/>
    <w:rsid w:val="00B67E25"/>
    <w:rsid w:val="00B67E6E"/>
    <w:rsid w:val="00B713E9"/>
    <w:rsid w:val="00B7189C"/>
    <w:rsid w:val="00B7196C"/>
    <w:rsid w:val="00B71BBB"/>
    <w:rsid w:val="00B72033"/>
    <w:rsid w:val="00B722F8"/>
    <w:rsid w:val="00B724DA"/>
    <w:rsid w:val="00B72CAD"/>
    <w:rsid w:val="00B72DF7"/>
    <w:rsid w:val="00B731E0"/>
    <w:rsid w:val="00B73838"/>
    <w:rsid w:val="00B73A44"/>
    <w:rsid w:val="00B74150"/>
    <w:rsid w:val="00B747A7"/>
    <w:rsid w:val="00B747F4"/>
    <w:rsid w:val="00B74BC0"/>
    <w:rsid w:val="00B74D1A"/>
    <w:rsid w:val="00B750C3"/>
    <w:rsid w:val="00B750E7"/>
    <w:rsid w:val="00B7558C"/>
    <w:rsid w:val="00B756E7"/>
    <w:rsid w:val="00B75C96"/>
    <w:rsid w:val="00B76640"/>
    <w:rsid w:val="00B76E47"/>
    <w:rsid w:val="00B772A1"/>
    <w:rsid w:val="00B772BC"/>
    <w:rsid w:val="00B7797F"/>
    <w:rsid w:val="00B77B72"/>
    <w:rsid w:val="00B80BB7"/>
    <w:rsid w:val="00B80D75"/>
    <w:rsid w:val="00B80E8D"/>
    <w:rsid w:val="00B80ECE"/>
    <w:rsid w:val="00B80F06"/>
    <w:rsid w:val="00B8118D"/>
    <w:rsid w:val="00B816FC"/>
    <w:rsid w:val="00B82071"/>
    <w:rsid w:val="00B84074"/>
    <w:rsid w:val="00B84A18"/>
    <w:rsid w:val="00B858B9"/>
    <w:rsid w:val="00B85977"/>
    <w:rsid w:val="00B85EC8"/>
    <w:rsid w:val="00B86C7F"/>
    <w:rsid w:val="00B86DFA"/>
    <w:rsid w:val="00B87267"/>
    <w:rsid w:val="00B873D2"/>
    <w:rsid w:val="00B873E4"/>
    <w:rsid w:val="00B87568"/>
    <w:rsid w:val="00B87DD0"/>
    <w:rsid w:val="00B91324"/>
    <w:rsid w:val="00B91957"/>
    <w:rsid w:val="00B91978"/>
    <w:rsid w:val="00B91BDE"/>
    <w:rsid w:val="00B91BF3"/>
    <w:rsid w:val="00B91F11"/>
    <w:rsid w:val="00B921DC"/>
    <w:rsid w:val="00B92236"/>
    <w:rsid w:val="00B922F5"/>
    <w:rsid w:val="00B92996"/>
    <w:rsid w:val="00B930E3"/>
    <w:rsid w:val="00B934F0"/>
    <w:rsid w:val="00B9352D"/>
    <w:rsid w:val="00B936B3"/>
    <w:rsid w:val="00B9396E"/>
    <w:rsid w:val="00B93C51"/>
    <w:rsid w:val="00B93D5A"/>
    <w:rsid w:val="00B93E3E"/>
    <w:rsid w:val="00B946C0"/>
    <w:rsid w:val="00B951CA"/>
    <w:rsid w:val="00B955F1"/>
    <w:rsid w:val="00B95814"/>
    <w:rsid w:val="00B95A18"/>
    <w:rsid w:val="00B962D7"/>
    <w:rsid w:val="00B96B85"/>
    <w:rsid w:val="00B96C6A"/>
    <w:rsid w:val="00B96DFC"/>
    <w:rsid w:val="00B9738E"/>
    <w:rsid w:val="00B97C4A"/>
    <w:rsid w:val="00BA01EC"/>
    <w:rsid w:val="00BA0DE8"/>
    <w:rsid w:val="00BA13CA"/>
    <w:rsid w:val="00BA173D"/>
    <w:rsid w:val="00BA1BE3"/>
    <w:rsid w:val="00BA1D60"/>
    <w:rsid w:val="00BA1F09"/>
    <w:rsid w:val="00BA2650"/>
    <w:rsid w:val="00BA26D3"/>
    <w:rsid w:val="00BA287F"/>
    <w:rsid w:val="00BA2975"/>
    <w:rsid w:val="00BA2A1A"/>
    <w:rsid w:val="00BA2F53"/>
    <w:rsid w:val="00BA4273"/>
    <w:rsid w:val="00BA4390"/>
    <w:rsid w:val="00BA4619"/>
    <w:rsid w:val="00BA486D"/>
    <w:rsid w:val="00BA4A5F"/>
    <w:rsid w:val="00BA4CCD"/>
    <w:rsid w:val="00BA566B"/>
    <w:rsid w:val="00BA5763"/>
    <w:rsid w:val="00BA5B17"/>
    <w:rsid w:val="00BA5DD9"/>
    <w:rsid w:val="00BA613C"/>
    <w:rsid w:val="00BA6C87"/>
    <w:rsid w:val="00BA710A"/>
    <w:rsid w:val="00BA7538"/>
    <w:rsid w:val="00BA7556"/>
    <w:rsid w:val="00BA766E"/>
    <w:rsid w:val="00BA7CBE"/>
    <w:rsid w:val="00BA7EEB"/>
    <w:rsid w:val="00BA7F8F"/>
    <w:rsid w:val="00BB05CA"/>
    <w:rsid w:val="00BB0798"/>
    <w:rsid w:val="00BB0930"/>
    <w:rsid w:val="00BB099F"/>
    <w:rsid w:val="00BB10E1"/>
    <w:rsid w:val="00BB11B4"/>
    <w:rsid w:val="00BB1349"/>
    <w:rsid w:val="00BB135B"/>
    <w:rsid w:val="00BB140D"/>
    <w:rsid w:val="00BB1425"/>
    <w:rsid w:val="00BB1675"/>
    <w:rsid w:val="00BB1802"/>
    <w:rsid w:val="00BB2208"/>
    <w:rsid w:val="00BB2EE5"/>
    <w:rsid w:val="00BB2F5D"/>
    <w:rsid w:val="00BB3173"/>
    <w:rsid w:val="00BB31E0"/>
    <w:rsid w:val="00BB3CDA"/>
    <w:rsid w:val="00BB41CD"/>
    <w:rsid w:val="00BB4350"/>
    <w:rsid w:val="00BB510A"/>
    <w:rsid w:val="00BB5243"/>
    <w:rsid w:val="00BB5D24"/>
    <w:rsid w:val="00BB6148"/>
    <w:rsid w:val="00BB6424"/>
    <w:rsid w:val="00BB64B7"/>
    <w:rsid w:val="00BB65D9"/>
    <w:rsid w:val="00BB6D92"/>
    <w:rsid w:val="00BB6ED6"/>
    <w:rsid w:val="00BB70B9"/>
    <w:rsid w:val="00BB718D"/>
    <w:rsid w:val="00BB744C"/>
    <w:rsid w:val="00BB7D87"/>
    <w:rsid w:val="00BC04C9"/>
    <w:rsid w:val="00BC05DE"/>
    <w:rsid w:val="00BC06B9"/>
    <w:rsid w:val="00BC0AD0"/>
    <w:rsid w:val="00BC0E35"/>
    <w:rsid w:val="00BC0F0B"/>
    <w:rsid w:val="00BC1473"/>
    <w:rsid w:val="00BC18E8"/>
    <w:rsid w:val="00BC1BB0"/>
    <w:rsid w:val="00BC1E27"/>
    <w:rsid w:val="00BC2409"/>
    <w:rsid w:val="00BC245C"/>
    <w:rsid w:val="00BC24C9"/>
    <w:rsid w:val="00BC2771"/>
    <w:rsid w:val="00BC380B"/>
    <w:rsid w:val="00BC39F4"/>
    <w:rsid w:val="00BC3D45"/>
    <w:rsid w:val="00BC3E66"/>
    <w:rsid w:val="00BC3E92"/>
    <w:rsid w:val="00BC4021"/>
    <w:rsid w:val="00BC4066"/>
    <w:rsid w:val="00BC42A3"/>
    <w:rsid w:val="00BC450E"/>
    <w:rsid w:val="00BC4D4C"/>
    <w:rsid w:val="00BC4D85"/>
    <w:rsid w:val="00BC52BF"/>
    <w:rsid w:val="00BC531B"/>
    <w:rsid w:val="00BC548B"/>
    <w:rsid w:val="00BC5CF7"/>
    <w:rsid w:val="00BC604C"/>
    <w:rsid w:val="00BC6276"/>
    <w:rsid w:val="00BC6C96"/>
    <w:rsid w:val="00BC70CD"/>
    <w:rsid w:val="00BC71C9"/>
    <w:rsid w:val="00BC736C"/>
    <w:rsid w:val="00BC7738"/>
    <w:rsid w:val="00BC7A4E"/>
    <w:rsid w:val="00BD01A9"/>
    <w:rsid w:val="00BD0769"/>
    <w:rsid w:val="00BD0887"/>
    <w:rsid w:val="00BD0AB1"/>
    <w:rsid w:val="00BD10EC"/>
    <w:rsid w:val="00BD1203"/>
    <w:rsid w:val="00BD1584"/>
    <w:rsid w:val="00BD214B"/>
    <w:rsid w:val="00BD21AB"/>
    <w:rsid w:val="00BD22B8"/>
    <w:rsid w:val="00BD378A"/>
    <w:rsid w:val="00BD43D6"/>
    <w:rsid w:val="00BD4538"/>
    <w:rsid w:val="00BD4965"/>
    <w:rsid w:val="00BD4B75"/>
    <w:rsid w:val="00BD525B"/>
    <w:rsid w:val="00BD5521"/>
    <w:rsid w:val="00BD5A84"/>
    <w:rsid w:val="00BD68FF"/>
    <w:rsid w:val="00BD7056"/>
    <w:rsid w:val="00BD71CE"/>
    <w:rsid w:val="00BD71D7"/>
    <w:rsid w:val="00BD7214"/>
    <w:rsid w:val="00BD7B25"/>
    <w:rsid w:val="00BD7DCB"/>
    <w:rsid w:val="00BE0157"/>
    <w:rsid w:val="00BE0354"/>
    <w:rsid w:val="00BE052B"/>
    <w:rsid w:val="00BE0A0D"/>
    <w:rsid w:val="00BE112F"/>
    <w:rsid w:val="00BE186B"/>
    <w:rsid w:val="00BE1890"/>
    <w:rsid w:val="00BE18DF"/>
    <w:rsid w:val="00BE1AD8"/>
    <w:rsid w:val="00BE1AFA"/>
    <w:rsid w:val="00BE2181"/>
    <w:rsid w:val="00BE27ED"/>
    <w:rsid w:val="00BE2DEA"/>
    <w:rsid w:val="00BE2F1B"/>
    <w:rsid w:val="00BE3520"/>
    <w:rsid w:val="00BE37DD"/>
    <w:rsid w:val="00BE3FDB"/>
    <w:rsid w:val="00BE47E1"/>
    <w:rsid w:val="00BE4FAB"/>
    <w:rsid w:val="00BE55B0"/>
    <w:rsid w:val="00BE5604"/>
    <w:rsid w:val="00BE5633"/>
    <w:rsid w:val="00BE6391"/>
    <w:rsid w:val="00BE65CE"/>
    <w:rsid w:val="00BE66B0"/>
    <w:rsid w:val="00BE68FF"/>
    <w:rsid w:val="00BE690B"/>
    <w:rsid w:val="00BE7226"/>
    <w:rsid w:val="00BE739E"/>
    <w:rsid w:val="00BE743B"/>
    <w:rsid w:val="00BE76E4"/>
    <w:rsid w:val="00BE7D09"/>
    <w:rsid w:val="00BE7D4F"/>
    <w:rsid w:val="00BE7FB6"/>
    <w:rsid w:val="00BF0E47"/>
    <w:rsid w:val="00BF146E"/>
    <w:rsid w:val="00BF1962"/>
    <w:rsid w:val="00BF196D"/>
    <w:rsid w:val="00BF1B58"/>
    <w:rsid w:val="00BF2143"/>
    <w:rsid w:val="00BF2496"/>
    <w:rsid w:val="00BF26F1"/>
    <w:rsid w:val="00BF3311"/>
    <w:rsid w:val="00BF33EC"/>
    <w:rsid w:val="00BF3739"/>
    <w:rsid w:val="00BF42AF"/>
    <w:rsid w:val="00BF44B0"/>
    <w:rsid w:val="00BF45A5"/>
    <w:rsid w:val="00BF4A14"/>
    <w:rsid w:val="00BF4DDC"/>
    <w:rsid w:val="00BF4ED6"/>
    <w:rsid w:val="00BF4F01"/>
    <w:rsid w:val="00BF527A"/>
    <w:rsid w:val="00BF5578"/>
    <w:rsid w:val="00BF568A"/>
    <w:rsid w:val="00BF5B5A"/>
    <w:rsid w:val="00BF6222"/>
    <w:rsid w:val="00BF6988"/>
    <w:rsid w:val="00BF6A3C"/>
    <w:rsid w:val="00BF6FCD"/>
    <w:rsid w:val="00BF70BC"/>
    <w:rsid w:val="00BF723D"/>
    <w:rsid w:val="00BF7587"/>
    <w:rsid w:val="00BF7800"/>
    <w:rsid w:val="00BF78AE"/>
    <w:rsid w:val="00BF7D15"/>
    <w:rsid w:val="00C00002"/>
    <w:rsid w:val="00C000F3"/>
    <w:rsid w:val="00C002CE"/>
    <w:rsid w:val="00C0049C"/>
    <w:rsid w:val="00C00972"/>
    <w:rsid w:val="00C00CC1"/>
    <w:rsid w:val="00C01807"/>
    <w:rsid w:val="00C01DFC"/>
    <w:rsid w:val="00C01F56"/>
    <w:rsid w:val="00C020FB"/>
    <w:rsid w:val="00C023E3"/>
    <w:rsid w:val="00C02ADC"/>
    <w:rsid w:val="00C02BFD"/>
    <w:rsid w:val="00C02EA8"/>
    <w:rsid w:val="00C02F48"/>
    <w:rsid w:val="00C02FBA"/>
    <w:rsid w:val="00C034BD"/>
    <w:rsid w:val="00C034FA"/>
    <w:rsid w:val="00C0359B"/>
    <w:rsid w:val="00C03877"/>
    <w:rsid w:val="00C038A1"/>
    <w:rsid w:val="00C03A74"/>
    <w:rsid w:val="00C03B25"/>
    <w:rsid w:val="00C03DFD"/>
    <w:rsid w:val="00C04493"/>
    <w:rsid w:val="00C04646"/>
    <w:rsid w:val="00C048AD"/>
    <w:rsid w:val="00C04D3F"/>
    <w:rsid w:val="00C04E30"/>
    <w:rsid w:val="00C04E3E"/>
    <w:rsid w:val="00C0501C"/>
    <w:rsid w:val="00C055FB"/>
    <w:rsid w:val="00C0568E"/>
    <w:rsid w:val="00C057CC"/>
    <w:rsid w:val="00C0584B"/>
    <w:rsid w:val="00C059EE"/>
    <w:rsid w:val="00C05A3B"/>
    <w:rsid w:val="00C06025"/>
    <w:rsid w:val="00C0608C"/>
    <w:rsid w:val="00C06333"/>
    <w:rsid w:val="00C0633E"/>
    <w:rsid w:val="00C06608"/>
    <w:rsid w:val="00C0687D"/>
    <w:rsid w:val="00C06A1A"/>
    <w:rsid w:val="00C06FDD"/>
    <w:rsid w:val="00C07C75"/>
    <w:rsid w:val="00C07DF9"/>
    <w:rsid w:val="00C103CB"/>
    <w:rsid w:val="00C10621"/>
    <w:rsid w:val="00C1091A"/>
    <w:rsid w:val="00C10C3D"/>
    <w:rsid w:val="00C11047"/>
    <w:rsid w:val="00C117FC"/>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5FBE"/>
    <w:rsid w:val="00C1640F"/>
    <w:rsid w:val="00C1647B"/>
    <w:rsid w:val="00C16CC2"/>
    <w:rsid w:val="00C16D04"/>
    <w:rsid w:val="00C16E75"/>
    <w:rsid w:val="00C17185"/>
    <w:rsid w:val="00C1733E"/>
    <w:rsid w:val="00C177A7"/>
    <w:rsid w:val="00C17D64"/>
    <w:rsid w:val="00C20242"/>
    <w:rsid w:val="00C204F0"/>
    <w:rsid w:val="00C2078F"/>
    <w:rsid w:val="00C207CF"/>
    <w:rsid w:val="00C2097E"/>
    <w:rsid w:val="00C20B8D"/>
    <w:rsid w:val="00C212AE"/>
    <w:rsid w:val="00C214F1"/>
    <w:rsid w:val="00C21B13"/>
    <w:rsid w:val="00C21E89"/>
    <w:rsid w:val="00C221EE"/>
    <w:rsid w:val="00C221FA"/>
    <w:rsid w:val="00C22315"/>
    <w:rsid w:val="00C22916"/>
    <w:rsid w:val="00C22DA9"/>
    <w:rsid w:val="00C236C0"/>
    <w:rsid w:val="00C23822"/>
    <w:rsid w:val="00C23D34"/>
    <w:rsid w:val="00C23E0D"/>
    <w:rsid w:val="00C24B00"/>
    <w:rsid w:val="00C24CD0"/>
    <w:rsid w:val="00C2538E"/>
    <w:rsid w:val="00C2552C"/>
    <w:rsid w:val="00C2555B"/>
    <w:rsid w:val="00C256E6"/>
    <w:rsid w:val="00C2575B"/>
    <w:rsid w:val="00C25FE7"/>
    <w:rsid w:val="00C2626A"/>
    <w:rsid w:val="00C266E1"/>
    <w:rsid w:val="00C2681F"/>
    <w:rsid w:val="00C2687C"/>
    <w:rsid w:val="00C2695A"/>
    <w:rsid w:val="00C269CE"/>
    <w:rsid w:val="00C26CFB"/>
    <w:rsid w:val="00C26F00"/>
    <w:rsid w:val="00C26FBD"/>
    <w:rsid w:val="00C26FFA"/>
    <w:rsid w:val="00C2736D"/>
    <w:rsid w:val="00C27772"/>
    <w:rsid w:val="00C277BD"/>
    <w:rsid w:val="00C27978"/>
    <w:rsid w:val="00C27FED"/>
    <w:rsid w:val="00C30139"/>
    <w:rsid w:val="00C30745"/>
    <w:rsid w:val="00C30E76"/>
    <w:rsid w:val="00C30FA6"/>
    <w:rsid w:val="00C311AF"/>
    <w:rsid w:val="00C315F7"/>
    <w:rsid w:val="00C31987"/>
    <w:rsid w:val="00C31BA1"/>
    <w:rsid w:val="00C31FC0"/>
    <w:rsid w:val="00C32220"/>
    <w:rsid w:val="00C328A1"/>
    <w:rsid w:val="00C32A65"/>
    <w:rsid w:val="00C32E05"/>
    <w:rsid w:val="00C32F19"/>
    <w:rsid w:val="00C33159"/>
    <w:rsid w:val="00C3317C"/>
    <w:rsid w:val="00C33512"/>
    <w:rsid w:val="00C33679"/>
    <w:rsid w:val="00C336D5"/>
    <w:rsid w:val="00C33F05"/>
    <w:rsid w:val="00C34073"/>
    <w:rsid w:val="00C34489"/>
    <w:rsid w:val="00C350D7"/>
    <w:rsid w:val="00C357B3"/>
    <w:rsid w:val="00C35C92"/>
    <w:rsid w:val="00C35D8F"/>
    <w:rsid w:val="00C35E79"/>
    <w:rsid w:val="00C35EDE"/>
    <w:rsid w:val="00C3616A"/>
    <w:rsid w:val="00C36845"/>
    <w:rsid w:val="00C36CD2"/>
    <w:rsid w:val="00C371C4"/>
    <w:rsid w:val="00C3757C"/>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685"/>
    <w:rsid w:val="00C436F4"/>
    <w:rsid w:val="00C4375F"/>
    <w:rsid w:val="00C43892"/>
    <w:rsid w:val="00C43969"/>
    <w:rsid w:val="00C439A8"/>
    <w:rsid w:val="00C43FA6"/>
    <w:rsid w:val="00C443B7"/>
    <w:rsid w:val="00C446BB"/>
    <w:rsid w:val="00C44A13"/>
    <w:rsid w:val="00C44C83"/>
    <w:rsid w:val="00C44D8F"/>
    <w:rsid w:val="00C4505D"/>
    <w:rsid w:val="00C4556A"/>
    <w:rsid w:val="00C457C1"/>
    <w:rsid w:val="00C458EC"/>
    <w:rsid w:val="00C46320"/>
    <w:rsid w:val="00C463D0"/>
    <w:rsid w:val="00C465B7"/>
    <w:rsid w:val="00C467E5"/>
    <w:rsid w:val="00C46D99"/>
    <w:rsid w:val="00C471EE"/>
    <w:rsid w:val="00C4775A"/>
    <w:rsid w:val="00C4781E"/>
    <w:rsid w:val="00C47C4F"/>
    <w:rsid w:val="00C50752"/>
    <w:rsid w:val="00C50958"/>
    <w:rsid w:val="00C50CB9"/>
    <w:rsid w:val="00C51068"/>
    <w:rsid w:val="00C511B3"/>
    <w:rsid w:val="00C51637"/>
    <w:rsid w:val="00C51861"/>
    <w:rsid w:val="00C51939"/>
    <w:rsid w:val="00C51A88"/>
    <w:rsid w:val="00C51C0D"/>
    <w:rsid w:val="00C51EFE"/>
    <w:rsid w:val="00C5259E"/>
    <w:rsid w:val="00C525D8"/>
    <w:rsid w:val="00C528E8"/>
    <w:rsid w:val="00C52DD6"/>
    <w:rsid w:val="00C53302"/>
    <w:rsid w:val="00C53628"/>
    <w:rsid w:val="00C53EC0"/>
    <w:rsid w:val="00C53FBA"/>
    <w:rsid w:val="00C53FD0"/>
    <w:rsid w:val="00C545E1"/>
    <w:rsid w:val="00C5515B"/>
    <w:rsid w:val="00C55559"/>
    <w:rsid w:val="00C55877"/>
    <w:rsid w:val="00C558C1"/>
    <w:rsid w:val="00C55AA6"/>
    <w:rsid w:val="00C55C8F"/>
    <w:rsid w:val="00C55DC3"/>
    <w:rsid w:val="00C56F3C"/>
    <w:rsid w:val="00C57011"/>
    <w:rsid w:val="00C5750D"/>
    <w:rsid w:val="00C57943"/>
    <w:rsid w:val="00C57A20"/>
    <w:rsid w:val="00C57BE4"/>
    <w:rsid w:val="00C57D2B"/>
    <w:rsid w:val="00C57FDD"/>
    <w:rsid w:val="00C60893"/>
    <w:rsid w:val="00C60BD4"/>
    <w:rsid w:val="00C60D9B"/>
    <w:rsid w:val="00C61014"/>
    <w:rsid w:val="00C6170C"/>
    <w:rsid w:val="00C6179B"/>
    <w:rsid w:val="00C61B25"/>
    <w:rsid w:val="00C61E66"/>
    <w:rsid w:val="00C61E71"/>
    <w:rsid w:val="00C62269"/>
    <w:rsid w:val="00C6238D"/>
    <w:rsid w:val="00C624F7"/>
    <w:rsid w:val="00C62909"/>
    <w:rsid w:val="00C6296C"/>
    <w:rsid w:val="00C6338D"/>
    <w:rsid w:val="00C635BB"/>
    <w:rsid w:val="00C6368F"/>
    <w:rsid w:val="00C63882"/>
    <w:rsid w:val="00C642CE"/>
    <w:rsid w:val="00C649EE"/>
    <w:rsid w:val="00C64D86"/>
    <w:rsid w:val="00C654DA"/>
    <w:rsid w:val="00C65700"/>
    <w:rsid w:val="00C65889"/>
    <w:rsid w:val="00C6591B"/>
    <w:rsid w:val="00C65A9B"/>
    <w:rsid w:val="00C65C92"/>
    <w:rsid w:val="00C65E1F"/>
    <w:rsid w:val="00C66106"/>
    <w:rsid w:val="00C663C1"/>
    <w:rsid w:val="00C667DE"/>
    <w:rsid w:val="00C66859"/>
    <w:rsid w:val="00C66B4C"/>
    <w:rsid w:val="00C66C76"/>
    <w:rsid w:val="00C66DD3"/>
    <w:rsid w:val="00C6734F"/>
    <w:rsid w:val="00C67390"/>
    <w:rsid w:val="00C67D9E"/>
    <w:rsid w:val="00C67EC3"/>
    <w:rsid w:val="00C67ECA"/>
    <w:rsid w:val="00C70460"/>
    <w:rsid w:val="00C7053D"/>
    <w:rsid w:val="00C70601"/>
    <w:rsid w:val="00C71146"/>
    <w:rsid w:val="00C71376"/>
    <w:rsid w:val="00C718DF"/>
    <w:rsid w:val="00C71C6B"/>
    <w:rsid w:val="00C72801"/>
    <w:rsid w:val="00C72D44"/>
    <w:rsid w:val="00C72DA4"/>
    <w:rsid w:val="00C730F9"/>
    <w:rsid w:val="00C73149"/>
    <w:rsid w:val="00C732E5"/>
    <w:rsid w:val="00C73809"/>
    <w:rsid w:val="00C738ED"/>
    <w:rsid w:val="00C741A0"/>
    <w:rsid w:val="00C744D8"/>
    <w:rsid w:val="00C74761"/>
    <w:rsid w:val="00C747C1"/>
    <w:rsid w:val="00C749AE"/>
    <w:rsid w:val="00C7506D"/>
    <w:rsid w:val="00C75AE6"/>
    <w:rsid w:val="00C75BF7"/>
    <w:rsid w:val="00C75F3F"/>
    <w:rsid w:val="00C7641B"/>
    <w:rsid w:val="00C765D1"/>
    <w:rsid w:val="00C7762C"/>
    <w:rsid w:val="00C77660"/>
    <w:rsid w:val="00C80000"/>
    <w:rsid w:val="00C8018E"/>
    <w:rsid w:val="00C8019E"/>
    <w:rsid w:val="00C802A4"/>
    <w:rsid w:val="00C803FA"/>
    <w:rsid w:val="00C8066F"/>
    <w:rsid w:val="00C80862"/>
    <w:rsid w:val="00C80C99"/>
    <w:rsid w:val="00C81091"/>
    <w:rsid w:val="00C81512"/>
    <w:rsid w:val="00C81BE9"/>
    <w:rsid w:val="00C81F1F"/>
    <w:rsid w:val="00C82184"/>
    <w:rsid w:val="00C82287"/>
    <w:rsid w:val="00C82489"/>
    <w:rsid w:val="00C82C69"/>
    <w:rsid w:val="00C82CD8"/>
    <w:rsid w:val="00C83853"/>
    <w:rsid w:val="00C83B52"/>
    <w:rsid w:val="00C83FCB"/>
    <w:rsid w:val="00C840A1"/>
    <w:rsid w:val="00C844E1"/>
    <w:rsid w:val="00C844EA"/>
    <w:rsid w:val="00C84970"/>
    <w:rsid w:val="00C84CF5"/>
    <w:rsid w:val="00C85061"/>
    <w:rsid w:val="00C854C3"/>
    <w:rsid w:val="00C8568D"/>
    <w:rsid w:val="00C859F1"/>
    <w:rsid w:val="00C85C3A"/>
    <w:rsid w:val="00C860AB"/>
    <w:rsid w:val="00C866EA"/>
    <w:rsid w:val="00C866F1"/>
    <w:rsid w:val="00C86817"/>
    <w:rsid w:val="00C86C5F"/>
    <w:rsid w:val="00C86E15"/>
    <w:rsid w:val="00C8756F"/>
    <w:rsid w:val="00C8798B"/>
    <w:rsid w:val="00C879B3"/>
    <w:rsid w:val="00C87A35"/>
    <w:rsid w:val="00C87D9A"/>
    <w:rsid w:val="00C87F82"/>
    <w:rsid w:val="00C902E0"/>
    <w:rsid w:val="00C90926"/>
    <w:rsid w:val="00C909E8"/>
    <w:rsid w:val="00C90A12"/>
    <w:rsid w:val="00C914C8"/>
    <w:rsid w:val="00C9150F"/>
    <w:rsid w:val="00C9216D"/>
    <w:rsid w:val="00C9225A"/>
    <w:rsid w:val="00C926DF"/>
    <w:rsid w:val="00C927E0"/>
    <w:rsid w:val="00C92F0E"/>
    <w:rsid w:val="00C9311A"/>
    <w:rsid w:val="00C935AB"/>
    <w:rsid w:val="00C93869"/>
    <w:rsid w:val="00C93A70"/>
    <w:rsid w:val="00C93AE4"/>
    <w:rsid w:val="00C941EE"/>
    <w:rsid w:val="00C94892"/>
    <w:rsid w:val="00C94A7C"/>
    <w:rsid w:val="00C952D1"/>
    <w:rsid w:val="00C95595"/>
    <w:rsid w:val="00C95A36"/>
    <w:rsid w:val="00C95AC1"/>
    <w:rsid w:val="00C95B2A"/>
    <w:rsid w:val="00C96054"/>
    <w:rsid w:val="00C97036"/>
    <w:rsid w:val="00C973BA"/>
    <w:rsid w:val="00C9788B"/>
    <w:rsid w:val="00C97B38"/>
    <w:rsid w:val="00C97ED5"/>
    <w:rsid w:val="00CA0056"/>
    <w:rsid w:val="00CA04CC"/>
    <w:rsid w:val="00CA0599"/>
    <w:rsid w:val="00CA0A47"/>
    <w:rsid w:val="00CA1333"/>
    <w:rsid w:val="00CA1C58"/>
    <w:rsid w:val="00CA1DCB"/>
    <w:rsid w:val="00CA1E51"/>
    <w:rsid w:val="00CA25E2"/>
    <w:rsid w:val="00CA33DC"/>
    <w:rsid w:val="00CA3ECA"/>
    <w:rsid w:val="00CA419F"/>
    <w:rsid w:val="00CA435C"/>
    <w:rsid w:val="00CA49B2"/>
    <w:rsid w:val="00CA4D71"/>
    <w:rsid w:val="00CA528B"/>
    <w:rsid w:val="00CA5779"/>
    <w:rsid w:val="00CA5E2B"/>
    <w:rsid w:val="00CA6460"/>
    <w:rsid w:val="00CA65BF"/>
    <w:rsid w:val="00CA67B8"/>
    <w:rsid w:val="00CA69BF"/>
    <w:rsid w:val="00CA6AA2"/>
    <w:rsid w:val="00CA6DE6"/>
    <w:rsid w:val="00CA6E93"/>
    <w:rsid w:val="00CA7855"/>
    <w:rsid w:val="00CA7A07"/>
    <w:rsid w:val="00CA7E6C"/>
    <w:rsid w:val="00CB0287"/>
    <w:rsid w:val="00CB05B1"/>
    <w:rsid w:val="00CB0EAA"/>
    <w:rsid w:val="00CB1012"/>
    <w:rsid w:val="00CB1183"/>
    <w:rsid w:val="00CB148C"/>
    <w:rsid w:val="00CB14B3"/>
    <w:rsid w:val="00CB1550"/>
    <w:rsid w:val="00CB1626"/>
    <w:rsid w:val="00CB1D08"/>
    <w:rsid w:val="00CB1EB9"/>
    <w:rsid w:val="00CB1EC7"/>
    <w:rsid w:val="00CB25F1"/>
    <w:rsid w:val="00CB2739"/>
    <w:rsid w:val="00CB2A55"/>
    <w:rsid w:val="00CB2A57"/>
    <w:rsid w:val="00CB3B64"/>
    <w:rsid w:val="00CB3BBD"/>
    <w:rsid w:val="00CB40B2"/>
    <w:rsid w:val="00CB4192"/>
    <w:rsid w:val="00CB41A9"/>
    <w:rsid w:val="00CB453A"/>
    <w:rsid w:val="00CB453C"/>
    <w:rsid w:val="00CB54DB"/>
    <w:rsid w:val="00CB582D"/>
    <w:rsid w:val="00CB5E6F"/>
    <w:rsid w:val="00CB6027"/>
    <w:rsid w:val="00CB6A63"/>
    <w:rsid w:val="00CB6E29"/>
    <w:rsid w:val="00CB6E42"/>
    <w:rsid w:val="00CB6E49"/>
    <w:rsid w:val="00CC025C"/>
    <w:rsid w:val="00CC0A26"/>
    <w:rsid w:val="00CC1303"/>
    <w:rsid w:val="00CC135F"/>
    <w:rsid w:val="00CC1D64"/>
    <w:rsid w:val="00CC1E0F"/>
    <w:rsid w:val="00CC24FA"/>
    <w:rsid w:val="00CC26E8"/>
    <w:rsid w:val="00CC33E1"/>
    <w:rsid w:val="00CC3D03"/>
    <w:rsid w:val="00CC41FD"/>
    <w:rsid w:val="00CC4BD6"/>
    <w:rsid w:val="00CC5141"/>
    <w:rsid w:val="00CC51CA"/>
    <w:rsid w:val="00CC565C"/>
    <w:rsid w:val="00CC5770"/>
    <w:rsid w:val="00CC6374"/>
    <w:rsid w:val="00CC6697"/>
    <w:rsid w:val="00CC6BB2"/>
    <w:rsid w:val="00CC6C60"/>
    <w:rsid w:val="00CC6EAF"/>
    <w:rsid w:val="00CC754C"/>
    <w:rsid w:val="00CC7BD1"/>
    <w:rsid w:val="00CC7C53"/>
    <w:rsid w:val="00CC7D76"/>
    <w:rsid w:val="00CD0203"/>
    <w:rsid w:val="00CD07EA"/>
    <w:rsid w:val="00CD08D3"/>
    <w:rsid w:val="00CD1020"/>
    <w:rsid w:val="00CD1C47"/>
    <w:rsid w:val="00CD2274"/>
    <w:rsid w:val="00CD227E"/>
    <w:rsid w:val="00CD2283"/>
    <w:rsid w:val="00CD2723"/>
    <w:rsid w:val="00CD28FF"/>
    <w:rsid w:val="00CD301A"/>
    <w:rsid w:val="00CD34D3"/>
    <w:rsid w:val="00CD3CDC"/>
    <w:rsid w:val="00CD3DCB"/>
    <w:rsid w:val="00CD49B9"/>
    <w:rsid w:val="00CD4DEC"/>
    <w:rsid w:val="00CD4F24"/>
    <w:rsid w:val="00CD4F53"/>
    <w:rsid w:val="00CD4F7C"/>
    <w:rsid w:val="00CD5833"/>
    <w:rsid w:val="00CD5972"/>
    <w:rsid w:val="00CD6330"/>
    <w:rsid w:val="00CD661C"/>
    <w:rsid w:val="00CD6632"/>
    <w:rsid w:val="00CD6760"/>
    <w:rsid w:val="00CD6C84"/>
    <w:rsid w:val="00CD71B0"/>
    <w:rsid w:val="00CD7540"/>
    <w:rsid w:val="00CD7A03"/>
    <w:rsid w:val="00CE1326"/>
    <w:rsid w:val="00CE14AA"/>
    <w:rsid w:val="00CE1D33"/>
    <w:rsid w:val="00CE1DD4"/>
    <w:rsid w:val="00CE22E9"/>
    <w:rsid w:val="00CE22EF"/>
    <w:rsid w:val="00CE24A4"/>
    <w:rsid w:val="00CE2746"/>
    <w:rsid w:val="00CE31D2"/>
    <w:rsid w:val="00CE33DC"/>
    <w:rsid w:val="00CE39DE"/>
    <w:rsid w:val="00CE42D1"/>
    <w:rsid w:val="00CE4428"/>
    <w:rsid w:val="00CE4793"/>
    <w:rsid w:val="00CE4833"/>
    <w:rsid w:val="00CE4974"/>
    <w:rsid w:val="00CE5044"/>
    <w:rsid w:val="00CE51C0"/>
    <w:rsid w:val="00CE58A6"/>
    <w:rsid w:val="00CE592D"/>
    <w:rsid w:val="00CE5C93"/>
    <w:rsid w:val="00CE616F"/>
    <w:rsid w:val="00CE6231"/>
    <w:rsid w:val="00CE62B8"/>
    <w:rsid w:val="00CE67B6"/>
    <w:rsid w:val="00CE6D68"/>
    <w:rsid w:val="00CE6E4C"/>
    <w:rsid w:val="00CE6FE3"/>
    <w:rsid w:val="00CE733B"/>
    <w:rsid w:val="00CE7CCF"/>
    <w:rsid w:val="00CE7EBD"/>
    <w:rsid w:val="00CF00A2"/>
    <w:rsid w:val="00CF0463"/>
    <w:rsid w:val="00CF08A8"/>
    <w:rsid w:val="00CF0F66"/>
    <w:rsid w:val="00CF1097"/>
    <w:rsid w:val="00CF157D"/>
    <w:rsid w:val="00CF2519"/>
    <w:rsid w:val="00CF2660"/>
    <w:rsid w:val="00CF2D7B"/>
    <w:rsid w:val="00CF2E10"/>
    <w:rsid w:val="00CF31E1"/>
    <w:rsid w:val="00CF3599"/>
    <w:rsid w:val="00CF3879"/>
    <w:rsid w:val="00CF3F4A"/>
    <w:rsid w:val="00CF43A4"/>
    <w:rsid w:val="00CF4AF8"/>
    <w:rsid w:val="00CF4E9C"/>
    <w:rsid w:val="00CF4FF3"/>
    <w:rsid w:val="00CF5218"/>
    <w:rsid w:val="00CF5911"/>
    <w:rsid w:val="00CF5B1B"/>
    <w:rsid w:val="00CF601A"/>
    <w:rsid w:val="00CF61ED"/>
    <w:rsid w:val="00CF6263"/>
    <w:rsid w:val="00CF65FA"/>
    <w:rsid w:val="00CF70F3"/>
    <w:rsid w:val="00CF72C8"/>
    <w:rsid w:val="00CF76B9"/>
    <w:rsid w:val="00CF7716"/>
    <w:rsid w:val="00CF7815"/>
    <w:rsid w:val="00CF7AB8"/>
    <w:rsid w:val="00CF7D51"/>
    <w:rsid w:val="00D0000D"/>
    <w:rsid w:val="00D00CCA"/>
    <w:rsid w:val="00D015EB"/>
    <w:rsid w:val="00D018AA"/>
    <w:rsid w:val="00D01A26"/>
    <w:rsid w:val="00D01B14"/>
    <w:rsid w:val="00D01BDA"/>
    <w:rsid w:val="00D01F21"/>
    <w:rsid w:val="00D02299"/>
    <w:rsid w:val="00D02370"/>
    <w:rsid w:val="00D02462"/>
    <w:rsid w:val="00D03B9F"/>
    <w:rsid w:val="00D042B6"/>
    <w:rsid w:val="00D04354"/>
    <w:rsid w:val="00D043B2"/>
    <w:rsid w:val="00D0440C"/>
    <w:rsid w:val="00D04594"/>
    <w:rsid w:val="00D0474D"/>
    <w:rsid w:val="00D04EAC"/>
    <w:rsid w:val="00D04F86"/>
    <w:rsid w:val="00D05608"/>
    <w:rsid w:val="00D05E7C"/>
    <w:rsid w:val="00D05EDA"/>
    <w:rsid w:val="00D05F65"/>
    <w:rsid w:val="00D0609F"/>
    <w:rsid w:val="00D06A47"/>
    <w:rsid w:val="00D06B6C"/>
    <w:rsid w:val="00D0703D"/>
    <w:rsid w:val="00D07794"/>
    <w:rsid w:val="00D07B04"/>
    <w:rsid w:val="00D07D05"/>
    <w:rsid w:val="00D07EF6"/>
    <w:rsid w:val="00D102D1"/>
    <w:rsid w:val="00D10312"/>
    <w:rsid w:val="00D1063F"/>
    <w:rsid w:val="00D107D3"/>
    <w:rsid w:val="00D108B6"/>
    <w:rsid w:val="00D10AFB"/>
    <w:rsid w:val="00D10B6F"/>
    <w:rsid w:val="00D11673"/>
    <w:rsid w:val="00D11E5E"/>
    <w:rsid w:val="00D128CD"/>
    <w:rsid w:val="00D12C19"/>
    <w:rsid w:val="00D12D43"/>
    <w:rsid w:val="00D12F06"/>
    <w:rsid w:val="00D130E3"/>
    <w:rsid w:val="00D1347C"/>
    <w:rsid w:val="00D134DB"/>
    <w:rsid w:val="00D13588"/>
    <w:rsid w:val="00D13C85"/>
    <w:rsid w:val="00D13F3D"/>
    <w:rsid w:val="00D149B8"/>
    <w:rsid w:val="00D14FEE"/>
    <w:rsid w:val="00D159F3"/>
    <w:rsid w:val="00D15D03"/>
    <w:rsid w:val="00D164B2"/>
    <w:rsid w:val="00D168F4"/>
    <w:rsid w:val="00D16D35"/>
    <w:rsid w:val="00D170E0"/>
    <w:rsid w:val="00D172BA"/>
    <w:rsid w:val="00D179CB"/>
    <w:rsid w:val="00D17B7D"/>
    <w:rsid w:val="00D17DFF"/>
    <w:rsid w:val="00D2068E"/>
    <w:rsid w:val="00D20AA3"/>
    <w:rsid w:val="00D20C8A"/>
    <w:rsid w:val="00D216BE"/>
    <w:rsid w:val="00D21B18"/>
    <w:rsid w:val="00D21E02"/>
    <w:rsid w:val="00D226BB"/>
    <w:rsid w:val="00D227ED"/>
    <w:rsid w:val="00D22A26"/>
    <w:rsid w:val="00D22EFE"/>
    <w:rsid w:val="00D233B4"/>
    <w:rsid w:val="00D24427"/>
    <w:rsid w:val="00D2478D"/>
    <w:rsid w:val="00D24C72"/>
    <w:rsid w:val="00D255B6"/>
    <w:rsid w:val="00D25AAB"/>
    <w:rsid w:val="00D26235"/>
    <w:rsid w:val="00D26C68"/>
    <w:rsid w:val="00D26D82"/>
    <w:rsid w:val="00D27058"/>
    <w:rsid w:val="00D27C49"/>
    <w:rsid w:val="00D27C95"/>
    <w:rsid w:val="00D302FA"/>
    <w:rsid w:val="00D3092A"/>
    <w:rsid w:val="00D312BA"/>
    <w:rsid w:val="00D316DF"/>
    <w:rsid w:val="00D31B32"/>
    <w:rsid w:val="00D32286"/>
    <w:rsid w:val="00D325CF"/>
    <w:rsid w:val="00D328F1"/>
    <w:rsid w:val="00D32B4A"/>
    <w:rsid w:val="00D33234"/>
    <w:rsid w:val="00D33C48"/>
    <w:rsid w:val="00D33ECF"/>
    <w:rsid w:val="00D33FA4"/>
    <w:rsid w:val="00D33FD9"/>
    <w:rsid w:val="00D34413"/>
    <w:rsid w:val="00D34552"/>
    <w:rsid w:val="00D34946"/>
    <w:rsid w:val="00D34969"/>
    <w:rsid w:val="00D34E1B"/>
    <w:rsid w:val="00D34E57"/>
    <w:rsid w:val="00D35213"/>
    <w:rsid w:val="00D35752"/>
    <w:rsid w:val="00D35994"/>
    <w:rsid w:val="00D35A9B"/>
    <w:rsid w:val="00D35AA3"/>
    <w:rsid w:val="00D35C8A"/>
    <w:rsid w:val="00D35E93"/>
    <w:rsid w:val="00D35F42"/>
    <w:rsid w:val="00D35FCF"/>
    <w:rsid w:val="00D35FD9"/>
    <w:rsid w:val="00D35FED"/>
    <w:rsid w:val="00D3631C"/>
    <w:rsid w:val="00D36390"/>
    <w:rsid w:val="00D36711"/>
    <w:rsid w:val="00D36ABE"/>
    <w:rsid w:val="00D3707F"/>
    <w:rsid w:val="00D373E6"/>
    <w:rsid w:val="00D37408"/>
    <w:rsid w:val="00D37612"/>
    <w:rsid w:val="00D37A94"/>
    <w:rsid w:val="00D37B2C"/>
    <w:rsid w:val="00D4001F"/>
    <w:rsid w:val="00D40039"/>
    <w:rsid w:val="00D401BC"/>
    <w:rsid w:val="00D40355"/>
    <w:rsid w:val="00D40508"/>
    <w:rsid w:val="00D40634"/>
    <w:rsid w:val="00D40666"/>
    <w:rsid w:val="00D408B4"/>
    <w:rsid w:val="00D40F05"/>
    <w:rsid w:val="00D410CB"/>
    <w:rsid w:val="00D41A9A"/>
    <w:rsid w:val="00D41BD9"/>
    <w:rsid w:val="00D41D7C"/>
    <w:rsid w:val="00D420A9"/>
    <w:rsid w:val="00D42B3B"/>
    <w:rsid w:val="00D42C76"/>
    <w:rsid w:val="00D42D2A"/>
    <w:rsid w:val="00D42EE0"/>
    <w:rsid w:val="00D43F20"/>
    <w:rsid w:val="00D43F30"/>
    <w:rsid w:val="00D446FF"/>
    <w:rsid w:val="00D449D0"/>
    <w:rsid w:val="00D4503C"/>
    <w:rsid w:val="00D454F9"/>
    <w:rsid w:val="00D45870"/>
    <w:rsid w:val="00D45CC4"/>
    <w:rsid w:val="00D45D69"/>
    <w:rsid w:val="00D46B12"/>
    <w:rsid w:val="00D46BD4"/>
    <w:rsid w:val="00D46DB3"/>
    <w:rsid w:val="00D46E2B"/>
    <w:rsid w:val="00D470DD"/>
    <w:rsid w:val="00D47944"/>
    <w:rsid w:val="00D47DAF"/>
    <w:rsid w:val="00D50318"/>
    <w:rsid w:val="00D50580"/>
    <w:rsid w:val="00D50827"/>
    <w:rsid w:val="00D509D9"/>
    <w:rsid w:val="00D5127E"/>
    <w:rsid w:val="00D5186D"/>
    <w:rsid w:val="00D522A0"/>
    <w:rsid w:val="00D5243F"/>
    <w:rsid w:val="00D525B8"/>
    <w:rsid w:val="00D5340C"/>
    <w:rsid w:val="00D53A6E"/>
    <w:rsid w:val="00D53AB2"/>
    <w:rsid w:val="00D53D7E"/>
    <w:rsid w:val="00D53FBE"/>
    <w:rsid w:val="00D54091"/>
    <w:rsid w:val="00D546DB"/>
    <w:rsid w:val="00D54841"/>
    <w:rsid w:val="00D54C0B"/>
    <w:rsid w:val="00D54EBD"/>
    <w:rsid w:val="00D54F43"/>
    <w:rsid w:val="00D54F7E"/>
    <w:rsid w:val="00D5523A"/>
    <w:rsid w:val="00D555DB"/>
    <w:rsid w:val="00D5570A"/>
    <w:rsid w:val="00D55FF9"/>
    <w:rsid w:val="00D56021"/>
    <w:rsid w:val="00D560F1"/>
    <w:rsid w:val="00D56237"/>
    <w:rsid w:val="00D56A6A"/>
    <w:rsid w:val="00D5749B"/>
    <w:rsid w:val="00D574AF"/>
    <w:rsid w:val="00D57A45"/>
    <w:rsid w:val="00D6008F"/>
    <w:rsid w:val="00D60181"/>
    <w:rsid w:val="00D601AE"/>
    <w:rsid w:val="00D604E1"/>
    <w:rsid w:val="00D60BCE"/>
    <w:rsid w:val="00D60F06"/>
    <w:rsid w:val="00D614A0"/>
    <w:rsid w:val="00D61B08"/>
    <w:rsid w:val="00D623B9"/>
    <w:rsid w:val="00D625B6"/>
    <w:rsid w:val="00D62638"/>
    <w:rsid w:val="00D62B27"/>
    <w:rsid w:val="00D62B70"/>
    <w:rsid w:val="00D62CE1"/>
    <w:rsid w:val="00D62D1C"/>
    <w:rsid w:val="00D62F29"/>
    <w:rsid w:val="00D63412"/>
    <w:rsid w:val="00D634B5"/>
    <w:rsid w:val="00D6389C"/>
    <w:rsid w:val="00D63B33"/>
    <w:rsid w:val="00D63CDD"/>
    <w:rsid w:val="00D6439C"/>
    <w:rsid w:val="00D64AAF"/>
    <w:rsid w:val="00D65D7C"/>
    <w:rsid w:val="00D65E91"/>
    <w:rsid w:val="00D65F7B"/>
    <w:rsid w:val="00D661FD"/>
    <w:rsid w:val="00D665D3"/>
    <w:rsid w:val="00D66CBB"/>
    <w:rsid w:val="00D67166"/>
    <w:rsid w:val="00D67186"/>
    <w:rsid w:val="00D67377"/>
    <w:rsid w:val="00D67550"/>
    <w:rsid w:val="00D70A21"/>
    <w:rsid w:val="00D7139E"/>
    <w:rsid w:val="00D71CCA"/>
    <w:rsid w:val="00D7232B"/>
    <w:rsid w:val="00D724D3"/>
    <w:rsid w:val="00D72782"/>
    <w:rsid w:val="00D731E5"/>
    <w:rsid w:val="00D73230"/>
    <w:rsid w:val="00D73451"/>
    <w:rsid w:val="00D73AED"/>
    <w:rsid w:val="00D73B5B"/>
    <w:rsid w:val="00D73C08"/>
    <w:rsid w:val="00D73E68"/>
    <w:rsid w:val="00D74E0D"/>
    <w:rsid w:val="00D74EA5"/>
    <w:rsid w:val="00D74F17"/>
    <w:rsid w:val="00D750D3"/>
    <w:rsid w:val="00D75333"/>
    <w:rsid w:val="00D75412"/>
    <w:rsid w:val="00D755C2"/>
    <w:rsid w:val="00D757AC"/>
    <w:rsid w:val="00D759D5"/>
    <w:rsid w:val="00D764D4"/>
    <w:rsid w:val="00D76532"/>
    <w:rsid w:val="00D765D5"/>
    <w:rsid w:val="00D76688"/>
    <w:rsid w:val="00D76791"/>
    <w:rsid w:val="00D76B50"/>
    <w:rsid w:val="00D76D46"/>
    <w:rsid w:val="00D77071"/>
    <w:rsid w:val="00D772FD"/>
    <w:rsid w:val="00D7731F"/>
    <w:rsid w:val="00D77771"/>
    <w:rsid w:val="00D77A8B"/>
    <w:rsid w:val="00D77BA1"/>
    <w:rsid w:val="00D77F89"/>
    <w:rsid w:val="00D8051A"/>
    <w:rsid w:val="00D80DC5"/>
    <w:rsid w:val="00D80EDD"/>
    <w:rsid w:val="00D80FF8"/>
    <w:rsid w:val="00D816D9"/>
    <w:rsid w:val="00D81708"/>
    <w:rsid w:val="00D81915"/>
    <w:rsid w:val="00D81C01"/>
    <w:rsid w:val="00D81D48"/>
    <w:rsid w:val="00D81E13"/>
    <w:rsid w:val="00D81EE6"/>
    <w:rsid w:val="00D82064"/>
    <w:rsid w:val="00D8343F"/>
    <w:rsid w:val="00D83560"/>
    <w:rsid w:val="00D83DDD"/>
    <w:rsid w:val="00D844B7"/>
    <w:rsid w:val="00D845E7"/>
    <w:rsid w:val="00D849B9"/>
    <w:rsid w:val="00D84A1B"/>
    <w:rsid w:val="00D84B95"/>
    <w:rsid w:val="00D84CF4"/>
    <w:rsid w:val="00D855A8"/>
    <w:rsid w:val="00D8566E"/>
    <w:rsid w:val="00D85C07"/>
    <w:rsid w:val="00D860B8"/>
    <w:rsid w:val="00D863A1"/>
    <w:rsid w:val="00D864F0"/>
    <w:rsid w:val="00D867AB"/>
    <w:rsid w:val="00D86B96"/>
    <w:rsid w:val="00D86F5F"/>
    <w:rsid w:val="00D8731E"/>
    <w:rsid w:val="00D878B3"/>
    <w:rsid w:val="00D87A8A"/>
    <w:rsid w:val="00D900E5"/>
    <w:rsid w:val="00D901EE"/>
    <w:rsid w:val="00D909B2"/>
    <w:rsid w:val="00D90C29"/>
    <w:rsid w:val="00D90DB1"/>
    <w:rsid w:val="00D914E7"/>
    <w:rsid w:val="00D91906"/>
    <w:rsid w:val="00D92164"/>
    <w:rsid w:val="00D92340"/>
    <w:rsid w:val="00D9257D"/>
    <w:rsid w:val="00D92CA8"/>
    <w:rsid w:val="00D93626"/>
    <w:rsid w:val="00D93A24"/>
    <w:rsid w:val="00D94574"/>
    <w:rsid w:val="00D946DB"/>
    <w:rsid w:val="00D94805"/>
    <w:rsid w:val="00D94C4D"/>
    <w:rsid w:val="00D95160"/>
    <w:rsid w:val="00D95240"/>
    <w:rsid w:val="00D956BC"/>
    <w:rsid w:val="00D95E8D"/>
    <w:rsid w:val="00D96282"/>
    <w:rsid w:val="00D96781"/>
    <w:rsid w:val="00D96D40"/>
    <w:rsid w:val="00D97247"/>
    <w:rsid w:val="00D97874"/>
    <w:rsid w:val="00D979AE"/>
    <w:rsid w:val="00DA00D1"/>
    <w:rsid w:val="00DA0137"/>
    <w:rsid w:val="00DA0B11"/>
    <w:rsid w:val="00DA1112"/>
    <w:rsid w:val="00DA1229"/>
    <w:rsid w:val="00DA1B84"/>
    <w:rsid w:val="00DA2445"/>
    <w:rsid w:val="00DA254C"/>
    <w:rsid w:val="00DA2E7A"/>
    <w:rsid w:val="00DA3127"/>
    <w:rsid w:val="00DA35E9"/>
    <w:rsid w:val="00DA3860"/>
    <w:rsid w:val="00DA393F"/>
    <w:rsid w:val="00DA3CE5"/>
    <w:rsid w:val="00DA3DE7"/>
    <w:rsid w:val="00DA41BE"/>
    <w:rsid w:val="00DA42B9"/>
    <w:rsid w:val="00DA4F1C"/>
    <w:rsid w:val="00DA52EE"/>
    <w:rsid w:val="00DA5E70"/>
    <w:rsid w:val="00DA6252"/>
    <w:rsid w:val="00DA6776"/>
    <w:rsid w:val="00DA6F41"/>
    <w:rsid w:val="00DA72A8"/>
    <w:rsid w:val="00DA7763"/>
    <w:rsid w:val="00DA78F9"/>
    <w:rsid w:val="00DB0065"/>
    <w:rsid w:val="00DB010E"/>
    <w:rsid w:val="00DB04D7"/>
    <w:rsid w:val="00DB09D3"/>
    <w:rsid w:val="00DB0A0C"/>
    <w:rsid w:val="00DB1574"/>
    <w:rsid w:val="00DB158F"/>
    <w:rsid w:val="00DB1858"/>
    <w:rsid w:val="00DB1914"/>
    <w:rsid w:val="00DB1A2F"/>
    <w:rsid w:val="00DB1F1F"/>
    <w:rsid w:val="00DB1F80"/>
    <w:rsid w:val="00DB2405"/>
    <w:rsid w:val="00DB25DB"/>
    <w:rsid w:val="00DB27DF"/>
    <w:rsid w:val="00DB2B9F"/>
    <w:rsid w:val="00DB2EDA"/>
    <w:rsid w:val="00DB2EEF"/>
    <w:rsid w:val="00DB34D5"/>
    <w:rsid w:val="00DB3659"/>
    <w:rsid w:val="00DB3A2F"/>
    <w:rsid w:val="00DB3C45"/>
    <w:rsid w:val="00DB4CEF"/>
    <w:rsid w:val="00DB4EB2"/>
    <w:rsid w:val="00DB4FA3"/>
    <w:rsid w:val="00DB5745"/>
    <w:rsid w:val="00DB5A79"/>
    <w:rsid w:val="00DB5AFA"/>
    <w:rsid w:val="00DB5F44"/>
    <w:rsid w:val="00DB5FF6"/>
    <w:rsid w:val="00DB6067"/>
    <w:rsid w:val="00DB63DB"/>
    <w:rsid w:val="00DB6CFD"/>
    <w:rsid w:val="00DB6D3C"/>
    <w:rsid w:val="00DB75EB"/>
    <w:rsid w:val="00DB7784"/>
    <w:rsid w:val="00DC06C1"/>
    <w:rsid w:val="00DC08EF"/>
    <w:rsid w:val="00DC095E"/>
    <w:rsid w:val="00DC0A0B"/>
    <w:rsid w:val="00DC0F6B"/>
    <w:rsid w:val="00DC0FD3"/>
    <w:rsid w:val="00DC1307"/>
    <w:rsid w:val="00DC190C"/>
    <w:rsid w:val="00DC1912"/>
    <w:rsid w:val="00DC1ADD"/>
    <w:rsid w:val="00DC1E71"/>
    <w:rsid w:val="00DC20A5"/>
    <w:rsid w:val="00DC21CA"/>
    <w:rsid w:val="00DC3C20"/>
    <w:rsid w:val="00DC4138"/>
    <w:rsid w:val="00DC43BD"/>
    <w:rsid w:val="00DC4A31"/>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604"/>
    <w:rsid w:val="00DC769E"/>
    <w:rsid w:val="00DC782B"/>
    <w:rsid w:val="00DC7CE8"/>
    <w:rsid w:val="00DD025D"/>
    <w:rsid w:val="00DD0748"/>
    <w:rsid w:val="00DD0DCD"/>
    <w:rsid w:val="00DD1545"/>
    <w:rsid w:val="00DD1848"/>
    <w:rsid w:val="00DD1AFE"/>
    <w:rsid w:val="00DD2727"/>
    <w:rsid w:val="00DD27BB"/>
    <w:rsid w:val="00DD2BE3"/>
    <w:rsid w:val="00DD2FCF"/>
    <w:rsid w:val="00DD326E"/>
    <w:rsid w:val="00DD3314"/>
    <w:rsid w:val="00DD34E2"/>
    <w:rsid w:val="00DD388D"/>
    <w:rsid w:val="00DD391A"/>
    <w:rsid w:val="00DD3BAE"/>
    <w:rsid w:val="00DD3F2C"/>
    <w:rsid w:val="00DD41A5"/>
    <w:rsid w:val="00DD45DE"/>
    <w:rsid w:val="00DD47CC"/>
    <w:rsid w:val="00DD4881"/>
    <w:rsid w:val="00DD4FB6"/>
    <w:rsid w:val="00DD5099"/>
    <w:rsid w:val="00DD509D"/>
    <w:rsid w:val="00DD52E0"/>
    <w:rsid w:val="00DD53EA"/>
    <w:rsid w:val="00DD5E3C"/>
    <w:rsid w:val="00DD61C2"/>
    <w:rsid w:val="00DD66A7"/>
    <w:rsid w:val="00DD66E7"/>
    <w:rsid w:val="00DD6987"/>
    <w:rsid w:val="00DD6C14"/>
    <w:rsid w:val="00DD6C7B"/>
    <w:rsid w:val="00DD7025"/>
    <w:rsid w:val="00DD7316"/>
    <w:rsid w:val="00DD771E"/>
    <w:rsid w:val="00DD7912"/>
    <w:rsid w:val="00DE0B77"/>
    <w:rsid w:val="00DE0FC6"/>
    <w:rsid w:val="00DE101E"/>
    <w:rsid w:val="00DE1049"/>
    <w:rsid w:val="00DE13CC"/>
    <w:rsid w:val="00DE1595"/>
    <w:rsid w:val="00DE1C47"/>
    <w:rsid w:val="00DE2319"/>
    <w:rsid w:val="00DE24FC"/>
    <w:rsid w:val="00DE2596"/>
    <w:rsid w:val="00DE2DA9"/>
    <w:rsid w:val="00DE35EC"/>
    <w:rsid w:val="00DE4AA5"/>
    <w:rsid w:val="00DE4AAF"/>
    <w:rsid w:val="00DE4C3A"/>
    <w:rsid w:val="00DE5124"/>
    <w:rsid w:val="00DE57B0"/>
    <w:rsid w:val="00DE6645"/>
    <w:rsid w:val="00DE6DD3"/>
    <w:rsid w:val="00DE7461"/>
    <w:rsid w:val="00DE7A3E"/>
    <w:rsid w:val="00DE7E3E"/>
    <w:rsid w:val="00DF0971"/>
    <w:rsid w:val="00DF0A04"/>
    <w:rsid w:val="00DF0ECA"/>
    <w:rsid w:val="00DF1446"/>
    <w:rsid w:val="00DF1452"/>
    <w:rsid w:val="00DF1EE0"/>
    <w:rsid w:val="00DF1F5F"/>
    <w:rsid w:val="00DF2235"/>
    <w:rsid w:val="00DF2701"/>
    <w:rsid w:val="00DF2B1E"/>
    <w:rsid w:val="00DF2B6D"/>
    <w:rsid w:val="00DF2C6A"/>
    <w:rsid w:val="00DF3415"/>
    <w:rsid w:val="00DF3ABE"/>
    <w:rsid w:val="00DF404D"/>
    <w:rsid w:val="00DF40AC"/>
    <w:rsid w:val="00DF41E3"/>
    <w:rsid w:val="00DF4BD3"/>
    <w:rsid w:val="00DF5263"/>
    <w:rsid w:val="00DF5E9F"/>
    <w:rsid w:val="00DF5EB3"/>
    <w:rsid w:val="00DF5FB5"/>
    <w:rsid w:val="00DF634E"/>
    <w:rsid w:val="00DF6535"/>
    <w:rsid w:val="00DF6786"/>
    <w:rsid w:val="00DF67F6"/>
    <w:rsid w:val="00DF6878"/>
    <w:rsid w:val="00DF68B8"/>
    <w:rsid w:val="00DF6A1D"/>
    <w:rsid w:val="00DF6AC7"/>
    <w:rsid w:val="00DF6EC6"/>
    <w:rsid w:val="00DF7CD4"/>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083"/>
    <w:rsid w:val="00E039DD"/>
    <w:rsid w:val="00E03BCB"/>
    <w:rsid w:val="00E03F86"/>
    <w:rsid w:val="00E0471A"/>
    <w:rsid w:val="00E04A18"/>
    <w:rsid w:val="00E04BF8"/>
    <w:rsid w:val="00E04E81"/>
    <w:rsid w:val="00E04F2B"/>
    <w:rsid w:val="00E04FE6"/>
    <w:rsid w:val="00E05300"/>
    <w:rsid w:val="00E05C66"/>
    <w:rsid w:val="00E05D7E"/>
    <w:rsid w:val="00E05E8F"/>
    <w:rsid w:val="00E05F82"/>
    <w:rsid w:val="00E05FA2"/>
    <w:rsid w:val="00E06088"/>
    <w:rsid w:val="00E06677"/>
    <w:rsid w:val="00E0669B"/>
    <w:rsid w:val="00E066FE"/>
    <w:rsid w:val="00E06A58"/>
    <w:rsid w:val="00E06B9E"/>
    <w:rsid w:val="00E06BCF"/>
    <w:rsid w:val="00E06CB1"/>
    <w:rsid w:val="00E07412"/>
    <w:rsid w:val="00E0762A"/>
    <w:rsid w:val="00E07760"/>
    <w:rsid w:val="00E0793A"/>
    <w:rsid w:val="00E07F21"/>
    <w:rsid w:val="00E07F50"/>
    <w:rsid w:val="00E10502"/>
    <w:rsid w:val="00E1059F"/>
    <w:rsid w:val="00E10A23"/>
    <w:rsid w:val="00E10D0B"/>
    <w:rsid w:val="00E11420"/>
    <w:rsid w:val="00E1183B"/>
    <w:rsid w:val="00E11AC0"/>
    <w:rsid w:val="00E11D2B"/>
    <w:rsid w:val="00E12AB2"/>
    <w:rsid w:val="00E13070"/>
    <w:rsid w:val="00E130C3"/>
    <w:rsid w:val="00E1344D"/>
    <w:rsid w:val="00E136D2"/>
    <w:rsid w:val="00E13776"/>
    <w:rsid w:val="00E14713"/>
    <w:rsid w:val="00E156DA"/>
    <w:rsid w:val="00E15AF4"/>
    <w:rsid w:val="00E1618C"/>
    <w:rsid w:val="00E169D3"/>
    <w:rsid w:val="00E1746A"/>
    <w:rsid w:val="00E17F4D"/>
    <w:rsid w:val="00E2019A"/>
    <w:rsid w:val="00E217D3"/>
    <w:rsid w:val="00E21BD9"/>
    <w:rsid w:val="00E22162"/>
    <w:rsid w:val="00E22365"/>
    <w:rsid w:val="00E223B1"/>
    <w:rsid w:val="00E22428"/>
    <w:rsid w:val="00E225A5"/>
    <w:rsid w:val="00E22E7B"/>
    <w:rsid w:val="00E2392B"/>
    <w:rsid w:val="00E23DE6"/>
    <w:rsid w:val="00E23E9D"/>
    <w:rsid w:val="00E23FCA"/>
    <w:rsid w:val="00E24537"/>
    <w:rsid w:val="00E24556"/>
    <w:rsid w:val="00E24FDE"/>
    <w:rsid w:val="00E2504E"/>
    <w:rsid w:val="00E2506D"/>
    <w:rsid w:val="00E250B4"/>
    <w:rsid w:val="00E25326"/>
    <w:rsid w:val="00E254D8"/>
    <w:rsid w:val="00E25749"/>
    <w:rsid w:val="00E258B5"/>
    <w:rsid w:val="00E25963"/>
    <w:rsid w:val="00E25EC8"/>
    <w:rsid w:val="00E269AA"/>
    <w:rsid w:val="00E26C16"/>
    <w:rsid w:val="00E26F21"/>
    <w:rsid w:val="00E2724B"/>
    <w:rsid w:val="00E27F28"/>
    <w:rsid w:val="00E300F7"/>
    <w:rsid w:val="00E30607"/>
    <w:rsid w:val="00E30851"/>
    <w:rsid w:val="00E30BF0"/>
    <w:rsid w:val="00E30E2D"/>
    <w:rsid w:val="00E31BCD"/>
    <w:rsid w:val="00E31C73"/>
    <w:rsid w:val="00E31ED6"/>
    <w:rsid w:val="00E3207F"/>
    <w:rsid w:val="00E32377"/>
    <w:rsid w:val="00E327DD"/>
    <w:rsid w:val="00E32EF6"/>
    <w:rsid w:val="00E332F6"/>
    <w:rsid w:val="00E3375B"/>
    <w:rsid w:val="00E33CCB"/>
    <w:rsid w:val="00E34669"/>
    <w:rsid w:val="00E34823"/>
    <w:rsid w:val="00E351E1"/>
    <w:rsid w:val="00E3524F"/>
    <w:rsid w:val="00E35C34"/>
    <w:rsid w:val="00E35C45"/>
    <w:rsid w:val="00E35C9D"/>
    <w:rsid w:val="00E35D10"/>
    <w:rsid w:val="00E35DD1"/>
    <w:rsid w:val="00E35DF7"/>
    <w:rsid w:val="00E36C52"/>
    <w:rsid w:val="00E36E75"/>
    <w:rsid w:val="00E3720A"/>
    <w:rsid w:val="00E3739B"/>
    <w:rsid w:val="00E376BD"/>
    <w:rsid w:val="00E37C2D"/>
    <w:rsid w:val="00E37DD8"/>
    <w:rsid w:val="00E37E68"/>
    <w:rsid w:val="00E400BA"/>
    <w:rsid w:val="00E40621"/>
    <w:rsid w:val="00E407F2"/>
    <w:rsid w:val="00E40D1A"/>
    <w:rsid w:val="00E40F6A"/>
    <w:rsid w:val="00E41709"/>
    <w:rsid w:val="00E42121"/>
    <w:rsid w:val="00E421F0"/>
    <w:rsid w:val="00E42513"/>
    <w:rsid w:val="00E426E9"/>
    <w:rsid w:val="00E42E06"/>
    <w:rsid w:val="00E43012"/>
    <w:rsid w:val="00E436F1"/>
    <w:rsid w:val="00E43F4D"/>
    <w:rsid w:val="00E44110"/>
    <w:rsid w:val="00E442CA"/>
    <w:rsid w:val="00E44623"/>
    <w:rsid w:val="00E44CA0"/>
    <w:rsid w:val="00E44EFD"/>
    <w:rsid w:val="00E44FEB"/>
    <w:rsid w:val="00E452B0"/>
    <w:rsid w:val="00E453CA"/>
    <w:rsid w:val="00E4586E"/>
    <w:rsid w:val="00E45E1C"/>
    <w:rsid w:val="00E4641C"/>
    <w:rsid w:val="00E46997"/>
    <w:rsid w:val="00E46C39"/>
    <w:rsid w:val="00E476C9"/>
    <w:rsid w:val="00E5026F"/>
    <w:rsid w:val="00E50857"/>
    <w:rsid w:val="00E50E94"/>
    <w:rsid w:val="00E50F4B"/>
    <w:rsid w:val="00E513FE"/>
    <w:rsid w:val="00E51C43"/>
    <w:rsid w:val="00E5219A"/>
    <w:rsid w:val="00E522A8"/>
    <w:rsid w:val="00E525EE"/>
    <w:rsid w:val="00E527DD"/>
    <w:rsid w:val="00E52AAE"/>
    <w:rsid w:val="00E52CA5"/>
    <w:rsid w:val="00E52FFE"/>
    <w:rsid w:val="00E53136"/>
    <w:rsid w:val="00E5364D"/>
    <w:rsid w:val="00E5379B"/>
    <w:rsid w:val="00E54128"/>
    <w:rsid w:val="00E541C7"/>
    <w:rsid w:val="00E54217"/>
    <w:rsid w:val="00E5433A"/>
    <w:rsid w:val="00E544FE"/>
    <w:rsid w:val="00E54534"/>
    <w:rsid w:val="00E54680"/>
    <w:rsid w:val="00E54699"/>
    <w:rsid w:val="00E549B3"/>
    <w:rsid w:val="00E549B4"/>
    <w:rsid w:val="00E549F0"/>
    <w:rsid w:val="00E54B31"/>
    <w:rsid w:val="00E54E00"/>
    <w:rsid w:val="00E5507B"/>
    <w:rsid w:val="00E55606"/>
    <w:rsid w:val="00E5564C"/>
    <w:rsid w:val="00E55910"/>
    <w:rsid w:val="00E55E4F"/>
    <w:rsid w:val="00E567AE"/>
    <w:rsid w:val="00E56C23"/>
    <w:rsid w:val="00E56DD3"/>
    <w:rsid w:val="00E57656"/>
    <w:rsid w:val="00E5782D"/>
    <w:rsid w:val="00E60A38"/>
    <w:rsid w:val="00E60B6C"/>
    <w:rsid w:val="00E60FDD"/>
    <w:rsid w:val="00E610A6"/>
    <w:rsid w:val="00E6128F"/>
    <w:rsid w:val="00E61E00"/>
    <w:rsid w:val="00E625BC"/>
    <w:rsid w:val="00E628A5"/>
    <w:rsid w:val="00E62E8E"/>
    <w:rsid w:val="00E63408"/>
    <w:rsid w:val="00E63A48"/>
    <w:rsid w:val="00E63D36"/>
    <w:rsid w:val="00E640C9"/>
    <w:rsid w:val="00E642FC"/>
    <w:rsid w:val="00E6456E"/>
    <w:rsid w:val="00E64C9D"/>
    <w:rsid w:val="00E64F16"/>
    <w:rsid w:val="00E65525"/>
    <w:rsid w:val="00E65F97"/>
    <w:rsid w:val="00E65FBB"/>
    <w:rsid w:val="00E6606F"/>
    <w:rsid w:val="00E66346"/>
    <w:rsid w:val="00E6677D"/>
    <w:rsid w:val="00E66A48"/>
    <w:rsid w:val="00E66A74"/>
    <w:rsid w:val="00E67811"/>
    <w:rsid w:val="00E6798D"/>
    <w:rsid w:val="00E67B83"/>
    <w:rsid w:val="00E67BE4"/>
    <w:rsid w:val="00E67D4D"/>
    <w:rsid w:val="00E67F58"/>
    <w:rsid w:val="00E70345"/>
    <w:rsid w:val="00E7191F"/>
    <w:rsid w:val="00E71A18"/>
    <w:rsid w:val="00E71CCC"/>
    <w:rsid w:val="00E71DAD"/>
    <w:rsid w:val="00E71E15"/>
    <w:rsid w:val="00E71F2A"/>
    <w:rsid w:val="00E72050"/>
    <w:rsid w:val="00E7216F"/>
    <w:rsid w:val="00E72287"/>
    <w:rsid w:val="00E723C3"/>
    <w:rsid w:val="00E72D29"/>
    <w:rsid w:val="00E733C6"/>
    <w:rsid w:val="00E7352A"/>
    <w:rsid w:val="00E739FC"/>
    <w:rsid w:val="00E73E86"/>
    <w:rsid w:val="00E7412C"/>
    <w:rsid w:val="00E74973"/>
    <w:rsid w:val="00E74A69"/>
    <w:rsid w:val="00E74F6F"/>
    <w:rsid w:val="00E7508A"/>
    <w:rsid w:val="00E751ED"/>
    <w:rsid w:val="00E75284"/>
    <w:rsid w:val="00E75A35"/>
    <w:rsid w:val="00E761BF"/>
    <w:rsid w:val="00E76296"/>
    <w:rsid w:val="00E7738A"/>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37B"/>
    <w:rsid w:val="00E845C0"/>
    <w:rsid w:val="00E84EF3"/>
    <w:rsid w:val="00E856F2"/>
    <w:rsid w:val="00E85976"/>
    <w:rsid w:val="00E85A1D"/>
    <w:rsid w:val="00E85C09"/>
    <w:rsid w:val="00E85D6F"/>
    <w:rsid w:val="00E85F69"/>
    <w:rsid w:val="00E861EB"/>
    <w:rsid w:val="00E86448"/>
    <w:rsid w:val="00E86673"/>
    <w:rsid w:val="00E86818"/>
    <w:rsid w:val="00E86B8B"/>
    <w:rsid w:val="00E873EC"/>
    <w:rsid w:val="00E87A0A"/>
    <w:rsid w:val="00E87D33"/>
    <w:rsid w:val="00E90205"/>
    <w:rsid w:val="00E902D0"/>
    <w:rsid w:val="00E904C0"/>
    <w:rsid w:val="00E90650"/>
    <w:rsid w:val="00E906AF"/>
    <w:rsid w:val="00E90F63"/>
    <w:rsid w:val="00E91010"/>
    <w:rsid w:val="00E913D2"/>
    <w:rsid w:val="00E918E7"/>
    <w:rsid w:val="00E91B49"/>
    <w:rsid w:val="00E91EC4"/>
    <w:rsid w:val="00E9231A"/>
    <w:rsid w:val="00E924C2"/>
    <w:rsid w:val="00E92D95"/>
    <w:rsid w:val="00E9347A"/>
    <w:rsid w:val="00E935F1"/>
    <w:rsid w:val="00E93808"/>
    <w:rsid w:val="00E93902"/>
    <w:rsid w:val="00E93F0E"/>
    <w:rsid w:val="00E94A58"/>
    <w:rsid w:val="00E94CA6"/>
    <w:rsid w:val="00E95174"/>
    <w:rsid w:val="00E95697"/>
    <w:rsid w:val="00E95A2A"/>
    <w:rsid w:val="00E95E91"/>
    <w:rsid w:val="00E95EA1"/>
    <w:rsid w:val="00E9649C"/>
    <w:rsid w:val="00E96B2F"/>
    <w:rsid w:val="00E96B31"/>
    <w:rsid w:val="00E97397"/>
    <w:rsid w:val="00E9796A"/>
    <w:rsid w:val="00E97CC6"/>
    <w:rsid w:val="00E97FAB"/>
    <w:rsid w:val="00EA0232"/>
    <w:rsid w:val="00EA044A"/>
    <w:rsid w:val="00EA05E9"/>
    <w:rsid w:val="00EA0A0B"/>
    <w:rsid w:val="00EA0B43"/>
    <w:rsid w:val="00EA1217"/>
    <w:rsid w:val="00EA1542"/>
    <w:rsid w:val="00EA1A94"/>
    <w:rsid w:val="00EA1C44"/>
    <w:rsid w:val="00EA1CB4"/>
    <w:rsid w:val="00EA1DC0"/>
    <w:rsid w:val="00EA1E4C"/>
    <w:rsid w:val="00EA25B5"/>
    <w:rsid w:val="00EA263E"/>
    <w:rsid w:val="00EA2F2D"/>
    <w:rsid w:val="00EA33B5"/>
    <w:rsid w:val="00EA3E47"/>
    <w:rsid w:val="00EA3E86"/>
    <w:rsid w:val="00EA4263"/>
    <w:rsid w:val="00EA44EA"/>
    <w:rsid w:val="00EA4600"/>
    <w:rsid w:val="00EA490D"/>
    <w:rsid w:val="00EA5266"/>
    <w:rsid w:val="00EA5B8F"/>
    <w:rsid w:val="00EA6033"/>
    <w:rsid w:val="00EA60CA"/>
    <w:rsid w:val="00EA6180"/>
    <w:rsid w:val="00EA6977"/>
    <w:rsid w:val="00EA6FA8"/>
    <w:rsid w:val="00EA7037"/>
    <w:rsid w:val="00EA7094"/>
    <w:rsid w:val="00EA753E"/>
    <w:rsid w:val="00EA7754"/>
    <w:rsid w:val="00EA7AA4"/>
    <w:rsid w:val="00EA7BF2"/>
    <w:rsid w:val="00EA7FD3"/>
    <w:rsid w:val="00EB03B4"/>
    <w:rsid w:val="00EB0D14"/>
    <w:rsid w:val="00EB1227"/>
    <w:rsid w:val="00EB140F"/>
    <w:rsid w:val="00EB16B2"/>
    <w:rsid w:val="00EB1948"/>
    <w:rsid w:val="00EB1A7F"/>
    <w:rsid w:val="00EB1BD7"/>
    <w:rsid w:val="00EB2021"/>
    <w:rsid w:val="00EB2500"/>
    <w:rsid w:val="00EB2566"/>
    <w:rsid w:val="00EB2760"/>
    <w:rsid w:val="00EB2BF4"/>
    <w:rsid w:val="00EB3453"/>
    <w:rsid w:val="00EB37BB"/>
    <w:rsid w:val="00EB38B9"/>
    <w:rsid w:val="00EB38C8"/>
    <w:rsid w:val="00EB436C"/>
    <w:rsid w:val="00EB45DF"/>
    <w:rsid w:val="00EB4630"/>
    <w:rsid w:val="00EB478C"/>
    <w:rsid w:val="00EB49CF"/>
    <w:rsid w:val="00EB5287"/>
    <w:rsid w:val="00EB592F"/>
    <w:rsid w:val="00EB5998"/>
    <w:rsid w:val="00EB5A3F"/>
    <w:rsid w:val="00EB5ED3"/>
    <w:rsid w:val="00EB6043"/>
    <w:rsid w:val="00EB6076"/>
    <w:rsid w:val="00EB6356"/>
    <w:rsid w:val="00EB6423"/>
    <w:rsid w:val="00EB6685"/>
    <w:rsid w:val="00EB6C8E"/>
    <w:rsid w:val="00EB72DB"/>
    <w:rsid w:val="00EB73D2"/>
    <w:rsid w:val="00EB765C"/>
    <w:rsid w:val="00EB773B"/>
    <w:rsid w:val="00EB7CDD"/>
    <w:rsid w:val="00EC12DC"/>
    <w:rsid w:val="00EC1403"/>
    <w:rsid w:val="00EC186C"/>
    <w:rsid w:val="00EC1905"/>
    <w:rsid w:val="00EC1E58"/>
    <w:rsid w:val="00EC2870"/>
    <w:rsid w:val="00EC2878"/>
    <w:rsid w:val="00EC306F"/>
    <w:rsid w:val="00EC3088"/>
    <w:rsid w:val="00EC34BD"/>
    <w:rsid w:val="00EC354D"/>
    <w:rsid w:val="00EC35E7"/>
    <w:rsid w:val="00EC37CE"/>
    <w:rsid w:val="00EC3801"/>
    <w:rsid w:val="00EC3BA1"/>
    <w:rsid w:val="00EC445F"/>
    <w:rsid w:val="00EC477D"/>
    <w:rsid w:val="00EC4A82"/>
    <w:rsid w:val="00EC5523"/>
    <w:rsid w:val="00EC5862"/>
    <w:rsid w:val="00EC601D"/>
    <w:rsid w:val="00EC60CC"/>
    <w:rsid w:val="00EC60D3"/>
    <w:rsid w:val="00EC61E4"/>
    <w:rsid w:val="00EC77F9"/>
    <w:rsid w:val="00ED0217"/>
    <w:rsid w:val="00ED05DD"/>
    <w:rsid w:val="00ED06BF"/>
    <w:rsid w:val="00ED0A76"/>
    <w:rsid w:val="00ED0EDB"/>
    <w:rsid w:val="00ED10B6"/>
    <w:rsid w:val="00ED12ED"/>
    <w:rsid w:val="00ED14EC"/>
    <w:rsid w:val="00ED16AC"/>
    <w:rsid w:val="00ED16FD"/>
    <w:rsid w:val="00ED1BAE"/>
    <w:rsid w:val="00ED1E03"/>
    <w:rsid w:val="00ED2312"/>
    <w:rsid w:val="00ED2EB5"/>
    <w:rsid w:val="00ED3396"/>
    <w:rsid w:val="00ED34B4"/>
    <w:rsid w:val="00ED34BE"/>
    <w:rsid w:val="00ED3509"/>
    <w:rsid w:val="00ED3C4A"/>
    <w:rsid w:val="00ED3CE3"/>
    <w:rsid w:val="00ED3D9F"/>
    <w:rsid w:val="00ED42AB"/>
    <w:rsid w:val="00ED4797"/>
    <w:rsid w:val="00ED4C08"/>
    <w:rsid w:val="00ED4FB1"/>
    <w:rsid w:val="00ED5658"/>
    <w:rsid w:val="00ED5FDB"/>
    <w:rsid w:val="00ED5FE9"/>
    <w:rsid w:val="00ED60BB"/>
    <w:rsid w:val="00ED6145"/>
    <w:rsid w:val="00ED6229"/>
    <w:rsid w:val="00ED62B3"/>
    <w:rsid w:val="00ED6514"/>
    <w:rsid w:val="00ED6E1E"/>
    <w:rsid w:val="00ED6E77"/>
    <w:rsid w:val="00ED7316"/>
    <w:rsid w:val="00EE04A5"/>
    <w:rsid w:val="00EE0D05"/>
    <w:rsid w:val="00EE12B8"/>
    <w:rsid w:val="00EE1449"/>
    <w:rsid w:val="00EE1AE2"/>
    <w:rsid w:val="00EE1E50"/>
    <w:rsid w:val="00EE1E5F"/>
    <w:rsid w:val="00EE21B4"/>
    <w:rsid w:val="00EE29E4"/>
    <w:rsid w:val="00EE2A90"/>
    <w:rsid w:val="00EE323B"/>
    <w:rsid w:val="00EE363C"/>
    <w:rsid w:val="00EE414A"/>
    <w:rsid w:val="00EE43FF"/>
    <w:rsid w:val="00EE44A4"/>
    <w:rsid w:val="00EE4C88"/>
    <w:rsid w:val="00EE5096"/>
    <w:rsid w:val="00EE5B56"/>
    <w:rsid w:val="00EE5BBE"/>
    <w:rsid w:val="00EE61C4"/>
    <w:rsid w:val="00EE6583"/>
    <w:rsid w:val="00EE69A6"/>
    <w:rsid w:val="00EE7265"/>
    <w:rsid w:val="00EE7694"/>
    <w:rsid w:val="00EE7954"/>
    <w:rsid w:val="00EE7A3D"/>
    <w:rsid w:val="00EE7ABD"/>
    <w:rsid w:val="00EE7C6E"/>
    <w:rsid w:val="00EE7E25"/>
    <w:rsid w:val="00EF0211"/>
    <w:rsid w:val="00EF0274"/>
    <w:rsid w:val="00EF02B4"/>
    <w:rsid w:val="00EF0D9F"/>
    <w:rsid w:val="00EF16CE"/>
    <w:rsid w:val="00EF1C2F"/>
    <w:rsid w:val="00EF1D15"/>
    <w:rsid w:val="00EF2049"/>
    <w:rsid w:val="00EF2299"/>
    <w:rsid w:val="00EF2A43"/>
    <w:rsid w:val="00EF2E86"/>
    <w:rsid w:val="00EF3549"/>
    <w:rsid w:val="00EF398B"/>
    <w:rsid w:val="00EF39AA"/>
    <w:rsid w:val="00EF3A0C"/>
    <w:rsid w:val="00EF3C5C"/>
    <w:rsid w:val="00EF4314"/>
    <w:rsid w:val="00EF43B2"/>
    <w:rsid w:val="00EF46CE"/>
    <w:rsid w:val="00EF4B16"/>
    <w:rsid w:val="00EF4B1B"/>
    <w:rsid w:val="00EF4D6F"/>
    <w:rsid w:val="00EF4D74"/>
    <w:rsid w:val="00EF4D88"/>
    <w:rsid w:val="00EF4FF3"/>
    <w:rsid w:val="00EF51BB"/>
    <w:rsid w:val="00EF5441"/>
    <w:rsid w:val="00EF589C"/>
    <w:rsid w:val="00EF5E38"/>
    <w:rsid w:val="00EF5FEC"/>
    <w:rsid w:val="00EF60D3"/>
    <w:rsid w:val="00EF6202"/>
    <w:rsid w:val="00EF6555"/>
    <w:rsid w:val="00EF66AB"/>
    <w:rsid w:val="00EF7096"/>
    <w:rsid w:val="00EF71AB"/>
    <w:rsid w:val="00EF73E0"/>
    <w:rsid w:val="00EF7C02"/>
    <w:rsid w:val="00EF7FA6"/>
    <w:rsid w:val="00F00387"/>
    <w:rsid w:val="00F004BB"/>
    <w:rsid w:val="00F00A3A"/>
    <w:rsid w:val="00F0199C"/>
    <w:rsid w:val="00F01B29"/>
    <w:rsid w:val="00F01F8D"/>
    <w:rsid w:val="00F01FA3"/>
    <w:rsid w:val="00F02146"/>
    <w:rsid w:val="00F0247B"/>
    <w:rsid w:val="00F02566"/>
    <w:rsid w:val="00F026F2"/>
    <w:rsid w:val="00F027CE"/>
    <w:rsid w:val="00F039EA"/>
    <w:rsid w:val="00F03A89"/>
    <w:rsid w:val="00F03ADE"/>
    <w:rsid w:val="00F03F19"/>
    <w:rsid w:val="00F041B1"/>
    <w:rsid w:val="00F04279"/>
    <w:rsid w:val="00F046A4"/>
    <w:rsid w:val="00F048DA"/>
    <w:rsid w:val="00F04B11"/>
    <w:rsid w:val="00F04F6E"/>
    <w:rsid w:val="00F052F9"/>
    <w:rsid w:val="00F053F6"/>
    <w:rsid w:val="00F05555"/>
    <w:rsid w:val="00F0574E"/>
    <w:rsid w:val="00F064D2"/>
    <w:rsid w:val="00F067A0"/>
    <w:rsid w:val="00F06C39"/>
    <w:rsid w:val="00F07521"/>
    <w:rsid w:val="00F076B1"/>
    <w:rsid w:val="00F07A5F"/>
    <w:rsid w:val="00F07AFB"/>
    <w:rsid w:val="00F07CAF"/>
    <w:rsid w:val="00F07EC7"/>
    <w:rsid w:val="00F07F73"/>
    <w:rsid w:val="00F10894"/>
    <w:rsid w:val="00F109AC"/>
    <w:rsid w:val="00F10A09"/>
    <w:rsid w:val="00F10A85"/>
    <w:rsid w:val="00F10D8C"/>
    <w:rsid w:val="00F11224"/>
    <w:rsid w:val="00F11301"/>
    <w:rsid w:val="00F113D3"/>
    <w:rsid w:val="00F11664"/>
    <w:rsid w:val="00F116CE"/>
    <w:rsid w:val="00F11DAA"/>
    <w:rsid w:val="00F124F3"/>
    <w:rsid w:val="00F1330A"/>
    <w:rsid w:val="00F133BA"/>
    <w:rsid w:val="00F136BD"/>
    <w:rsid w:val="00F13D21"/>
    <w:rsid w:val="00F1440D"/>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724"/>
    <w:rsid w:val="00F20DF1"/>
    <w:rsid w:val="00F21158"/>
    <w:rsid w:val="00F2122E"/>
    <w:rsid w:val="00F213AB"/>
    <w:rsid w:val="00F21593"/>
    <w:rsid w:val="00F223CF"/>
    <w:rsid w:val="00F2265A"/>
    <w:rsid w:val="00F22978"/>
    <w:rsid w:val="00F22B94"/>
    <w:rsid w:val="00F22E58"/>
    <w:rsid w:val="00F230C3"/>
    <w:rsid w:val="00F231D7"/>
    <w:rsid w:val="00F240ED"/>
    <w:rsid w:val="00F2418C"/>
    <w:rsid w:val="00F246F0"/>
    <w:rsid w:val="00F25192"/>
    <w:rsid w:val="00F25359"/>
    <w:rsid w:val="00F25371"/>
    <w:rsid w:val="00F255B3"/>
    <w:rsid w:val="00F2570D"/>
    <w:rsid w:val="00F259A5"/>
    <w:rsid w:val="00F260BD"/>
    <w:rsid w:val="00F263EF"/>
    <w:rsid w:val="00F265C7"/>
    <w:rsid w:val="00F267D7"/>
    <w:rsid w:val="00F26B3C"/>
    <w:rsid w:val="00F273A9"/>
    <w:rsid w:val="00F27751"/>
    <w:rsid w:val="00F27AC8"/>
    <w:rsid w:val="00F27B49"/>
    <w:rsid w:val="00F27D9B"/>
    <w:rsid w:val="00F27E85"/>
    <w:rsid w:val="00F27EA3"/>
    <w:rsid w:val="00F27F2C"/>
    <w:rsid w:val="00F301ED"/>
    <w:rsid w:val="00F3042B"/>
    <w:rsid w:val="00F30767"/>
    <w:rsid w:val="00F30786"/>
    <w:rsid w:val="00F30CB8"/>
    <w:rsid w:val="00F30F8D"/>
    <w:rsid w:val="00F31565"/>
    <w:rsid w:val="00F315FD"/>
    <w:rsid w:val="00F317EE"/>
    <w:rsid w:val="00F3205B"/>
    <w:rsid w:val="00F3262E"/>
    <w:rsid w:val="00F326D2"/>
    <w:rsid w:val="00F329FF"/>
    <w:rsid w:val="00F32CFB"/>
    <w:rsid w:val="00F32EBB"/>
    <w:rsid w:val="00F33066"/>
    <w:rsid w:val="00F33D04"/>
    <w:rsid w:val="00F344AE"/>
    <w:rsid w:val="00F34537"/>
    <w:rsid w:val="00F34EEC"/>
    <w:rsid w:val="00F35185"/>
    <w:rsid w:val="00F36396"/>
    <w:rsid w:val="00F3663D"/>
    <w:rsid w:val="00F366E9"/>
    <w:rsid w:val="00F36A43"/>
    <w:rsid w:val="00F36E24"/>
    <w:rsid w:val="00F36FB3"/>
    <w:rsid w:val="00F370DB"/>
    <w:rsid w:val="00F3718A"/>
    <w:rsid w:val="00F371E0"/>
    <w:rsid w:val="00F3784A"/>
    <w:rsid w:val="00F37BCD"/>
    <w:rsid w:val="00F402EC"/>
    <w:rsid w:val="00F403CE"/>
    <w:rsid w:val="00F4097A"/>
    <w:rsid w:val="00F40E06"/>
    <w:rsid w:val="00F40E9D"/>
    <w:rsid w:val="00F41370"/>
    <w:rsid w:val="00F415BC"/>
    <w:rsid w:val="00F41707"/>
    <w:rsid w:val="00F41E90"/>
    <w:rsid w:val="00F41E93"/>
    <w:rsid w:val="00F41EB9"/>
    <w:rsid w:val="00F42484"/>
    <w:rsid w:val="00F4276F"/>
    <w:rsid w:val="00F42AFB"/>
    <w:rsid w:val="00F43A7E"/>
    <w:rsid w:val="00F43D4E"/>
    <w:rsid w:val="00F43E01"/>
    <w:rsid w:val="00F43F42"/>
    <w:rsid w:val="00F44396"/>
    <w:rsid w:val="00F44A88"/>
    <w:rsid w:val="00F4515A"/>
    <w:rsid w:val="00F4520B"/>
    <w:rsid w:val="00F45595"/>
    <w:rsid w:val="00F455E3"/>
    <w:rsid w:val="00F45775"/>
    <w:rsid w:val="00F45838"/>
    <w:rsid w:val="00F459A3"/>
    <w:rsid w:val="00F461B4"/>
    <w:rsid w:val="00F46247"/>
    <w:rsid w:val="00F4625A"/>
    <w:rsid w:val="00F4631B"/>
    <w:rsid w:val="00F46750"/>
    <w:rsid w:val="00F469C5"/>
    <w:rsid w:val="00F46F19"/>
    <w:rsid w:val="00F4713D"/>
    <w:rsid w:val="00F4716D"/>
    <w:rsid w:val="00F4737A"/>
    <w:rsid w:val="00F47780"/>
    <w:rsid w:val="00F47A33"/>
    <w:rsid w:val="00F47F93"/>
    <w:rsid w:val="00F47FFE"/>
    <w:rsid w:val="00F50592"/>
    <w:rsid w:val="00F5071A"/>
    <w:rsid w:val="00F507D4"/>
    <w:rsid w:val="00F50C29"/>
    <w:rsid w:val="00F50E35"/>
    <w:rsid w:val="00F50FCF"/>
    <w:rsid w:val="00F513AD"/>
    <w:rsid w:val="00F514D2"/>
    <w:rsid w:val="00F5160E"/>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40"/>
    <w:rsid w:val="00F55477"/>
    <w:rsid w:val="00F55D02"/>
    <w:rsid w:val="00F55F2E"/>
    <w:rsid w:val="00F5728F"/>
    <w:rsid w:val="00F57424"/>
    <w:rsid w:val="00F57801"/>
    <w:rsid w:val="00F579D3"/>
    <w:rsid w:val="00F60A75"/>
    <w:rsid w:val="00F60D72"/>
    <w:rsid w:val="00F61054"/>
    <w:rsid w:val="00F61073"/>
    <w:rsid w:val="00F61996"/>
    <w:rsid w:val="00F62173"/>
    <w:rsid w:val="00F62208"/>
    <w:rsid w:val="00F62238"/>
    <w:rsid w:val="00F62321"/>
    <w:rsid w:val="00F62A1F"/>
    <w:rsid w:val="00F62AB6"/>
    <w:rsid w:val="00F62C68"/>
    <w:rsid w:val="00F63119"/>
    <w:rsid w:val="00F63526"/>
    <w:rsid w:val="00F63720"/>
    <w:rsid w:val="00F63F0A"/>
    <w:rsid w:val="00F6471D"/>
    <w:rsid w:val="00F647D1"/>
    <w:rsid w:val="00F64943"/>
    <w:rsid w:val="00F64E1E"/>
    <w:rsid w:val="00F64E49"/>
    <w:rsid w:val="00F65693"/>
    <w:rsid w:val="00F657B2"/>
    <w:rsid w:val="00F65B35"/>
    <w:rsid w:val="00F65EF5"/>
    <w:rsid w:val="00F662FF"/>
    <w:rsid w:val="00F668DE"/>
    <w:rsid w:val="00F66C7C"/>
    <w:rsid w:val="00F66C9E"/>
    <w:rsid w:val="00F67189"/>
    <w:rsid w:val="00F6740A"/>
    <w:rsid w:val="00F67656"/>
    <w:rsid w:val="00F67731"/>
    <w:rsid w:val="00F67C20"/>
    <w:rsid w:val="00F67CD0"/>
    <w:rsid w:val="00F707EF"/>
    <w:rsid w:val="00F70B92"/>
    <w:rsid w:val="00F70BE3"/>
    <w:rsid w:val="00F70DA4"/>
    <w:rsid w:val="00F70F20"/>
    <w:rsid w:val="00F7139F"/>
    <w:rsid w:val="00F7140B"/>
    <w:rsid w:val="00F719D4"/>
    <w:rsid w:val="00F71AC0"/>
    <w:rsid w:val="00F71D3F"/>
    <w:rsid w:val="00F71D69"/>
    <w:rsid w:val="00F71EB8"/>
    <w:rsid w:val="00F729C4"/>
    <w:rsid w:val="00F72A4E"/>
    <w:rsid w:val="00F731DD"/>
    <w:rsid w:val="00F73258"/>
    <w:rsid w:val="00F73369"/>
    <w:rsid w:val="00F73A85"/>
    <w:rsid w:val="00F73AA5"/>
    <w:rsid w:val="00F73B11"/>
    <w:rsid w:val="00F73B82"/>
    <w:rsid w:val="00F73F23"/>
    <w:rsid w:val="00F74653"/>
    <w:rsid w:val="00F74830"/>
    <w:rsid w:val="00F74C09"/>
    <w:rsid w:val="00F7556F"/>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647"/>
    <w:rsid w:val="00F80751"/>
    <w:rsid w:val="00F81E7E"/>
    <w:rsid w:val="00F82170"/>
    <w:rsid w:val="00F82216"/>
    <w:rsid w:val="00F8228D"/>
    <w:rsid w:val="00F823D9"/>
    <w:rsid w:val="00F82735"/>
    <w:rsid w:val="00F82C2F"/>
    <w:rsid w:val="00F82D7F"/>
    <w:rsid w:val="00F82FFC"/>
    <w:rsid w:val="00F830EA"/>
    <w:rsid w:val="00F83AB6"/>
    <w:rsid w:val="00F83D77"/>
    <w:rsid w:val="00F84219"/>
    <w:rsid w:val="00F8498B"/>
    <w:rsid w:val="00F851CA"/>
    <w:rsid w:val="00F85816"/>
    <w:rsid w:val="00F85B1F"/>
    <w:rsid w:val="00F85B79"/>
    <w:rsid w:val="00F85C90"/>
    <w:rsid w:val="00F86137"/>
    <w:rsid w:val="00F86295"/>
    <w:rsid w:val="00F862D5"/>
    <w:rsid w:val="00F863E0"/>
    <w:rsid w:val="00F86479"/>
    <w:rsid w:val="00F869B6"/>
    <w:rsid w:val="00F870C3"/>
    <w:rsid w:val="00F87A50"/>
    <w:rsid w:val="00F87B8C"/>
    <w:rsid w:val="00F91395"/>
    <w:rsid w:val="00F91527"/>
    <w:rsid w:val="00F918F7"/>
    <w:rsid w:val="00F91B1B"/>
    <w:rsid w:val="00F91BB5"/>
    <w:rsid w:val="00F91D51"/>
    <w:rsid w:val="00F91E4F"/>
    <w:rsid w:val="00F91FE9"/>
    <w:rsid w:val="00F92159"/>
    <w:rsid w:val="00F923EC"/>
    <w:rsid w:val="00F92476"/>
    <w:rsid w:val="00F92801"/>
    <w:rsid w:val="00F929D8"/>
    <w:rsid w:val="00F93325"/>
    <w:rsid w:val="00F93CC9"/>
    <w:rsid w:val="00F93EAD"/>
    <w:rsid w:val="00F93FAE"/>
    <w:rsid w:val="00F941CC"/>
    <w:rsid w:val="00F9509B"/>
    <w:rsid w:val="00F957DA"/>
    <w:rsid w:val="00F96952"/>
    <w:rsid w:val="00F96A8B"/>
    <w:rsid w:val="00F96F59"/>
    <w:rsid w:val="00F970BF"/>
    <w:rsid w:val="00F9746A"/>
    <w:rsid w:val="00FA0114"/>
    <w:rsid w:val="00FA0688"/>
    <w:rsid w:val="00FA070E"/>
    <w:rsid w:val="00FA09AD"/>
    <w:rsid w:val="00FA17C3"/>
    <w:rsid w:val="00FA1AD8"/>
    <w:rsid w:val="00FA208E"/>
    <w:rsid w:val="00FA20A2"/>
    <w:rsid w:val="00FA2305"/>
    <w:rsid w:val="00FA23AA"/>
    <w:rsid w:val="00FA303A"/>
    <w:rsid w:val="00FA364C"/>
    <w:rsid w:val="00FA37C3"/>
    <w:rsid w:val="00FA3FBE"/>
    <w:rsid w:val="00FA3FCB"/>
    <w:rsid w:val="00FA425D"/>
    <w:rsid w:val="00FA4B06"/>
    <w:rsid w:val="00FA4B17"/>
    <w:rsid w:val="00FA5545"/>
    <w:rsid w:val="00FA5765"/>
    <w:rsid w:val="00FA58C5"/>
    <w:rsid w:val="00FA596C"/>
    <w:rsid w:val="00FA5EC2"/>
    <w:rsid w:val="00FA5F3F"/>
    <w:rsid w:val="00FA6320"/>
    <w:rsid w:val="00FA6721"/>
    <w:rsid w:val="00FA6CA3"/>
    <w:rsid w:val="00FA7326"/>
    <w:rsid w:val="00FA79F2"/>
    <w:rsid w:val="00FA7DB6"/>
    <w:rsid w:val="00FA7F2C"/>
    <w:rsid w:val="00FA7FE0"/>
    <w:rsid w:val="00FB02B8"/>
    <w:rsid w:val="00FB035D"/>
    <w:rsid w:val="00FB05EA"/>
    <w:rsid w:val="00FB0701"/>
    <w:rsid w:val="00FB0740"/>
    <w:rsid w:val="00FB0B69"/>
    <w:rsid w:val="00FB1279"/>
    <w:rsid w:val="00FB1532"/>
    <w:rsid w:val="00FB1A8A"/>
    <w:rsid w:val="00FB222F"/>
    <w:rsid w:val="00FB22C6"/>
    <w:rsid w:val="00FB2918"/>
    <w:rsid w:val="00FB2C82"/>
    <w:rsid w:val="00FB43F9"/>
    <w:rsid w:val="00FB46D3"/>
    <w:rsid w:val="00FB48C8"/>
    <w:rsid w:val="00FB4911"/>
    <w:rsid w:val="00FB5190"/>
    <w:rsid w:val="00FB5477"/>
    <w:rsid w:val="00FB5719"/>
    <w:rsid w:val="00FB5A89"/>
    <w:rsid w:val="00FB5D3E"/>
    <w:rsid w:val="00FB5F7C"/>
    <w:rsid w:val="00FB60CB"/>
    <w:rsid w:val="00FB6665"/>
    <w:rsid w:val="00FB6671"/>
    <w:rsid w:val="00FB6836"/>
    <w:rsid w:val="00FB6EF6"/>
    <w:rsid w:val="00FB7FE8"/>
    <w:rsid w:val="00FC00AC"/>
    <w:rsid w:val="00FC0225"/>
    <w:rsid w:val="00FC0C63"/>
    <w:rsid w:val="00FC0C90"/>
    <w:rsid w:val="00FC0EDE"/>
    <w:rsid w:val="00FC1327"/>
    <w:rsid w:val="00FC13BB"/>
    <w:rsid w:val="00FC19D2"/>
    <w:rsid w:val="00FC1BD7"/>
    <w:rsid w:val="00FC1E70"/>
    <w:rsid w:val="00FC1F61"/>
    <w:rsid w:val="00FC1FF0"/>
    <w:rsid w:val="00FC26DE"/>
    <w:rsid w:val="00FC27F3"/>
    <w:rsid w:val="00FC2A56"/>
    <w:rsid w:val="00FC2B0E"/>
    <w:rsid w:val="00FC2B57"/>
    <w:rsid w:val="00FC2BEB"/>
    <w:rsid w:val="00FC2E0F"/>
    <w:rsid w:val="00FC3093"/>
    <w:rsid w:val="00FC3771"/>
    <w:rsid w:val="00FC3C07"/>
    <w:rsid w:val="00FC3DEA"/>
    <w:rsid w:val="00FC4283"/>
    <w:rsid w:val="00FC4405"/>
    <w:rsid w:val="00FC445B"/>
    <w:rsid w:val="00FC4604"/>
    <w:rsid w:val="00FC46B8"/>
    <w:rsid w:val="00FC48F6"/>
    <w:rsid w:val="00FC4D50"/>
    <w:rsid w:val="00FC4DBC"/>
    <w:rsid w:val="00FC4F2B"/>
    <w:rsid w:val="00FC5189"/>
    <w:rsid w:val="00FC51AB"/>
    <w:rsid w:val="00FC5212"/>
    <w:rsid w:val="00FC57D0"/>
    <w:rsid w:val="00FC5B4A"/>
    <w:rsid w:val="00FC5EFA"/>
    <w:rsid w:val="00FC718E"/>
    <w:rsid w:val="00FD04F3"/>
    <w:rsid w:val="00FD0741"/>
    <w:rsid w:val="00FD09F8"/>
    <w:rsid w:val="00FD0D5D"/>
    <w:rsid w:val="00FD0DDC"/>
    <w:rsid w:val="00FD0F79"/>
    <w:rsid w:val="00FD1261"/>
    <w:rsid w:val="00FD18D5"/>
    <w:rsid w:val="00FD1915"/>
    <w:rsid w:val="00FD1D79"/>
    <w:rsid w:val="00FD2606"/>
    <w:rsid w:val="00FD2694"/>
    <w:rsid w:val="00FD2B88"/>
    <w:rsid w:val="00FD2CE3"/>
    <w:rsid w:val="00FD2D8A"/>
    <w:rsid w:val="00FD2DC8"/>
    <w:rsid w:val="00FD2ED0"/>
    <w:rsid w:val="00FD337D"/>
    <w:rsid w:val="00FD3432"/>
    <w:rsid w:val="00FD3434"/>
    <w:rsid w:val="00FD3441"/>
    <w:rsid w:val="00FD3B42"/>
    <w:rsid w:val="00FD407F"/>
    <w:rsid w:val="00FD416F"/>
    <w:rsid w:val="00FD420E"/>
    <w:rsid w:val="00FD439B"/>
    <w:rsid w:val="00FD4669"/>
    <w:rsid w:val="00FD4C16"/>
    <w:rsid w:val="00FD4DFA"/>
    <w:rsid w:val="00FD50ED"/>
    <w:rsid w:val="00FD57BC"/>
    <w:rsid w:val="00FD59FB"/>
    <w:rsid w:val="00FD5BD4"/>
    <w:rsid w:val="00FD62C6"/>
    <w:rsid w:val="00FD62D4"/>
    <w:rsid w:val="00FD64A3"/>
    <w:rsid w:val="00FD6BF4"/>
    <w:rsid w:val="00FD72D1"/>
    <w:rsid w:val="00FD7413"/>
    <w:rsid w:val="00FD75B7"/>
    <w:rsid w:val="00FD7974"/>
    <w:rsid w:val="00FD79AB"/>
    <w:rsid w:val="00FD7FA0"/>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1D1"/>
    <w:rsid w:val="00FE743F"/>
    <w:rsid w:val="00FE77A2"/>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337"/>
    <w:rsid w:val="00FF63D4"/>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4643198"/>
  <w15:chartTrackingRefBased/>
  <w15:docId w15:val="{E7E39442-91F4-4635-8895-6B41A76D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946342"/>
    <w:pPr>
      <w:spacing w:before="640"/>
      <w:outlineLvl w:val="1"/>
    </w:pPr>
    <w:rPr>
      <w:bCs w:val="0"/>
      <w:iCs/>
      <w:sz w:val="31"/>
      <w:szCs w:val="28"/>
    </w:rPr>
  </w:style>
  <w:style w:type="paragraph" w:styleId="Heading3">
    <w:name w:val="heading 3"/>
    <w:basedOn w:val="Normal"/>
    <w:next w:val="BodyText"/>
    <w:qFormat/>
    <w:rsid w:val="005D3A12"/>
    <w:pPr>
      <w:keepNext/>
      <w:keepLines/>
      <w:spacing w:before="240" w:after="180"/>
      <w:outlineLvl w:val="2"/>
    </w:pPr>
    <w:rPr>
      <w:rFonts w:cs="Arial"/>
      <w:b/>
      <w:iCs/>
      <w:color w:val="005984"/>
      <w:kern w:val="32"/>
      <w:sz w:val="26"/>
      <w:szCs w:val="28"/>
    </w:rPr>
  </w:style>
  <w:style w:type="paragraph" w:styleId="Heading4">
    <w:name w:val="heading 4"/>
    <w:basedOn w:val="Heading3"/>
    <w:next w:val="BodyText"/>
    <w:qFormat/>
    <w:rsid w:val="006D2AF8"/>
    <w:pPr>
      <w:outlineLvl w:val="3"/>
    </w:pPr>
    <w:rPr>
      <w:bCs/>
      <w:i/>
      <w:sz w:val="22"/>
    </w:rPr>
  </w:style>
  <w:style w:type="paragraph" w:styleId="Heading5">
    <w:name w:val="heading 5"/>
    <w:basedOn w:val="Heading4"/>
    <w:next w:val="BodyText"/>
    <w:rsid w:val="00335E48"/>
    <w:pPr>
      <w:spacing w:before="0"/>
      <w:outlineLvl w:val="4"/>
    </w:pPr>
    <w:rPr>
      <w:rFonts w:cs="Times New Roman"/>
      <w:b w:val="0"/>
      <w:kern w:val="0"/>
      <w:szCs w:val="26"/>
    </w:rPr>
  </w:style>
  <w:style w:type="paragraph" w:styleId="Heading6">
    <w:name w:val="heading 6"/>
    <w:basedOn w:val="Heading5"/>
    <w:next w:val="BodyText"/>
    <w:rsid w:val="00FC0C63"/>
    <w:pPr>
      <w:spacing w:before="240" w:after="60"/>
      <w:outlineLvl w:val="5"/>
    </w:pPr>
    <w:rPr>
      <w:bCs w:val="0"/>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tabs>
        <w:tab w:val="clear" w:pos="567"/>
      </w:tabs>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tabs>
        <w:tab w:val="clear" w:pos="567"/>
      </w:tabs>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customStyle="1" w:styleId="FootnoteTextChar">
    <w:name w:val="Footnote Text Char"/>
    <w:basedOn w:val="DefaultParagraphFont"/>
    <w:link w:val="FootnoteText"/>
    <w:rsid w:val="009F4260"/>
    <w:rPr>
      <w:rFonts w:ascii="Arial" w:hAnsi="Arial"/>
      <w:sz w:val="18"/>
      <w:lang w:eastAsia="en-GB"/>
    </w:rPr>
  </w:style>
  <w:style w:type="character" w:styleId="UnresolvedMention">
    <w:name w:val="Unresolved Mention"/>
    <w:basedOn w:val="DefaultParagraphFont"/>
    <w:uiPriority w:val="99"/>
    <w:semiHidden/>
    <w:unhideWhenUsed/>
    <w:rsid w:val="00F870C3"/>
    <w:rPr>
      <w:color w:val="605E5C"/>
      <w:shd w:val="clear" w:color="auto" w:fill="E1DFDD"/>
    </w:rPr>
  </w:style>
  <w:style w:type="table" w:customStyle="1" w:styleId="ACTCOSStable-alternatingrowcolours">
    <w:name w:val="ACTCOSS table - alternating row colours"/>
    <w:basedOn w:val="TableNormal"/>
    <w:uiPriority w:val="99"/>
    <w:rsid w:val="00B946C0"/>
    <w:tblPr>
      <w:tblStyleRowBandSize w:val="1"/>
      <w:tblBorders>
        <w:top w:val="single" w:sz="4" w:space="0" w:color="7F7F7F" w:themeColor="text1" w:themeTint="80"/>
        <w:bottom w:val="single" w:sz="4" w:space="0" w:color="7F7F7F" w:themeColor="text1" w:themeTint="80"/>
      </w:tblBorders>
    </w:tblPr>
    <w:tblStylePr w:type="firstRow">
      <w:tblPr/>
      <w:tcPr>
        <w:tcBorders>
          <w:bottom w:val="single" w:sz="4" w:space="0" w:color="7F7F7F" w:themeColor="text1" w:themeTint="80"/>
        </w:tcBorders>
      </w:tcPr>
    </w:tblStylePr>
    <w:tblStylePr w:type="band1Horz">
      <w:tblPr/>
      <w:tcPr>
        <w:shd w:val="clear" w:color="auto" w:fill="DEEAF6"/>
      </w:tcPr>
    </w:tblStylePr>
  </w:style>
  <w:style w:type="paragraph" w:customStyle="1" w:styleId="Figuretitle">
    <w:name w:val="Figure title"/>
    <w:basedOn w:val="Normal"/>
    <w:qFormat/>
    <w:rsid w:val="00436D92"/>
    <w:pPr>
      <w:keepNext/>
      <w:spacing w:before="360" w:after="120"/>
    </w:pPr>
    <w:rPr>
      <w:b/>
      <w:sz w:val="21"/>
    </w:rPr>
  </w:style>
  <w:style w:type="paragraph" w:styleId="Quote">
    <w:name w:val="Quote"/>
    <w:basedOn w:val="Normal"/>
    <w:next w:val="Normal"/>
    <w:link w:val="QuoteChar"/>
    <w:uiPriority w:val="29"/>
    <w:rsid w:val="0093733C"/>
    <w:pPr>
      <w:pBdr>
        <w:left w:val="single" w:sz="36" w:space="23" w:color="D9D9D9" w:themeColor="background1" w:themeShade="D9"/>
      </w:pBdr>
      <w:spacing w:before="360" w:after="160"/>
      <w:ind w:left="567" w:right="567"/>
    </w:pPr>
    <w:rPr>
      <w:i/>
      <w:iCs/>
      <w:color w:val="404040" w:themeColor="text1" w:themeTint="BF"/>
    </w:rPr>
  </w:style>
  <w:style w:type="character" w:customStyle="1" w:styleId="QuoteChar">
    <w:name w:val="Quote Char"/>
    <w:basedOn w:val="DefaultParagraphFont"/>
    <w:link w:val="Quote"/>
    <w:uiPriority w:val="29"/>
    <w:rsid w:val="0093733C"/>
    <w:rPr>
      <w:rFonts w:ascii="Arial" w:hAnsi="Arial"/>
      <w:i/>
      <w:iCs/>
      <w:color w:val="404040" w:themeColor="text1" w:themeTint="BF"/>
      <w:sz w:val="24"/>
      <w:szCs w:val="22"/>
      <w:lang w:eastAsia="en-GB"/>
    </w:rPr>
  </w:style>
  <w:style w:type="paragraph" w:styleId="IntenseQuote">
    <w:name w:val="Intense Quote"/>
    <w:basedOn w:val="Normal"/>
    <w:next w:val="Normal"/>
    <w:link w:val="IntenseQuoteChar"/>
    <w:uiPriority w:val="30"/>
    <w:rsid w:val="006E39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39CF"/>
    <w:rPr>
      <w:rFonts w:ascii="Arial" w:hAnsi="Arial"/>
      <w:i/>
      <w:iCs/>
      <w:color w:val="4472C4" w:themeColor="accent1"/>
      <w:sz w:val="24"/>
      <w:szCs w:val="22"/>
      <w:lang w:eastAsia="en-GB"/>
    </w:rPr>
  </w:style>
  <w:style w:type="paragraph" w:customStyle="1" w:styleId="Quote-source">
    <w:name w:val="Quote - source"/>
    <w:basedOn w:val="Quote"/>
    <w:rsid w:val="0023226B"/>
    <w:pPr>
      <w:spacing w:before="0" w:after="60"/>
      <w:jc w:val="right"/>
    </w:pPr>
    <w:rPr>
      <w:i w:val="0"/>
      <w:iCs w:val="0"/>
      <w:sz w:val="22"/>
      <w:szCs w:val="20"/>
    </w:rPr>
  </w:style>
  <w:style w:type="paragraph" w:customStyle="1" w:styleId="Recommendationactions">
    <w:name w:val="Recommendation actions"/>
    <w:basedOn w:val="Heading3"/>
    <w:qFormat/>
    <w:rsid w:val="00F65EF5"/>
    <w:rPr>
      <w:i/>
      <w:sz w:val="22"/>
    </w:rPr>
  </w:style>
  <w:style w:type="paragraph" w:styleId="NoSpacing">
    <w:name w:val="No Spacing"/>
    <w:uiPriority w:val="1"/>
    <w:qFormat/>
    <w:rsid w:val="00732BF2"/>
    <w:rPr>
      <w:rFonts w:ascii="Arial" w:hAnsi="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0971">
      <w:bodyDiv w:val="1"/>
      <w:marLeft w:val="0"/>
      <w:marRight w:val="0"/>
      <w:marTop w:val="0"/>
      <w:marBottom w:val="0"/>
      <w:divBdr>
        <w:top w:val="none" w:sz="0" w:space="0" w:color="auto"/>
        <w:left w:val="none" w:sz="0" w:space="0" w:color="auto"/>
        <w:bottom w:val="none" w:sz="0" w:space="0" w:color="auto"/>
        <w:right w:val="none" w:sz="0" w:space="0" w:color="auto"/>
      </w:divBdr>
    </w:div>
    <w:div w:id="1010137967">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582831056">
      <w:bodyDiv w:val="1"/>
      <w:marLeft w:val="0"/>
      <w:marRight w:val="0"/>
      <w:marTop w:val="0"/>
      <w:marBottom w:val="0"/>
      <w:divBdr>
        <w:top w:val="none" w:sz="0" w:space="0" w:color="auto"/>
        <w:left w:val="none" w:sz="0" w:space="0" w:color="auto"/>
        <w:bottom w:val="none" w:sz="0" w:space="0" w:color="auto"/>
        <w:right w:val="none" w:sz="0" w:space="0" w:color="auto"/>
      </w:divBdr>
    </w:div>
    <w:div w:id="17155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abs.gov.au/ausstats/abs@.nsf/mf/6401.0?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guides.dss.gov.au/guide-social-security-law/5/1/8/5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www.abs.gov.au/ausstats/abs@.nsf/mf/63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abs.gov.au/AUSSTATS/abs@.nsf/allprimarymainfeatures/E592A3A56EBC2B31CA257C130017D2FA?opendocument"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abs.gov.au/AUSSTATS/abs@.nsf/DetailsPage/6401.0Dec%202019?OpenDocument" TargetMode="External"/><Relationship Id="rId18" Type="http://schemas.openxmlformats.org/officeDocument/2006/relationships/hyperlink" Target="https://www.abs.gov.au/AUSSTATS/abs@.nsf/DetailsPage/4130.02017-18?OpenDocument" TargetMode="External"/><Relationship Id="rId26" Type="http://schemas.openxmlformats.org/officeDocument/2006/relationships/hyperlink" Target="https://www.abs.gov.au/ausstats/abs@.nsf/mf/4130.0" TargetMode="External"/><Relationship Id="rId39" Type="http://schemas.openxmlformats.org/officeDocument/2006/relationships/hyperlink" Target="https://www.abs.gov.au/ausstats/abs@.nsf/mf/4130.0" TargetMode="External"/><Relationship Id="rId21" Type="http://schemas.openxmlformats.org/officeDocument/2006/relationships/hyperlink" Target="https://www.sgsep.com.au/assets/main/Projects/SGS-Economics-and-Planning_RAI-November-2019.pdf" TargetMode="External"/><Relationship Id="rId34" Type="http://schemas.openxmlformats.org/officeDocument/2006/relationships/hyperlink" Target="https://www.communityservices.act.gov.au/hcs/services/social_housing/waiting_lists" TargetMode="External"/><Relationship Id="rId42" Type="http://schemas.openxmlformats.org/officeDocument/2006/relationships/hyperlink" Target="https://apps.treasury.act.gov.au/taxreform" TargetMode="External"/><Relationship Id="rId47" Type="http://schemas.openxmlformats.org/officeDocument/2006/relationships/hyperlink" Target="https://www1.racgp.org.au/RACGP/media/AJGP/documents/Appendices/GP-bulk-billing-rates-by-electorate.pdf" TargetMode="External"/><Relationship Id="rId50" Type="http://schemas.openxmlformats.org/officeDocument/2006/relationships/hyperlink" Target="https://www.actcoss.org.au/sites/default/files/public/publications/2019-report-imagining-better-act-health-services-for-people-with-disability.pdf" TargetMode="External"/><Relationship Id="rId55" Type="http://schemas.openxmlformats.org/officeDocument/2006/relationships/hyperlink" Target="http://povertyandinequality.acoss.org.au/poverty/poverty-lines-by-family-type/" TargetMode="External"/><Relationship Id="rId63" Type="http://schemas.openxmlformats.org/officeDocument/2006/relationships/hyperlink" Target="https://raisetherate.org.au/" TargetMode="External"/><Relationship Id="rId68" Type="http://schemas.openxmlformats.org/officeDocument/2006/relationships/hyperlink" Target="https://www.abs.gov.au/AUSSTATS/abs@.nsf/Lookup/6467.0Explanatory%20Notes1Dec%202018?OpenDocument" TargetMode="External"/><Relationship Id="rId7" Type="http://schemas.openxmlformats.org/officeDocument/2006/relationships/hyperlink" Target="https://data.gov.au/dataset/ds-dga-cff2ae8a-55e4-47db-a66d-e177fe0ac6a0/details?q=dss" TargetMode="External"/><Relationship Id="rId2" Type="http://schemas.openxmlformats.org/officeDocument/2006/relationships/hyperlink" Target="http://www.wchm.org.au/wp-content/uploads/2018/06/Hidden-disadvantage-among-women-in-the-ACT-final.pdf" TargetMode="External"/><Relationship Id="rId16" Type="http://schemas.openxmlformats.org/officeDocument/2006/relationships/hyperlink" Target="https://www.icrc.act.gov.au/__data/assets/pdf_file/0003/1556184/Media-Release-Electricity-Final-Report.pdf" TargetMode="External"/><Relationship Id="rId29" Type="http://schemas.openxmlformats.org/officeDocument/2006/relationships/hyperlink" Target="https://www.aihw.gov.au/reports/housing-assistance/housing-assistance-in-australia-2020/data" TargetMode="External"/><Relationship Id="rId1" Type="http://schemas.openxmlformats.org/officeDocument/2006/relationships/hyperlink" Target="https://www.actcoss.org.au/publications/advocacy-publications/hidden-disadvantage-act-report-anti-poverty-week-2017" TargetMode="External"/><Relationship Id="rId6" Type="http://schemas.openxmlformats.org/officeDocument/2006/relationships/hyperlink" Target="http://povertyandinequality.acoss.org.au/wp-content/uploads/2020/05/Poverty-in-Australia-2020-Part-2-&#8211;-Who-is-affected_Final.pdf" TargetMode="External"/><Relationship Id="rId11" Type="http://schemas.openxmlformats.org/officeDocument/2006/relationships/hyperlink" Target="https://www.abs.gov.au/AUSSTATS/abs@.nsf/DetailsPage/6401.0Dec%202019?OpenDocument" TargetMode="External"/><Relationship Id="rId24" Type="http://schemas.openxmlformats.org/officeDocument/2006/relationships/hyperlink" Target="https://www.canberratimes.com.au/story/6902578/only-one-of-800-canberra-rentals-affordable-for-a-tenant-on-jobseeker/" TargetMode="External"/><Relationship Id="rId32" Type="http://schemas.openxmlformats.org/officeDocument/2006/relationships/hyperlink" Target="https://www.abs.gov.au/AUSSTATS/abs@.nsf/Lookup/2049.0Main+Features12016?OpenDocument" TargetMode="External"/><Relationship Id="rId37" Type="http://schemas.openxmlformats.org/officeDocument/2006/relationships/hyperlink" Target="https://www.actcoss.org.au/publications/advocacy-publications/report-food-security-food-assistance-and-affordability-healthy" TargetMode="External"/><Relationship Id="rId40" Type="http://schemas.openxmlformats.org/officeDocument/2006/relationships/hyperlink" Target="https://apps.treasury.act.gov.au/taxreform" TargetMode="External"/><Relationship Id="rId45" Type="http://schemas.openxmlformats.org/officeDocument/2006/relationships/hyperlink" Target="https://www.revenue.act.gov.au/rates?result_1060955_result_page=4" TargetMode="External"/><Relationship Id="rId53" Type="http://schemas.openxmlformats.org/officeDocument/2006/relationships/hyperlink" Target="https://www.servicesaustralia.gov.au/individuals/services/centrelink/coronavirus-supplement" TargetMode="External"/><Relationship Id="rId58" Type="http://schemas.openxmlformats.org/officeDocument/2006/relationships/hyperlink" Target="https://apps.treasury.act.gov.au/snapshot" TargetMode="External"/><Relationship Id="rId66" Type="http://schemas.openxmlformats.org/officeDocument/2006/relationships/hyperlink" Target="https://www.actcoss.org.au/policy/act-election" TargetMode="External"/><Relationship Id="rId5" Type="http://schemas.openxmlformats.org/officeDocument/2006/relationships/hyperlink" Target="https://www.abs.gov.au/AUSSTATS/abs@.nsf/allprimarymainfeatures/7F76D15354BB25D5CA2575BC001D5866?opendocument" TargetMode="External"/><Relationship Id="rId15" Type="http://schemas.openxmlformats.org/officeDocument/2006/relationships/hyperlink" Target="https://www.vinnies.org.au/icms_docs/320813_ACT_Energy_Prices_July_2020.pdf" TargetMode="External"/><Relationship Id="rId23" Type="http://schemas.openxmlformats.org/officeDocument/2006/relationships/hyperlink" Target="https://anglicare-ras.com/the-findings/" TargetMode="External"/><Relationship Id="rId28" Type="http://schemas.openxmlformats.org/officeDocument/2006/relationships/hyperlink" Target="https://apps.treasury.act.gov.au/budget/economic-and-fiscal-update-2020" TargetMode="External"/><Relationship Id="rId36" Type="http://schemas.openxmlformats.org/officeDocument/2006/relationships/hyperlink" Target="http://www.nwhn.net.au/admin/file/content101/c6/social_housing_initiative_review.pdf" TargetMode="External"/><Relationship Id="rId49" Type="http://schemas.openxmlformats.org/officeDocument/2006/relationships/hyperlink" Target="https://www.aihw.gov.au/reports/health-welfare-expenditure/patient-out-pocket-spending-medicare-2016-17/data" TargetMode="External"/><Relationship Id="rId57" Type="http://schemas.openxmlformats.org/officeDocument/2006/relationships/hyperlink" Target="https://www.acoss.org.au/wp-content/uploads/2020/09/If-It-Wasnt-For-The-Supplement-I-Dont-Know-Where-Id-Be-August-2020-JobSeeker-Survey.pdf" TargetMode="External"/><Relationship Id="rId61" Type="http://schemas.openxmlformats.org/officeDocument/2006/relationships/hyperlink" Target="https://www.acoss.org.au/wp-content/uploads/2020/09/Social-security-next-steps-JUL-UPDATED-2-9_.pdf" TargetMode="External"/><Relationship Id="rId10" Type="http://schemas.openxmlformats.org/officeDocument/2006/relationships/hyperlink" Target="https://www.abs.gov.au/household-expenditure" TargetMode="External"/><Relationship Id="rId19" Type="http://schemas.openxmlformats.org/officeDocument/2006/relationships/hyperlink" Target="https://www.domain.com.au/research/rental-report/june-2020/%23canberra" TargetMode="External"/><Relationship Id="rId31" Type="http://schemas.openxmlformats.org/officeDocument/2006/relationships/hyperlink" Target="https://www.aihw.gov.au/reports/housing-assistance/housing-assistance-in-australia-2020/data" TargetMode="External"/><Relationship Id="rId44" Type="http://schemas.openxmlformats.org/officeDocument/2006/relationships/hyperlink" Target="https://www.revenue.act.gov.au/home-owner-assistance/rates-assistance?result_1060955_result_page=1" TargetMode="External"/><Relationship Id="rId52" Type="http://schemas.openxmlformats.org/officeDocument/2006/relationships/hyperlink" Target="https://www.abs.gov.au/AUSSTATS/abs@.nsf/allprimarymainfeatures/E592A3A56EBC2B31CA257C130017D2FA?opendocument" TargetMode="External"/><Relationship Id="rId60" Type="http://schemas.openxmlformats.org/officeDocument/2006/relationships/hyperlink" Target="https://www.afdo.org.au/wp-content/uploads/2019/09/02A-NATSEM-Online-Disability-Report.pdf" TargetMode="External"/><Relationship Id="rId65" Type="http://schemas.openxmlformats.org/officeDocument/2006/relationships/hyperlink" Target="https://www.acoss.org.au/wp-content/uploads/2020/06/200624-I-Can-Finally-Eat-Fresh-Fruit-And-Vegetables-Results-Of-The-Coronaviru.._.pdf" TargetMode="External"/><Relationship Id="rId4" Type="http://schemas.openxmlformats.org/officeDocument/2006/relationships/hyperlink" Target="http://povertyandinequality.acoss.org.au/publication/poverty-in-australia-2020-part-1-overview/" TargetMode="External"/><Relationship Id="rId9" Type="http://schemas.openxmlformats.org/officeDocument/2006/relationships/hyperlink" Target="https://www.actcoss.org.au/publications/advocacy-publications/act-cost-living-report-2019" TargetMode="External"/><Relationship Id="rId14" Type="http://schemas.openxmlformats.org/officeDocument/2006/relationships/hyperlink" Target="https://www.acoss.org.au/wp-content/uploads/2018/10/Energy-Stressed-in-Australia.pdf" TargetMode="External"/><Relationship Id="rId22" Type="http://schemas.openxmlformats.org/officeDocument/2006/relationships/hyperlink" Target="https://www.anglicare.com.au/wp-content/uploads/2020/04/RAS-2020-ACT-Queanbeyan.pdf" TargetMode="External"/><Relationship Id="rId27" Type="http://schemas.openxmlformats.org/officeDocument/2006/relationships/hyperlink" Target="https://www.acoss.org.au/wp-content/uploads/2020/09/Social-security-next-steps-JUL-UPDATED-2-9_.pdf" TargetMode="External"/><Relationship Id="rId30" Type="http://schemas.openxmlformats.org/officeDocument/2006/relationships/hyperlink" Target="https://www.pc.gov.au/research/ongoing/report-on-government-services/2019/housing-and-homelessness/housing" TargetMode="External"/><Relationship Id="rId35" Type="http://schemas.openxmlformats.org/officeDocument/2006/relationships/hyperlink" Target="https://www.infrastructurevictoria.com.au/wp-content/uploads/2019/04/Infrastructure-Victoria-Technical-Paper-&#8211;-What-are-the-impacts-of-living-in-social-housing-May-2018.pdf" TargetMode="External"/><Relationship Id="rId43" Type="http://schemas.openxmlformats.org/officeDocument/2006/relationships/hyperlink" Target="https://apps.treasury.act.gov.au/budget/budget-2019-20/budget-papers" TargetMode="External"/><Relationship Id="rId48" Type="http://schemas.openxmlformats.org/officeDocument/2006/relationships/hyperlink" Target="https://www1.health.gov.au/internet/main/publishing.nsf/Content/Annual-Medicare-Statistics" TargetMode="External"/><Relationship Id="rId56" Type="http://schemas.openxmlformats.org/officeDocument/2006/relationships/hyperlink" Target="http://povertyandinequality.acoss.org.au/poverty/poverty-lines-by-family-type/" TargetMode="External"/><Relationship Id="rId64" Type="http://schemas.openxmlformats.org/officeDocument/2006/relationships/hyperlink" Target="https://www.actcoss.org.au/publications/advocacy-publications/report-food-security-food-assistance-and-affordability-healthy" TargetMode="External"/><Relationship Id="rId69" Type="http://schemas.openxmlformats.org/officeDocument/2006/relationships/hyperlink" Target="https://www.aph.gov.au/About_Parliament/Parliamentary_Departments/Parliamentary_Library/FlagPost/2014/April/Pension-indexation" TargetMode="External"/><Relationship Id="rId8" Type="http://schemas.openxmlformats.org/officeDocument/2006/relationships/hyperlink" Target="https://data.gov.au/data/dataset/jobseeker-payment-and-youth-allowance-recipients-monthly-profile" TargetMode="External"/><Relationship Id="rId51" Type="http://schemas.openxmlformats.org/officeDocument/2006/relationships/hyperlink" Target="https://www.abs.gov.au/AUSSTATS/abs@.nsf/allprimarymainfeatures/8A87AA80C7CE5445CA25855F00211B90?opendocument" TargetMode="External"/><Relationship Id="rId3" Type="http://schemas.openxmlformats.org/officeDocument/2006/relationships/hyperlink" Target="http://povertyandinequality.acoss.org.au/poverty/rate-of-poverty-by-state-territory-of-residence-of-people/" TargetMode="External"/><Relationship Id="rId12" Type="http://schemas.openxmlformats.org/officeDocument/2006/relationships/hyperlink" Target="https://www.abs.gov.au/AUSSTATS/abs@.nsf/DetailsPage/6401.0Dec%202019?OpenDocument" TargetMode="External"/><Relationship Id="rId17" Type="http://schemas.openxmlformats.org/officeDocument/2006/relationships/hyperlink" Target="https://www.actcoss.org.au/publications/advocacy-publications/stories-home" TargetMode="External"/><Relationship Id="rId25" Type="http://schemas.openxmlformats.org/officeDocument/2006/relationships/hyperlink" Target="https://www.pc.gov.au/research/completed/renters" TargetMode="External"/><Relationship Id="rId33" Type="http://schemas.openxmlformats.org/officeDocument/2006/relationships/hyperlink" Target="http://www.ahuri.edu.au/research/final-reports/306" TargetMode="External"/><Relationship Id="rId38" Type="http://schemas.openxmlformats.org/officeDocument/2006/relationships/hyperlink" Target="https://www.abs.gov.au/ausstats/abs@.nsf/Lookup/by%20Subject/4130.0~2017-18~Main%20Features~States%20and%20Territories~9" TargetMode="External"/><Relationship Id="rId46" Type="http://schemas.openxmlformats.org/officeDocument/2006/relationships/hyperlink" Target="https://www.abs.gov.au/AUSSTATS/abs@.nsf/DetailsPage/6401.0Dec%202019?OpenDocument" TargetMode="External"/><Relationship Id="rId59" Type="http://schemas.openxmlformats.org/officeDocument/2006/relationships/hyperlink" Target="https://www.acoss.org.au/wp-content/uploads/2020/09/Final-ACOSS-Coronavirus-Supplement-to-ACOSS-09.09.2020.pdf" TargetMode="External"/><Relationship Id="rId67" Type="http://schemas.openxmlformats.org/officeDocument/2006/relationships/hyperlink" Target="https://www.sacoss.org.au/sites/default/files/public/documents/Reports/Cost%20of%20Living%20Reports/190130%20Cost%20of%20Living%20Update37.pdf" TargetMode="External"/><Relationship Id="rId20" Type="http://schemas.openxmlformats.org/officeDocument/2006/relationships/hyperlink" Target="https://reia.asn.au/wp-content/uploads/2020/09/Media-Release-2-September-2020-Best-Rental-Affordability-Results-since-2007-REIA.pdf" TargetMode="External"/><Relationship Id="rId41" Type="http://schemas.openxmlformats.org/officeDocument/2006/relationships/hyperlink" Target="https://apps.treasury.act.gov.au/taxreform" TargetMode="External"/><Relationship Id="rId54" Type="http://schemas.openxmlformats.org/officeDocument/2006/relationships/hyperlink" Target="https://csrm.cass.anu.edu.au/sites/default/files/docs/2020/8/Impact_of_Covid19_JobKeeper_and_Jobeeker_measures_on_Poverty_and_Financial_Stress_FINAL.pdf" TargetMode="External"/><Relationship Id="rId62" Type="http://schemas.openxmlformats.org/officeDocument/2006/relationships/hyperlink" Target="https://www.acoss.org.au/wp-content/uploads/2020/04/Who-misses-out-Briefing-ACCESSIBLE-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34F86-4BF1-4326-AF17-34ADF65C5AF6}">
  <ds:schemaRefs>
    <ds:schemaRef ds:uri="http://schemas.openxmlformats.org/officeDocument/2006/bibliography"/>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6589F3D6-382D-4CBC-B09B-2BD18D0F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Submission.dot</Template>
  <TotalTime>793</TotalTime>
  <Pages>49</Pages>
  <Words>12306</Words>
  <Characters>66626</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Cost of Living Report: Tracking changes in the cost of living for low-income households in the Australian Capital Territory, September 2020</dc:title>
  <dc:subject/>
  <dc:creator/>
  <cp:keywords/>
  <dc:description/>
  <cp:lastModifiedBy>Suzanne Richardson</cp:lastModifiedBy>
  <cp:revision>392</cp:revision>
  <cp:lastPrinted>2020-09-08T14:22:00Z</cp:lastPrinted>
  <dcterms:created xsi:type="dcterms:W3CDTF">2020-09-07T06:06:00Z</dcterms:created>
  <dcterms:modified xsi:type="dcterms:W3CDTF">2020-09-18T01:37:00Z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