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BCC49" w14:textId="5990A31B" w:rsidR="00F62238" w:rsidRPr="00CA7855" w:rsidRDefault="00551B34" w:rsidP="009401A9">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7275"/>
        </w:tabs>
      </w:pPr>
      <w:r>
        <w:rPr>
          <w:noProof/>
          <w:lang w:eastAsia="en-AU"/>
        </w:rPr>
        <w:drawing>
          <wp:anchor distT="0" distB="0" distL="114300" distR="114300" simplePos="0" relativeHeight="251657728" behindDoc="1" locked="0" layoutInCell="1" allowOverlap="1" wp14:anchorId="66308F6E" wp14:editId="1CCE2292">
            <wp:simplePos x="0" y="0"/>
            <wp:positionH relativeFrom="column">
              <wp:posOffset>-1192530</wp:posOffset>
            </wp:positionH>
            <wp:positionV relativeFrom="page">
              <wp:posOffset>-242570</wp:posOffset>
            </wp:positionV>
            <wp:extent cx="9237345" cy="3506470"/>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7345" cy="3506470"/>
                    </a:xfrm>
                    <a:prstGeom prst="rect">
                      <a:avLst/>
                    </a:prstGeom>
                    <a:noFill/>
                  </pic:spPr>
                </pic:pic>
              </a:graphicData>
            </a:graphic>
            <wp14:sizeRelH relativeFrom="page">
              <wp14:pctWidth>0</wp14:pctWidth>
            </wp14:sizeRelH>
            <wp14:sizeRelV relativeFrom="page">
              <wp14:pctHeight>0</wp14:pctHeight>
            </wp14:sizeRelV>
          </wp:anchor>
        </w:drawing>
      </w:r>
      <w:r w:rsidR="009401A9">
        <w:tab/>
      </w:r>
    </w:p>
    <w:p w14:paraId="6AD8D74C" w14:textId="77777777" w:rsidR="00F62238" w:rsidRPr="00CA7855" w:rsidRDefault="00F62238" w:rsidP="00E225A5">
      <w:pPr>
        <w:pStyle w:val="Logo-Centred"/>
        <w:jc w:val="right"/>
      </w:pPr>
    </w:p>
    <w:p w14:paraId="1BC86317" w14:textId="77777777" w:rsidR="00F62238" w:rsidRPr="00CA7855" w:rsidRDefault="00F62238" w:rsidP="00F62238">
      <w:pPr>
        <w:pStyle w:val="Logo-Centred"/>
      </w:pPr>
    </w:p>
    <w:p w14:paraId="718E3328" w14:textId="77777777" w:rsidR="00F62238" w:rsidRPr="00CA7855" w:rsidRDefault="00F62238" w:rsidP="00F62238">
      <w:pPr>
        <w:pStyle w:val="Logo-Centred"/>
      </w:pPr>
    </w:p>
    <w:p w14:paraId="774D8282" w14:textId="77777777" w:rsidR="00F62238" w:rsidRPr="00CA7855" w:rsidRDefault="00F62238" w:rsidP="00F62238">
      <w:pPr>
        <w:pStyle w:val="Logo-Centred"/>
      </w:pPr>
    </w:p>
    <w:p w14:paraId="7394B487" w14:textId="77777777" w:rsidR="00F62238" w:rsidRPr="00CA7855" w:rsidRDefault="00F62238" w:rsidP="00F62238">
      <w:pPr>
        <w:pStyle w:val="Logo-Centred"/>
      </w:pPr>
    </w:p>
    <w:p w14:paraId="2ADE9043" w14:textId="77777777" w:rsidR="00F62238" w:rsidRPr="00CA7855" w:rsidRDefault="00F62238" w:rsidP="00F62238">
      <w:pPr>
        <w:pStyle w:val="Logo-Centred"/>
      </w:pPr>
    </w:p>
    <w:p w14:paraId="37511F80" w14:textId="77777777" w:rsidR="00F62238" w:rsidRPr="00CA7855" w:rsidRDefault="00F62238" w:rsidP="00F62238">
      <w:pPr>
        <w:pStyle w:val="Logo-Centred"/>
      </w:pPr>
    </w:p>
    <w:p w14:paraId="3E323E14" w14:textId="6DD2F675" w:rsidR="00F62238" w:rsidRPr="00CA7855" w:rsidRDefault="00551B34" w:rsidP="00F62238">
      <w:pPr>
        <w:pStyle w:val="Logo-Centred"/>
      </w:pPr>
      <w:r>
        <w:rPr>
          <w:noProof/>
        </w:rPr>
        <w:drawing>
          <wp:inline distT="0" distB="0" distL="0" distR="0" wp14:anchorId="6FFB493F" wp14:editId="14EA075E">
            <wp:extent cx="2886075" cy="1085850"/>
            <wp:effectExtent l="0" t="0" r="0" b="0"/>
            <wp:docPr id="1" name="Picture 1" descr="Logo: ACT Council of Social Service Inc. (ACT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6075" cy="1085850"/>
                    </a:xfrm>
                    <a:prstGeom prst="rect">
                      <a:avLst/>
                    </a:prstGeom>
                    <a:noFill/>
                    <a:ln>
                      <a:noFill/>
                    </a:ln>
                  </pic:spPr>
                </pic:pic>
              </a:graphicData>
            </a:graphic>
          </wp:inline>
        </w:drawing>
      </w:r>
    </w:p>
    <w:p w14:paraId="2884512B" w14:textId="77777777" w:rsidR="00F62238" w:rsidRPr="00CA7855" w:rsidRDefault="00F62238" w:rsidP="003F3AC3">
      <w:pPr>
        <w:pStyle w:val="BodyText"/>
      </w:pPr>
    </w:p>
    <w:p w14:paraId="772AB888" w14:textId="77777777" w:rsidR="00F62238" w:rsidRPr="00CA7855" w:rsidRDefault="00F62238" w:rsidP="003F3AC3">
      <w:pPr>
        <w:pStyle w:val="BodyText"/>
      </w:pPr>
    </w:p>
    <w:p w14:paraId="3CF63869" w14:textId="77777777" w:rsidR="00F62238" w:rsidRPr="00CA7855" w:rsidRDefault="00F62238" w:rsidP="008A7038">
      <w:pPr>
        <w:pStyle w:val="Subtitle"/>
      </w:pPr>
      <w:r>
        <w:t>Submission</w:t>
      </w:r>
      <w:r w:rsidR="00AB2DA8">
        <w:t>:</w:t>
      </w:r>
    </w:p>
    <w:p w14:paraId="1EB035FB" w14:textId="4672A3F8" w:rsidR="00F62238" w:rsidRPr="00CA7855" w:rsidRDefault="478D84D0" w:rsidP="008A7038">
      <w:pPr>
        <w:pStyle w:val="Title"/>
      </w:pPr>
      <w:r w:rsidRPr="7398DCDC">
        <w:t>Consultation on Prohibition of Conversion Practices in the ACT</w:t>
      </w:r>
    </w:p>
    <w:p w14:paraId="1EEE056B" w14:textId="66948934" w:rsidR="478D84D0" w:rsidRDefault="478D84D0" w:rsidP="008A7038">
      <w:pPr>
        <w:pStyle w:val="Subtitle"/>
      </w:pPr>
      <w:r w:rsidRPr="7398DCDC">
        <w:t>Ju</w:t>
      </w:r>
      <w:r w:rsidR="00931BA0">
        <w:t>ly</w:t>
      </w:r>
      <w:r w:rsidRPr="7398DCDC">
        <w:t xml:space="preserve"> 2020</w:t>
      </w:r>
    </w:p>
    <w:p w14:paraId="3145F55B" w14:textId="77777777" w:rsidR="00F62238" w:rsidRPr="00CA7855" w:rsidRDefault="00F62238" w:rsidP="00F62238">
      <w:pPr>
        <w:pStyle w:val="BodyText"/>
      </w:pPr>
    </w:p>
    <w:p w14:paraId="63E2834A" w14:textId="77777777" w:rsidR="005913F7" w:rsidRPr="00CA7855" w:rsidRDefault="005913F7" w:rsidP="00703089">
      <w:pPr>
        <w:pStyle w:val="PseudoHeading1"/>
      </w:pPr>
      <w:r w:rsidRPr="00CA7855">
        <w:lastRenderedPageBreak/>
        <w:t>About ACTCOSS</w:t>
      </w:r>
    </w:p>
    <w:p w14:paraId="0A1201F9" w14:textId="0514C0C4" w:rsidR="00DD3314" w:rsidRDefault="00DD3314" w:rsidP="00DD3314">
      <w:pPr>
        <w:pStyle w:val="Frontmatter"/>
      </w:pPr>
      <w:r>
        <w:t>ACTCOSS acknowledges Canberra has been built on the land of the Ngunnawal people. We pay respects to their Elders and recognise the strength and resilience of Aboriginal and</w:t>
      </w:r>
      <w:r w:rsidR="00E97CC6">
        <w:t>/or</w:t>
      </w:r>
      <w:r>
        <w:t xml:space="preserve"> Torres Strait Islander peoples. We celebrate Aboriginal and</w:t>
      </w:r>
      <w:r w:rsidR="00E97CC6">
        <w:t>/or</w:t>
      </w:r>
      <w:r>
        <w:t xml:space="preserve"> Torres Strait Islander cultures and ongoing contribution</w:t>
      </w:r>
      <w:r w:rsidR="00E97CC6">
        <w:t>s</w:t>
      </w:r>
      <w:r>
        <w:t xml:space="preserve"> to the ACT community.</w:t>
      </w:r>
    </w:p>
    <w:p w14:paraId="6FE26414" w14:textId="28A9014B" w:rsidR="00DD3314" w:rsidRDefault="00DD3314" w:rsidP="00DD3314">
      <w:pPr>
        <w:pStyle w:val="Frontmatter"/>
      </w:pPr>
      <w:r>
        <w:t xml:space="preserve">The ACT Council of Social Service Inc. (ACTCOSS) </w:t>
      </w:r>
      <w:r w:rsidR="008D350D">
        <w:t xml:space="preserve">advocates for social justice in the ACT and </w:t>
      </w:r>
      <w:r>
        <w:t>represents not-for-profit community organisations.</w:t>
      </w:r>
    </w:p>
    <w:p w14:paraId="5B263D10" w14:textId="77777777" w:rsidR="00DD3314" w:rsidRDefault="00DD3314" w:rsidP="00DD3314">
      <w:pPr>
        <w:pStyle w:val="Frontmatter"/>
      </w:pPr>
      <w:r>
        <w:t>ACTCOSS is a member of the nationwide COSS Network, made up of each of the state and territory Councils and the national body, the Australian Council of Social Service (ACOSS).</w:t>
      </w:r>
    </w:p>
    <w:p w14:paraId="65017AEF" w14:textId="27409E91" w:rsidR="00DD3314" w:rsidRDefault="00DD3314" w:rsidP="00DD3314">
      <w:pPr>
        <w:pStyle w:val="Frontmatter"/>
      </w:pPr>
      <w:proofErr w:type="spellStart"/>
      <w:r>
        <w:t>ACTCOSS’</w:t>
      </w:r>
      <w:r w:rsidR="00ED6E1E">
        <w:t>s</w:t>
      </w:r>
      <w:proofErr w:type="spellEnd"/>
      <w:r>
        <w:t xml:space="preserve"> vision is for Canberra to be a just, </w:t>
      </w:r>
      <w:proofErr w:type="gramStart"/>
      <w:r>
        <w:t>safe</w:t>
      </w:r>
      <w:proofErr w:type="gramEnd"/>
      <w:r>
        <w:t xml:space="preserve"> and sustainable community in which everyone has the opportunity for self-determination and a fair share of resources and services.</w:t>
      </w:r>
    </w:p>
    <w:p w14:paraId="04D600CA" w14:textId="77777777" w:rsidR="00DD3314" w:rsidRDefault="00DD3314" w:rsidP="00DD3314">
      <w:pPr>
        <w:pStyle w:val="Frontmatter"/>
      </w:pPr>
      <w:r>
        <w:t xml:space="preserve">The membership of the Council includes </w:t>
      </w:r>
      <w:proofErr w:type="gramStart"/>
      <w:r>
        <w:t>the majority of</w:t>
      </w:r>
      <w:proofErr w:type="gramEnd"/>
      <w:r>
        <w:t xml:space="preserve"> community-based service providers in the social welfare area, a range of community associations and networks, self-help and consumer groups and interested individuals.</w:t>
      </w:r>
    </w:p>
    <w:p w14:paraId="41903ED4" w14:textId="20E8F052" w:rsidR="005913F7" w:rsidRDefault="00DD3314" w:rsidP="00DD3314">
      <w:pPr>
        <w:pStyle w:val="Frontmatter"/>
      </w:pPr>
      <w:r>
        <w:t>ACTCOSS advises that this document may be publicly distributed, including by placing a copy on our website.</w:t>
      </w:r>
    </w:p>
    <w:p w14:paraId="55C71DCF" w14:textId="77777777" w:rsidR="005913F7" w:rsidRPr="00CA7855" w:rsidRDefault="005913F7" w:rsidP="005913F7">
      <w:pPr>
        <w:pStyle w:val="Frontmatter"/>
        <w:rPr>
          <w:rStyle w:val="Bold"/>
        </w:rPr>
      </w:pPr>
      <w:r w:rsidRPr="00CA7855">
        <w:rPr>
          <w:rStyle w:val="Bold"/>
        </w:rPr>
        <w:t>Contact Details</w:t>
      </w:r>
    </w:p>
    <w:p w14:paraId="52CF8363" w14:textId="6133A8CB" w:rsidR="004F6015" w:rsidRPr="001D19C8" w:rsidRDefault="004F6015" w:rsidP="004F6015">
      <w:pPr>
        <w:pStyle w:val="Frontmatter"/>
      </w:pPr>
      <w:r w:rsidRPr="001D19C8">
        <w:t>Phone:</w:t>
      </w:r>
      <w:r w:rsidRPr="001D19C8">
        <w:tab/>
      </w:r>
      <w:r w:rsidRPr="001D19C8">
        <w:tab/>
        <w:t>02 6202 7200</w:t>
      </w:r>
      <w:r w:rsidRPr="001D19C8">
        <w:br/>
      </w:r>
      <w:r w:rsidR="00D5570A">
        <w:t>Address</w:t>
      </w:r>
      <w:r w:rsidRPr="001D19C8">
        <w:t>:</w:t>
      </w:r>
      <w:r w:rsidRPr="001D19C8">
        <w:tab/>
      </w:r>
      <w:r w:rsidRPr="001D19C8">
        <w:tab/>
      </w:r>
      <w:r w:rsidR="00D5570A" w:rsidRPr="001D19C8">
        <w:t xml:space="preserve">Weston Community Hub, 1/6 </w:t>
      </w:r>
      <w:proofErr w:type="spellStart"/>
      <w:r w:rsidR="00D5570A" w:rsidRPr="001D19C8">
        <w:t>Gritten</w:t>
      </w:r>
      <w:proofErr w:type="spellEnd"/>
      <w:r w:rsidR="00D5570A" w:rsidRPr="001D19C8">
        <w:t xml:space="preserve"> St, Weston ACT 2611</w:t>
      </w:r>
      <w:r w:rsidRPr="001D19C8">
        <w:br/>
        <w:t>Email:</w:t>
      </w:r>
      <w:r w:rsidRPr="001D19C8">
        <w:tab/>
      </w:r>
      <w:r w:rsidRPr="001D19C8">
        <w:tab/>
      </w:r>
      <w:r w:rsidRPr="001D19C8">
        <w:tab/>
      </w:r>
      <w:hyperlink r:id="rId12" w:history="1">
        <w:r w:rsidRPr="001D19C8">
          <w:rPr>
            <w:rStyle w:val="Hyperlink"/>
          </w:rPr>
          <w:t>actcoss@actcoss.org.au</w:t>
        </w:r>
      </w:hyperlink>
      <w:r w:rsidRPr="001D19C8">
        <w:t xml:space="preserve">  </w:t>
      </w:r>
      <w:r w:rsidRPr="001D19C8">
        <w:br/>
        <w:t xml:space="preserve">Web:  </w:t>
      </w:r>
      <w:r w:rsidRPr="001D19C8">
        <w:tab/>
      </w:r>
      <w:r w:rsidRPr="001D19C8">
        <w:tab/>
      </w:r>
      <w:hyperlink r:id="rId13" w:history="1">
        <w:r w:rsidR="00DD3314">
          <w:rPr>
            <w:rStyle w:val="Hyperlink"/>
          </w:rPr>
          <w:t>actcoss.org.au</w:t>
        </w:r>
      </w:hyperlink>
      <w:r w:rsidRPr="001D19C8">
        <w:tab/>
      </w:r>
      <w:r w:rsidRPr="001D19C8">
        <w:tab/>
      </w:r>
    </w:p>
    <w:p w14:paraId="7DF04A19" w14:textId="02264E0A" w:rsidR="004F6015" w:rsidRPr="001D19C8" w:rsidRDefault="00ED6E1E" w:rsidP="62758FD3">
      <w:pPr>
        <w:pStyle w:val="Frontmatter"/>
        <w:rPr>
          <w:highlight w:val="cyan"/>
        </w:rPr>
      </w:pPr>
      <w:r>
        <w:t>CEO</w:t>
      </w:r>
      <w:r w:rsidR="004F6015" w:rsidRPr="001D19C8">
        <w:t>:</w:t>
      </w:r>
      <w:r w:rsidR="004F6015" w:rsidRPr="001D19C8">
        <w:tab/>
      </w:r>
      <w:r w:rsidR="004F6015" w:rsidRPr="001D19C8">
        <w:tab/>
      </w:r>
      <w:r>
        <w:tab/>
      </w:r>
      <w:r w:rsidR="00324177">
        <w:t xml:space="preserve">Dr </w:t>
      </w:r>
      <w:r w:rsidR="007833E9">
        <w:t>Emma Campbell</w:t>
      </w:r>
      <w:r w:rsidR="004F6015" w:rsidRPr="001D19C8">
        <w:tab/>
      </w:r>
      <w:r w:rsidR="004F6015" w:rsidRPr="001D19C8">
        <w:tab/>
      </w:r>
      <w:r w:rsidR="004F6015" w:rsidRPr="001D19C8">
        <w:tab/>
      </w:r>
      <w:r w:rsidR="004F6015" w:rsidRPr="001D19C8">
        <w:br/>
        <w:t>Policy Officer:</w:t>
      </w:r>
      <w:r w:rsidR="60662393" w:rsidRPr="001D19C8">
        <w:t xml:space="preserve"> </w:t>
      </w:r>
      <w:r w:rsidR="001845AD">
        <w:tab/>
      </w:r>
      <w:r w:rsidR="60662393" w:rsidRPr="001D19C8">
        <w:t>Eliza Moloney</w:t>
      </w:r>
      <w:r w:rsidR="004F6015" w:rsidRPr="001D19C8">
        <w:tab/>
      </w:r>
    </w:p>
    <w:p w14:paraId="065798D2" w14:textId="77777777" w:rsidR="005913F7" w:rsidRPr="00CA7855" w:rsidRDefault="005913F7" w:rsidP="005913F7">
      <w:pPr>
        <w:pStyle w:val="Frontmatter"/>
      </w:pPr>
    </w:p>
    <w:p w14:paraId="2FF6E291" w14:textId="740088EE" w:rsidR="60662393" w:rsidRDefault="60662393" w:rsidP="62758FD3">
      <w:pPr>
        <w:pStyle w:val="Frontmatter"/>
      </w:pPr>
      <w:r>
        <w:t>July 2020</w:t>
      </w:r>
    </w:p>
    <w:p w14:paraId="181D164A" w14:textId="1416C1CE" w:rsidR="005913F7" w:rsidRPr="00CA7855" w:rsidRDefault="005913F7" w:rsidP="005913F7">
      <w:pPr>
        <w:pStyle w:val="Frontmatter"/>
      </w:pPr>
      <w:r w:rsidRPr="00CA7855">
        <w:t xml:space="preserve">ISBN </w:t>
      </w:r>
      <w:r w:rsidR="00455CD1" w:rsidRPr="00455CD1">
        <w:t>978-1-876632-86-1</w:t>
      </w:r>
      <w:r w:rsidRPr="00CA7855">
        <w:br/>
        <w:t>© Copyright ACT Council of Social Service Incorporated</w:t>
      </w:r>
    </w:p>
    <w:p w14:paraId="2EECD6E5" w14:textId="6B8CDB22" w:rsidR="001B2FCD" w:rsidRDefault="005913F7" w:rsidP="005913F7">
      <w:pPr>
        <w:pStyle w:val="Frontmatter"/>
      </w:pPr>
      <w:r w:rsidRPr="00CA7855">
        <w:t xml:space="preserve">This publication is copyright, apart from use by those agencies for which it has been produced. Non-profit associations and groups have permission to reproduce parts of this publication as long as the original meaning is </w:t>
      </w:r>
      <w:proofErr w:type="gramStart"/>
      <w:r w:rsidRPr="00CA7855">
        <w:t>retained</w:t>
      </w:r>
      <w:proofErr w:type="gramEnd"/>
      <w:r w:rsidRPr="00CA7855">
        <w:t xml:space="preserve"> and proper credit is given to the ACT Council of Social Service Inc (ACTCOSS). All other individuals and Agencies seeking to reproduce material from this publication should obtain the permission of the </w:t>
      </w:r>
      <w:r w:rsidR="000B7938">
        <w:t>CEO</w:t>
      </w:r>
      <w:r w:rsidRPr="00CA7855">
        <w:t xml:space="preserve"> of ACTCOSS.</w:t>
      </w:r>
    </w:p>
    <w:p w14:paraId="4EFCEA01" w14:textId="77777777" w:rsidR="000622B1" w:rsidRDefault="000622B1" w:rsidP="005913F7">
      <w:pPr>
        <w:pStyle w:val="Frontmatter"/>
      </w:pPr>
    </w:p>
    <w:p w14:paraId="57AA07E5" w14:textId="77777777" w:rsidR="000622B1" w:rsidRPr="00CA7855" w:rsidRDefault="000622B1" w:rsidP="000622B1">
      <w:pPr>
        <w:pStyle w:val="Frontmatter"/>
      </w:pPr>
      <w:r w:rsidRPr="000622B1">
        <w:t>An ACT Government funded initiative</w:t>
      </w:r>
      <w:r>
        <w:t>.</w:t>
      </w:r>
    </w:p>
    <w:p w14:paraId="30FDCCBC" w14:textId="1DA887E2" w:rsidR="000622B1" w:rsidRPr="00CA7855" w:rsidRDefault="00551B34" w:rsidP="005913F7">
      <w:pPr>
        <w:pStyle w:val="Frontmatter"/>
      </w:pPr>
      <w:r>
        <w:rPr>
          <w:noProof/>
        </w:rPr>
        <w:drawing>
          <wp:inline distT="0" distB="0" distL="0" distR="0" wp14:anchorId="1635F15F" wp14:editId="12A8860D">
            <wp:extent cx="1466850" cy="1009650"/>
            <wp:effectExtent l="0" t="0" r="0" b="0"/>
            <wp:docPr id="2066828472" name="Picture 2" descr="Logo: Initiative of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1466850" cy="1009650"/>
                    </a:xfrm>
                    <a:prstGeom prst="rect">
                      <a:avLst/>
                    </a:prstGeom>
                  </pic:spPr>
                </pic:pic>
              </a:graphicData>
            </a:graphic>
          </wp:inline>
        </w:drawing>
      </w:r>
    </w:p>
    <w:p w14:paraId="526F38C1" w14:textId="77777777" w:rsidR="00E43B85" w:rsidRDefault="00E43B85">
      <w:pPr>
        <w:rPr>
          <w:b/>
        </w:rPr>
      </w:pPr>
      <w:r>
        <w:br w:type="page"/>
      </w:r>
    </w:p>
    <w:p w14:paraId="032ECBD3" w14:textId="77777777" w:rsidR="00AB255D" w:rsidRPr="00CA7855" w:rsidRDefault="00F54FAF" w:rsidP="00F54FAF">
      <w:pPr>
        <w:pStyle w:val="Heading1-Pagebreakbefore"/>
      </w:pPr>
      <w:bookmarkStart w:id="0" w:name="Text3"/>
      <w:bookmarkStart w:id="1" w:name="_Toc44510380"/>
      <w:bookmarkEnd w:id="0"/>
      <w:r>
        <w:lastRenderedPageBreak/>
        <w:t>Introduction</w:t>
      </w:r>
      <w:bookmarkEnd w:id="1"/>
    </w:p>
    <w:p w14:paraId="6D34578F" w14:textId="3AE1FBA6" w:rsidR="6CA0F836" w:rsidRDefault="6CA0F836" w:rsidP="62758FD3">
      <w:pPr>
        <w:pStyle w:val="BodyText"/>
      </w:pPr>
      <w:r>
        <w:t>Thank you for inviting the ACT Council of Social Service (ACTCOSS) to this consultation on prohibiting harmful conversion practices in the ACT.</w:t>
      </w:r>
    </w:p>
    <w:p w14:paraId="137A51C2" w14:textId="59714F32" w:rsidR="6CA0F836" w:rsidRDefault="6CA0F836" w:rsidP="00C3664D">
      <w:pPr>
        <w:pStyle w:val="BodyText"/>
      </w:pPr>
      <w:r>
        <w:t xml:space="preserve">ACTCOSS fully supports the passage of this legislation. Sexuality and gender identity conversion practices deny </w:t>
      </w:r>
      <w:r w:rsidR="644301A3">
        <w:t xml:space="preserve">affected people their right to </w:t>
      </w:r>
      <w:r w:rsidR="54423020">
        <w:t xml:space="preserve">live safely and openly in accordance with their gender or sexual identity. </w:t>
      </w:r>
      <w:r w:rsidR="51D97B11">
        <w:t xml:space="preserve">Moreover, ACTCOSS </w:t>
      </w:r>
      <w:r w:rsidR="112DCCC8">
        <w:t xml:space="preserve">understands </w:t>
      </w:r>
      <w:r w:rsidR="51D97B11">
        <w:t>from our members working with the LGBTQI community, including people who have experienced conversion practices,</w:t>
      </w:r>
      <w:r w:rsidR="7785A279">
        <w:t xml:space="preserve"> </w:t>
      </w:r>
      <w:r w:rsidR="66A768FA">
        <w:t xml:space="preserve">that these processes can be highly traumatic and have life-long impacts on mental health and wellbeing. </w:t>
      </w:r>
    </w:p>
    <w:p w14:paraId="092117D6" w14:textId="7E7513AE" w:rsidR="0E2A697B" w:rsidRDefault="0E2A697B" w:rsidP="00C3664D">
      <w:pPr>
        <w:pStyle w:val="BodyText"/>
      </w:pPr>
      <w:r>
        <w:t xml:space="preserve">We </w:t>
      </w:r>
      <w:r w:rsidR="00C3664D">
        <w:t xml:space="preserve">commend </w:t>
      </w:r>
      <w:r>
        <w:t xml:space="preserve">the ACT Government </w:t>
      </w:r>
      <w:r w:rsidR="007669F0">
        <w:t xml:space="preserve">for </w:t>
      </w:r>
      <w:r>
        <w:t>sending a message</w:t>
      </w:r>
      <w:r w:rsidR="007669F0">
        <w:t>,</w:t>
      </w:r>
      <w:r>
        <w:t xml:space="preserve"> through this legislation</w:t>
      </w:r>
      <w:r w:rsidR="007669F0">
        <w:t>,</w:t>
      </w:r>
      <w:r>
        <w:t xml:space="preserve"> that harmful conversion practices are not welcome in the ACT and </w:t>
      </w:r>
      <w:r w:rsidR="44796D89">
        <w:t>are</w:t>
      </w:r>
      <w:r>
        <w:t xml:space="preserve"> incompatible with our Human Rights Act. </w:t>
      </w:r>
      <w:r w:rsidR="6FCFD275">
        <w:t xml:space="preserve">Based on feedback from ACTCOSS members, we note that this legislation should be supported by community activities for affected community </w:t>
      </w:r>
      <w:r w:rsidR="634AAB14">
        <w:t>members a</w:t>
      </w:r>
      <w:r w:rsidR="6FCFD275">
        <w:t xml:space="preserve">nd people who </w:t>
      </w:r>
      <w:r w:rsidR="736EBDDA">
        <w:t xml:space="preserve">may be practicing harmful conversion practices. </w:t>
      </w:r>
      <w:r w:rsidR="26C8FE09">
        <w:t xml:space="preserve">ACTCOSS also supports </w:t>
      </w:r>
      <w:r w:rsidR="007669F0">
        <w:t xml:space="preserve">measures to extend </w:t>
      </w:r>
      <w:r w:rsidR="26C8FE09">
        <w:t xml:space="preserve">the capacity of the ACT Human Rights Commission to hear and conciliate complaints and undertake independent investigations. </w:t>
      </w:r>
    </w:p>
    <w:p w14:paraId="63DC9D1E" w14:textId="21B59A7C" w:rsidR="23DB4ACF" w:rsidRDefault="23DB4ACF" w:rsidP="62758FD3">
      <w:pPr>
        <w:pStyle w:val="Heading1"/>
        <w:rPr>
          <w:sz w:val="12"/>
          <w:szCs w:val="12"/>
        </w:rPr>
      </w:pPr>
      <w:bookmarkStart w:id="2" w:name="_Toc44510381"/>
      <w:r>
        <w:t>Spectrum of conversion practices</w:t>
      </w:r>
      <w:bookmarkEnd w:id="2"/>
      <w:r w:rsidR="51D97B11">
        <w:t xml:space="preserve"> </w:t>
      </w:r>
    </w:p>
    <w:p w14:paraId="6A471CF1" w14:textId="20EAFDA3" w:rsidR="70387D9E" w:rsidRDefault="70387D9E" w:rsidP="62758FD3">
      <w:pPr>
        <w:pStyle w:val="BodyText"/>
      </w:pPr>
      <w:r>
        <w:t xml:space="preserve">Harmful conversion practices can be targeted towards people’s sexuality, gender identity, and/or gender expression, and practices can differ substantially depending on who </w:t>
      </w:r>
      <w:r w:rsidR="2A446778">
        <w:t>they are targeting. We would like to see this legislation work for all members of the LGBTQI community</w:t>
      </w:r>
      <w:r w:rsidR="00DB3BB6">
        <w:t>. Therefore, t</w:t>
      </w:r>
      <w:r w:rsidR="7660B0FA">
        <w:t xml:space="preserve">he ACT Government must consider that there </w:t>
      </w:r>
      <w:r w:rsidR="088E2A2D">
        <w:t>is</w:t>
      </w:r>
      <w:r w:rsidR="7660B0FA">
        <w:t xml:space="preserve"> a spectrum of harmful conversion practices</w:t>
      </w:r>
      <w:r w:rsidR="076BE6CD">
        <w:t xml:space="preserve">. </w:t>
      </w:r>
    </w:p>
    <w:p w14:paraId="16D29988" w14:textId="53D77950" w:rsidR="076BE6CD" w:rsidRDefault="076BE6CD" w:rsidP="62758FD3">
      <w:pPr>
        <w:pStyle w:val="BodyText"/>
      </w:pPr>
      <w:r>
        <w:t>For example, practices targeting someone’s sexuality are different to practices targeting someone’s gender identity</w:t>
      </w:r>
      <w:r w:rsidR="7A31744C">
        <w:t>, and where some harmful conversion practices are motivated by homophobia, others are motivat</w:t>
      </w:r>
      <w:r w:rsidR="00D52778">
        <w:t>ed</w:t>
      </w:r>
      <w:r w:rsidR="7A31744C">
        <w:t xml:space="preserve"> by transphobia. This has ramifications for the education that should be delivered to the community, as well as education for law enforcement who will be tasked with ident</w:t>
      </w:r>
      <w:r w:rsidR="0659E450">
        <w:t xml:space="preserve">ifying a harmful conversion </w:t>
      </w:r>
      <w:r w:rsidR="007A4418">
        <w:t>practice</w:t>
      </w:r>
      <w:r w:rsidR="0659E450">
        <w:t>.</w:t>
      </w:r>
    </w:p>
    <w:p w14:paraId="181E1A85" w14:textId="74BCC215" w:rsidR="4C6879CA" w:rsidRDefault="4C6879CA" w:rsidP="62758FD3">
      <w:pPr>
        <w:pStyle w:val="BodyText"/>
      </w:pPr>
      <w:r>
        <w:t>H</w:t>
      </w:r>
      <w:r w:rsidR="0659E450">
        <w:t xml:space="preserve">armful conversion practices targeted at Intersex people </w:t>
      </w:r>
      <w:r w:rsidR="6DDDB6C5">
        <w:t>can</w:t>
      </w:r>
      <w:r w:rsidR="7E8D3F4B">
        <w:t xml:space="preserve"> be particularly distinct. These practices are often medicalised</w:t>
      </w:r>
      <w:r w:rsidR="7C756F16">
        <w:t xml:space="preserve">. Intersex Human Rights Australia </w:t>
      </w:r>
      <w:r w:rsidR="26376111">
        <w:t xml:space="preserve">note that: </w:t>
      </w:r>
      <w:r w:rsidR="26376111" w:rsidRPr="62758FD3">
        <w:rPr>
          <w:rFonts w:eastAsia="Arial" w:cs="Arial"/>
        </w:rPr>
        <w:t>“Intersex people in Australia are routinely subject to medical interventions without personal informed consent, typically in infancy, childhood or adolescence”</w:t>
      </w:r>
      <w:r w:rsidRPr="62758FD3">
        <w:rPr>
          <w:rStyle w:val="FootnoteReference"/>
          <w:rFonts w:eastAsia="Arial" w:cs="Arial"/>
          <w:szCs w:val="24"/>
        </w:rPr>
        <w:footnoteReference w:id="1"/>
      </w:r>
      <w:r w:rsidR="26376111" w:rsidRPr="62758FD3">
        <w:rPr>
          <w:rFonts w:eastAsia="Arial" w:cs="Arial"/>
          <w:szCs w:val="24"/>
        </w:rPr>
        <w:t xml:space="preserve">. </w:t>
      </w:r>
    </w:p>
    <w:p w14:paraId="6FF7B6E3" w14:textId="01D5A0BA" w:rsidR="3F0D56FC" w:rsidRDefault="3F0D56FC" w:rsidP="00FB2114">
      <w:pPr>
        <w:pStyle w:val="BodyText"/>
        <w:keepLines/>
        <w:rPr>
          <w:rFonts w:eastAsia="Arial" w:cs="Arial"/>
          <w:szCs w:val="24"/>
        </w:rPr>
      </w:pPr>
      <w:r w:rsidRPr="62758FD3">
        <w:rPr>
          <w:rFonts w:eastAsia="Arial" w:cs="Arial"/>
          <w:szCs w:val="24"/>
        </w:rPr>
        <w:lastRenderedPageBreak/>
        <w:t>In collaboration with ACT-based organisations such as A Gender Agenda and Meridian, we recommend that the ACT Government fully</w:t>
      </w:r>
      <w:r w:rsidR="142B1A0F" w:rsidRPr="62758FD3">
        <w:rPr>
          <w:rFonts w:eastAsia="Arial" w:cs="Arial"/>
          <w:szCs w:val="24"/>
        </w:rPr>
        <w:t xml:space="preserve"> investigate</w:t>
      </w:r>
      <w:r w:rsidR="396967C8" w:rsidRPr="62758FD3">
        <w:rPr>
          <w:rFonts w:eastAsia="Arial" w:cs="Arial"/>
          <w:szCs w:val="24"/>
        </w:rPr>
        <w:t xml:space="preserve"> and identify</w:t>
      </w:r>
      <w:r w:rsidR="142B1A0F" w:rsidRPr="62758FD3">
        <w:rPr>
          <w:rFonts w:eastAsia="Arial" w:cs="Arial"/>
          <w:szCs w:val="24"/>
        </w:rPr>
        <w:t xml:space="preserve"> </w:t>
      </w:r>
      <w:r w:rsidRPr="62758FD3">
        <w:rPr>
          <w:rFonts w:eastAsia="Arial" w:cs="Arial"/>
          <w:szCs w:val="24"/>
        </w:rPr>
        <w:t xml:space="preserve">the spectrum of </w:t>
      </w:r>
      <w:r w:rsidR="4963BF0A" w:rsidRPr="62758FD3">
        <w:rPr>
          <w:rFonts w:eastAsia="Arial" w:cs="Arial"/>
          <w:szCs w:val="24"/>
        </w:rPr>
        <w:t>harmful conversion practices</w:t>
      </w:r>
      <w:r w:rsidR="19D61DE0" w:rsidRPr="62758FD3">
        <w:rPr>
          <w:rFonts w:eastAsia="Arial" w:cs="Arial"/>
          <w:szCs w:val="24"/>
        </w:rPr>
        <w:t xml:space="preserve"> targeted towards all members of the LGBTQI community. </w:t>
      </w:r>
    </w:p>
    <w:p w14:paraId="6FA2FAB6" w14:textId="675B1FFB" w:rsidR="022FA3BE" w:rsidRDefault="022FA3BE" w:rsidP="62758FD3">
      <w:pPr>
        <w:pStyle w:val="Heading1"/>
      </w:pPr>
      <w:bookmarkStart w:id="3" w:name="_Toc44510382"/>
      <w:r>
        <w:t>Support for affected communities</w:t>
      </w:r>
      <w:bookmarkEnd w:id="3"/>
    </w:p>
    <w:p w14:paraId="7B36F107" w14:textId="5C902FA9" w:rsidR="706CEDEF" w:rsidRDefault="706CEDEF" w:rsidP="00F24562">
      <w:pPr>
        <w:pStyle w:val="BodyText"/>
      </w:pPr>
      <w:r>
        <w:t xml:space="preserve">ACTCOSS supports the recommendation put forth by Meridian that </w:t>
      </w:r>
      <w:r w:rsidR="5570FBB2">
        <w:t xml:space="preserve">the ACT Government increase funding for counselling and other mental health services for LGBTQI people in the ACT in response to this proposed legislation. </w:t>
      </w:r>
      <w:r w:rsidR="47AD889A">
        <w:t xml:space="preserve">Services working with LGBTQI Canberrans have noted that the conversations and public discourse around this legislation is distressing to </w:t>
      </w:r>
      <w:r w:rsidR="00BF4AF4">
        <w:t xml:space="preserve">individuals </w:t>
      </w:r>
      <w:r w:rsidR="47AD889A">
        <w:t>who have experiences with harmful conversion practices</w:t>
      </w:r>
      <w:r w:rsidR="00BF4AF4">
        <w:t xml:space="preserve"> and to many LGBTQI people</w:t>
      </w:r>
      <w:r w:rsidR="47AD889A">
        <w:t>.</w:t>
      </w:r>
      <w:r w:rsidR="10F3DB9B">
        <w:t xml:space="preserve"> </w:t>
      </w:r>
      <w:r w:rsidR="6B2D5F99">
        <w:t xml:space="preserve">ACTCOSS is aware that the </w:t>
      </w:r>
      <w:r w:rsidR="10F3DB9B">
        <w:t xml:space="preserve">proposal to pass this legislation has </w:t>
      </w:r>
      <w:r w:rsidR="20B3492C">
        <w:t xml:space="preserve">prompted </w:t>
      </w:r>
      <w:r w:rsidR="3E4242ED">
        <w:t xml:space="preserve">some </w:t>
      </w:r>
      <w:r w:rsidR="20B3492C">
        <w:t>public</w:t>
      </w:r>
      <w:r w:rsidR="10F3DB9B">
        <w:t xml:space="preserve"> discourse from people </w:t>
      </w:r>
      <w:r w:rsidR="4F503492">
        <w:t xml:space="preserve">or organisations </w:t>
      </w:r>
      <w:r w:rsidR="10F3DB9B">
        <w:t>who oppose banning conversion practices</w:t>
      </w:r>
      <w:r w:rsidR="000510AB">
        <w:t xml:space="preserve"> that has caused distress</w:t>
      </w:r>
      <w:r w:rsidR="3B6740F0">
        <w:t>.</w:t>
      </w:r>
      <w:r w:rsidR="1FB86D3E">
        <w:t xml:space="preserve"> We would therefore like to see the ACT Government </w:t>
      </w:r>
      <w:r w:rsidR="000510AB">
        <w:t xml:space="preserve">provide additional </w:t>
      </w:r>
      <w:r w:rsidR="1FB86D3E">
        <w:t>invest</w:t>
      </w:r>
      <w:r w:rsidR="000510AB">
        <w:t xml:space="preserve">ment to </w:t>
      </w:r>
      <w:r w:rsidR="1FB86D3E">
        <w:t>services that support the mental health and wellbeing of LGBTQI Canberrans at time</w:t>
      </w:r>
      <w:r w:rsidR="000510AB">
        <w:t>s of heightened discussions of issues impacting the LGBTQI community</w:t>
      </w:r>
      <w:r w:rsidR="1FB86D3E">
        <w:t xml:space="preserve">. </w:t>
      </w:r>
    </w:p>
    <w:p w14:paraId="10D11B33" w14:textId="0E498358" w:rsidR="00D8343F" w:rsidRPr="00CA7855" w:rsidRDefault="022FA3BE" w:rsidP="003F3AC3">
      <w:pPr>
        <w:pStyle w:val="Heading1"/>
      </w:pPr>
      <w:bookmarkStart w:id="4" w:name="_Toc44510383"/>
      <w:r>
        <w:t>Community outreach and education</w:t>
      </w:r>
      <w:bookmarkEnd w:id="4"/>
    </w:p>
    <w:p w14:paraId="3FCE8FBB" w14:textId="22FB0075" w:rsidR="003F3AC3" w:rsidRPr="00CA7855" w:rsidRDefault="3D04DB70" w:rsidP="62758FD3">
      <w:pPr>
        <w:pStyle w:val="BodyText"/>
      </w:pPr>
      <w:r>
        <w:t xml:space="preserve">ACTCOSS supports A Gender Agenda’s position that a key purpose of this legislation should </w:t>
      </w:r>
      <w:r w:rsidR="07B55954">
        <w:t xml:space="preserve">be to prevent harmful conversion practices </w:t>
      </w:r>
      <w:r w:rsidR="00373787">
        <w:t>from</w:t>
      </w:r>
      <w:r w:rsidR="07B55954">
        <w:t xml:space="preserve"> occurring. As such, we recommend that the ACT Government engage in extensive and targeted community outreach and education to organisations or groups who may be engaging in these p</w:t>
      </w:r>
      <w:r w:rsidR="5056B7F2">
        <w:t xml:space="preserve">ractices. </w:t>
      </w:r>
    </w:p>
    <w:p w14:paraId="53AFA00D" w14:textId="069BDFE0" w:rsidR="5056B7F2" w:rsidRDefault="5056B7F2" w:rsidP="62758FD3">
      <w:pPr>
        <w:pStyle w:val="BodyText"/>
      </w:pPr>
      <w:r>
        <w:t>ACTCOSS has heard that it is difficult to get a sense of the prevalence of harmful conversion practices in the ACT. This is because they are often practiced through informal networks or groups</w:t>
      </w:r>
      <w:r w:rsidR="450D6CBD">
        <w:t xml:space="preserve">, and therefore the practices will not be advertised or widely disclosed. People engaging in harmful conversion practices may also not identify their practices as harmful. </w:t>
      </w:r>
    </w:p>
    <w:p w14:paraId="497498AC" w14:textId="7D96B0D2" w:rsidR="0CC27112" w:rsidRDefault="000510AB" w:rsidP="62758FD3">
      <w:pPr>
        <w:pStyle w:val="BodyText"/>
      </w:pPr>
      <w:r>
        <w:t>A clear plan for c</w:t>
      </w:r>
      <w:r w:rsidR="0CC27112">
        <w:t xml:space="preserve">ommunity outreach </w:t>
      </w:r>
      <w:r>
        <w:t xml:space="preserve">that reflects the cultural and linguistic diversity of Canberra </w:t>
      </w:r>
      <w:r w:rsidR="00395605">
        <w:t xml:space="preserve">will be </w:t>
      </w:r>
      <w:r w:rsidR="0CC27112">
        <w:t xml:space="preserve">important to deliver education so that we can minimise the occurrence of these practices in the ACT. </w:t>
      </w:r>
      <w:r w:rsidR="03B552B5">
        <w:t xml:space="preserve">This education should explain the new legislation and illegality of these practices, but also focus on the human rights, </w:t>
      </w:r>
      <w:proofErr w:type="gramStart"/>
      <w:r w:rsidR="03B552B5">
        <w:t>health</w:t>
      </w:r>
      <w:proofErr w:type="gramEnd"/>
      <w:r w:rsidR="03B552B5">
        <w:t xml:space="preserve"> and wellbeing of LGBTQI people. Education should reinforce that instead of harmful conversion practices, affirming someone’s gender identity, sexuality, or gender presentation is the best thing </w:t>
      </w:r>
      <w:r w:rsidR="4E24BC3E">
        <w:t>for their health and wellbeing.</w:t>
      </w:r>
    </w:p>
    <w:p w14:paraId="1071BFB5" w14:textId="37BEB429" w:rsidR="62758FD3" w:rsidRDefault="62758FD3" w:rsidP="62758FD3">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CB0EAA" w:rsidRPr="00CA7855" w14:paraId="0712004A" w14:textId="77777777" w:rsidTr="62758FD3">
        <w:trPr>
          <w:cantSplit/>
        </w:trPr>
        <w:tc>
          <w:tcPr>
            <w:tcW w:w="8720" w:type="dxa"/>
            <w:shd w:val="clear" w:color="auto" w:fill="auto"/>
            <w:tcMar>
              <w:left w:w="170" w:type="dxa"/>
              <w:right w:w="170" w:type="dxa"/>
            </w:tcMar>
          </w:tcPr>
          <w:p w14:paraId="726CCF79" w14:textId="79A66415" w:rsidR="00CB0EAA" w:rsidRPr="00CA7855" w:rsidRDefault="17B37E61" w:rsidP="00556839">
            <w:pPr>
              <w:pStyle w:val="Recommendationsheading"/>
            </w:pPr>
            <w:r>
              <w:lastRenderedPageBreak/>
              <w:t>Recommendations</w:t>
            </w:r>
          </w:p>
          <w:p w14:paraId="1E245C99" w14:textId="7E3A9318" w:rsidR="79ACE180" w:rsidRDefault="79ACE180" w:rsidP="62758FD3">
            <w:pPr>
              <w:pStyle w:val="ListBullet"/>
              <w:spacing w:line="259" w:lineRule="auto"/>
              <w:rPr>
                <w:rFonts w:eastAsia="Arial" w:cs="Arial"/>
                <w:szCs w:val="24"/>
              </w:rPr>
            </w:pPr>
            <w:r>
              <w:t>The ACT Governme</w:t>
            </w:r>
            <w:r w:rsidR="02DEFBC0">
              <w:t>n</w:t>
            </w:r>
            <w:r>
              <w:t>t work with A Gender Agenda and Meridian to fully investigate and identify the spectrum of harmful conversion practices, to ensure that practices targeted towards all members of the LGBTQI community are covered.</w:t>
            </w:r>
          </w:p>
          <w:p w14:paraId="7025478E" w14:textId="2E644A5D" w:rsidR="00F82735" w:rsidRPr="00CA7855" w:rsidRDefault="105E0071" w:rsidP="001A3255">
            <w:pPr>
              <w:pStyle w:val="ListBullet"/>
              <w:rPr>
                <w:rFonts w:eastAsia="Arial" w:cs="Arial"/>
                <w:szCs w:val="24"/>
              </w:rPr>
            </w:pPr>
            <w:r w:rsidRPr="62758FD3">
              <w:rPr>
                <w:rFonts w:eastAsia="Arial" w:cs="Arial"/>
              </w:rPr>
              <w:t>Increase funding for counselling and other mental health services for LGBTQI people in the ACT.</w:t>
            </w:r>
          </w:p>
          <w:p w14:paraId="3082054C" w14:textId="79BEFA0F" w:rsidR="00F82735" w:rsidRPr="00CA7855" w:rsidRDefault="105E0071" w:rsidP="001A3255">
            <w:pPr>
              <w:pStyle w:val="ListBullet"/>
            </w:pPr>
            <w:r>
              <w:t>Engage in extensive and targeted community outreach and education to organisations and groups who may be engaging in these practices.</w:t>
            </w:r>
          </w:p>
        </w:tc>
      </w:tr>
    </w:tbl>
    <w:p w14:paraId="35EB72D3" w14:textId="77777777" w:rsidR="00B9634F" w:rsidRDefault="00B9634F"/>
    <w:sectPr w:rsidR="00B9634F" w:rsidSect="002C4E3A">
      <w:footerReference w:type="even" r:id="rId15"/>
      <w:footerReference w:type="default" r:id="rId16"/>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80D2A" w14:textId="77777777" w:rsidR="000C605C" w:rsidRDefault="000C605C">
      <w:r>
        <w:separator/>
      </w:r>
    </w:p>
  </w:endnote>
  <w:endnote w:type="continuationSeparator" w:id="0">
    <w:p w14:paraId="17B58257" w14:textId="77777777" w:rsidR="000C605C" w:rsidRDefault="000C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FAAB9" w14:textId="77777777" w:rsidR="00F30767" w:rsidRDefault="00F30767"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257F27" w14:textId="77777777" w:rsidR="00F30767" w:rsidRDefault="00F30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985CB" w14:textId="77777777" w:rsidR="00F30767" w:rsidRDefault="00F30767"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2F3E">
      <w:rPr>
        <w:rStyle w:val="PageNumber"/>
        <w:noProof/>
      </w:rPr>
      <w:t>6</w:t>
    </w:r>
    <w:r>
      <w:rPr>
        <w:rStyle w:val="PageNumber"/>
      </w:rPr>
      <w:fldChar w:fldCharType="end"/>
    </w:r>
  </w:p>
  <w:p w14:paraId="4C0EA0A0" w14:textId="77777777" w:rsidR="00F30767" w:rsidRDefault="00F30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92EBC" w14:textId="77777777" w:rsidR="000C605C" w:rsidRDefault="000C605C">
      <w:r>
        <w:separator/>
      </w:r>
    </w:p>
  </w:footnote>
  <w:footnote w:type="continuationSeparator" w:id="0">
    <w:p w14:paraId="5E6948EA" w14:textId="77777777" w:rsidR="000C605C" w:rsidRDefault="000C605C">
      <w:r>
        <w:continuationSeparator/>
      </w:r>
    </w:p>
  </w:footnote>
  <w:footnote w:id="1">
    <w:p w14:paraId="67CC48BE" w14:textId="56CC3EA4" w:rsidR="62758FD3" w:rsidRDefault="62758FD3" w:rsidP="62758FD3">
      <w:pPr>
        <w:pStyle w:val="FootnoteText"/>
      </w:pPr>
      <w:r w:rsidRPr="008A7038">
        <w:footnoteRef/>
      </w:r>
      <w:r w:rsidRPr="008A7038">
        <w:t xml:space="preserve"> </w:t>
      </w:r>
      <w:r w:rsidR="008A7038">
        <w:tab/>
      </w:r>
      <w:r w:rsidRPr="008A7038">
        <w:t>Intersex</w:t>
      </w:r>
      <w:r>
        <w:t xml:space="preserve"> Human Rights Australia</w:t>
      </w:r>
      <w:r w:rsidR="00D62099">
        <w:t>,</w:t>
      </w:r>
      <w:r>
        <w:t xml:space="preserve"> </w:t>
      </w:r>
      <w:r w:rsidRPr="008A7038">
        <w:rPr>
          <w:rStyle w:val="Emphasis"/>
        </w:rPr>
        <w:t xml:space="preserve">Submission to the </w:t>
      </w:r>
      <w:proofErr w:type="spellStart"/>
      <w:r w:rsidRPr="008A7038">
        <w:rPr>
          <w:rStyle w:val="Emphasis"/>
        </w:rPr>
        <w:t>AHRC</w:t>
      </w:r>
      <w:proofErr w:type="spellEnd"/>
      <w:r w:rsidRPr="008A7038">
        <w:rPr>
          <w:rStyle w:val="Emphasis"/>
        </w:rPr>
        <w:t xml:space="preserve"> on Protection Rights in Medical Settings</w:t>
      </w:r>
      <w:r>
        <w:t>, Intersex Human Rights Australia,</w:t>
      </w:r>
      <w:r w:rsidR="00D62099">
        <w:t xml:space="preserve"> 2018,</w:t>
      </w:r>
      <w:r>
        <w:t xml:space="preserve"> &lt;</w:t>
      </w:r>
      <w:hyperlink r:id="rId1" w:history="1">
        <w:r w:rsidRPr="008A7038">
          <w:rPr>
            <w:rStyle w:val="Hyperlink"/>
          </w:rPr>
          <w:t>https://ihra.org.au/32490/ahrc-submission-2018/</w:t>
        </w:r>
      </w:hyperlink>
      <w:r>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2" w15:restartNumberingAfterBreak="0">
    <w:nsid w:val="1AA86425"/>
    <w:multiLevelType w:val="hybridMultilevel"/>
    <w:tmpl w:val="749AC262"/>
    <w:lvl w:ilvl="0" w:tplc="D9122822">
      <w:start w:val="1"/>
      <w:numFmt w:val="bullet"/>
      <w:lvlText w:val=""/>
      <w:lvlJc w:val="left"/>
      <w:pPr>
        <w:ind w:left="720" w:hanging="360"/>
      </w:pPr>
      <w:rPr>
        <w:rFonts w:ascii="Symbol" w:hAnsi="Symbol" w:hint="default"/>
      </w:rPr>
    </w:lvl>
    <w:lvl w:ilvl="1" w:tplc="06C89E9E">
      <w:start w:val="1"/>
      <w:numFmt w:val="bullet"/>
      <w:lvlText w:val="o"/>
      <w:lvlJc w:val="left"/>
      <w:pPr>
        <w:ind w:left="1440" w:hanging="360"/>
      </w:pPr>
      <w:rPr>
        <w:rFonts w:ascii="Courier New" w:hAnsi="Courier New" w:hint="default"/>
      </w:rPr>
    </w:lvl>
    <w:lvl w:ilvl="2" w:tplc="79644F52">
      <w:start w:val="1"/>
      <w:numFmt w:val="bullet"/>
      <w:lvlText w:val=""/>
      <w:lvlJc w:val="left"/>
      <w:pPr>
        <w:ind w:left="2160" w:hanging="360"/>
      </w:pPr>
      <w:rPr>
        <w:rFonts w:ascii="Wingdings" w:hAnsi="Wingdings" w:hint="default"/>
      </w:rPr>
    </w:lvl>
    <w:lvl w:ilvl="3" w:tplc="620242DE">
      <w:start w:val="1"/>
      <w:numFmt w:val="bullet"/>
      <w:lvlText w:val=""/>
      <w:lvlJc w:val="left"/>
      <w:pPr>
        <w:ind w:left="2880" w:hanging="360"/>
      </w:pPr>
      <w:rPr>
        <w:rFonts w:ascii="Symbol" w:hAnsi="Symbol" w:hint="default"/>
      </w:rPr>
    </w:lvl>
    <w:lvl w:ilvl="4" w:tplc="8A2E80AA">
      <w:start w:val="1"/>
      <w:numFmt w:val="bullet"/>
      <w:lvlText w:val="o"/>
      <w:lvlJc w:val="left"/>
      <w:pPr>
        <w:ind w:left="3600" w:hanging="360"/>
      </w:pPr>
      <w:rPr>
        <w:rFonts w:ascii="Courier New" w:hAnsi="Courier New" w:hint="default"/>
      </w:rPr>
    </w:lvl>
    <w:lvl w:ilvl="5" w:tplc="9DA8CBEA">
      <w:start w:val="1"/>
      <w:numFmt w:val="bullet"/>
      <w:lvlText w:val=""/>
      <w:lvlJc w:val="left"/>
      <w:pPr>
        <w:ind w:left="4320" w:hanging="360"/>
      </w:pPr>
      <w:rPr>
        <w:rFonts w:ascii="Wingdings" w:hAnsi="Wingdings" w:hint="default"/>
      </w:rPr>
    </w:lvl>
    <w:lvl w:ilvl="6" w:tplc="45041022">
      <w:start w:val="1"/>
      <w:numFmt w:val="bullet"/>
      <w:lvlText w:val=""/>
      <w:lvlJc w:val="left"/>
      <w:pPr>
        <w:ind w:left="5040" w:hanging="360"/>
      </w:pPr>
      <w:rPr>
        <w:rFonts w:ascii="Symbol" w:hAnsi="Symbol" w:hint="default"/>
      </w:rPr>
    </w:lvl>
    <w:lvl w:ilvl="7" w:tplc="2474FC20">
      <w:start w:val="1"/>
      <w:numFmt w:val="bullet"/>
      <w:lvlText w:val="o"/>
      <w:lvlJc w:val="left"/>
      <w:pPr>
        <w:ind w:left="5760" w:hanging="360"/>
      </w:pPr>
      <w:rPr>
        <w:rFonts w:ascii="Courier New" w:hAnsi="Courier New" w:hint="default"/>
      </w:rPr>
    </w:lvl>
    <w:lvl w:ilvl="8" w:tplc="EDB86A36">
      <w:start w:val="1"/>
      <w:numFmt w:val="bullet"/>
      <w:lvlText w:val=""/>
      <w:lvlJc w:val="left"/>
      <w:pPr>
        <w:ind w:left="6480" w:hanging="360"/>
      </w:pPr>
      <w:rPr>
        <w:rFonts w:ascii="Wingdings" w:hAnsi="Wingdings" w:hint="default"/>
      </w:rPr>
    </w:lvl>
  </w:abstractNum>
  <w:abstractNum w:abstractNumId="13"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7"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2"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5"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6"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7"/>
  </w:num>
  <w:num w:numId="3">
    <w:abstractNumId w:val="9"/>
  </w:num>
  <w:num w:numId="4">
    <w:abstractNumId w:val="21"/>
  </w:num>
  <w:num w:numId="5">
    <w:abstractNumId w:val="19"/>
  </w:num>
  <w:num w:numId="6">
    <w:abstractNumId w:val="18"/>
  </w:num>
  <w:num w:numId="7">
    <w:abstractNumId w:val="20"/>
  </w:num>
  <w:num w:numId="8">
    <w:abstractNumId w:val="11"/>
  </w:num>
  <w:num w:numId="9">
    <w:abstractNumId w:val="24"/>
  </w:num>
  <w:num w:numId="10">
    <w:abstractNumId w:val="8"/>
  </w:num>
  <w:num w:numId="11">
    <w:abstractNumId w:val="23"/>
  </w:num>
  <w:num w:numId="12">
    <w:abstractNumId w:val="10"/>
  </w:num>
  <w:num w:numId="13">
    <w:abstractNumId w:val="5"/>
  </w:num>
  <w:num w:numId="14">
    <w:abstractNumId w:val="22"/>
  </w:num>
  <w:num w:numId="15">
    <w:abstractNumId w:val="13"/>
  </w:num>
  <w:num w:numId="16">
    <w:abstractNumId w:val="14"/>
  </w:num>
  <w:num w:numId="17">
    <w:abstractNumId w:val="6"/>
  </w:num>
  <w:num w:numId="18">
    <w:abstractNumId w:val="17"/>
  </w:num>
  <w:num w:numId="19">
    <w:abstractNumId w:val="4"/>
  </w:num>
  <w:num w:numId="20">
    <w:abstractNumId w:val="2"/>
  </w:num>
  <w:num w:numId="21">
    <w:abstractNumId w:val="1"/>
  </w:num>
  <w:num w:numId="22">
    <w:abstractNumId w:val="3"/>
  </w:num>
  <w:num w:numId="23">
    <w:abstractNumId w:val="0"/>
  </w:num>
  <w:num w:numId="24">
    <w:abstractNumId w:val="16"/>
  </w:num>
  <w:num w:numId="25">
    <w:abstractNumId w:val="26"/>
  </w:num>
  <w:num w:numId="26">
    <w:abstractNumId w:val="2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A8"/>
    <w:rsid w:val="0000015B"/>
    <w:rsid w:val="00000585"/>
    <w:rsid w:val="00001157"/>
    <w:rsid w:val="00001CC1"/>
    <w:rsid w:val="0000255E"/>
    <w:rsid w:val="000027A8"/>
    <w:rsid w:val="00002C41"/>
    <w:rsid w:val="000040BA"/>
    <w:rsid w:val="00004697"/>
    <w:rsid w:val="00004C9A"/>
    <w:rsid w:val="0000517C"/>
    <w:rsid w:val="0000588C"/>
    <w:rsid w:val="00005A28"/>
    <w:rsid w:val="00005AF7"/>
    <w:rsid w:val="00005B30"/>
    <w:rsid w:val="00005FF4"/>
    <w:rsid w:val="00006B64"/>
    <w:rsid w:val="00007467"/>
    <w:rsid w:val="00007AF0"/>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1F28"/>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10AB"/>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22B1"/>
    <w:rsid w:val="00063064"/>
    <w:rsid w:val="000631D9"/>
    <w:rsid w:val="0006342A"/>
    <w:rsid w:val="0006399D"/>
    <w:rsid w:val="00063DF4"/>
    <w:rsid w:val="00063EE6"/>
    <w:rsid w:val="0006459D"/>
    <w:rsid w:val="000646B1"/>
    <w:rsid w:val="0006512C"/>
    <w:rsid w:val="000659DC"/>
    <w:rsid w:val="00065AF2"/>
    <w:rsid w:val="00066893"/>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48"/>
    <w:rsid w:val="000938E3"/>
    <w:rsid w:val="00093E89"/>
    <w:rsid w:val="00094301"/>
    <w:rsid w:val="000943A8"/>
    <w:rsid w:val="00095480"/>
    <w:rsid w:val="00095E56"/>
    <w:rsid w:val="00096103"/>
    <w:rsid w:val="0009615B"/>
    <w:rsid w:val="0009660D"/>
    <w:rsid w:val="00096802"/>
    <w:rsid w:val="00096939"/>
    <w:rsid w:val="00096D8F"/>
    <w:rsid w:val="00097786"/>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23"/>
    <w:rsid w:val="000B54FC"/>
    <w:rsid w:val="000B58B6"/>
    <w:rsid w:val="000B5CDA"/>
    <w:rsid w:val="000B69F9"/>
    <w:rsid w:val="000B6F08"/>
    <w:rsid w:val="000B705F"/>
    <w:rsid w:val="000B7938"/>
    <w:rsid w:val="000B7BA2"/>
    <w:rsid w:val="000C03B8"/>
    <w:rsid w:val="000C06D1"/>
    <w:rsid w:val="000C0C16"/>
    <w:rsid w:val="000C0D40"/>
    <w:rsid w:val="000C1329"/>
    <w:rsid w:val="000C1B6B"/>
    <w:rsid w:val="000C22A7"/>
    <w:rsid w:val="000C363D"/>
    <w:rsid w:val="000C37C8"/>
    <w:rsid w:val="000C52BB"/>
    <w:rsid w:val="000C5437"/>
    <w:rsid w:val="000C57A3"/>
    <w:rsid w:val="000C5BD7"/>
    <w:rsid w:val="000C5D11"/>
    <w:rsid w:val="000C605C"/>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262E"/>
    <w:rsid w:val="000F27FF"/>
    <w:rsid w:val="000F39F4"/>
    <w:rsid w:val="000F4692"/>
    <w:rsid w:val="000F4F71"/>
    <w:rsid w:val="000F5085"/>
    <w:rsid w:val="000F56AC"/>
    <w:rsid w:val="000F5B27"/>
    <w:rsid w:val="000F5FDF"/>
    <w:rsid w:val="000F6BDC"/>
    <w:rsid w:val="000F6DC9"/>
    <w:rsid w:val="000F71B8"/>
    <w:rsid w:val="000F73C5"/>
    <w:rsid w:val="00100B87"/>
    <w:rsid w:val="00100C37"/>
    <w:rsid w:val="00100C86"/>
    <w:rsid w:val="00101373"/>
    <w:rsid w:val="00101589"/>
    <w:rsid w:val="001017B4"/>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7D9"/>
    <w:rsid w:val="00115C21"/>
    <w:rsid w:val="00116097"/>
    <w:rsid w:val="0011629A"/>
    <w:rsid w:val="0011641A"/>
    <w:rsid w:val="00116AB3"/>
    <w:rsid w:val="00116D55"/>
    <w:rsid w:val="00116F58"/>
    <w:rsid w:val="00117F25"/>
    <w:rsid w:val="001204E3"/>
    <w:rsid w:val="001205A1"/>
    <w:rsid w:val="001205A4"/>
    <w:rsid w:val="00120DE1"/>
    <w:rsid w:val="001213A3"/>
    <w:rsid w:val="0012177B"/>
    <w:rsid w:val="00121AE3"/>
    <w:rsid w:val="00121D4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E81"/>
    <w:rsid w:val="001473CD"/>
    <w:rsid w:val="00147756"/>
    <w:rsid w:val="00147AB7"/>
    <w:rsid w:val="0015006B"/>
    <w:rsid w:val="001503A1"/>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0AD9"/>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8A"/>
    <w:rsid w:val="00166D83"/>
    <w:rsid w:val="00167200"/>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74D8"/>
    <w:rsid w:val="00177588"/>
    <w:rsid w:val="001779C5"/>
    <w:rsid w:val="00177FC3"/>
    <w:rsid w:val="001800E6"/>
    <w:rsid w:val="001800FA"/>
    <w:rsid w:val="00180A90"/>
    <w:rsid w:val="00181C54"/>
    <w:rsid w:val="001822D7"/>
    <w:rsid w:val="0018260E"/>
    <w:rsid w:val="00182F1F"/>
    <w:rsid w:val="00182FE7"/>
    <w:rsid w:val="00183229"/>
    <w:rsid w:val="00183456"/>
    <w:rsid w:val="00183779"/>
    <w:rsid w:val="00183F6B"/>
    <w:rsid w:val="001845AD"/>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31C1"/>
    <w:rsid w:val="001D35F6"/>
    <w:rsid w:val="001D3902"/>
    <w:rsid w:val="001D3EEA"/>
    <w:rsid w:val="001D4272"/>
    <w:rsid w:val="001D50B3"/>
    <w:rsid w:val="001D52A0"/>
    <w:rsid w:val="001D5767"/>
    <w:rsid w:val="001D5CCF"/>
    <w:rsid w:val="001D6D28"/>
    <w:rsid w:val="001D6EEF"/>
    <w:rsid w:val="001E05EA"/>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2CC0"/>
    <w:rsid w:val="0021378D"/>
    <w:rsid w:val="00213D6A"/>
    <w:rsid w:val="00213EE7"/>
    <w:rsid w:val="00214B9A"/>
    <w:rsid w:val="00214ED9"/>
    <w:rsid w:val="00215534"/>
    <w:rsid w:val="002156C9"/>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1640"/>
    <w:rsid w:val="00231AF3"/>
    <w:rsid w:val="00231BCE"/>
    <w:rsid w:val="002329E2"/>
    <w:rsid w:val="00232AE3"/>
    <w:rsid w:val="00232B10"/>
    <w:rsid w:val="00232FF4"/>
    <w:rsid w:val="002330E4"/>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F3E"/>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84E"/>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10543"/>
    <w:rsid w:val="003107A9"/>
    <w:rsid w:val="0031175C"/>
    <w:rsid w:val="00311D17"/>
    <w:rsid w:val="0031221C"/>
    <w:rsid w:val="003122AA"/>
    <w:rsid w:val="00312D6B"/>
    <w:rsid w:val="00312DD3"/>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177"/>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6190"/>
    <w:rsid w:val="003461A1"/>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2CA9"/>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3F8E"/>
    <w:rsid w:val="00364470"/>
    <w:rsid w:val="00364548"/>
    <w:rsid w:val="003648DB"/>
    <w:rsid w:val="003649C7"/>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9F6"/>
    <w:rsid w:val="00372F8A"/>
    <w:rsid w:val="00373754"/>
    <w:rsid w:val="00373787"/>
    <w:rsid w:val="0037387B"/>
    <w:rsid w:val="003738C5"/>
    <w:rsid w:val="00374349"/>
    <w:rsid w:val="00374A72"/>
    <w:rsid w:val="003763BA"/>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3F23"/>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605"/>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5AFB"/>
    <w:rsid w:val="003C67E9"/>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92B"/>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93D"/>
    <w:rsid w:val="00423C00"/>
    <w:rsid w:val="0042409B"/>
    <w:rsid w:val="00424EE1"/>
    <w:rsid w:val="00425AE2"/>
    <w:rsid w:val="004260BB"/>
    <w:rsid w:val="004268CB"/>
    <w:rsid w:val="004269BA"/>
    <w:rsid w:val="004274EE"/>
    <w:rsid w:val="00427C27"/>
    <w:rsid w:val="00427CCC"/>
    <w:rsid w:val="004300CB"/>
    <w:rsid w:val="00430453"/>
    <w:rsid w:val="00430BCC"/>
    <w:rsid w:val="00430C41"/>
    <w:rsid w:val="0043295B"/>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C2D"/>
    <w:rsid w:val="00444F5C"/>
    <w:rsid w:val="0044610F"/>
    <w:rsid w:val="00446316"/>
    <w:rsid w:val="00446833"/>
    <w:rsid w:val="00450CA7"/>
    <w:rsid w:val="00450E29"/>
    <w:rsid w:val="00451082"/>
    <w:rsid w:val="00451C48"/>
    <w:rsid w:val="0045351A"/>
    <w:rsid w:val="004537B4"/>
    <w:rsid w:val="004539A1"/>
    <w:rsid w:val="004544BC"/>
    <w:rsid w:val="004546C3"/>
    <w:rsid w:val="00454A40"/>
    <w:rsid w:val="004551D5"/>
    <w:rsid w:val="00455CD1"/>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5940"/>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88D"/>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015"/>
    <w:rsid w:val="004F62FD"/>
    <w:rsid w:val="004F6332"/>
    <w:rsid w:val="004F67A2"/>
    <w:rsid w:val="004F68B0"/>
    <w:rsid w:val="004F7BDE"/>
    <w:rsid w:val="0050034B"/>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991"/>
    <w:rsid w:val="00526FBE"/>
    <w:rsid w:val="00527322"/>
    <w:rsid w:val="00527605"/>
    <w:rsid w:val="00527DD2"/>
    <w:rsid w:val="005304A4"/>
    <w:rsid w:val="00530B7B"/>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F5D"/>
    <w:rsid w:val="00536582"/>
    <w:rsid w:val="005365A8"/>
    <w:rsid w:val="00536855"/>
    <w:rsid w:val="00536A50"/>
    <w:rsid w:val="00536D53"/>
    <w:rsid w:val="00536EB7"/>
    <w:rsid w:val="005370DC"/>
    <w:rsid w:val="005376E4"/>
    <w:rsid w:val="00537CE9"/>
    <w:rsid w:val="0054035C"/>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B34"/>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DE1"/>
    <w:rsid w:val="00560EB2"/>
    <w:rsid w:val="00561A9B"/>
    <w:rsid w:val="00562138"/>
    <w:rsid w:val="005622AF"/>
    <w:rsid w:val="00562571"/>
    <w:rsid w:val="00562BF6"/>
    <w:rsid w:val="00562E87"/>
    <w:rsid w:val="00562F6F"/>
    <w:rsid w:val="005630AA"/>
    <w:rsid w:val="005638C1"/>
    <w:rsid w:val="00563A1C"/>
    <w:rsid w:val="005648FF"/>
    <w:rsid w:val="005651F6"/>
    <w:rsid w:val="0056540C"/>
    <w:rsid w:val="00565AD1"/>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88A"/>
    <w:rsid w:val="00582D17"/>
    <w:rsid w:val="00582F6E"/>
    <w:rsid w:val="005833C2"/>
    <w:rsid w:val="00583B0A"/>
    <w:rsid w:val="005859A4"/>
    <w:rsid w:val="00585A18"/>
    <w:rsid w:val="00585D00"/>
    <w:rsid w:val="00586039"/>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4503"/>
    <w:rsid w:val="005A5211"/>
    <w:rsid w:val="005A5555"/>
    <w:rsid w:val="005A55C0"/>
    <w:rsid w:val="005A6096"/>
    <w:rsid w:val="005A6AC5"/>
    <w:rsid w:val="005A6C10"/>
    <w:rsid w:val="005A6F15"/>
    <w:rsid w:val="005A737B"/>
    <w:rsid w:val="005A74ED"/>
    <w:rsid w:val="005A7C48"/>
    <w:rsid w:val="005B0296"/>
    <w:rsid w:val="005B0E69"/>
    <w:rsid w:val="005B12CD"/>
    <w:rsid w:val="005B1A92"/>
    <w:rsid w:val="005B1B30"/>
    <w:rsid w:val="005B2805"/>
    <w:rsid w:val="005B2859"/>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9E9"/>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801"/>
    <w:rsid w:val="005D3984"/>
    <w:rsid w:val="005D502C"/>
    <w:rsid w:val="005D5636"/>
    <w:rsid w:val="005D5BB7"/>
    <w:rsid w:val="005D5CC3"/>
    <w:rsid w:val="005D5D49"/>
    <w:rsid w:val="005D6019"/>
    <w:rsid w:val="005D6F67"/>
    <w:rsid w:val="005D6FE9"/>
    <w:rsid w:val="005D7896"/>
    <w:rsid w:val="005D7902"/>
    <w:rsid w:val="005E06BD"/>
    <w:rsid w:val="005E0CCE"/>
    <w:rsid w:val="005E0D7D"/>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B45"/>
    <w:rsid w:val="005E4E72"/>
    <w:rsid w:val="005E70A5"/>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F4E"/>
    <w:rsid w:val="006040A7"/>
    <w:rsid w:val="00604687"/>
    <w:rsid w:val="0060484A"/>
    <w:rsid w:val="00605A01"/>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870"/>
    <w:rsid w:val="00623DA3"/>
    <w:rsid w:val="00623F4C"/>
    <w:rsid w:val="006245DC"/>
    <w:rsid w:val="0062536F"/>
    <w:rsid w:val="00625492"/>
    <w:rsid w:val="00625A21"/>
    <w:rsid w:val="0062605B"/>
    <w:rsid w:val="0062623D"/>
    <w:rsid w:val="00626355"/>
    <w:rsid w:val="006270C7"/>
    <w:rsid w:val="006275F5"/>
    <w:rsid w:val="0062793F"/>
    <w:rsid w:val="006279E3"/>
    <w:rsid w:val="00630012"/>
    <w:rsid w:val="006306F2"/>
    <w:rsid w:val="00630E5A"/>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266E"/>
    <w:rsid w:val="006428AB"/>
    <w:rsid w:val="00643008"/>
    <w:rsid w:val="00643809"/>
    <w:rsid w:val="00643C58"/>
    <w:rsid w:val="00644558"/>
    <w:rsid w:val="00644768"/>
    <w:rsid w:val="00644847"/>
    <w:rsid w:val="00644BF3"/>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2D8"/>
    <w:rsid w:val="0065572F"/>
    <w:rsid w:val="00655928"/>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089"/>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ACE"/>
    <w:rsid w:val="00721DE8"/>
    <w:rsid w:val="007223C2"/>
    <w:rsid w:val="0072272C"/>
    <w:rsid w:val="00722998"/>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62E3"/>
    <w:rsid w:val="007365D6"/>
    <w:rsid w:val="00736CDF"/>
    <w:rsid w:val="00736EDD"/>
    <w:rsid w:val="007372C2"/>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A66"/>
    <w:rsid w:val="00747CD7"/>
    <w:rsid w:val="00750154"/>
    <w:rsid w:val="00750FE0"/>
    <w:rsid w:val="00751868"/>
    <w:rsid w:val="00751B16"/>
    <w:rsid w:val="0075278F"/>
    <w:rsid w:val="00753890"/>
    <w:rsid w:val="00753A8E"/>
    <w:rsid w:val="00753B90"/>
    <w:rsid w:val="00754142"/>
    <w:rsid w:val="00754335"/>
    <w:rsid w:val="00754671"/>
    <w:rsid w:val="0075484F"/>
    <w:rsid w:val="0075590B"/>
    <w:rsid w:val="00755C38"/>
    <w:rsid w:val="00755DE8"/>
    <w:rsid w:val="0075606C"/>
    <w:rsid w:val="007566BB"/>
    <w:rsid w:val="0075674F"/>
    <w:rsid w:val="00756E93"/>
    <w:rsid w:val="00756F1C"/>
    <w:rsid w:val="00757A80"/>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7C7"/>
    <w:rsid w:val="007669F0"/>
    <w:rsid w:val="00766BA7"/>
    <w:rsid w:val="00766CCF"/>
    <w:rsid w:val="00766F41"/>
    <w:rsid w:val="007671EE"/>
    <w:rsid w:val="007677DA"/>
    <w:rsid w:val="00770486"/>
    <w:rsid w:val="0077106A"/>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3E9"/>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97D7F"/>
    <w:rsid w:val="007A093C"/>
    <w:rsid w:val="007A0E6C"/>
    <w:rsid w:val="007A0EA2"/>
    <w:rsid w:val="007A115F"/>
    <w:rsid w:val="007A1371"/>
    <w:rsid w:val="007A21AD"/>
    <w:rsid w:val="007A2247"/>
    <w:rsid w:val="007A23C9"/>
    <w:rsid w:val="007A2479"/>
    <w:rsid w:val="007A2551"/>
    <w:rsid w:val="007A4418"/>
    <w:rsid w:val="007A4A59"/>
    <w:rsid w:val="007A53F3"/>
    <w:rsid w:val="007A6823"/>
    <w:rsid w:val="007A6989"/>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A95"/>
    <w:rsid w:val="007C2D2F"/>
    <w:rsid w:val="007C2F1E"/>
    <w:rsid w:val="007C340C"/>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5E02"/>
    <w:rsid w:val="007F62AE"/>
    <w:rsid w:val="007F6922"/>
    <w:rsid w:val="007F70FA"/>
    <w:rsid w:val="007F71C9"/>
    <w:rsid w:val="007F7634"/>
    <w:rsid w:val="007F7CAC"/>
    <w:rsid w:val="007F7E8D"/>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4CD7"/>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03E8"/>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AF0"/>
    <w:rsid w:val="00834EC7"/>
    <w:rsid w:val="00835022"/>
    <w:rsid w:val="00835BBB"/>
    <w:rsid w:val="00836301"/>
    <w:rsid w:val="008375FB"/>
    <w:rsid w:val="00837BB4"/>
    <w:rsid w:val="00837C4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98"/>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7038"/>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50D"/>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826"/>
    <w:rsid w:val="00917913"/>
    <w:rsid w:val="00917A26"/>
    <w:rsid w:val="00917A7D"/>
    <w:rsid w:val="00917C4A"/>
    <w:rsid w:val="00917E93"/>
    <w:rsid w:val="00920477"/>
    <w:rsid w:val="0092053F"/>
    <w:rsid w:val="00920F06"/>
    <w:rsid w:val="0092112C"/>
    <w:rsid w:val="0092188C"/>
    <w:rsid w:val="00922136"/>
    <w:rsid w:val="0092248E"/>
    <w:rsid w:val="00922B2C"/>
    <w:rsid w:val="00922BB0"/>
    <w:rsid w:val="00922C38"/>
    <w:rsid w:val="00922E91"/>
    <w:rsid w:val="00923891"/>
    <w:rsid w:val="00923BCC"/>
    <w:rsid w:val="0092412C"/>
    <w:rsid w:val="009249F9"/>
    <w:rsid w:val="00924CF7"/>
    <w:rsid w:val="00924E41"/>
    <w:rsid w:val="009250FD"/>
    <w:rsid w:val="0092547A"/>
    <w:rsid w:val="00925F78"/>
    <w:rsid w:val="00926518"/>
    <w:rsid w:val="00926820"/>
    <w:rsid w:val="00926A54"/>
    <w:rsid w:val="00926C5F"/>
    <w:rsid w:val="00926F44"/>
    <w:rsid w:val="009275EC"/>
    <w:rsid w:val="00927DCD"/>
    <w:rsid w:val="0093044F"/>
    <w:rsid w:val="0093080E"/>
    <w:rsid w:val="00930A85"/>
    <w:rsid w:val="00930ABD"/>
    <w:rsid w:val="00930CE4"/>
    <w:rsid w:val="0093160C"/>
    <w:rsid w:val="009316C0"/>
    <w:rsid w:val="009317AC"/>
    <w:rsid w:val="00931BA0"/>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FCD"/>
    <w:rsid w:val="0093638E"/>
    <w:rsid w:val="0093664F"/>
    <w:rsid w:val="00936A66"/>
    <w:rsid w:val="00936ECE"/>
    <w:rsid w:val="0093729E"/>
    <w:rsid w:val="009376B2"/>
    <w:rsid w:val="00937880"/>
    <w:rsid w:val="00937BEB"/>
    <w:rsid w:val="00937C5B"/>
    <w:rsid w:val="00937E2C"/>
    <w:rsid w:val="00940111"/>
    <w:rsid w:val="009401A9"/>
    <w:rsid w:val="00940AAA"/>
    <w:rsid w:val="00940C01"/>
    <w:rsid w:val="00940CD5"/>
    <w:rsid w:val="0094114A"/>
    <w:rsid w:val="00941B66"/>
    <w:rsid w:val="00942392"/>
    <w:rsid w:val="00942524"/>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B8C"/>
    <w:rsid w:val="009501AE"/>
    <w:rsid w:val="009501BB"/>
    <w:rsid w:val="009505BA"/>
    <w:rsid w:val="0095074E"/>
    <w:rsid w:val="00950A9F"/>
    <w:rsid w:val="009511A1"/>
    <w:rsid w:val="00951A04"/>
    <w:rsid w:val="00951C06"/>
    <w:rsid w:val="00951EA3"/>
    <w:rsid w:val="009522F6"/>
    <w:rsid w:val="00953040"/>
    <w:rsid w:val="00953864"/>
    <w:rsid w:val="00953BF0"/>
    <w:rsid w:val="00953E2B"/>
    <w:rsid w:val="009540DD"/>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7411"/>
    <w:rsid w:val="009D7469"/>
    <w:rsid w:val="009D7489"/>
    <w:rsid w:val="009D77CF"/>
    <w:rsid w:val="009E0506"/>
    <w:rsid w:val="009E2A7B"/>
    <w:rsid w:val="009E309C"/>
    <w:rsid w:val="009E36AA"/>
    <w:rsid w:val="009E38C0"/>
    <w:rsid w:val="009E4115"/>
    <w:rsid w:val="009E449B"/>
    <w:rsid w:val="009E44BA"/>
    <w:rsid w:val="009E47BE"/>
    <w:rsid w:val="009E4F1B"/>
    <w:rsid w:val="009E510E"/>
    <w:rsid w:val="009E6485"/>
    <w:rsid w:val="009E747F"/>
    <w:rsid w:val="009E74A3"/>
    <w:rsid w:val="009E79EA"/>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5F47"/>
    <w:rsid w:val="009F6377"/>
    <w:rsid w:val="009F6D30"/>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1A13"/>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2DA8"/>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AC5"/>
    <w:rsid w:val="00AF3238"/>
    <w:rsid w:val="00AF393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C63"/>
    <w:rsid w:val="00B4516C"/>
    <w:rsid w:val="00B45A3C"/>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ECE"/>
    <w:rsid w:val="00B80F06"/>
    <w:rsid w:val="00B8118D"/>
    <w:rsid w:val="00B816FC"/>
    <w:rsid w:val="00B82071"/>
    <w:rsid w:val="00B84A18"/>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34F"/>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CDA"/>
    <w:rsid w:val="00BB510A"/>
    <w:rsid w:val="00BB5243"/>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5521"/>
    <w:rsid w:val="00BD5A84"/>
    <w:rsid w:val="00BD68FF"/>
    <w:rsid w:val="00BD7056"/>
    <w:rsid w:val="00BD71D7"/>
    <w:rsid w:val="00BD7214"/>
    <w:rsid w:val="00BD7B25"/>
    <w:rsid w:val="00BD7DCB"/>
    <w:rsid w:val="00BE0354"/>
    <w:rsid w:val="00BE052B"/>
    <w:rsid w:val="00BE0A0D"/>
    <w:rsid w:val="00BE112F"/>
    <w:rsid w:val="00BE186B"/>
    <w:rsid w:val="00BE1890"/>
    <w:rsid w:val="00BE18DF"/>
    <w:rsid w:val="00BE1AD8"/>
    <w:rsid w:val="00BE1AFA"/>
    <w:rsid w:val="00BE27ED"/>
    <w:rsid w:val="00BE2DEA"/>
    <w:rsid w:val="00BE2F1B"/>
    <w:rsid w:val="00BE37DD"/>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AF4"/>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ADC"/>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277BD"/>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64D"/>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37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528B"/>
    <w:rsid w:val="00CA5E2B"/>
    <w:rsid w:val="00CA6460"/>
    <w:rsid w:val="00CA65BF"/>
    <w:rsid w:val="00CA69BF"/>
    <w:rsid w:val="00CA6AA2"/>
    <w:rsid w:val="00CA6E93"/>
    <w:rsid w:val="00CA7855"/>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07F40"/>
    <w:rsid w:val="00D102D1"/>
    <w:rsid w:val="00D10312"/>
    <w:rsid w:val="00D107D3"/>
    <w:rsid w:val="00D10AFB"/>
    <w:rsid w:val="00D10B6F"/>
    <w:rsid w:val="00D12C19"/>
    <w:rsid w:val="00D12F06"/>
    <w:rsid w:val="00D130E3"/>
    <w:rsid w:val="00D13588"/>
    <w:rsid w:val="00D13C85"/>
    <w:rsid w:val="00D13F3D"/>
    <w:rsid w:val="00D14FEE"/>
    <w:rsid w:val="00D164B2"/>
    <w:rsid w:val="00D168F4"/>
    <w:rsid w:val="00D16D35"/>
    <w:rsid w:val="00D170E0"/>
    <w:rsid w:val="00D172BA"/>
    <w:rsid w:val="00D179CB"/>
    <w:rsid w:val="00D17B7D"/>
    <w:rsid w:val="00D17DFF"/>
    <w:rsid w:val="00D20AA3"/>
    <w:rsid w:val="00D20C8A"/>
    <w:rsid w:val="00D216BE"/>
    <w:rsid w:val="00D21E02"/>
    <w:rsid w:val="00D226BB"/>
    <w:rsid w:val="00D227ED"/>
    <w:rsid w:val="00D22A26"/>
    <w:rsid w:val="00D22EFE"/>
    <w:rsid w:val="00D24427"/>
    <w:rsid w:val="00D24C72"/>
    <w:rsid w:val="00D26235"/>
    <w:rsid w:val="00D26C68"/>
    <w:rsid w:val="00D26D82"/>
    <w:rsid w:val="00D27058"/>
    <w:rsid w:val="00D27C49"/>
    <w:rsid w:val="00D27C95"/>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D9"/>
    <w:rsid w:val="00D5127E"/>
    <w:rsid w:val="00D5186D"/>
    <w:rsid w:val="00D522A0"/>
    <w:rsid w:val="00D5243F"/>
    <w:rsid w:val="00D525B8"/>
    <w:rsid w:val="00D52778"/>
    <w:rsid w:val="00D5340C"/>
    <w:rsid w:val="00D53AB2"/>
    <w:rsid w:val="00D53D7E"/>
    <w:rsid w:val="00D54091"/>
    <w:rsid w:val="00D54841"/>
    <w:rsid w:val="00D54C0B"/>
    <w:rsid w:val="00D54F43"/>
    <w:rsid w:val="00D5523A"/>
    <w:rsid w:val="00D555DB"/>
    <w:rsid w:val="00D5570A"/>
    <w:rsid w:val="00D55FF9"/>
    <w:rsid w:val="00D560F1"/>
    <w:rsid w:val="00D56A6A"/>
    <w:rsid w:val="00D5749B"/>
    <w:rsid w:val="00D574AF"/>
    <w:rsid w:val="00D6008F"/>
    <w:rsid w:val="00D604E1"/>
    <w:rsid w:val="00D60BCE"/>
    <w:rsid w:val="00D614A0"/>
    <w:rsid w:val="00D61B08"/>
    <w:rsid w:val="00D62099"/>
    <w:rsid w:val="00D62B27"/>
    <w:rsid w:val="00D62B70"/>
    <w:rsid w:val="00D62CE1"/>
    <w:rsid w:val="00D62F29"/>
    <w:rsid w:val="00D63412"/>
    <w:rsid w:val="00D6389C"/>
    <w:rsid w:val="00D63B33"/>
    <w:rsid w:val="00D63CDD"/>
    <w:rsid w:val="00D6439C"/>
    <w:rsid w:val="00D64AAF"/>
    <w:rsid w:val="00D661FD"/>
    <w:rsid w:val="00D665D3"/>
    <w:rsid w:val="00D66CBB"/>
    <w:rsid w:val="00D67550"/>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3BB6"/>
    <w:rsid w:val="00DB4EB2"/>
    <w:rsid w:val="00DB4FA3"/>
    <w:rsid w:val="00DB5745"/>
    <w:rsid w:val="00DB5A79"/>
    <w:rsid w:val="00DB5AFA"/>
    <w:rsid w:val="00DB6067"/>
    <w:rsid w:val="00DB63DB"/>
    <w:rsid w:val="00DB6CFD"/>
    <w:rsid w:val="00DB6D3C"/>
    <w:rsid w:val="00DB75EB"/>
    <w:rsid w:val="00DB778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314"/>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DD3"/>
    <w:rsid w:val="00DE7A3E"/>
    <w:rsid w:val="00DE7E3E"/>
    <w:rsid w:val="00DF0A04"/>
    <w:rsid w:val="00DF1446"/>
    <w:rsid w:val="00DF1452"/>
    <w:rsid w:val="00DF1F5F"/>
    <w:rsid w:val="00DF2235"/>
    <w:rsid w:val="00DF2701"/>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9DD"/>
    <w:rsid w:val="00E03BCB"/>
    <w:rsid w:val="00E03F86"/>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19A"/>
    <w:rsid w:val="00E217D3"/>
    <w:rsid w:val="00E21BD9"/>
    <w:rsid w:val="00E22162"/>
    <w:rsid w:val="00E22365"/>
    <w:rsid w:val="00E22428"/>
    <w:rsid w:val="00E225A5"/>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851"/>
    <w:rsid w:val="00E30BF0"/>
    <w:rsid w:val="00E31BCD"/>
    <w:rsid w:val="00E31C73"/>
    <w:rsid w:val="00E31ED6"/>
    <w:rsid w:val="00E327DD"/>
    <w:rsid w:val="00E3375B"/>
    <w:rsid w:val="00E33CCB"/>
    <w:rsid w:val="00E34669"/>
    <w:rsid w:val="00E3524F"/>
    <w:rsid w:val="00E35C45"/>
    <w:rsid w:val="00E35C9D"/>
    <w:rsid w:val="00E35DF7"/>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B85"/>
    <w:rsid w:val="00E43F4D"/>
    <w:rsid w:val="00E44110"/>
    <w:rsid w:val="00E44623"/>
    <w:rsid w:val="00E44CA0"/>
    <w:rsid w:val="00E44EFD"/>
    <w:rsid w:val="00E44FEB"/>
    <w:rsid w:val="00E452B0"/>
    <w:rsid w:val="00E4586E"/>
    <w:rsid w:val="00E4641C"/>
    <w:rsid w:val="00E46997"/>
    <w:rsid w:val="00E46C39"/>
    <w:rsid w:val="00E4786E"/>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74F2"/>
    <w:rsid w:val="00E77ACD"/>
    <w:rsid w:val="00E77F21"/>
    <w:rsid w:val="00E80A6F"/>
    <w:rsid w:val="00E81227"/>
    <w:rsid w:val="00E8185C"/>
    <w:rsid w:val="00E82328"/>
    <w:rsid w:val="00E8265A"/>
    <w:rsid w:val="00E826BE"/>
    <w:rsid w:val="00E828E2"/>
    <w:rsid w:val="00E8305A"/>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CC6"/>
    <w:rsid w:val="00E97FAB"/>
    <w:rsid w:val="00EA044A"/>
    <w:rsid w:val="00EA05E9"/>
    <w:rsid w:val="00EA0A0B"/>
    <w:rsid w:val="00EA0B43"/>
    <w:rsid w:val="00EA1CB4"/>
    <w:rsid w:val="00EA1DC0"/>
    <w:rsid w:val="00EA1E4C"/>
    <w:rsid w:val="00EA25B5"/>
    <w:rsid w:val="00EA263E"/>
    <w:rsid w:val="00EA2F2D"/>
    <w:rsid w:val="00EA33B5"/>
    <w:rsid w:val="00EA3E47"/>
    <w:rsid w:val="00EA3E86"/>
    <w:rsid w:val="00EA4263"/>
    <w:rsid w:val="00EA44EA"/>
    <w:rsid w:val="00EA490D"/>
    <w:rsid w:val="00EA5266"/>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423"/>
    <w:rsid w:val="00EB6685"/>
    <w:rsid w:val="00EB73D2"/>
    <w:rsid w:val="00EB765C"/>
    <w:rsid w:val="00EB773B"/>
    <w:rsid w:val="00EB7CDD"/>
    <w:rsid w:val="00EC12DC"/>
    <w:rsid w:val="00EC186C"/>
    <w:rsid w:val="00EC1905"/>
    <w:rsid w:val="00EC2878"/>
    <w:rsid w:val="00EC306F"/>
    <w:rsid w:val="00EC3088"/>
    <w:rsid w:val="00EC34BD"/>
    <w:rsid w:val="00EC354D"/>
    <w:rsid w:val="00EC37CE"/>
    <w:rsid w:val="00EC3BA1"/>
    <w:rsid w:val="00EC445F"/>
    <w:rsid w:val="00EC4A82"/>
    <w:rsid w:val="00EC5523"/>
    <w:rsid w:val="00EC5862"/>
    <w:rsid w:val="00EC60CC"/>
    <w:rsid w:val="00EC60D3"/>
    <w:rsid w:val="00EC61E4"/>
    <w:rsid w:val="00EC77F9"/>
    <w:rsid w:val="00ED0217"/>
    <w:rsid w:val="00ED0A76"/>
    <w:rsid w:val="00ED0EDB"/>
    <w:rsid w:val="00ED10B6"/>
    <w:rsid w:val="00ED12ED"/>
    <w:rsid w:val="00ED2312"/>
    <w:rsid w:val="00ED2EB5"/>
    <w:rsid w:val="00ED3396"/>
    <w:rsid w:val="00ED34B4"/>
    <w:rsid w:val="00ED3C4A"/>
    <w:rsid w:val="00ED42AB"/>
    <w:rsid w:val="00ED4797"/>
    <w:rsid w:val="00ED5658"/>
    <w:rsid w:val="00ED5FE9"/>
    <w:rsid w:val="00ED60BB"/>
    <w:rsid w:val="00ED6145"/>
    <w:rsid w:val="00ED62B3"/>
    <w:rsid w:val="00ED6514"/>
    <w:rsid w:val="00ED6E1E"/>
    <w:rsid w:val="00ED6E77"/>
    <w:rsid w:val="00ED7316"/>
    <w:rsid w:val="00EE0D05"/>
    <w:rsid w:val="00EE12B8"/>
    <w:rsid w:val="00EE1AE2"/>
    <w:rsid w:val="00EE21B4"/>
    <w:rsid w:val="00EE323B"/>
    <w:rsid w:val="00EE363C"/>
    <w:rsid w:val="00EE414A"/>
    <w:rsid w:val="00EE5096"/>
    <w:rsid w:val="00EE5BBE"/>
    <w:rsid w:val="00EE61C4"/>
    <w:rsid w:val="00EE69A6"/>
    <w:rsid w:val="00EE7265"/>
    <w:rsid w:val="00EE7A3D"/>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58"/>
    <w:rsid w:val="00F230C3"/>
    <w:rsid w:val="00F231D7"/>
    <w:rsid w:val="00F240ED"/>
    <w:rsid w:val="00F24562"/>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F"/>
    <w:rsid w:val="00F70B92"/>
    <w:rsid w:val="00F70DA4"/>
    <w:rsid w:val="00F7139F"/>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114"/>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655"/>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D79AB"/>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70DA"/>
    <w:rsid w:val="00FF7BC6"/>
    <w:rsid w:val="022FA3BE"/>
    <w:rsid w:val="02DEFBC0"/>
    <w:rsid w:val="03AA9200"/>
    <w:rsid w:val="03B552B5"/>
    <w:rsid w:val="046C1F39"/>
    <w:rsid w:val="0507742B"/>
    <w:rsid w:val="0659E450"/>
    <w:rsid w:val="076BE6CD"/>
    <w:rsid w:val="078859A4"/>
    <w:rsid w:val="07B55954"/>
    <w:rsid w:val="088E2A2D"/>
    <w:rsid w:val="09130219"/>
    <w:rsid w:val="09CC2CF4"/>
    <w:rsid w:val="0C625DC9"/>
    <w:rsid w:val="0CC27112"/>
    <w:rsid w:val="0D595652"/>
    <w:rsid w:val="0E2A697B"/>
    <w:rsid w:val="105E0071"/>
    <w:rsid w:val="10F3DB9B"/>
    <w:rsid w:val="112C4325"/>
    <w:rsid w:val="112DCCC8"/>
    <w:rsid w:val="12556F1C"/>
    <w:rsid w:val="126534DA"/>
    <w:rsid w:val="127CC944"/>
    <w:rsid w:val="12B55C94"/>
    <w:rsid w:val="133CA4AB"/>
    <w:rsid w:val="1371AD7D"/>
    <w:rsid w:val="142B1A0F"/>
    <w:rsid w:val="17B37E61"/>
    <w:rsid w:val="19D61DE0"/>
    <w:rsid w:val="1FB86D3E"/>
    <w:rsid w:val="20B3492C"/>
    <w:rsid w:val="21C18405"/>
    <w:rsid w:val="221054FB"/>
    <w:rsid w:val="22E28B12"/>
    <w:rsid w:val="23DB4ACF"/>
    <w:rsid w:val="25CB29C1"/>
    <w:rsid w:val="26376111"/>
    <w:rsid w:val="26C8FE09"/>
    <w:rsid w:val="2907FDE6"/>
    <w:rsid w:val="297677F1"/>
    <w:rsid w:val="29EF44A1"/>
    <w:rsid w:val="2A446778"/>
    <w:rsid w:val="2B1495FC"/>
    <w:rsid w:val="2BBA250A"/>
    <w:rsid w:val="2D7D5492"/>
    <w:rsid w:val="2FCA3C86"/>
    <w:rsid w:val="33406340"/>
    <w:rsid w:val="3376CB71"/>
    <w:rsid w:val="34750A8C"/>
    <w:rsid w:val="356E9116"/>
    <w:rsid w:val="360C7C52"/>
    <w:rsid w:val="3626AAD2"/>
    <w:rsid w:val="37277D90"/>
    <w:rsid w:val="3940ADCC"/>
    <w:rsid w:val="396967C8"/>
    <w:rsid w:val="39BDD09A"/>
    <w:rsid w:val="3A2980C1"/>
    <w:rsid w:val="3B6740F0"/>
    <w:rsid w:val="3B84C289"/>
    <w:rsid w:val="3D04DB70"/>
    <w:rsid w:val="3D5F9DDF"/>
    <w:rsid w:val="3E4242ED"/>
    <w:rsid w:val="3F01D6E5"/>
    <w:rsid w:val="3F0D56FC"/>
    <w:rsid w:val="3FA67F78"/>
    <w:rsid w:val="3FF9044A"/>
    <w:rsid w:val="4067B543"/>
    <w:rsid w:val="4095AF40"/>
    <w:rsid w:val="4177B0F7"/>
    <w:rsid w:val="418A9A7B"/>
    <w:rsid w:val="42470EA5"/>
    <w:rsid w:val="44796D89"/>
    <w:rsid w:val="450D6CBD"/>
    <w:rsid w:val="4561897B"/>
    <w:rsid w:val="45757045"/>
    <w:rsid w:val="478D84D0"/>
    <w:rsid w:val="47AD889A"/>
    <w:rsid w:val="488244CC"/>
    <w:rsid w:val="4963BF0A"/>
    <w:rsid w:val="4A0619A5"/>
    <w:rsid w:val="4C0DFB99"/>
    <w:rsid w:val="4C6879CA"/>
    <w:rsid w:val="4E24BC3E"/>
    <w:rsid w:val="4E3AB85F"/>
    <w:rsid w:val="4EC0B915"/>
    <w:rsid w:val="4EE75B13"/>
    <w:rsid w:val="4F503492"/>
    <w:rsid w:val="50382BD4"/>
    <w:rsid w:val="5056B7F2"/>
    <w:rsid w:val="51D97B11"/>
    <w:rsid w:val="52E40413"/>
    <w:rsid w:val="536A2990"/>
    <w:rsid w:val="54423020"/>
    <w:rsid w:val="5570FBB2"/>
    <w:rsid w:val="572A5DE5"/>
    <w:rsid w:val="57B97F26"/>
    <w:rsid w:val="57C93067"/>
    <w:rsid w:val="58AE0707"/>
    <w:rsid w:val="5C1C30BD"/>
    <w:rsid w:val="5DC7DD4A"/>
    <w:rsid w:val="5E1549B1"/>
    <w:rsid w:val="6016FBF1"/>
    <w:rsid w:val="60662393"/>
    <w:rsid w:val="61166BD4"/>
    <w:rsid w:val="62320CDD"/>
    <w:rsid w:val="62758FD3"/>
    <w:rsid w:val="634AAB14"/>
    <w:rsid w:val="644301A3"/>
    <w:rsid w:val="66A768FA"/>
    <w:rsid w:val="672B3DBA"/>
    <w:rsid w:val="67477340"/>
    <w:rsid w:val="6B2D5F99"/>
    <w:rsid w:val="6C92E068"/>
    <w:rsid w:val="6CA0F836"/>
    <w:rsid w:val="6CB2AEB9"/>
    <w:rsid w:val="6DDDB6C5"/>
    <w:rsid w:val="6E3142C4"/>
    <w:rsid w:val="6FCE98FD"/>
    <w:rsid w:val="6FCFD275"/>
    <w:rsid w:val="70387D9E"/>
    <w:rsid w:val="706CEDEF"/>
    <w:rsid w:val="71B074C3"/>
    <w:rsid w:val="72976D02"/>
    <w:rsid w:val="736EBDDA"/>
    <w:rsid w:val="7398DCDC"/>
    <w:rsid w:val="74D45768"/>
    <w:rsid w:val="7660B0FA"/>
    <w:rsid w:val="7785A279"/>
    <w:rsid w:val="78240BDF"/>
    <w:rsid w:val="79ACE180"/>
    <w:rsid w:val="7A31744C"/>
    <w:rsid w:val="7B3A8CC5"/>
    <w:rsid w:val="7B534D3D"/>
    <w:rsid w:val="7C3945EE"/>
    <w:rsid w:val="7C756F16"/>
    <w:rsid w:val="7C9459D0"/>
    <w:rsid w:val="7E8D3F4B"/>
    <w:rsid w:val="7F0D8D86"/>
    <w:rsid w:val="7F8143E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43198"/>
  <w15:chartTrackingRefBased/>
  <w15:docId w15:val="{5B65B2CB-B81A-47FC-A815-68B774BF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caption" w:qFormat="1"/>
    <w:lsdException w:name="List Bullet" w:qFormat="1"/>
    <w:lsdException w:name="List Number" w:qFormat="1"/>
    <w:lsdException w:name="Title" w:qFormat="1"/>
    <w:lsdException w:name="Body Text" w:qFormat="1"/>
    <w:lsdException w:name="List Continue" w:qFormat="1"/>
    <w:lsdException w:name="Subtitle" w:qFormat="1"/>
    <w:lsdException w:name="Block Text"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428AB"/>
    <w:rPr>
      <w:rFonts w:ascii="Arial" w:hAnsi="Arial"/>
      <w:sz w:val="24"/>
      <w:szCs w:val="22"/>
      <w:lang w:eastAsia="en-GB"/>
    </w:rPr>
  </w:style>
  <w:style w:type="paragraph" w:styleId="Heading1">
    <w:name w:val="heading 1"/>
    <w:next w:val="BodyText"/>
    <w:qFormat/>
    <w:rsid w:val="00094301"/>
    <w:pPr>
      <w:keepNext/>
      <w:keepLines/>
      <w:spacing w:before="720" w:after="200"/>
      <w:outlineLvl w:val="0"/>
    </w:pPr>
    <w:rPr>
      <w:rFonts w:ascii="Arial" w:hAnsi="Arial" w:cs="Arial"/>
      <w:b/>
      <w:bCs/>
      <w:color w:val="005984"/>
      <w:kern w:val="32"/>
      <w:sz w:val="37"/>
      <w:szCs w:val="32"/>
      <w:lang w:eastAsia="en-GB"/>
    </w:rPr>
  </w:style>
  <w:style w:type="paragraph" w:styleId="Heading2">
    <w:name w:val="heading 2"/>
    <w:basedOn w:val="Heading1"/>
    <w:next w:val="BodyText"/>
    <w:qFormat/>
    <w:rsid w:val="00094301"/>
    <w:pPr>
      <w:spacing w:before="640"/>
      <w:outlineLvl w:val="1"/>
    </w:pPr>
    <w:rPr>
      <w:bCs w:val="0"/>
      <w:iCs/>
      <w:sz w:val="31"/>
      <w:szCs w:val="28"/>
    </w:rPr>
  </w:style>
  <w:style w:type="paragraph" w:styleId="Heading3">
    <w:name w:val="heading 3"/>
    <w:basedOn w:val="Heading2"/>
    <w:next w:val="BodyText"/>
    <w:qFormat/>
    <w:rsid w:val="008438B6"/>
    <w:pPr>
      <w:spacing w:before="520"/>
      <w:outlineLvl w:val="2"/>
    </w:pPr>
    <w:rPr>
      <w:bCs/>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rsid w:val="00335E48"/>
    <w:pPr>
      <w:spacing w:before="0"/>
      <w:outlineLvl w:val="4"/>
    </w:pPr>
    <w:rPr>
      <w:rFonts w:cs="Times New Roman"/>
      <w:b w:val="0"/>
      <w:kern w:val="0"/>
      <w:sz w:val="22"/>
      <w:szCs w:val="26"/>
    </w:rPr>
  </w:style>
  <w:style w:type="paragraph" w:styleId="Heading6">
    <w:name w:val="heading 6"/>
    <w:basedOn w:val="Heading5"/>
    <w:next w:val="BodyText"/>
    <w:rsid w:val="00FC0C63"/>
    <w:pPr>
      <w:spacing w:before="240" w:after="60"/>
      <w:outlineLvl w:val="5"/>
    </w:pPr>
    <w:rPr>
      <w:bCs/>
      <w:sz w:val="18"/>
    </w:rPr>
  </w:style>
  <w:style w:type="paragraph" w:styleId="Heading7">
    <w:name w:val="heading 7"/>
    <w:basedOn w:val="Heading6"/>
    <w:next w:val="BodyText"/>
    <w:rsid w:val="00FC0C63"/>
    <w:pPr>
      <w:outlineLvl w:val="6"/>
    </w:pPr>
    <w:rPr>
      <w:sz w:val="16"/>
      <w:szCs w:val="24"/>
    </w:rPr>
  </w:style>
  <w:style w:type="paragraph" w:styleId="Heading8">
    <w:name w:val="heading 8"/>
    <w:basedOn w:val="Heading7"/>
    <w:next w:val="BodyText"/>
    <w:rsid w:val="00FC0C63"/>
    <w:pPr>
      <w:outlineLvl w:val="7"/>
    </w:pPr>
    <w:rPr>
      <w:iCs w:val="0"/>
      <w:sz w:val="14"/>
    </w:rPr>
  </w:style>
  <w:style w:type="paragraph" w:styleId="Heading9">
    <w:name w:val="heading 9"/>
    <w:basedOn w:val="Normal"/>
    <w:next w:val="Normal"/>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FB21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pPr>
    <w:rPr>
      <w:rFonts w:ascii="Arial" w:hAnsi="Arial"/>
      <w:sz w:val="24"/>
      <w:szCs w:val="22"/>
      <w:lang w:eastAsia="en-GB"/>
    </w:rPr>
  </w:style>
  <w:style w:type="paragraph" w:styleId="ListBullet">
    <w:name w:val="List Bullet"/>
    <w:basedOn w:val="BodyText"/>
    <w:qFormat/>
    <w:rsid w:val="00CB582D"/>
    <w:pPr>
      <w:numPr>
        <w:numId w:val="2"/>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qFormat/>
    <w:rsid w:val="00CC26E8"/>
    <w:pPr>
      <w:numPr>
        <w:numId w:val="9"/>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9"/>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qForma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4"/>
      </w:numPr>
    </w:pPr>
  </w:style>
  <w:style w:type="numbering" w:styleId="ArticleSection">
    <w:name w:val="Outline List 3"/>
    <w:basedOn w:val="NoList"/>
    <w:semiHidden/>
    <w:rsid w:val="008861E2"/>
    <w:pPr>
      <w:numPr>
        <w:numId w:val="5"/>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qFormat/>
    <w:rsid w:val="00360728"/>
    <w:pPr>
      <w:numPr>
        <w:numId w:val="3"/>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6"/>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uiPriority w:val="99"/>
    <w:rsid w:val="00990ECE"/>
    <w:rPr>
      <w:color w:val="0000FF"/>
      <w:u w:val="single"/>
    </w:rPr>
  </w:style>
  <w:style w:type="paragraph" w:styleId="Title">
    <w:name w:val="Title"/>
    <w:qFormat/>
    <w:rsid w:val="00E4786E"/>
    <w:pPr>
      <w:spacing w:before="240" w:after="60" w:line="264" w:lineRule="auto"/>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FB2114"/>
    <w:rPr>
      <w:rFonts w:ascii="Arial" w:hAnsi="Arial"/>
      <w:sz w:val="24"/>
      <w:szCs w:val="22"/>
      <w:lang w:eastAsia="en-GB"/>
    </w:rPr>
  </w:style>
  <w:style w:type="paragraph" w:customStyle="1" w:styleId="BlockText-ListBullet">
    <w:name w:val="Block Text - List Bullet"/>
    <w:basedOn w:val="BlockText"/>
    <w:rsid w:val="00CB582D"/>
    <w:pPr>
      <w:numPr>
        <w:numId w:val="8"/>
      </w:numPr>
      <w:spacing w:after="160"/>
    </w:pPr>
  </w:style>
  <w:style w:type="paragraph" w:customStyle="1" w:styleId="Table-ListBullet">
    <w:name w:val="Table - List Bullet"/>
    <w:basedOn w:val="TableBody"/>
    <w:rsid w:val="00EA6977"/>
    <w:pPr>
      <w:numPr>
        <w:numId w:val="7"/>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uiPriority w:val="39"/>
    <w:rsid w:val="00703089"/>
    <w:pPr>
      <w:tabs>
        <w:tab w:val="right" w:leader="dot" w:pos="8494"/>
      </w:tabs>
      <w:spacing w:before="180"/>
    </w:pPr>
    <w:rPr>
      <w:rFonts w:ascii="Arial" w:hAnsi="Arial"/>
      <w:b/>
      <w:sz w:val="24"/>
      <w:szCs w:val="22"/>
      <w:lang w:eastAsia="en-GB"/>
    </w:rPr>
  </w:style>
  <w:style w:type="paragraph" w:styleId="TOC2">
    <w:name w:val="toc 2"/>
    <w:basedOn w:val="TOC1"/>
    <w:next w:val="BodyText"/>
    <w:autoRedefine/>
    <w:uiPriority w:val="39"/>
    <w:rsid w:val="00422B55"/>
    <w:pPr>
      <w:spacing w:before="100"/>
      <w:ind w:left="567"/>
    </w:pPr>
    <w:rPr>
      <w:b w:val="0"/>
    </w:rPr>
  </w:style>
  <w:style w:type="paragraph" w:styleId="TOC3">
    <w:name w:val="toc 3"/>
    <w:basedOn w:val="TOC2"/>
    <w:next w:val="BodyText"/>
    <w:autoRedefine/>
    <w:uiPriority w:val="39"/>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qFormat/>
    <w:rsid w:val="00360728"/>
    <w:pPr>
      <w:numPr>
        <w:numId w:val="10"/>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1"/>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2"/>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3"/>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4"/>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5"/>
      </w:numPr>
    </w:pPr>
  </w:style>
  <w:style w:type="paragraph" w:customStyle="1" w:styleId="Table-ListLetter">
    <w:name w:val="Table - List Letter"/>
    <w:basedOn w:val="TableBody"/>
    <w:rsid w:val="005D1782"/>
    <w:pPr>
      <w:numPr>
        <w:numId w:val="16"/>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7"/>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4"/>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PseudoHeading1">
    <w:name w:val="Pseudo Heading 1"/>
    <w:rsid w:val="002A2F3E"/>
    <w:pPr>
      <w:pageBreakBefore/>
      <w:spacing w:after="360"/>
    </w:pPr>
    <w:rPr>
      <w:rFonts w:ascii="Arial" w:hAnsi="Arial" w:cs="Arial"/>
      <w:b/>
      <w:bCs/>
      <w:color w:val="005984"/>
      <w:kern w:val="32"/>
      <w:sz w:val="37"/>
      <w:szCs w:val="32"/>
      <w:lang w:eastAsia="en-GB"/>
    </w:rPr>
  </w:style>
  <w:style w:type="character" w:styleId="UnresolvedMention">
    <w:name w:val="Unresolved Mention"/>
    <w:basedOn w:val="DefaultParagraphFont"/>
    <w:uiPriority w:val="99"/>
    <w:semiHidden/>
    <w:unhideWhenUsed/>
    <w:rsid w:val="008A7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tcoss.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ctcoss@actcoss.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ihra.org.au/32490/ahrc-submission-2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01a138b6a95218183de8ebe80020cf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1662d7eb09e2a557c59d4761d66a95"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FC22B7-250C-44DE-AF10-0ADFC904FF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E87672-5249-4579-9776-30C70976AC24}"/>
</file>

<file path=customXml/itemProps3.xml><?xml version="1.0" encoding="utf-8"?>
<ds:datastoreItem xmlns:ds="http://schemas.openxmlformats.org/officeDocument/2006/customXml" ds:itemID="{4FC06235-2002-4A40-86E9-C8AE67EEB1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TPL Submission.dot</Template>
  <TotalTime>72</TotalTime>
  <Pages>5</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ACT Council of Social Service</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Submission: Consultation on Prohibition of Conversion Practices in the ACT</dc:title>
  <dc:subject/>
  <dc:creator/>
  <cp:keywords/>
  <dc:description/>
  <cp:lastModifiedBy>Suzanne Richardson</cp:lastModifiedBy>
  <cp:revision>60</cp:revision>
  <cp:lastPrinted>2020-07-01T05:15:00Z</cp:lastPrinted>
  <dcterms:created xsi:type="dcterms:W3CDTF">2020-06-30T01:32:00Z</dcterms:created>
  <dcterms:modified xsi:type="dcterms:W3CDTF">2020-07-02T01:07:00Z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AuthorIds_UIVersion_512">
    <vt:lpwstr>6</vt:lpwstr>
  </property>
  <property fmtid="{D5CDD505-2E9C-101B-9397-08002B2CF9AE}" pid="5" name="AuthorIds_UIVersion_2560">
    <vt:lpwstr>6</vt:lpwstr>
  </property>
</Properties>
</file>