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11C4E169"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83945">
        <w:t xml:space="preserve"> </w:t>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278B2052" w:rsidR="00F62238" w:rsidRPr="00CA7855" w:rsidRDefault="00D52D22" w:rsidP="00F62238">
      <w:pPr>
        <w:pStyle w:val="Titlepagetitle"/>
      </w:pPr>
      <w:proofErr w:type="spellStart"/>
      <w:r>
        <w:t>Evoenergy</w:t>
      </w:r>
      <w:proofErr w:type="spellEnd"/>
      <w:r>
        <w:t xml:space="preserve"> </w:t>
      </w:r>
      <w:r w:rsidR="00C7140C">
        <w:t>Gas Network 2021 Draft Plan</w:t>
      </w:r>
    </w:p>
    <w:p w14:paraId="1EB035FB" w14:textId="77777777" w:rsidR="00F62238" w:rsidRPr="00CA7855" w:rsidRDefault="00F62238" w:rsidP="00F62238">
      <w:pPr>
        <w:pStyle w:val="BodyText"/>
      </w:pPr>
    </w:p>
    <w:p w14:paraId="6913A24B" w14:textId="0033F96D" w:rsidR="00F62238" w:rsidRPr="00CA7855" w:rsidRDefault="00C7140C" w:rsidP="00F62238">
      <w:pPr>
        <w:pStyle w:val="Titlepagesubtitle"/>
      </w:pPr>
      <w:r>
        <w:t>April 2020</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3B9F7AE3"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8E0018">
        <w:t>Geoff Buchanan</w:t>
      </w:r>
    </w:p>
    <w:p w14:paraId="065798D2" w14:textId="77777777" w:rsidR="005913F7" w:rsidRPr="00CA7855" w:rsidRDefault="005913F7" w:rsidP="005913F7">
      <w:pPr>
        <w:pStyle w:val="Frontmatter"/>
      </w:pPr>
    </w:p>
    <w:p w14:paraId="698E6DF4" w14:textId="3BA93C35" w:rsidR="005913F7" w:rsidRPr="00CA7855" w:rsidRDefault="008E0018" w:rsidP="005913F7">
      <w:pPr>
        <w:pStyle w:val="Frontmatter"/>
      </w:pPr>
      <w:r>
        <w:t>April 2020</w:t>
      </w:r>
    </w:p>
    <w:p w14:paraId="181D164A" w14:textId="5A099429" w:rsidR="005913F7" w:rsidRPr="00CA7855" w:rsidRDefault="005913F7" w:rsidP="005913F7">
      <w:pPr>
        <w:pStyle w:val="Frontmatter"/>
      </w:pPr>
      <w:r w:rsidRPr="00CA7855">
        <w:t xml:space="preserve">ISBN </w:t>
      </w:r>
      <w:r w:rsidR="00A32ADF" w:rsidRPr="00A32ADF">
        <w:t>978-1-876632-85-4</w:t>
      </w:r>
      <w:r w:rsidRPr="002A2DBD">
        <w:t xml:space="preserve"> (electronic version)</w:t>
      </w:r>
      <w:r w:rsidRPr="00CA7855">
        <w:br/>
        <w:t>© Copyright ACT Council of Social Service Incorporated</w:t>
      </w:r>
    </w:p>
    <w:p w14:paraId="2EECD6E5" w14:textId="74CE3DF9"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w:t>
      </w:r>
      <w:r w:rsidR="00A32ADF">
        <w:t>a</w:t>
      </w:r>
      <w:r w:rsidRPr="00CA7855">
        <w:t xml:space="preserve">gencies seeking to reproduce material from this publication should obtain the permission of the </w:t>
      </w:r>
      <w:r w:rsidR="000B7938">
        <w:t>CEO</w:t>
      </w:r>
      <w:r w:rsidRPr="00CA7855">
        <w:t xml:space="preserve"> of ACTCOSS.</w:t>
      </w:r>
    </w:p>
    <w:p w14:paraId="4EFCEA01" w14:textId="2FE0E318" w:rsidR="000622B1" w:rsidRDefault="00902ED5" w:rsidP="005913F7">
      <w:pPr>
        <w:pStyle w:val="Frontmatter"/>
      </w:pPr>
      <w:r>
        <w:t>Disclosure</w:t>
      </w:r>
      <w:r w:rsidR="00113746">
        <w:t xml:space="preserve"> statement</w:t>
      </w:r>
      <w:r>
        <w:t xml:space="preserve">: </w:t>
      </w:r>
      <w:r w:rsidR="00622A36">
        <w:t>This submission has been developed with</w:t>
      </w:r>
      <w:r>
        <w:t xml:space="preserve"> funding from </w:t>
      </w:r>
      <w:proofErr w:type="spellStart"/>
      <w:r>
        <w:t>Evoenergy</w:t>
      </w:r>
      <w:proofErr w:type="spellEnd"/>
      <w:r w:rsidR="006630CA">
        <w:t xml:space="preserve"> </w:t>
      </w:r>
      <w:r>
        <w:t xml:space="preserve">to </w:t>
      </w:r>
      <w:r w:rsidR="006E4DC0">
        <w:t>support</w:t>
      </w:r>
      <w:r w:rsidR="002C735F">
        <w:t xml:space="preserve"> their</w:t>
      </w:r>
      <w:r w:rsidR="006E4DC0">
        <w:t xml:space="preserve"> engagement with vulnerable energy consumers i</w:t>
      </w:r>
      <w:r w:rsidR="00692A32">
        <w:t>n the gas network 2021-26 access arrangement review</w:t>
      </w:r>
      <w:r w:rsidR="00622A36">
        <w:t xml:space="preserve">. ACTCOSS also receives funding from Energy Consumers Australia and the ACT Government to </w:t>
      </w:r>
      <w:r w:rsidR="00463CFC">
        <w:t xml:space="preserve">lead the </w:t>
      </w:r>
      <w:r w:rsidR="00463CFC" w:rsidRPr="00CE7251">
        <w:rPr>
          <w:i/>
          <w:iCs/>
        </w:rPr>
        <w:t>Energised Consumer</w:t>
      </w:r>
      <w:r w:rsidR="00CE7251" w:rsidRPr="00CE7251">
        <w:rPr>
          <w:i/>
          <w:iCs/>
        </w:rPr>
        <w:t>s</w:t>
      </w:r>
      <w:r w:rsidR="00463CFC" w:rsidRPr="00CE7251">
        <w:rPr>
          <w:i/>
          <w:iCs/>
        </w:rPr>
        <w:t xml:space="preserve"> Project</w:t>
      </w:r>
      <w:r w:rsidR="00463CFC">
        <w:t xml:space="preserve"> to </w:t>
      </w:r>
      <w:r w:rsidR="008174AD">
        <w:t xml:space="preserve">support </w:t>
      </w:r>
      <w:r w:rsidR="00CF7F2C">
        <w:t xml:space="preserve">residential, not-for-profit, and small business </w:t>
      </w:r>
      <w:r w:rsidR="008174AD">
        <w:t xml:space="preserve">energy consumers </w:t>
      </w:r>
      <w:r w:rsidR="00CF7F2C">
        <w:t xml:space="preserve">in the ACT </w:t>
      </w:r>
      <w:r w:rsidR="008174AD">
        <w:t>to</w:t>
      </w:r>
      <w:r w:rsidR="002C735F">
        <w:t xml:space="preserve"> participate in consultations and decision making on energy issues.</w:t>
      </w:r>
    </w:p>
    <w:p w14:paraId="13A41B65" w14:textId="77777777" w:rsidR="005913F7" w:rsidRPr="00CA7855" w:rsidRDefault="00AB255D" w:rsidP="00703089">
      <w:pPr>
        <w:pStyle w:val="PseudoHeading1"/>
      </w:pPr>
      <w:r w:rsidRPr="00CA7855">
        <w:lastRenderedPageBreak/>
        <w:t>Table of contents</w:t>
      </w:r>
    </w:p>
    <w:p w14:paraId="5BEC12D5" w14:textId="54CBF356" w:rsidR="004A6387"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42267648" w:history="1">
        <w:r w:rsidR="004A6387" w:rsidRPr="0038659D">
          <w:rPr>
            <w:rStyle w:val="Hyperlink"/>
            <w:noProof/>
          </w:rPr>
          <w:t>Acronyms</w:t>
        </w:r>
        <w:r w:rsidR="004A6387">
          <w:rPr>
            <w:noProof/>
            <w:webHidden/>
          </w:rPr>
          <w:tab/>
        </w:r>
        <w:r w:rsidR="004A6387">
          <w:rPr>
            <w:noProof/>
            <w:webHidden/>
          </w:rPr>
          <w:fldChar w:fldCharType="begin"/>
        </w:r>
        <w:r w:rsidR="004A6387">
          <w:rPr>
            <w:noProof/>
            <w:webHidden/>
          </w:rPr>
          <w:instrText xml:space="preserve"> PAGEREF _Toc42267648 \h </w:instrText>
        </w:r>
        <w:r w:rsidR="004A6387">
          <w:rPr>
            <w:noProof/>
            <w:webHidden/>
          </w:rPr>
        </w:r>
        <w:r w:rsidR="004A6387">
          <w:rPr>
            <w:noProof/>
            <w:webHidden/>
          </w:rPr>
          <w:fldChar w:fldCharType="separate"/>
        </w:r>
        <w:r w:rsidR="004A6387">
          <w:rPr>
            <w:noProof/>
            <w:webHidden/>
          </w:rPr>
          <w:t>4</w:t>
        </w:r>
        <w:r w:rsidR="004A6387">
          <w:rPr>
            <w:noProof/>
            <w:webHidden/>
          </w:rPr>
          <w:fldChar w:fldCharType="end"/>
        </w:r>
      </w:hyperlink>
    </w:p>
    <w:p w14:paraId="0A9B4C73" w14:textId="02AB91A1" w:rsidR="004A6387" w:rsidRDefault="00912DD2">
      <w:pPr>
        <w:pStyle w:val="TOC1"/>
        <w:rPr>
          <w:rFonts w:asciiTheme="minorHAnsi" w:eastAsiaTheme="minorEastAsia" w:hAnsiTheme="minorHAnsi" w:cstheme="minorBidi"/>
          <w:b w:val="0"/>
          <w:noProof/>
          <w:sz w:val="22"/>
          <w:lang w:eastAsia="en-AU"/>
        </w:rPr>
      </w:pPr>
      <w:hyperlink w:anchor="_Toc42267649" w:history="1">
        <w:r w:rsidR="004A6387" w:rsidRPr="0038659D">
          <w:rPr>
            <w:rStyle w:val="Hyperlink"/>
            <w:noProof/>
          </w:rPr>
          <w:t>Introduction</w:t>
        </w:r>
        <w:r w:rsidR="004A6387">
          <w:rPr>
            <w:noProof/>
            <w:webHidden/>
          </w:rPr>
          <w:tab/>
        </w:r>
        <w:r w:rsidR="004A6387">
          <w:rPr>
            <w:noProof/>
            <w:webHidden/>
          </w:rPr>
          <w:fldChar w:fldCharType="begin"/>
        </w:r>
        <w:r w:rsidR="004A6387">
          <w:rPr>
            <w:noProof/>
            <w:webHidden/>
          </w:rPr>
          <w:instrText xml:space="preserve"> PAGEREF _Toc42267649 \h </w:instrText>
        </w:r>
        <w:r w:rsidR="004A6387">
          <w:rPr>
            <w:noProof/>
            <w:webHidden/>
          </w:rPr>
        </w:r>
        <w:r w:rsidR="004A6387">
          <w:rPr>
            <w:noProof/>
            <w:webHidden/>
          </w:rPr>
          <w:fldChar w:fldCharType="separate"/>
        </w:r>
        <w:r w:rsidR="004A6387">
          <w:rPr>
            <w:noProof/>
            <w:webHidden/>
          </w:rPr>
          <w:t>5</w:t>
        </w:r>
        <w:r w:rsidR="004A6387">
          <w:rPr>
            <w:noProof/>
            <w:webHidden/>
          </w:rPr>
          <w:fldChar w:fldCharType="end"/>
        </w:r>
      </w:hyperlink>
    </w:p>
    <w:p w14:paraId="02D08DCE" w14:textId="4510FC6A" w:rsidR="004A6387" w:rsidRDefault="00912DD2">
      <w:pPr>
        <w:pStyle w:val="TOC1"/>
        <w:rPr>
          <w:rFonts w:asciiTheme="minorHAnsi" w:eastAsiaTheme="minorEastAsia" w:hAnsiTheme="minorHAnsi" w:cstheme="minorBidi"/>
          <w:b w:val="0"/>
          <w:noProof/>
          <w:sz w:val="22"/>
          <w:lang w:eastAsia="en-AU"/>
        </w:rPr>
      </w:pPr>
      <w:hyperlink w:anchor="_Toc42267650" w:history="1">
        <w:r w:rsidR="004A6387" w:rsidRPr="0038659D">
          <w:rPr>
            <w:rStyle w:val="Hyperlink"/>
            <w:noProof/>
          </w:rPr>
          <w:t>Summary of ACTCOSS information requests</w:t>
        </w:r>
        <w:r w:rsidR="004A6387">
          <w:rPr>
            <w:noProof/>
            <w:webHidden/>
          </w:rPr>
          <w:tab/>
        </w:r>
        <w:r w:rsidR="004A6387">
          <w:rPr>
            <w:noProof/>
            <w:webHidden/>
          </w:rPr>
          <w:fldChar w:fldCharType="begin"/>
        </w:r>
        <w:r w:rsidR="004A6387">
          <w:rPr>
            <w:noProof/>
            <w:webHidden/>
          </w:rPr>
          <w:instrText xml:space="preserve"> PAGEREF _Toc42267650 \h </w:instrText>
        </w:r>
        <w:r w:rsidR="004A6387">
          <w:rPr>
            <w:noProof/>
            <w:webHidden/>
          </w:rPr>
        </w:r>
        <w:r w:rsidR="004A6387">
          <w:rPr>
            <w:noProof/>
            <w:webHidden/>
          </w:rPr>
          <w:fldChar w:fldCharType="separate"/>
        </w:r>
        <w:r w:rsidR="004A6387">
          <w:rPr>
            <w:noProof/>
            <w:webHidden/>
          </w:rPr>
          <w:t>6</w:t>
        </w:r>
        <w:r w:rsidR="004A6387">
          <w:rPr>
            <w:noProof/>
            <w:webHidden/>
          </w:rPr>
          <w:fldChar w:fldCharType="end"/>
        </w:r>
      </w:hyperlink>
    </w:p>
    <w:p w14:paraId="15DCC9E4" w14:textId="3380419F" w:rsidR="004A6387" w:rsidRDefault="00912DD2">
      <w:pPr>
        <w:pStyle w:val="TOC1"/>
        <w:rPr>
          <w:rFonts w:asciiTheme="minorHAnsi" w:eastAsiaTheme="minorEastAsia" w:hAnsiTheme="minorHAnsi" w:cstheme="minorBidi"/>
          <w:b w:val="0"/>
          <w:noProof/>
          <w:sz w:val="22"/>
          <w:lang w:eastAsia="en-AU"/>
        </w:rPr>
      </w:pPr>
      <w:hyperlink w:anchor="_Toc42267651" w:history="1">
        <w:r w:rsidR="004A6387" w:rsidRPr="0038659D">
          <w:rPr>
            <w:rStyle w:val="Hyperlink"/>
            <w:noProof/>
          </w:rPr>
          <w:t>The future of gas: the next 5-10 years</w:t>
        </w:r>
        <w:r w:rsidR="004A6387">
          <w:rPr>
            <w:noProof/>
            <w:webHidden/>
          </w:rPr>
          <w:tab/>
        </w:r>
        <w:r w:rsidR="004A6387">
          <w:rPr>
            <w:noProof/>
            <w:webHidden/>
          </w:rPr>
          <w:fldChar w:fldCharType="begin"/>
        </w:r>
        <w:r w:rsidR="004A6387">
          <w:rPr>
            <w:noProof/>
            <w:webHidden/>
          </w:rPr>
          <w:instrText xml:space="preserve"> PAGEREF _Toc42267651 \h </w:instrText>
        </w:r>
        <w:r w:rsidR="004A6387">
          <w:rPr>
            <w:noProof/>
            <w:webHidden/>
          </w:rPr>
        </w:r>
        <w:r w:rsidR="004A6387">
          <w:rPr>
            <w:noProof/>
            <w:webHidden/>
          </w:rPr>
          <w:fldChar w:fldCharType="separate"/>
        </w:r>
        <w:r w:rsidR="004A6387">
          <w:rPr>
            <w:noProof/>
            <w:webHidden/>
          </w:rPr>
          <w:t>7</w:t>
        </w:r>
        <w:r w:rsidR="004A6387">
          <w:rPr>
            <w:noProof/>
            <w:webHidden/>
          </w:rPr>
          <w:fldChar w:fldCharType="end"/>
        </w:r>
      </w:hyperlink>
    </w:p>
    <w:p w14:paraId="5239F031" w14:textId="0BE21D94" w:rsidR="004A6387" w:rsidRDefault="00912DD2">
      <w:pPr>
        <w:pStyle w:val="TOC2"/>
        <w:rPr>
          <w:rFonts w:asciiTheme="minorHAnsi" w:eastAsiaTheme="minorEastAsia" w:hAnsiTheme="minorHAnsi" w:cstheme="minorBidi"/>
          <w:noProof/>
          <w:sz w:val="22"/>
          <w:lang w:eastAsia="en-AU"/>
        </w:rPr>
      </w:pPr>
      <w:hyperlink w:anchor="_Toc42267652" w:history="1">
        <w:r w:rsidR="004A6387" w:rsidRPr="0038659D">
          <w:rPr>
            <w:rStyle w:val="Hyperlink"/>
            <w:noProof/>
          </w:rPr>
          <w:t>Key assumptions in the GN21 Draft Plan</w:t>
        </w:r>
        <w:r w:rsidR="004A6387">
          <w:rPr>
            <w:noProof/>
            <w:webHidden/>
          </w:rPr>
          <w:tab/>
        </w:r>
        <w:r w:rsidR="004A6387">
          <w:rPr>
            <w:noProof/>
            <w:webHidden/>
          </w:rPr>
          <w:fldChar w:fldCharType="begin"/>
        </w:r>
        <w:r w:rsidR="004A6387">
          <w:rPr>
            <w:noProof/>
            <w:webHidden/>
          </w:rPr>
          <w:instrText xml:space="preserve"> PAGEREF _Toc42267652 \h </w:instrText>
        </w:r>
        <w:r w:rsidR="004A6387">
          <w:rPr>
            <w:noProof/>
            <w:webHidden/>
          </w:rPr>
        </w:r>
        <w:r w:rsidR="004A6387">
          <w:rPr>
            <w:noProof/>
            <w:webHidden/>
          </w:rPr>
          <w:fldChar w:fldCharType="separate"/>
        </w:r>
        <w:r w:rsidR="004A6387">
          <w:rPr>
            <w:noProof/>
            <w:webHidden/>
          </w:rPr>
          <w:t>7</w:t>
        </w:r>
        <w:r w:rsidR="004A6387">
          <w:rPr>
            <w:noProof/>
            <w:webHidden/>
          </w:rPr>
          <w:fldChar w:fldCharType="end"/>
        </w:r>
      </w:hyperlink>
    </w:p>
    <w:p w14:paraId="13C079C5" w14:textId="49341A3F" w:rsidR="004A6387" w:rsidRDefault="00912DD2">
      <w:pPr>
        <w:pStyle w:val="TOC3"/>
        <w:rPr>
          <w:rFonts w:asciiTheme="minorHAnsi" w:eastAsiaTheme="minorEastAsia" w:hAnsiTheme="minorHAnsi" w:cstheme="minorBidi"/>
          <w:noProof/>
          <w:sz w:val="22"/>
          <w:lang w:eastAsia="en-AU"/>
        </w:rPr>
      </w:pPr>
      <w:hyperlink w:anchor="_Toc42267653" w:history="1">
        <w:r w:rsidR="004A6387" w:rsidRPr="0038659D">
          <w:rPr>
            <w:rStyle w:val="Hyperlink"/>
            <w:noProof/>
          </w:rPr>
          <w:t xml:space="preserve">Assumption# 1: No expansion of gas network into </w:t>
        </w:r>
        <w:r w:rsidR="004A6387">
          <w:rPr>
            <w:rStyle w:val="Hyperlink"/>
            <w:noProof/>
          </w:rPr>
          <w:br/>
        </w:r>
        <w:r w:rsidR="004A6387" w:rsidRPr="0038659D">
          <w:rPr>
            <w:rStyle w:val="Hyperlink"/>
            <w:noProof/>
          </w:rPr>
          <w:t>new ACT suburbs</w:t>
        </w:r>
        <w:r w:rsidR="004A6387">
          <w:rPr>
            <w:noProof/>
            <w:webHidden/>
          </w:rPr>
          <w:tab/>
        </w:r>
        <w:r w:rsidR="004A6387">
          <w:rPr>
            <w:noProof/>
            <w:webHidden/>
          </w:rPr>
          <w:fldChar w:fldCharType="begin"/>
        </w:r>
        <w:r w:rsidR="004A6387">
          <w:rPr>
            <w:noProof/>
            <w:webHidden/>
          </w:rPr>
          <w:instrText xml:space="preserve"> PAGEREF _Toc42267653 \h </w:instrText>
        </w:r>
        <w:r w:rsidR="004A6387">
          <w:rPr>
            <w:noProof/>
            <w:webHidden/>
          </w:rPr>
        </w:r>
        <w:r w:rsidR="004A6387">
          <w:rPr>
            <w:noProof/>
            <w:webHidden/>
          </w:rPr>
          <w:fldChar w:fldCharType="separate"/>
        </w:r>
        <w:r w:rsidR="004A6387">
          <w:rPr>
            <w:noProof/>
            <w:webHidden/>
          </w:rPr>
          <w:t>7</w:t>
        </w:r>
        <w:r w:rsidR="004A6387">
          <w:rPr>
            <w:noProof/>
            <w:webHidden/>
          </w:rPr>
          <w:fldChar w:fldCharType="end"/>
        </w:r>
      </w:hyperlink>
    </w:p>
    <w:p w14:paraId="5A0C389B" w14:textId="6EDFC185" w:rsidR="004A6387" w:rsidRDefault="00912DD2">
      <w:pPr>
        <w:pStyle w:val="TOC3"/>
        <w:rPr>
          <w:rFonts w:asciiTheme="minorHAnsi" w:eastAsiaTheme="minorEastAsia" w:hAnsiTheme="minorHAnsi" w:cstheme="minorBidi"/>
          <w:noProof/>
          <w:sz w:val="22"/>
          <w:lang w:eastAsia="en-AU"/>
        </w:rPr>
      </w:pPr>
      <w:hyperlink w:anchor="_Toc42267654" w:history="1">
        <w:r w:rsidR="004A6387" w:rsidRPr="0038659D">
          <w:rPr>
            <w:rStyle w:val="Hyperlink"/>
            <w:noProof/>
          </w:rPr>
          <w:t xml:space="preserve">Assumption #2: Reduced gas usage per customer and </w:t>
        </w:r>
        <w:r w:rsidR="004A6387">
          <w:rPr>
            <w:rStyle w:val="Hyperlink"/>
            <w:noProof/>
          </w:rPr>
          <w:br/>
        </w:r>
        <w:r w:rsidR="004A6387" w:rsidRPr="0038659D">
          <w:rPr>
            <w:rStyle w:val="Hyperlink"/>
            <w:noProof/>
          </w:rPr>
          <w:t>increased gas disconnection rate</w:t>
        </w:r>
        <w:r w:rsidR="004A6387">
          <w:rPr>
            <w:noProof/>
            <w:webHidden/>
          </w:rPr>
          <w:tab/>
        </w:r>
        <w:r w:rsidR="004A6387">
          <w:rPr>
            <w:noProof/>
            <w:webHidden/>
          </w:rPr>
          <w:fldChar w:fldCharType="begin"/>
        </w:r>
        <w:r w:rsidR="004A6387">
          <w:rPr>
            <w:noProof/>
            <w:webHidden/>
          </w:rPr>
          <w:instrText xml:space="preserve"> PAGEREF _Toc42267654 \h </w:instrText>
        </w:r>
        <w:r w:rsidR="004A6387">
          <w:rPr>
            <w:noProof/>
            <w:webHidden/>
          </w:rPr>
        </w:r>
        <w:r w:rsidR="004A6387">
          <w:rPr>
            <w:noProof/>
            <w:webHidden/>
          </w:rPr>
          <w:fldChar w:fldCharType="separate"/>
        </w:r>
        <w:r w:rsidR="004A6387">
          <w:rPr>
            <w:noProof/>
            <w:webHidden/>
          </w:rPr>
          <w:t>9</w:t>
        </w:r>
        <w:r w:rsidR="004A6387">
          <w:rPr>
            <w:noProof/>
            <w:webHidden/>
          </w:rPr>
          <w:fldChar w:fldCharType="end"/>
        </w:r>
      </w:hyperlink>
    </w:p>
    <w:p w14:paraId="21E47B6F" w14:textId="6B583107" w:rsidR="004A6387" w:rsidRDefault="00912DD2">
      <w:pPr>
        <w:pStyle w:val="TOC3"/>
        <w:rPr>
          <w:rFonts w:asciiTheme="minorHAnsi" w:eastAsiaTheme="minorEastAsia" w:hAnsiTheme="minorHAnsi" w:cstheme="minorBidi"/>
          <w:noProof/>
          <w:sz w:val="22"/>
          <w:lang w:eastAsia="en-AU"/>
        </w:rPr>
      </w:pPr>
      <w:hyperlink w:anchor="_Toc42267655" w:history="1">
        <w:r w:rsidR="004A6387" w:rsidRPr="0038659D">
          <w:rPr>
            <w:rStyle w:val="Hyperlink"/>
            <w:noProof/>
          </w:rPr>
          <w:t>Assumption #3: Evoenergy will need to accelerate depreciation</w:t>
        </w:r>
        <w:r w:rsidR="004A6387">
          <w:rPr>
            <w:noProof/>
            <w:webHidden/>
          </w:rPr>
          <w:tab/>
        </w:r>
        <w:r w:rsidR="004A6387">
          <w:rPr>
            <w:noProof/>
            <w:webHidden/>
          </w:rPr>
          <w:fldChar w:fldCharType="begin"/>
        </w:r>
        <w:r w:rsidR="004A6387">
          <w:rPr>
            <w:noProof/>
            <w:webHidden/>
          </w:rPr>
          <w:instrText xml:space="preserve"> PAGEREF _Toc42267655 \h </w:instrText>
        </w:r>
        <w:r w:rsidR="004A6387">
          <w:rPr>
            <w:noProof/>
            <w:webHidden/>
          </w:rPr>
        </w:r>
        <w:r w:rsidR="004A6387">
          <w:rPr>
            <w:noProof/>
            <w:webHidden/>
          </w:rPr>
          <w:fldChar w:fldCharType="separate"/>
        </w:r>
        <w:r w:rsidR="004A6387">
          <w:rPr>
            <w:noProof/>
            <w:webHidden/>
          </w:rPr>
          <w:t>9</w:t>
        </w:r>
        <w:r w:rsidR="004A6387">
          <w:rPr>
            <w:noProof/>
            <w:webHidden/>
          </w:rPr>
          <w:fldChar w:fldCharType="end"/>
        </w:r>
      </w:hyperlink>
    </w:p>
    <w:p w14:paraId="55602518" w14:textId="5AEFF2CC" w:rsidR="004A6387" w:rsidRDefault="00912DD2">
      <w:pPr>
        <w:pStyle w:val="TOC1"/>
        <w:rPr>
          <w:rFonts w:asciiTheme="minorHAnsi" w:eastAsiaTheme="minorEastAsia" w:hAnsiTheme="minorHAnsi" w:cstheme="minorBidi"/>
          <w:b w:val="0"/>
          <w:noProof/>
          <w:sz w:val="22"/>
          <w:lang w:eastAsia="en-AU"/>
        </w:rPr>
      </w:pPr>
      <w:hyperlink w:anchor="_Toc42267656" w:history="1">
        <w:r w:rsidR="004A6387" w:rsidRPr="0038659D">
          <w:rPr>
            <w:rStyle w:val="Hyperlink"/>
            <w:noProof/>
          </w:rPr>
          <w:t>GN21 Draft Plan Views and Priorities</w:t>
        </w:r>
        <w:r w:rsidR="004A6387">
          <w:rPr>
            <w:noProof/>
            <w:webHidden/>
          </w:rPr>
          <w:tab/>
        </w:r>
        <w:r w:rsidR="004A6387">
          <w:rPr>
            <w:noProof/>
            <w:webHidden/>
          </w:rPr>
          <w:fldChar w:fldCharType="begin"/>
        </w:r>
        <w:r w:rsidR="004A6387">
          <w:rPr>
            <w:noProof/>
            <w:webHidden/>
          </w:rPr>
          <w:instrText xml:space="preserve"> PAGEREF _Toc42267656 \h </w:instrText>
        </w:r>
        <w:r w:rsidR="004A6387">
          <w:rPr>
            <w:noProof/>
            <w:webHidden/>
          </w:rPr>
        </w:r>
        <w:r w:rsidR="004A6387">
          <w:rPr>
            <w:noProof/>
            <w:webHidden/>
          </w:rPr>
          <w:fldChar w:fldCharType="separate"/>
        </w:r>
        <w:r w:rsidR="004A6387">
          <w:rPr>
            <w:noProof/>
            <w:webHidden/>
          </w:rPr>
          <w:t>11</w:t>
        </w:r>
        <w:r w:rsidR="004A6387">
          <w:rPr>
            <w:noProof/>
            <w:webHidden/>
          </w:rPr>
          <w:fldChar w:fldCharType="end"/>
        </w:r>
      </w:hyperlink>
    </w:p>
    <w:p w14:paraId="647BE667" w14:textId="08E706C0" w:rsidR="004A6387" w:rsidRDefault="00912DD2">
      <w:pPr>
        <w:pStyle w:val="TOC2"/>
        <w:rPr>
          <w:rFonts w:asciiTheme="minorHAnsi" w:eastAsiaTheme="minorEastAsia" w:hAnsiTheme="minorHAnsi" w:cstheme="minorBidi"/>
          <w:noProof/>
          <w:sz w:val="22"/>
          <w:lang w:eastAsia="en-AU"/>
        </w:rPr>
      </w:pPr>
      <w:hyperlink w:anchor="_Toc42267657" w:history="1">
        <w:r w:rsidR="004A6387" w:rsidRPr="0038659D">
          <w:rPr>
            <w:rStyle w:val="Hyperlink"/>
            <w:noProof/>
          </w:rPr>
          <w:t>Gas and energy affordability for low-income households</w:t>
        </w:r>
        <w:r w:rsidR="004A6387">
          <w:rPr>
            <w:noProof/>
            <w:webHidden/>
          </w:rPr>
          <w:tab/>
        </w:r>
        <w:r w:rsidR="004A6387">
          <w:rPr>
            <w:noProof/>
            <w:webHidden/>
          </w:rPr>
          <w:fldChar w:fldCharType="begin"/>
        </w:r>
        <w:r w:rsidR="004A6387">
          <w:rPr>
            <w:noProof/>
            <w:webHidden/>
          </w:rPr>
          <w:instrText xml:space="preserve"> PAGEREF _Toc42267657 \h </w:instrText>
        </w:r>
        <w:r w:rsidR="004A6387">
          <w:rPr>
            <w:noProof/>
            <w:webHidden/>
          </w:rPr>
        </w:r>
        <w:r w:rsidR="004A6387">
          <w:rPr>
            <w:noProof/>
            <w:webHidden/>
          </w:rPr>
          <w:fldChar w:fldCharType="separate"/>
        </w:r>
        <w:r w:rsidR="004A6387">
          <w:rPr>
            <w:noProof/>
            <w:webHidden/>
          </w:rPr>
          <w:t>13</w:t>
        </w:r>
        <w:r w:rsidR="004A6387">
          <w:rPr>
            <w:noProof/>
            <w:webHidden/>
          </w:rPr>
          <w:fldChar w:fldCharType="end"/>
        </w:r>
      </w:hyperlink>
    </w:p>
    <w:p w14:paraId="0042F1B6" w14:textId="3D51AD51" w:rsidR="004A6387" w:rsidRDefault="00912DD2">
      <w:pPr>
        <w:pStyle w:val="TOC1"/>
        <w:rPr>
          <w:rFonts w:asciiTheme="minorHAnsi" w:eastAsiaTheme="minorEastAsia" w:hAnsiTheme="minorHAnsi" w:cstheme="minorBidi"/>
          <w:b w:val="0"/>
          <w:noProof/>
          <w:sz w:val="22"/>
          <w:lang w:eastAsia="en-AU"/>
        </w:rPr>
      </w:pPr>
      <w:hyperlink w:anchor="_Toc42267658" w:history="1">
        <w:r w:rsidR="004A6387" w:rsidRPr="0038659D">
          <w:rPr>
            <w:rStyle w:val="Hyperlink"/>
            <w:noProof/>
          </w:rPr>
          <w:t>Depreciation</w:t>
        </w:r>
        <w:r w:rsidR="004A6387">
          <w:rPr>
            <w:noProof/>
            <w:webHidden/>
          </w:rPr>
          <w:tab/>
        </w:r>
        <w:r w:rsidR="004A6387">
          <w:rPr>
            <w:noProof/>
            <w:webHidden/>
          </w:rPr>
          <w:fldChar w:fldCharType="begin"/>
        </w:r>
        <w:r w:rsidR="004A6387">
          <w:rPr>
            <w:noProof/>
            <w:webHidden/>
          </w:rPr>
          <w:instrText xml:space="preserve"> PAGEREF _Toc42267658 \h </w:instrText>
        </w:r>
        <w:r w:rsidR="004A6387">
          <w:rPr>
            <w:noProof/>
            <w:webHidden/>
          </w:rPr>
        </w:r>
        <w:r w:rsidR="004A6387">
          <w:rPr>
            <w:noProof/>
            <w:webHidden/>
          </w:rPr>
          <w:fldChar w:fldCharType="separate"/>
        </w:r>
        <w:r w:rsidR="004A6387">
          <w:rPr>
            <w:noProof/>
            <w:webHidden/>
          </w:rPr>
          <w:t>15</w:t>
        </w:r>
        <w:r w:rsidR="004A6387">
          <w:rPr>
            <w:noProof/>
            <w:webHidden/>
          </w:rPr>
          <w:fldChar w:fldCharType="end"/>
        </w:r>
      </w:hyperlink>
    </w:p>
    <w:p w14:paraId="233F8300" w14:textId="4533C074" w:rsidR="004A6387" w:rsidRDefault="00912DD2">
      <w:pPr>
        <w:pStyle w:val="TOC1"/>
        <w:rPr>
          <w:rFonts w:asciiTheme="minorHAnsi" w:eastAsiaTheme="minorEastAsia" w:hAnsiTheme="minorHAnsi" w:cstheme="minorBidi"/>
          <w:b w:val="0"/>
          <w:noProof/>
          <w:sz w:val="22"/>
          <w:lang w:eastAsia="en-AU"/>
        </w:rPr>
      </w:pPr>
      <w:hyperlink w:anchor="_Toc42267659" w:history="1">
        <w:r w:rsidR="004A6387" w:rsidRPr="0038659D">
          <w:rPr>
            <w:rStyle w:val="Hyperlink"/>
            <w:noProof/>
          </w:rPr>
          <w:t>Bill Impacts</w:t>
        </w:r>
        <w:r w:rsidR="004A6387">
          <w:rPr>
            <w:noProof/>
            <w:webHidden/>
          </w:rPr>
          <w:tab/>
        </w:r>
        <w:r w:rsidR="004A6387">
          <w:rPr>
            <w:noProof/>
            <w:webHidden/>
          </w:rPr>
          <w:fldChar w:fldCharType="begin"/>
        </w:r>
        <w:r w:rsidR="004A6387">
          <w:rPr>
            <w:noProof/>
            <w:webHidden/>
          </w:rPr>
          <w:instrText xml:space="preserve"> PAGEREF _Toc42267659 \h </w:instrText>
        </w:r>
        <w:r w:rsidR="004A6387">
          <w:rPr>
            <w:noProof/>
            <w:webHidden/>
          </w:rPr>
        </w:r>
        <w:r w:rsidR="004A6387">
          <w:rPr>
            <w:noProof/>
            <w:webHidden/>
          </w:rPr>
          <w:fldChar w:fldCharType="separate"/>
        </w:r>
        <w:r w:rsidR="004A6387">
          <w:rPr>
            <w:noProof/>
            <w:webHidden/>
          </w:rPr>
          <w:t>18</w:t>
        </w:r>
        <w:r w:rsidR="004A6387">
          <w:rPr>
            <w:noProof/>
            <w:webHidden/>
          </w:rPr>
          <w:fldChar w:fldCharType="end"/>
        </w:r>
      </w:hyperlink>
    </w:p>
    <w:p w14:paraId="56914D19" w14:textId="5E0A8E34" w:rsidR="004A6387" w:rsidRDefault="00912DD2">
      <w:pPr>
        <w:pStyle w:val="TOC1"/>
        <w:rPr>
          <w:rFonts w:asciiTheme="minorHAnsi" w:eastAsiaTheme="minorEastAsia" w:hAnsiTheme="minorHAnsi" w:cstheme="minorBidi"/>
          <w:b w:val="0"/>
          <w:noProof/>
          <w:sz w:val="22"/>
          <w:lang w:eastAsia="en-AU"/>
        </w:rPr>
      </w:pPr>
      <w:hyperlink w:anchor="_Toc42267660" w:history="1">
        <w:r w:rsidR="004A6387" w:rsidRPr="0038659D">
          <w:rPr>
            <w:rStyle w:val="Hyperlink"/>
            <w:noProof/>
          </w:rPr>
          <w:t>Capital Expenditure Sharing Scheme</w:t>
        </w:r>
        <w:r w:rsidR="004A6387">
          <w:rPr>
            <w:noProof/>
            <w:webHidden/>
          </w:rPr>
          <w:tab/>
        </w:r>
        <w:r w:rsidR="004A6387">
          <w:rPr>
            <w:noProof/>
            <w:webHidden/>
          </w:rPr>
          <w:fldChar w:fldCharType="begin"/>
        </w:r>
        <w:r w:rsidR="004A6387">
          <w:rPr>
            <w:noProof/>
            <w:webHidden/>
          </w:rPr>
          <w:instrText xml:space="preserve"> PAGEREF _Toc42267660 \h </w:instrText>
        </w:r>
        <w:r w:rsidR="004A6387">
          <w:rPr>
            <w:noProof/>
            <w:webHidden/>
          </w:rPr>
        </w:r>
        <w:r w:rsidR="004A6387">
          <w:rPr>
            <w:noProof/>
            <w:webHidden/>
          </w:rPr>
          <w:fldChar w:fldCharType="separate"/>
        </w:r>
        <w:r w:rsidR="004A6387">
          <w:rPr>
            <w:noProof/>
            <w:webHidden/>
          </w:rPr>
          <w:t>18</w:t>
        </w:r>
        <w:r w:rsidR="004A6387">
          <w:rPr>
            <w:noProof/>
            <w:webHidden/>
          </w:rPr>
          <w:fldChar w:fldCharType="end"/>
        </w:r>
      </w:hyperlink>
    </w:p>
    <w:p w14:paraId="1F47A5DB" w14:textId="431419E6" w:rsidR="004A6387" w:rsidRDefault="00912DD2">
      <w:pPr>
        <w:pStyle w:val="TOC1"/>
        <w:rPr>
          <w:rFonts w:asciiTheme="minorHAnsi" w:eastAsiaTheme="minorEastAsia" w:hAnsiTheme="minorHAnsi" w:cstheme="minorBidi"/>
          <w:b w:val="0"/>
          <w:noProof/>
          <w:sz w:val="22"/>
          <w:lang w:eastAsia="en-AU"/>
        </w:rPr>
      </w:pPr>
      <w:hyperlink w:anchor="_Toc42267661" w:history="1">
        <w:r w:rsidR="004A6387" w:rsidRPr="0038659D">
          <w:rPr>
            <w:rStyle w:val="Hyperlink"/>
            <w:noProof/>
          </w:rPr>
          <w:t>Tariffs</w:t>
        </w:r>
        <w:r w:rsidR="004A6387">
          <w:rPr>
            <w:noProof/>
            <w:webHidden/>
          </w:rPr>
          <w:tab/>
        </w:r>
        <w:r w:rsidR="004A6387">
          <w:rPr>
            <w:noProof/>
            <w:webHidden/>
          </w:rPr>
          <w:fldChar w:fldCharType="begin"/>
        </w:r>
        <w:r w:rsidR="004A6387">
          <w:rPr>
            <w:noProof/>
            <w:webHidden/>
          </w:rPr>
          <w:instrText xml:space="preserve"> PAGEREF _Toc42267661 \h </w:instrText>
        </w:r>
        <w:r w:rsidR="004A6387">
          <w:rPr>
            <w:noProof/>
            <w:webHidden/>
          </w:rPr>
        </w:r>
        <w:r w:rsidR="004A6387">
          <w:rPr>
            <w:noProof/>
            <w:webHidden/>
          </w:rPr>
          <w:fldChar w:fldCharType="separate"/>
        </w:r>
        <w:r w:rsidR="004A6387">
          <w:rPr>
            <w:noProof/>
            <w:webHidden/>
          </w:rPr>
          <w:t>19</w:t>
        </w:r>
        <w:r w:rsidR="004A6387">
          <w:rPr>
            <w:noProof/>
            <w:webHidden/>
          </w:rPr>
          <w:fldChar w:fldCharType="end"/>
        </w:r>
      </w:hyperlink>
    </w:p>
    <w:p w14:paraId="1AB27A02" w14:textId="69985178" w:rsidR="004A6387" w:rsidRDefault="00912DD2">
      <w:pPr>
        <w:pStyle w:val="TOC1"/>
        <w:rPr>
          <w:rFonts w:asciiTheme="minorHAnsi" w:eastAsiaTheme="minorEastAsia" w:hAnsiTheme="minorHAnsi" w:cstheme="minorBidi"/>
          <w:b w:val="0"/>
          <w:noProof/>
          <w:sz w:val="22"/>
          <w:lang w:eastAsia="en-AU"/>
        </w:rPr>
      </w:pPr>
      <w:hyperlink w:anchor="_Toc42267662" w:history="1">
        <w:r w:rsidR="004A6387" w:rsidRPr="0038659D">
          <w:rPr>
            <w:rStyle w:val="Hyperlink"/>
            <w:noProof/>
          </w:rPr>
          <w:t>Capital Expenditure</w:t>
        </w:r>
        <w:r w:rsidR="004A6387">
          <w:rPr>
            <w:noProof/>
            <w:webHidden/>
          </w:rPr>
          <w:tab/>
        </w:r>
        <w:r w:rsidR="004A6387">
          <w:rPr>
            <w:noProof/>
            <w:webHidden/>
          </w:rPr>
          <w:fldChar w:fldCharType="begin"/>
        </w:r>
        <w:r w:rsidR="004A6387">
          <w:rPr>
            <w:noProof/>
            <w:webHidden/>
          </w:rPr>
          <w:instrText xml:space="preserve"> PAGEREF _Toc42267662 \h </w:instrText>
        </w:r>
        <w:r w:rsidR="004A6387">
          <w:rPr>
            <w:noProof/>
            <w:webHidden/>
          </w:rPr>
        </w:r>
        <w:r w:rsidR="004A6387">
          <w:rPr>
            <w:noProof/>
            <w:webHidden/>
          </w:rPr>
          <w:fldChar w:fldCharType="separate"/>
        </w:r>
        <w:r w:rsidR="004A6387">
          <w:rPr>
            <w:noProof/>
            <w:webHidden/>
          </w:rPr>
          <w:t>20</w:t>
        </w:r>
        <w:r w:rsidR="004A6387">
          <w:rPr>
            <w:noProof/>
            <w:webHidden/>
          </w:rPr>
          <w:fldChar w:fldCharType="end"/>
        </w:r>
      </w:hyperlink>
    </w:p>
    <w:p w14:paraId="4BFF6216" w14:textId="0A6F0077" w:rsidR="004A6387" w:rsidRDefault="00912DD2">
      <w:pPr>
        <w:pStyle w:val="TOC1"/>
        <w:rPr>
          <w:rFonts w:asciiTheme="minorHAnsi" w:eastAsiaTheme="minorEastAsia" w:hAnsiTheme="minorHAnsi" w:cstheme="minorBidi"/>
          <w:b w:val="0"/>
          <w:noProof/>
          <w:sz w:val="22"/>
          <w:lang w:eastAsia="en-AU"/>
        </w:rPr>
      </w:pPr>
      <w:hyperlink w:anchor="_Toc42267663" w:history="1">
        <w:r w:rsidR="004A6387" w:rsidRPr="0038659D">
          <w:rPr>
            <w:rStyle w:val="Hyperlink"/>
            <w:noProof/>
          </w:rPr>
          <w:t>Operating Costs</w:t>
        </w:r>
        <w:r w:rsidR="004A6387">
          <w:rPr>
            <w:noProof/>
            <w:webHidden/>
          </w:rPr>
          <w:tab/>
        </w:r>
        <w:r w:rsidR="004A6387">
          <w:rPr>
            <w:noProof/>
            <w:webHidden/>
          </w:rPr>
          <w:fldChar w:fldCharType="begin"/>
        </w:r>
        <w:r w:rsidR="004A6387">
          <w:rPr>
            <w:noProof/>
            <w:webHidden/>
          </w:rPr>
          <w:instrText xml:space="preserve"> PAGEREF _Toc42267663 \h </w:instrText>
        </w:r>
        <w:r w:rsidR="004A6387">
          <w:rPr>
            <w:noProof/>
            <w:webHidden/>
          </w:rPr>
        </w:r>
        <w:r w:rsidR="004A6387">
          <w:rPr>
            <w:noProof/>
            <w:webHidden/>
          </w:rPr>
          <w:fldChar w:fldCharType="separate"/>
        </w:r>
        <w:r w:rsidR="004A6387">
          <w:rPr>
            <w:noProof/>
            <w:webHidden/>
          </w:rPr>
          <w:t>21</w:t>
        </w:r>
        <w:r w:rsidR="004A6387">
          <w:rPr>
            <w:noProof/>
            <w:webHidden/>
          </w:rPr>
          <w:fldChar w:fldCharType="end"/>
        </w:r>
      </w:hyperlink>
    </w:p>
    <w:p w14:paraId="1F62CB26" w14:textId="4659F64D" w:rsidR="004A6387" w:rsidRDefault="00912DD2">
      <w:pPr>
        <w:pStyle w:val="TOC2"/>
        <w:rPr>
          <w:rFonts w:asciiTheme="minorHAnsi" w:eastAsiaTheme="minorEastAsia" w:hAnsiTheme="minorHAnsi" w:cstheme="minorBidi"/>
          <w:noProof/>
          <w:sz w:val="22"/>
          <w:lang w:eastAsia="en-AU"/>
        </w:rPr>
      </w:pPr>
      <w:hyperlink w:anchor="_Toc42267664" w:history="1">
        <w:r w:rsidR="004A6387" w:rsidRPr="0038659D">
          <w:rPr>
            <w:rStyle w:val="Hyperlink"/>
            <w:noProof/>
          </w:rPr>
          <w:t>Marketing costs: Evoenergy’s gas rewards program</w:t>
        </w:r>
        <w:r w:rsidR="004A6387">
          <w:rPr>
            <w:noProof/>
            <w:webHidden/>
          </w:rPr>
          <w:tab/>
        </w:r>
        <w:r w:rsidR="004A6387">
          <w:rPr>
            <w:noProof/>
            <w:webHidden/>
          </w:rPr>
          <w:fldChar w:fldCharType="begin"/>
        </w:r>
        <w:r w:rsidR="004A6387">
          <w:rPr>
            <w:noProof/>
            <w:webHidden/>
          </w:rPr>
          <w:instrText xml:space="preserve"> PAGEREF _Toc42267664 \h </w:instrText>
        </w:r>
        <w:r w:rsidR="004A6387">
          <w:rPr>
            <w:noProof/>
            <w:webHidden/>
          </w:rPr>
        </w:r>
        <w:r w:rsidR="004A6387">
          <w:rPr>
            <w:noProof/>
            <w:webHidden/>
          </w:rPr>
          <w:fldChar w:fldCharType="separate"/>
        </w:r>
        <w:r w:rsidR="004A6387">
          <w:rPr>
            <w:noProof/>
            <w:webHidden/>
          </w:rPr>
          <w:t>21</w:t>
        </w:r>
        <w:r w:rsidR="004A6387">
          <w:rPr>
            <w:noProof/>
            <w:webHidden/>
          </w:rPr>
          <w:fldChar w:fldCharType="end"/>
        </w:r>
      </w:hyperlink>
    </w:p>
    <w:p w14:paraId="2C182C86" w14:textId="703B5E79" w:rsidR="004A6387" w:rsidRDefault="00912DD2">
      <w:pPr>
        <w:pStyle w:val="TOC1"/>
        <w:rPr>
          <w:rFonts w:asciiTheme="minorHAnsi" w:eastAsiaTheme="minorEastAsia" w:hAnsiTheme="minorHAnsi" w:cstheme="minorBidi"/>
          <w:b w:val="0"/>
          <w:noProof/>
          <w:sz w:val="22"/>
          <w:lang w:eastAsia="en-AU"/>
        </w:rPr>
      </w:pPr>
      <w:hyperlink w:anchor="_Toc42267665" w:history="1">
        <w:r w:rsidR="004A6387" w:rsidRPr="0038659D">
          <w:rPr>
            <w:rStyle w:val="Hyperlink"/>
            <w:noProof/>
          </w:rPr>
          <w:t>Customer Number and Volume Forecasts</w:t>
        </w:r>
        <w:r w:rsidR="004A6387">
          <w:rPr>
            <w:noProof/>
            <w:webHidden/>
          </w:rPr>
          <w:tab/>
        </w:r>
        <w:r w:rsidR="004A6387">
          <w:rPr>
            <w:noProof/>
            <w:webHidden/>
          </w:rPr>
          <w:fldChar w:fldCharType="begin"/>
        </w:r>
        <w:r w:rsidR="004A6387">
          <w:rPr>
            <w:noProof/>
            <w:webHidden/>
          </w:rPr>
          <w:instrText xml:space="preserve"> PAGEREF _Toc42267665 \h </w:instrText>
        </w:r>
        <w:r w:rsidR="004A6387">
          <w:rPr>
            <w:noProof/>
            <w:webHidden/>
          </w:rPr>
        </w:r>
        <w:r w:rsidR="004A6387">
          <w:rPr>
            <w:noProof/>
            <w:webHidden/>
          </w:rPr>
          <w:fldChar w:fldCharType="separate"/>
        </w:r>
        <w:r w:rsidR="004A6387">
          <w:rPr>
            <w:noProof/>
            <w:webHidden/>
          </w:rPr>
          <w:t>22</w:t>
        </w:r>
        <w:r w:rsidR="004A6387">
          <w:rPr>
            <w:noProof/>
            <w:webHidden/>
          </w:rPr>
          <w:fldChar w:fldCharType="end"/>
        </w:r>
      </w:hyperlink>
    </w:p>
    <w:p w14:paraId="3670E19A" w14:textId="4A946CA7" w:rsidR="004A6387" w:rsidRDefault="00912DD2">
      <w:pPr>
        <w:pStyle w:val="TOC2"/>
        <w:rPr>
          <w:rFonts w:asciiTheme="minorHAnsi" w:eastAsiaTheme="minorEastAsia" w:hAnsiTheme="minorHAnsi" w:cstheme="minorBidi"/>
          <w:noProof/>
          <w:sz w:val="22"/>
          <w:lang w:eastAsia="en-AU"/>
        </w:rPr>
      </w:pPr>
      <w:hyperlink w:anchor="_Toc42267666" w:history="1">
        <w:r w:rsidR="004A6387" w:rsidRPr="0038659D">
          <w:rPr>
            <w:rStyle w:val="Hyperlink"/>
            <w:noProof/>
            <w:lang w:eastAsia="en-AU"/>
          </w:rPr>
          <w:t>2020 ACT Election</w:t>
        </w:r>
        <w:r w:rsidR="004A6387">
          <w:rPr>
            <w:noProof/>
            <w:webHidden/>
          </w:rPr>
          <w:tab/>
        </w:r>
        <w:r w:rsidR="004A6387">
          <w:rPr>
            <w:noProof/>
            <w:webHidden/>
          </w:rPr>
          <w:fldChar w:fldCharType="begin"/>
        </w:r>
        <w:r w:rsidR="004A6387">
          <w:rPr>
            <w:noProof/>
            <w:webHidden/>
          </w:rPr>
          <w:instrText xml:space="preserve"> PAGEREF _Toc42267666 \h </w:instrText>
        </w:r>
        <w:r w:rsidR="004A6387">
          <w:rPr>
            <w:noProof/>
            <w:webHidden/>
          </w:rPr>
        </w:r>
        <w:r w:rsidR="004A6387">
          <w:rPr>
            <w:noProof/>
            <w:webHidden/>
          </w:rPr>
          <w:fldChar w:fldCharType="separate"/>
        </w:r>
        <w:r w:rsidR="004A6387">
          <w:rPr>
            <w:noProof/>
            <w:webHidden/>
          </w:rPr>
          <w:t>23</w:t>
        </w:r>
        <w:r w:rsidR="004A6387">
          <w:rPr>
            <w:noProof/>
            <w:webHidden/>
          </w:rPr>
          <w:fldChar w:fldCharType="end"/>
        </w:r>
      </w:hyperlink>
    </w:p>
    <w:p w14:paraId="238BB161" w14:textId="1CD7BC14" w:rsidR="004A6387" w:rsidRDefault="00912DD2">
      <w:pPr>
        <w:pStyle w:val="TOC2"/>
        <w:rPr>
          <w:rFonts w:asciiTheme="minorHAnsi" w:eastAsiaTheme="minorEastAsia" w:hAnsiTheme="minorHAnsi" w:cstheme="minorBidi"/>
          <w:noProof/>
          <w:sz w:val="22"/>
          <w:lang w:eastAsia="en-AU"/>
        </w:rPr>
      </w:pPr>
      <w:hyperlink w:anchor="_Toc42267667" w:history="1">
        <w:r w:rsidR="004A6387" w:rsidRPr="0038659D">
          <w:rPr>
            <w:rStyle w:val="Hyperlink"/>
            <w:noProof/>
            <w:lang w:eastAsia="en-AU"/>
          </w:rPr>
          <w:t>COVID-19 impacts</w:t>
        </w:r>
        <w:r w:rsidR="004A6387">
          <w:rPr>
            <w:noProof/>
            <w:webHidden/>
          </w:rPr>
          <w:tab/>
        </w:r>
        <w:r w:rsidR="004A6387">
          <w:rPr>
            <w:noProof/>
            <w:webHidden/>
          </w:rPr>
          <w:fldChar w:fldCharType="begin"/>
        </w:r>
        <w:r w:rsidR="004A6387">
          <w:rPr>
            <w:noProof/>
            <w:webHidden/>
          </w:rPr>
          <w:instrText xml:space="preserve"> PAGEREF _Toc42267667 \h </w:instrText>
        </w:r>
        <w:r w:rsidR="004A6387">
          <w:rPr>
            <w:noProof/>
            <w:webHidden/>
          </w:rPr>
        </w:r>
        <w:r w:rsidR="004A6387">
          <w:rPr>
            <w:noProof/>
            <w:webHidden/>
          </w:rPr>
          <w:fldChar w:fldCharType="separate"/>
        </w:r>
        <w:r w:rsidR="004A6387">
          <w:rPr>
            <w:noProof/>
            <w:webHidden/>
          </w:rPr>
          <w:t>23</w:t>
        </w:r>
        <w:r w:rsidR="004A6387">
          <w:rPr>
            <w:noProof/>
            <w:webHidden/>
          </w:rPr>
          <w:fldChar w:fldCharType="end"/>
        </w:r>
      </w:hyperlink>
    </w:p>
    <w:p w14:paraId="65ECFC32" w14:textId="4120A750"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42267648"/>
      <w:r w:rsidRPr="00CA7855">
        <w:lastRenderedPageBreak/>
        <w:t>Acronyms</w:t>
      </w:r>
      <w:bookmarkEnd w:id="0"/>
    </w:p>
    <w:p w14:paraId="391739A4" w14:textId="77777777" w:rsidR="00AB255D" w:rsidRPr="00CA7855" w:rsidRDefault="00703089" w:rsidP="00AB255D">
      <w:pPr>
        <w:pStyle w:val="AcronymsList"/>
      </w:pPr>
      <w:r>
        <w:t>ACTCOSS</w:t>
      </w:r>
      <w:r>
        <w:tab/>
        <w:t>ACT Council of S</w:t>
      </w:r>
      <w:r w:rsidR="00AB255D" w:rsidRPr="00CA7855">
        <w:t>ocial Service Inc.</w:t>
      </w:r>
    </w:p>
    <w:p w14:paraId="4B0B14EE" w14:textId="3D97ADB6" w:rsidR="00AB255D" w:rsidRDefault="00107CF9" w:rsidP="00776BAC">
      <w:pPr>
        <w:pStyle w:val="AcronymsList"/>
      </w:pPr>
      <w:r>
        <w:t>AEMC</w:t>
      </w:r>
      <w:r>
        <w:tab/>
        <w:t>Australian Energy Market Commission</w:t>
      </w:r>
    </w:p>
    <w:p w14:paraId="7EEFE7EF" w14:textId="1D25C6B7" w:rsidR="00107CF9" w:rsidRDefault="00107CF9" w:rsidP="00776BAC">
      <w:pPr>
        <w:pStyle w:val="AcronymsList"/>
      </w:pPr>
      <w:r>
        <w:t>AER</w:t>
      </w:r>
      <w:r>
        <w:tab/>
        <w:t>Australian Energy Regulator</w:t>
      </w:r>
    </w:p>
    <w:p w14:paraId="544384D9" w14:textId="1898F786" w:rsidR="00624E30" w:rsidRDefault="00624E30" w:rsidP="00776BAC">
      <w:pPr>
        <w:pStyle w:val="AcronymsList"/>
      </w:pPr>
      <w:r>
        <w:t>ATA</w:t>
      </w:r>
      <w:r>
        <w:tab/>
        <w:t>Alternative Technology Association (now Renew)</w:t>
      </w:r>
    </w:p>
    <w:p w14:paraId="158FFF52" w14:textId="2E052400" w:rsidR="00D35FBD" w:rsidRDefault="00D35FBD" w:rsidP="00776BAC">
      <w:pPr>
        <w:pStyle w:val="AcronymsList"/>
      </w:pPr>
      <w:r>
        <w:t>CESS</w:t>
      </w:r>
      <w:r>
        <w:tab/>
        <w:t>Capital E</w:t>
      </w:r>
      <w:r w:rsidR="00FE2D36">
        <w:t>xpenditure</w:t>
      </w:r>
      <w:r>
        <w:t xml:space="preserve"> Sharing Scheme</w:t>
      </w:r>
    </w:p>
    <w:p w14:paraId="7F7494E7" w14:textId="5FF0022A" w:rsidR="00624E30" w:rsidRDefault="00624E30" w:rsidP="00776BAC">
      <w:pPr>
        <w:pStyle w:val="AcronymsList"/>
      </w:pPr>
      <w:r>
        <w:t>ECA</w:t>
      </w:r>
      <w:r>
        <w:tab/>
        <w:t>Energy Consumers Australia</w:t>
      </w:r>
    </w:p>
    <w:p w14:paraId="39635505" w14:textId="7940B2EB" w:rsidR="00CA6CDE" w:rsidRDefault="00CA6CDE" w:rsidP="00776BAC">
      <w:pPr>
        <w:pStyle w:val="AcronymsList"/>
      </w:pPr>
      <w:r>
        <w:t>ECRC</w:t>
      </w:r>
      <w:r>
        <w:tab/>
        <w:t>(</w:t>
      </w:r>
      <w:proofErr w:type="spellStart"/>
      <w:r>
        <w:t>Evoenergy’s</w:t>
      </w:r>
      <w:proofErr w:type="spellEnd"/>
      <w:r>
        <w:t>) Energy Consumer Reference Council</w:t>
      </w:r>
    </w:p>
    <w:p w14:paraId="6A768598" w14:textId="77777777" w:rsidR="00D35FBD" w:rsidRDefault="00D35FBD" w:rsidP="00D35FBD">
      <w:pPr>
        <w:pStyle w:val="AcronymsList"/>
      </w:pPr>
      <w:r>
        <w:t>GN21</w:t>
      </w:r>
      <w:r>
        <w:tab/>
      </w:r>
      <w:proofErr w:type="spellStart"/>
      <w:r>
        <w:t>Evoenergy</w:t>
      </w:r>
      <w:proofErr w:type="spellEnd"/>
      <w:r>
        <w:t xml:space="preserve"> gas network 2021-26 access arrangement review</w:t>
      </w:r>
    </w:p>
    <w:p w14:paraId="421CEB2A" w14:textId="77777777" w:rsidR="00D35FBD" w:rsidRDefault="00D35FBD" w:rsidP="00776BAC">
      <w:pPr>
        <w:pStyle w:val="AcronymsList"/>
      </w:pPr>
    </w:p>
    <w:p w14:paraId="463EAD52" w14:textId="77777777" w:rsidR="00CA6CDE" w:rsidRPr="00CA7855" w:rsidRDefault="00CA6CDE" w:rsidP="00776BAC">
      <w:pPr>
        <w:pStyle w:val="AcronymsList"/>
      </w:pPr>
    </w:p>
    <w:p w14:paraId="032ECBD3" w14:textId="77777777" w:rsidR="00AB255D" w:rsidRPr="00CA7855" w:rsidRDefault="00F54FAF" w:rsidP="00F54FAF">
      <w:pPr>
        <w:pStyle w:val="Heading1-Pagebreakbefore"/>
      </w:pPr>
      <w:bookmarkStart w:id="1" w:name="_Toc42267649"/>
      <w:r w:rsidRPr="00CA7855">
        <w:lastRenderedPageBreak/>
        <w:t>Introduction</w:t>
      </w:r>
      <w:bookmarkEnd w:id="1"/>
    </w:p>
    <w:p w14:paraId="0C4CD775" w14:textId="7F57F591" w:rsidR="00306985" w:rsidRDefault="00D50BF9" w:rsidP="002C4E3A">
      <w:pPr>
        <w:pStyle w:val="BodyText"/>
      </w:pPr>
      <w:r>
        <w:t xml:space="preserve">The ACT Council of Social Service (ACTCOSS) </w:t>
      </w:r>
      <w:r w:rsidR="00306985">
        <w:t>welcomes</w:t>
      </w:r>
      <w:r w:rsidR="007578E0">
        <w:t xml:space="preserve"> the opportunity to provide feedback on </w:t>
      </w:r>
      <w:proofErr w:type="spellStart"/>
      <w:r w:rsidR="006753D5">
        <w:t>Evoenergy’s</w:t>
      </w:r>
      <w:proofErr w:type="spellEnd"/>
      <w:r w:rsidR="006753D5">
        <w:t xml:space="preserve"> Gas Network 2021 Draft Plan. We acknowledge the </w:t>
      </w:r>
      <w:r w:rsidR="009F3C20">
        <w:t xml:space="preserve">efforts that </w:t>
      </w:r>
      <w:proofErr w:type="spellStart"/>
      <w:r w:rsidR="009F3C20">
        <w:t>Evoenergy</w:t>
      </w:r>
      <w:proofErr w:type="spellEnd"/>
      <w:r w:rsidR="009F3C20">
        <w:t xml:space="preserve"> has undertaken to </w:t>
      </w:r>
      <w:r w:rsidR="00755A1F">
        <w:t xml:space="preserve">engage with consumers and consumer advocates in preparing this draft </w:t>
      </w:r>
      <w:proofErr w:type="gramStart"/>
      <w:r w:rsidR="00755A1F">
        <w:t>plan</w:t>
      </w:r>
      <w:r w:rsidR="000256D4">
        <w:t xml:space="preserve"> </w:t>
      </w:r>
      <w:r w:rsidR="00A71B41">
        <w:t>ahead</w:t>
      </w:r>
      <w:proofErr w:type="gramEnd"/>
      <w:r w:rsidR="00A71B41">
        <w:t xml:space="preserve"> of </w:t>
      </w:r>
      <w:r w:rsidR="009E3611">
        <w:t xml:space="preserve">its </w:t>
      </w:r>
      <w:r w:rsidR="00A71B41">
        <w:t>initial proposal to the Australian Energy Regulator (AER).</w:t>
      </w:r>
      <w:r w:rsidR="007578E0">
        <w:t xml:space="preserve"> </w:t>
      </w:r>
    </w:p>
    <w:p w14:paraId="14A753BF" w14:textId="72B8AAC6" w:rsidR="00EF0354" w:rsidRDefault="007D0E13" w:rsidP="002C4E3A">
      <w:pPr>
        <w:pStyle w:val="BodyText"/>
      </w:pPr>
      <w:r>
        <w:t xml:space="preserve">ACTCOSS has received funding from </w:t>
      </w:r>
      <w:proofErr w:type="spellStart"/>
      <w:r>
        <w:t>Evoenergy</w:t>
      </w:r>
      <w:proofErr w:type="spellEnd"/>
      <w:r>
        <w:t xml:space="preserve"> to support </w:t>
      </w:r>
      <w:r w:rsidR="009E3611">
        <w:t>its</w:t>
      </w:r>
      <w:r w:rsidRPr="00FE19E5">
        <w:t xml:space="preserve"> engagement with vulnerable energy consumers in the gas network 2021-26 access arrangement revie</w:t>
      </w:r>
      <w:r w:rsidR="006C7046">
        <w:t>w</w:t>
      </w:r>
      <w:r w:rsidR="00DE67AD">
        <w:t xml:space="preserve"> </w:t>
      </w:r>
      <w:r w:rsidR="00EF0354">
        <w:t xml:space="preserve">process </w:t>
      </w:r>
      <w:r w:rsidR="00DE67AD">
        <w:t>for the ACT and Queanbeyan-</w:t>
      </w:r>
      <w:proofErr w:type="spellStart"/>
      <w:r w:rsidR="00DE67AD">
        <w:t>Palerang</w:t>
      </w:r>
      <w:proofErr w:type="spellEnd"/>
      <w:r w:rsidR="00DE67AD">
        <w:t xml:space="preserve"> Region</w:t>
      </w:r>
      <w:r w:rsidR="00F842DC">
        <w:t xml:space="preserve"> (GN21)</w:t>
      </w:r>
      <w:r w:rsidR="00DE67AD">
        <w:t>.</w:t>
      </w:r>
      <w:r w:rsidR="00B2633A">
        <w:t xml:space="preserve"> </w:t>
      </w:r>
    </w:p>
    <w:p w14:paraId="1E150FF6" w14:textId="1E556663" w:rsidR="00F54759" w:rsidRDefault="008F20B1" w:rsidP="002C4E3A">
      <w:pPr>
        <w:pStyle w:val="BodyText"/>
      </w:pPr>
      <w:r>
        <w:t xml:space="preserve">This submission builds on and complements </w:t>
      </w:r>
      <w:r w:rsidR="00730A06">
        <w:t xml:space="preserve">the following interactions </w:t>
      </w:r>
      <w:r w:rsidR="00F660D4">
        <w:t xml:space="preserve">with </w:t>
      </w:r>
      <w:proofErr w:type="spellStart"/>
      <w:r w:rsidR="00F660D4">
        <w:t>Evoenergy</w:t>
      </w:r>
      <w:proofErr w:type="spellEnd"/>
      <w:r w:rsidR="0014005E">
        <w:t xml:space="preserve"> on GN21 to date</w:t>
      </w:r>
      <w:r w:rsidR="00F54759">
        <w:t>:</w:t>
      </w:r>
    </w:p>
    <w:p w14:paraId="483FFC7D" w14:textId="1500AA52" w:rsidR="007D0E13" w:rsidRDefault="00F660D4" w:rsidP="009F325D">
      <w:pPr>
        <w:pStyle w:val="ListBullet"/>
      </w:pPr>
      <w:r>
        <w:t>ACTCOSS’s</w:t>
      </w:r>
      <w:r w:rsidR="00F842DC">
        <w:t xml:space="preserve"> </w:t>
      </w:r>
      <w:r w:rsidR="003D1E76">
        <w:t>GN21 Energy Consumer Advocacy Workshop</w:t>
      </w:r>
      <w:r w:rsidR="00DE67AD">
        <w:t xml:space="preserve"> </w:t>
      </w:r>
      <w:r w:rsidR="006B220F">
        <w:t xml:space="preserve">on </w:t>
      </w:r>
      <w:r w:rsidR="00137283">
        <w:t>27 August 2019</w:t>
      </w:r>
      <w:r w:rsidR="001C6319">
        <w:t xml:space="preserve"> and documenting workshop outcomes</w:t>
      </w:r>
      <w:r w:rsidR="004B39FC">
        <w:rPr>
          <w:rStyle w:val="FootnoteReference"/>
        </w:rPr>
        <w:footnoteReference w:id="2"/>
      </w:r>
    </w:p>
    <w:p w14:paraId="08668C76" w14:textId="2EADA557" w:rsidR="002A453A" w:rsidRDefault="002A453A" w:rsidP="009F325D">
      <w:pPr>
        <w:pStyle w:val="ListBullet"/>
      </w:pPr>
      <w:r>
        <w:t xml:space="preserve">Presenting and observing at </w:t>
      </w:r>
      <w:proofErr w:type="spellStart"/>
      <w:r>
        <w:t>Evoenergy’s</w:t>
      </w:r>
      <w:proofErr w:type="spellEnd"/>
      <w:r>
        <w:t xml:space="preserve"> 2019 Citizens’ Jury</w:t>
      </w:r>
      <w:r w:rsidR="00643A8F">
        <w:t xml:space="preserve"> (19-20 October, </w:t>
      </w:r>
      <w:r w:rsidR="009F325D">
        <w:t>2-3 November 2020)</w:t>
      </w:r>
    </w:p>
    <w:p w14:paraId="364B9F44" w14:textId="6EDE3088" w:rsidR="001C6319" w:rsidRDefault="004B69FA" w:rsidP="009F325D">
      <w:pPr>
        <w:pStyle w:val="ListBullet"/>
      </w:pPr>
      <w:r>
        <w:t xml:space="preserve">Participating in </w:t>
      </w:r>
      <w:proofErr w:type="spellStart"/>
      <w:r>
        <w:t>Evoenergy’s</w:t>
      </w:r>
      <w:proofErr w:type="spellEnd"/>
      <w:r>
        <w:t xml:space="preserve"> </w:t>
      </w:r>
      <w:r w:rsidR="00FE446B">
        <w:t xml:space="preserve">GN21 Draft Plan </w:t>
      </w:r>
      <w:r>
        <w:t>Deep Dive</w:t>
      </w:r>
      <w:r w:rsidR="0054518A">
        <w:t xml:space="preserve"> discussions</w:t>
      </w:r>
      <w:r w:rsidR="00631B6D">
        <w:t xml:space="preserve"> with </w:t>
      </w:r>
      <w:r w:rsidR="000F256C">
        <w:t xml:space="preserve">local </w:t>
      </w:r>
      <w:r w:rsidR="00631B6D">
        <w:t xml:space="preserve">consumers </w:t>
      </w:r>
      <w:r w:rsidR="000F256C">
        <w:t xml:space="preserve">and consumer representatives </w:t>
      </w:r>
      <w:r w:rsidR="00631B6D">
        <w:t>(</w:t>
      </w:r>
      <w:r w:rsidR="0054518A">
        <w:t>Part A</w:t>
      </w:r>
      <w:r w:rsidR="00631B6D">
        <w:t>)</w:t>
      </w:r>
      <w:r w:rsidR="000F256C">
        <w:t>,</w:t>
      </w:r>
      <w:r w:rsidR="0054518A">
        <w:t xml:space="preserve"> and </w:t>
      </w:r>
      <w:r w:rsidR="000F256C">
        <w:t xml:space="preserve">with </w:t>
      </w:r>
      <w:r w:rsidR="00631B6D">
        <w:t>consumer advocates (</w:t>
      </w:r>
      <w:r w:rsidR="0054518A">
        <w:t>Part B</w:t>
      </w:r>
      <w:r w:rsidR="00692616">
        <w:t xml:space="preserve"> – 18 March 2020</w:t>
      </w:r>
      <w:r w:rsidR="00631B6D">
        <w:t>)</w:t>
      </w:r>
    </w:p>
    <w:p w14:paraId="328126AB" w14:textId="4359CF6B" w:rsidR="00F3047A" w:rsidRDefault="00F3047A" w:rsidP="009F325D">
      <w:pPr>
        <w:pStyle w:val="ListBullet"/>
      </w:pPr>
      <w:r w:rsidRPr="00F3047A">
        <w:t xml:space="preserve">Meetings of </w:t>
      </w:r>
      <w:proofErr w:type="spellStart"/>
      <w:r w:rsidRPr="00F3047A">
        <w:t>Evoenergy’s</w:t>
      </w:r>
      <w:proofErr w:type="spellEnd"/>
      <w:r w:rsidRPr="00F3047A">
        <w:t xml:space="preserve"> Energy Consumer Reference Council (ECRC)</w:t>
      </w:r>
    </w:p>
    <w:p w14:paraId="67770B5E" w14:textId="12FAFDE2" w:rsidR="00F3047A" w:rsidRDefault="0052343A" w:rsidP="009F325D">
      <w:pPr>
        <w:pStyle w:val="ListBullet"/>
      </w:pPr>
      <w:r>
        <w:t xml:space="preserve">Meetings with </w:t>
      </w:r>
      <w:proofErr w:type="spellStart"/>
      <w:r>
        <w:t>Evoenergy</w:t>
      </w:r>
      <w:proofErr w:type="spellEnd"/>
      <w:r>
        <w:t xml:space="preserve"> staff</w:t>
      </w:r>
      <w:r w:rsidR="004B39FC">
        <w:t>.</w:t>
      </w:r>
    </w:p>
    <w:p w14:paraId="354E1D91" w14:textId="4A75418D" w:rsidR="002C4E3A" w:rsidRDefault="001D30E5" w:rsidP="002C4E3A">
      <w:pPr>
        <w:pStyle w:val="BodyText"/>
      </w:pPr>
      <w:r w:rsidRPr="001D30E5">
        <w:t xml:space="preserve">ACTCOSS </w:t>
      </w:r>
      <w:r w:rsidR="009C57B5">
        <w:t>has an established</w:t>
      </w:r>
      <w:r w:rsidRPr="001D30E5">
        <w:t xml:space="preserve"> role as an energy consumer advocate in the ACT</w:t>
      </w:r>
      <w:r w:rsidR="0087668D">
        <w:t>. Since 2016, we have led the</w:t>
      </w:r>
      <w:r w:rsidR="0087668D" w:rsidRPr="00F937F4">
        <w:t xml:space="preserve"> </w:t>
      </w:r>
      <w:r w:rsidRPr="00F937F4">
        <w:t xml:space="preserve">Energised Consumers Project </w:t>
      </w:r>
      <w:r w:rsidR="0087668D">
        <w:t xml:space="preserve">which is </w:t>
      </w:r>
      <w:r w:rsidRPr="001D30E5">
        <w:t xml:space="preserve">funded by Energy Consumers Australia (ECA) and the ACT Government. </w:t>
      </w:r>
      <w:r w:rsidR="0099439D">
        <w:t xml:space="preserve">This submission is informed by </w:t>
      </w:r>
      <w:r w:rsidR="00F006B6">
        <w:t xml:space="preserve">our </w:t>
      </w:r>
      <w:r w:rsidR="00504E9D">
        <w:t>w</w:t>
      </w:r>
      <w:r w:rsidR="00160301">
        <w:t xml:space="preserve">ork on this project, including engagement with </w:t>
      </w:r>
      <w:r w:rsidR="00662969">
        <w:t xml:space="preserve">ACT </w:t>
      </w:r>
      <w:r w:rsidR="00160301">
        <w:t>energy consumers</w:t>
      </w:r>
      <w:r w:rsidR="00F43116">
        <w:t xml:space="preserve"> and </w:t>
      </w:r>
      <w:r w:rsidR="00D66ACB">
        <w:t xml:space="preserve">community organisations. This project has facilitated </w:t>
      </w:r>
      <w:r w:rsidR="006D4AE1">
        <w:t xml:space="preserve">valuable </w:t>
      </w:r>
      <w:r w:rsidR="00DF1F5B">
        <w:t xml:space="preserve">opportunities to connect </w:t>
      </w:r>
      <w:r w:rsidR="009A096C">
        <w:t xml:space="preserve">and collaborate </w:t>
      </w:r>
      <w:r w:rsidR="00DF1F5B">
        <w:t>with advocates locally and nationally, including through</w:t>
      </w:r>
      <w:r w:rsidR="003D5478">
        <w:t xml:space="preserve"> the</w:t>
      </w:r>
      <w:r w:rsidR="00DF1F5B">
        <w:t>:</w:t>
      </w:r>
    </w:p>
    <w:p w14:paraId="44E49714" w14:textId="3D00BCD2" w:rsidR="00DF1F5B" w:rsidRDefault="00BA1616" w:rsidP="004927E9">
      <w:pPr>
        <w:pStyle w:val="ListBullet"/>
      </w:pPr>
      <w:r>
        <w:t xml:space="preserve">ACT Energy Consumer Policy Consortium (ACTCOSS, Better Renting, Care Financial Counselling Service, </w:t>
      </w:r>
      <w:r w:rsidR="001B46A0">
        <w:t>Conservation Council ACT Region, and Small Business Taskforce of the Canberra Business Chamber)</w:t>
      </w:r>
    </w:p>
    <w:p w14:paraId="2DE58123" w14:textId="0F60A22E" w:rsidR="00F64FB3" w:rsidRDefault="00F64FB3" w:rsidP="004927E9">
      <w:pPr>
        <w:pStyle w:val="ListBullet"/>
      </w:pPr>
      <w:r>
        <w:t xml:space="preserve">National </w:t>
      </w:r>
      <w:r w:rsidR="004927E9">
        <w:t>Consumer Roundtable on Energy.</w:t>
      </w:r>
    </w:p>
    <w:p w14:paraId="093A7E07" w14:textId="79BE35B8" w:rsidR="003D5478" w:rsidRDefault="007517D9" w:rsidP="00073D40">
      <w:pPr>
        <w:pStyle w:val="BodyText"/>
      </w:pPr>
      <w:r>
        <w:t xml:space="preserve">The primary focus of our engagement </w:t>
      </w:r>
      <w:r w:rsidR="00A81ADD">
        <w:t xml:space="preserve">with GN21 is </w:t>
      </w:r>
      <w:r w:rsidR="003E7FA7">
        <w:t xml:space="preserve">to </w:t>
      </w:r>
      <w:r w:rsidR="00626F44">
        <w:t>represent the interests of low-income and other at-risk energy consumers in the AC</w:t>
      </w:r>
      <w:r w:rsidR="00073D40">
        <w:t>T.</w:t>
      </w:r>
      <w:r w:rsidR="009B06C5">
        <w:t xml:space="preserve"> In line with the National Gas Objective, we </w:t>
      </w:r>
      <w:r w:rsidR="00D741B7">
        <w:t xml:space="preserve">are concerned about </w:t>
      </w:r>
      <w:r w:rsidR="00D741B7" w:rsidRPr="00D741B7">
        <w:t>the long</w:t>
      </w:r>
      <w:r w:rsidR="00D741B7">
        <w:t>-</w:t>
      </w:r>
      <w:r w:rsidR="00D741B7" w:rsidRPr="00D741B7">
        <w:t>term interests of consumers</w:t>
      </w:r>
      <w:r w:rsidR="00F40A28">
        <w:t xml:space="preserve"> – in particular, vulnerable consumers – </w:t>
      </w:r>
      <w:r w:rsidR="00D741B7" w:rsidRPr="00D741B7">
        <w:t xml:space="preserve">of natural gas with respect to price, quality, safety, </w:t>
      </w:r>
      <w:proofErr w:type="gramStart"/>
      <w:r w:rsidR="00D741B7" w:rsidRPr="00D741B7">
        <w:t>reliability</w:t>
      </w:r>
      <w:proofErr w:type="gramEnd"/>
      <w:r w:rsidR="00D741B7" w:rsidRPr="00D741B7">
        <w:t xml:space="preserve"> and security of supply of natural gas.</w:t>
      </w:r>
    </w:p>
    <w:p w14:paraId="42994CCA" w14:textId="169E9E2D" w:rsidR="008760F6" w:rsidRDefault="008760F6" w:rsidP="00E8629C">
      <w:pPr>
        <w:pStyle w:val="Heading1"/>
      </w:pPr>
      <w:bookmarkStart w:id="2" w:name="_Toc42267650"/>
      <w:r>
        <w:lastRenderedPageBreak/>
        <w:t xml:space="preserve">Summary of ACTCOSS </w:t>
      </w:r>
      <w:r w:rsidR="004B2434">
        <w:t>i</w:t>
      </w:r>
      <w:r>
        <w:t xml:space="preserve">nformation </w:t>
      </w:r>
      <w:r w:rsidR="004B2434">
        <w:t>r</w:t>
      </w:r>
      <w:r>
        <w:t>equests</w:t>
      </w:r>
      <w:bookmarkEnd w:id="2"/>
      <w:r w:rsidR="006803C2">
        <w:t xml:space="preserve"> </w:t>
      </w:r>
    </w:p>
    <w:tbl>
      <w:tblPr>
        <w:tblStyle w:val="TableGrid"/>
        <w:tblW w:w="5000" w:type="pct"/>
        <w:tblLook w:val="04A0" w:firstRow="1" w:lastRow="0" w:firstColumn="1" w:lastColumn="0" w:noHBand="0" w:noVBand="1"/>
      </w:tblPr>
      <w:tblGrid>
        <w:gridCol w:w="3007"/>
        <w:gridCol w:w="5487"/>
      </w:tblGrid>
      <w:tr w:rsidR="001540EA" w14:paraId="3CE68A25" w14:textId="2E91187E" w:rsidTr="001540EA">
        <w:tc>
          <w:tcPr>
            <w:tcW w:w="1770" w:type="pct"/>
          </w:tcPr>
          <w:p w14:paraId="72A8CA18" w14:textId="67DF6303" w:rsidR="001540EA" w:rsidRPr="008F3C70" w:rsidRDefault="001540EA">
            <w:pPr>
              <w:rPr>
                <w:b/>
                <w:bCs/>
              </w:rPr>
            </w:pPr>
            <w:r w:rsidRPr="008F3C70">
              <w:rPr>
                <w:b/>
                <w:bCs/>
              </w:rPr>
              <w:t>Issue</w:t>
            </w:r>
          </w:p>
        </w:tc>
        <w:tc>
          <w:tcPr>
            <w:tcW w:w="3230" w:type="pct"/>
          </w:tcPr>
          <w:p w14:paraId="505DE351" w14:textId="240037C0" w:rsidR="001540EA" w:rsidRPr="008F3C70" w:rsidRDefault="001540EA">
            <w:pPr>
              <w:rPr>
                <w:b/>
                <w:bCs/>
              </w:rPr>
            </w:pPr>
            <w:r>
              <w:rPr>
                <w:b/>
                <w:bCs/>
              </w:rPr>
              <w:t>Questions/Request</w:t>
            </w:r>
          </w:p>
        </w:tc>
      </w:tr>
      <w:tr w:rsidR="001540EA" w14:paraId="589A1C36" w14:textId="1BEAB770" w:rsidTr="001540EA">
        <w:tc>
          <w:tcPr>
            <w:tcW w:w="1770" w:type="pct"/>
          </w:tcPr>
          <w:p w14:paraId="734E809C" w14:textId="70E03684" w:rsidR="001540EA" w:rsidRDefault="001540EA">
            <w:r>
              <w:t>No expansion of gas network into new suburbs in the ACT</w:t>
            </w:r>
          </w:p>
        </w:tc>
        <w:tc>
          <w:tcPr>
            <w:tcW w:w="3230" w:type="pct"/>
          </w:tcPr>
          <w:p w14:paraId="25A8D257" w14:textId="138A4643" w:rsidR="001540EA" w:rsidRDefault="00BA0A6F">
            <w:r>
              <w:t xml:space="preserve">Will </w:t>
            </w:r>
            <w:r w:rsidR="001540EA">
              <w:t xml:space="preserve">developers </w:t>
            </w:r>
            <w:r w:rsidR="001540EA" w:rsidRPr="004F3949">
              <w:t>want to install gas connections to new suburbs in the ACT now that it is not mandated?</w:t>
            </w:r>
          </w:p>
        </w:tc>
      </w:tr>
      <w:tr w:rsidR="001540EA" w14:paraId="5B172030" w14:textId="057A19D2" w:rsidTr="001540EA">
        <w:tc>
          <w:tcPr>
            <w:tcW w:w="1770" w:type="pct"/>
          </w:tcPr>
          <w:p w14:paraId="2B391DD5" w14:textId="0683BBBA" w:rsidR="001540EA" w:rsidRDefault="001540EA">
            <w:r>
              <w:t>Depreciation</w:t>
            </w:r>
          </w:p>
        </w:tc>
        <w:tc>
          <w:tcPr>
            <w:tcW w:w="3230" w:type="pct"/>
          </w:tcPr>
          <w:p w14:paraId="493A4287" w14:textId="2799273A" w:rsidR="001540EA" w:rsidRDefault="001540EA">
            <w:r>
              <w:t xml:space="preserve">A deep dive to test the assumption that </w:t>
            </w:r>
            <w:proofErr w:type="spellStart"/>
            <w:r>
              <w:t>Evoenergy</w:t>
            </w:r>
            <w:proofErr w:type="spellEnd"/>
            <w:r>
              <w:t xml:space="preserve"> will need to accelerate depreciation – is this in the long-term interest of gas consumers?</w:t>
            </w:r>
          </w:p>
        </w:tc>
      </w:tr>
      <w:tr w:rsidR="001540EA" w14:paraId="776374DA" w14:textId="2553F3B5" w:rsidTr="001540EA">
        <w:tc>
          <w:tcPr>
            <w:tcW w:w="1770" w:type="pct"/>
          </w:tcPr>
          <w:p w14:paraId="213AC7E7" w14:textId="64567F4F" w:rsidR="001540EA" w:rsidRDefault="001540EA">
            <w:r>
              <w:t>Bill impacts</w:t>
            </w:r>
          </w:p>
        </w:tc>
        <w:tc>
          <w:tcPr>
            <w:tcW w:w="3230" w:type="pct"/>
          </w:tcPr>
          <w:p w14:paraId="6713A30F" w14:textId="57AC0959" w:rsidR="001540EA" w:rsidRDefault="001540EA">
            <w:r>
              <w:t>Why is there only</w:t>
            </w:r>
            <w:r w:rsidRPr="00DD1B24">
              <w:t xml:space="preserve"> a minimal impact on residential customers’ bills under </w:t>
            </w:r>
            <w:proofErr w:type="spellStart"/>
            <w:r w:rsidRPr="00DD1B24">
              <w:t>Evoenergy’s</w:t>
            </w:r>
            <w:proofErr w:type="spellEnd"/>
            <w:r w:rsidRPr="00DD1B24">
              <w:t xml:space="preserve"> proposed approach</w:t>
            </w:r>
            <w:r>
              <w:t>?</w:t>
            </w:r>
          </w:p>
        </w:tc>
      </w:tr>
      <w:tr w:rsidR="001540EA" w14:paraId="30543FBD" w14:textId="761285DE" w:rsidTr="001540EA">
        <w:tc>
          <w:tcPr>
            <w:tcW w:w="1770" w:type="pct"/>
          </w:tcPr>
          <w:p w14:paraId="3D86B972" w14:textId="79550F6F" w:rsidR="001540EA" w:rsidRDefault="001540EA">
            <w:r>
              <w:t>Capital Expenditure Sharing Scheme (CESS)</w:t>
            </w:r>
          </w:p>
        </w:tc>
        <w:tc>
          <w:tcPr>
            <w:tcW w:w="3230" w:type="pct"/>
          </w:tcPr>
          <w:p w14:paraId="748513C4" w14:textId="34A8C040" w:rsidR="001540EA" w:rsidRDefault="001540EA">
            <w:r>
              <w:t>Do consumers see value in adopting a CESS under GN21 given the relatively low level of capital expenditure?</w:t>
            </w:r>
          </w:p>
        </w:tc>
      </w:tr>
      <w:tr w:rsidR="001540EA" w14:paraId="3D90CD5E" w14:textId="458D16ED" w:rsidTr="001540EA">
        <w:tc>
          <w:tcPr>
            <w:tcW w:w="1770" w:type="pct"/>
          </w:tcPr>
          <w:p w14:paraId="2B1E011D" w14:textId="27661FFB" w:rsidR="001540EA" w:rsidRDefault="001540EA">
            <w:r>
              <w:t>Tariffs</w:t>
            </w:r>
          </w:p>
        </w:tc>
        <w:tc>
          <w:tcPr>
            <w:tcW w:w="3230" w:type="pct"/>
          </w:tcPr>
          <w:p w14:paraId="391D8C01" w14:textId="1BF982F5" w:rsidR="001540EA" w:rsidRDefault="001540EA">
            <w:r>
              <w:t>Further analysis of equity and sustainability impacts of declining usage rates.</w:t>
            </w:r>
          </w:p>
        </w:tc>
      </w:tr>
      <w:tr w:rsidR="001540EA" w14:paraId="17E0208C" w14:textId="7646E538" w:rsidTr="001540EA">
        <w:tc>
          <w:tcPr>
            <w:tcW w:w="1770" w:type="pct"/>
          </w:tcPr>
          <w:p w14:paraId="7723622A" w14:textId="0E9FDFFC" w:rsidR="001540EA" w:rsidRDefault="001540EA">
            <w:r>
              <w:t>Capital expenditure</w:t>
            </w:r>
          </w:p>
        </w:tc>
        <w:tc>
          <w:tcPr>
            <w:tcW w:w="3230" w:type="pct"/>
          </w:tcPr>
          <w:p w14:paraId="2379EF5A" w14:textId="3947C0EC" w:rsidR="001540EA" w:rsidRDefault="001540EA">
            <w:r>
              <w:t>Further details of expenditure on market expansion and meter renewal.</w:t>
            </w:r>
          </w:p>
        </w:tc>
      </w:tr>
      <w:tr w:rsidR="001540EA" w14:paraId="0A267AF3" w14:textId="54574972" w:rsidTr="001540EA">
        <w:tc>
          <w:tcPr>
            <w:tcW w:w="1770" w:type="pct"/>
          </w:tcPr>
          <w:p w14:paraId="0C4D4DF7" w14:textId="10EC3A8B" w:rsidR="001540EA" w:rsidRDefault="001540EA">
            <w:r>
              <w:t>Operating costs</w:t>
            </w:r>
          </w:p>
        </w:tc>
        <w:tc>
          <w:tcPr>
            <w:tcW w:w="3230" w:type="pct"/>
          </w:tcPr>
          <w:p w14:paraId="0CB4AB90" w14:textId="53404941" w:rsidR="001540EA" w:rsidRDefault="001540EA">
            <w:r>
              <w:t xml:space="preserve">How does </w:t>
            </w:r>
            <w:proofErr w:type="spellStart"/>
            <w:r>
              <w:t>Evoenergy’s</w:t>
            </w:r>
            <w:proofErr w:type="spellEnd"/>
            <w:r>
              <w:t xml:space="preserve"> gas rewards marketing program support the long-term interests of gas consumers, especially low-income households?</w:t>
            </w:r>
          </w:p>
        </w:tc>
      </w:tr>
      <w:tr w:rsidR="001540EA" w14:paraId="1B0D3751" w14:textId="7F1FFF27" w:rsidTr="001540EA">
        <w:tc>
          <w:tcPr>
            <w:tcW w:w="1770" w:type="pct"/>
          </w:tcPr>
          <w:p w14:paraId="732B6E4B" w14:textId="4F50CA3A" w:rsidR="001540EA" w:rsidRDefault="001540EA">
            <w:r>
              <w:t>Customer number and volume forecasts</w:t>
            </w:r>
          </w:p>
        </w:tc>
        <w:tc>
          <w:tcPr>
            <w:tcW w:w="3230" w:type="pct"/>
          </w:tcPr>
          <w:p w14:paraId="643331DF" w14:textId="0F284B42" w:rsidR="001540EA" w:rsidRDefault="001540EA">
            <w:r>
              <w:t>How does the GN21 Draft Plan fit within the legislated target of a 50-60% reduction in greenhouse gas emissions (from 1990 levels) by 2025?</w:t>
            </w:r>
          </w:p>
        </w:tc>
      </w:tr>
    </w:tbl>
    <w:p w14:paraId="19371136" w14:textId="17696D78" w:rsidR="008760F6" w:rsidRDefault="008760F6">
      <w:pPr>
        <w:rPr>
          <w:rFonts w:cs="Arial"/>
          <w:b/>
          <w:bCs/>
          <w:color w:val="005984"/>
          <w:kern w:val="32"/>
          <w:sz w:val="37"/>
          <w:szCs w:val="32"/>
        </w:rPr>
      </w:pPr>
      <w:r>
        <w:br w:type="page"/>
      </w:r>
    </w:p>
    <w:p w14:paraId="0328BF39" w14:textId="17404F83" w:rsidR="00962511" w:rsidRDefault="008D744C" w:rsidP="00962511">
      <w:pPr>
        <w:pStyle w:val="Heading1"/>
      </w:pPr>
      <w:bookmarkStart w:id="3" w:name="_Toc42267651"/>
      <w:r>
        <w:lastRenderedPageBreak/>
        <w:t>The future of gas</w:t>
      </w:r>
      <w:r w:rsidR="008E6D97">
        <w:t xml:space="preserve">: </w:t>
      </w:r>
      <w:r w:rsidR="00530AF7">
        <w:t>the next 5-10 years</w:t>
      </w:r>
      <w:bookmarkEnd w:id="3"/>
    </w:p>
    <w:tbl>
      <w:tblPr>
        <w:tblStyle w:val="TableGrid"/>
        <w:tblW w:w="0" w:type="auto"/>
        <w:shd w:val="clear" w:color="auto" w:fill="DEEAF6" w:themeFill="accent5" w:themeFillTint="33"/>
        <w:tblLook w:val="04A0" w:firstRow="1" w:lastRow="0" w:firstColumn="1" w:lastColumn="0" w:noHBand="0" w:noVBand="1"/>
      </w:tblPr>
      <w:tblGrid>
        <w:gridCol w:w="8494"/>
      </w:tblGrid>
      <w:tr w:rsidR="00895FD5" w14:paraId="153F4FF6" w14:textId="77777777" w:rsidTr="00074C9E">
        <w:tc>
          <w:tcPr>
            <w:tcW w:w="8494" w:type="dxa"/>
            <w:shd w:val="clear" w:color="auto" w:fill="DEEAF6" w:themeFill="accent5" w:themeFillTint="33"/>
          </w:tcPr>
          <w:p w14:paraId="636783FC" w14:textId="049EDB92" w:rsidR="00895FD5" w:rsidRDefault="00895FD5" w:rsidP="00074C9E">
            <w:pPr>
              <w:pStyle w:val="Boxbody"/>
            </w:pPr>
            <w:r w:rsidRPr="00895FD5">
              <w:t>We are seeking your feedback on the assumptions we have made on how ACT Government policy will impact the use of gas in the ACT and surrounds. What are your expectations of how the use of gas will change in the next 5 – 10 years?</w:t>
            </w:r>
          </w:p>
        </w:tc>
      </w:tr>
    </w:tbl>
    <w:p w14:paraId="50B9814E" w14:textId="7F59553D" w:rsidR="007353D4" w:rsidRDefault="007353D4" w:rsidP="007353D4">
      <w:pPr>
        <w:pStyle w:val="Heading2"/>
      </w:pPr>
      <w:bookmarkStart w:id="4" w:name="_Toc42267652"/>
      <w:r>
        <w:t>Key assumptions in the GN21 Draft Plan</w:t>
      </w:r>
      <w:bookmarkEnd w:id="4"/>
    </w:p>
    <w:p w14:paraId="047728E7" w14:textId="60CC913A" w:rsidR="00800114" w:rsidRDefault="00470CD6" w:rsidP="00895FD5">
      <w:pPr>
        <w:pStyle w:val="BodyText"/>
      </w:pPr>
      <w:r>
        <w:t>The GN21 is based on three key assumptions</w:t>
      </w:r>
      <w:r w:rsidR="003A73E1">
        <w:t xml:space="preserve"> as outlined below,</w:t>
      </w:r>
      <w:r w:rsidR="00F9572E">
        <w:rPr>
          <w:rStyle w:val="FootnoteReference"/>
        </w:rPr>
        <w:footnoteReference w:id="3"/>
      </w:r>
      <w:r w:rsidR="003A73E1">
        <w:t xml:space="preserve"> with responses from ACTCOSS.</w:t>
      </w:r>
    </w:p>
    <w:p w14:paraId="4842D44D" w14:textId="065A2568" w:rsidR="00AA3288" w:rsidRDefault="00AA3288" w:rsidP="004874D8">
      <w:pPr>
        <w:pStyle w:val="Heading3"/>
      </w:pPr>
      <w:bookmarkStart w:id="5" w:name="_Toc42267653"/>
      <w:r>
        <w:t>Assumption</w:t>
      </w:r>
      <w:r w:rsidR="00FB79DF">
        <w:t>#</w:t>
      </w:r>
      <w:r w:rsidR="004874D8">
        <w:t xml:space="preserve"> 1: No expansion</w:t>
      </w:r>
      <w:r w:rsidR="00006385">
        <w:t xml:space="preserve"> of gas network</w:t>
      </w:r>
      <w:r w:rsidR="004874D8">
        <w:t xml:space="preserve"> into new ACT suburbs</w:t>
      </w:r>
      <w:bookmarkEnd w:id="5"/>
    </w:p>
    <w:p w14:paraId="2B7BB117" w14:textId="243F7EED" w:rsidR="00160A48" w:rsidRDefault="004874D8" w:rsidP="004874D8">
      <w:pPr>
        <w:pStyle w:val="BlockText"/>
      </w:pPr>
      <w:r>
        <w:t>R</w:t>
      </w:r>
      <w:r w:rsidR="00160A48">
        <w:t>eflecting the ACT Government’s strategy to remove the mandating of reticulated gas in new suburbs, the gas network will not be expanded into new suburbs in the ACT</w:t>
      </w:r>
    </w:p>
    <w:p w14:paraId="6B7F1B7F" w14:textId="3E965931" w:rsidR="00B70C02" w:rsidRDefault="00572D91" w:rsidP="00A14757">
      <w:pPr>
        <w:pStyle w:val="BodyText"/>
      </w:pPr>
      <w:r>
        <w:t xml:space="preserve">We </w:t>
      </w:r>
      <w:r w:rsidR="00E13AAF">
        <w:t xml:space="preserve">broadly </w:t>
      </w:r>
      <w:r w:rsidR="00491D00">
        <w:t xml:space="preserve">agree </w:t>
      </w:r>
      <w:r w:rsidR="00E13AAF">
        <w:t xml:space="preserve">with </w:t>
      </w:r>
      <w:r>
        <w:t xml:space="preserve">this assumption, </w:t>
      </w:r>
      <w:r w:rsidR="00B72FDF">
        <w:t xml:space="preserve">though </w:t>
      </w:r>
      <w:r w:rsidR="00D81662">
        <w:t xml:space="preserve">it would be useful </w:t>
      </w:r>
      <w:r w:rsidR="00376683">
        <w:t xml:space="preserve">if </w:t>
      </w:r>
      <w:proofErr w:type="spellStart"/>
      <w:r w:rsidR="00376683">
        <w:t>Evoenergy</w:t>
      </w:r>
      <w:proofErr w:type="spellEnd"/>
      <w:r w:rsidR="00376683">
        <w:t xml:space="preserve"> could </w:t>
      </w:r>
      <w:r w:rsidR="00D81662">
        <w:t xml:space="preserve">provide </w:t>
      </w:r>
      <w:r w:rsidR="00B70C02">
        <w:t>further information to support it</w:t>
      </w:r>
      <w:r w:rsidR="00376683">
        <w:t xml:space="preserve"> in its proposal to the AER.</w:t>
      </w:r>
    </w:p>
    <w:p w14:paraId="0282AC3A" w14:textId="2FA2F4F8" w:rsidR="00AD6948" w:rsidRDefault="00902F44" w:rsidP="00AD6948">
      <w:pPr>
        <w:pStyle w:val="BodyText"/>
      </w:pPr>
      <w:r>
        <w:t>Research</w:t>
      </w:r>
      <w:r w:rsidR="001B4B8F">
        <w:t xml:space="preserve"> by the </w:t>
      </w:r>
      <w:r w:rsidR="00823009">
        <w:t>Alternative Technology Association (ATA</w:t>
      </w:r>
      <w:r w:rsidR="00BC4F4D">
        <w:t>, now Renew</w:t>
      </w:r>
      <w:r w:rsidR="00823009">
        <w:t>)</w:t>
      </w:r>
      <w:r w:rsidR="00C025CE">
        <w:t xml:space="preserve"> </w:t>
      </w:r>
      <w:r w:rsidR="00DE67FA">
        <w:t xml:space="preserve">concluded </w:t>
      </w:r>
      <w:r w:rsidR="00595D57">
        <w:t xml:space="preserve">that due to </w:t>
      </w:r>
      <w:r w:rsidR="009D25C3">
        <w:t xml:space="preserve">improvements in </w:t>
      </w:r>
      <w:r w:rsidR="006C533A">
        <w:t xml:space="preserve">common household electrical appliances </w:t>
      </w:r>
      <w:r w:rsidR="00EB2F4D">
        <w:t>‘it</w:t>
      </w:r>
      <w:r w:rsidR="006C533A" w:rsidRPr="006C533A">
        <w:t xml:space="preserve"> is not cost effective to connect a new home to mains gas</w:t>
      </w:r>
      <w:r w:rsidR="00EB2F4D">
        <w:t xml:space="preserve">’ and that doing so would </w:t>
      </w:r>
      <w:r w:rsidR="00C277F0">
        <w:t xml:space="preserve">‘lock </w:t>
      </w:r>
      <w:r w:rsidR="00AD6948">
        <w:t>new home buyers into significantly higher energy costs for the medium to longer term</w:t>
      </w:r>
      <w:r w:rsidR="00980850">
        <w:t>’</w:t>
      </w:r>
      <w:r w:rsidR="00AD6948">
        <w:t>.</w:t>
      </w:r>
      <w:r w:rsidR="00620B62" w:rsidRPr="00620B62">
        <w:rPr>
          <w:rStyle w:val="FootnoteReference"/>
        </w:rPr>
        <w:t xml:space="preserve"> </w:t>
      </w:r>
      <w:r w:rsidR="00620B62">
        <w:rPr>
          <w:rStyle w:val="FootnoteReference"/>
        </w:rPr>
        <w:footnoteReference w:id="4"/>
      </w:r>
      <w:r w:rsidR="00620B62" w:rsidRPr="00A9337A">
        <w:rPr>
          <w:rStyle w:val="FootnoteReference"/>
        </w:rPr>
        <w:t>,</w:t>
      </w:r>
      <w:r w:rsidR="004C12A3">
        <w:rPr>
          <w:rStyle w:val="FootnoteReference"/>
        </w:rPr>
        <w:footnoteReference w:id="5"/>
      </w:r>
    </w:p>
    <w:p w14:paraId="04C0DAA7" w14:textId="1E9524A7" w:rsidR="00AD6948" w:rsidRDefault="00A9337A" w:rsidP="00AD6948">
      <w:pPr>
        <w:pStyle w:val="BodyText"/>
      </w:pPr>
      <w:r>
        <w:t>Renew argue that c</w:t>
      </w:r>
      <w:r w:rsidR="00AD6948">
        <w:t xml:space="preserve">ontinued expansion of reticulated gas to most greenfield developments </w:t>
      </w:r>
      <w:r>
        <w:t>fails the National Gas Objective</w:t>
      </w:r>
      <w:r w:rsidR="00AD6948">
        <w:t xml:space="preserve"> on at least two important counts:</w:t>
      </w:r>
    </w:p>
    <w:p w14:paraId="7590FC40" w14:textId="3148773A" w:rsidR="00AD6948" w:rsidRDefault="00AD6948" w:rsidP="00A9337A">
      <w:pPr>
        <w:pStyle w:val="ListBullet"/>
      </w:pPr>
      <w:r>
        <w:t xml:space="preserve">The infrastructure delivered could not, by any credible measure, be considered </w:t>
      </w:r>
      <w:r w:rsidR="008E11E0">
        <w:t>‘</w:t>
      </w:r>
      <w:r>
        <w:t>efficient investment’; and</w:t>
      </w:r>
      <w:r w:rsidR="00411BA2">
        <w:t>, therefore</w:t>
      </w:r>
    </w:p>
    <w:p w14:paraId="274BD1A4" w14:textId="742D8EF3" w:rsidR="00AD6948" w:rsidRDefault="00070475" w:rsidP="00A9337A">
      <w:pPr>
        <w:pStyle w:val="ListBullet"/>
      </w:pPr>
      <w:r>
        <w:t>S</w:t>
      </w:r>
      <w:r w:rsidR="00AD6948">
        <w:t>uch programs are clearly no longer in the ‘long term interests of consumers’, with particular reference to price.</w:t>
      </w:r>
    </w:p>
    <w:p w14:paraId="1814EBE0" w14:textId="378303F9" w:rsidR="00A14757" w:rsidRDefault="00093A61" w:rsidP="00A14757">
      <w:pPr>
        <w:pStyle w:val="BodyText"/>
      </w:pPr>
      <w:r>
        <w:t>The ACT Government’s a</w:t>
      </w:r>
      <w:r w:rsidRPr="00093A61">
        <w:t>mend</w:t>
      </w:r>
      <w:r>
        <w:t>ment of</w:t>
      </w:r>
      <w:r w:rsidRPr="00093A61">
        <w:t xml:space="preserve"> planning regulations to remove the mandating of reticulated gas in new suburbs</w:t>
      </w:r>
      <w:r w:rsidR="0011696E">
        <w:t xml:space="preserve"> is explicitly intended to </w:t>
      </w:r>
      <w:r w:rsidR="00A966F9">
        <w:t>‘e</w:t>
      </w:r>
      <w:r w:rsidR="00A966F9" w:rsidRPr="00A966F9">
        <w:t xml:space="preserve">ncourage </w:t>
      </w:r>
      <w:r w:rsidR="00A966F9" w:rsidRPr="00A966F9">
        <w:lastRenderedPageBreak/>
        <w:t>a shift from gas to electricity</w:t>
      </w:r>
      <w:r w:rsidR="00A966F9">
        <w:t>’.</w:t>
      </w:r>
      <w:r w:rsidR="00B41261">
        <w:rPr>
          <w:rStyle w:val="FootnoteReference"/>
        </w:rPr>
        <w:footnoteReference w:id="6"/>
      </w:r>
      <w:r w:rsidR="00A966F9">
        <w:t xml:space="preserve"> </w:t>
      </w:r>
      <w:r w:rsidR="00A14757">
        <w:t xml:space="preserve">As noted in our submission to the ACT Government’s </w:t>
      </w:r>
      <w:r w:rsidR="00A14757" w:rsidRPr="002B5EAF">
        <w:rPr>
          <w:i/>
          <w:iCs/>
        </w:rPr>
        <w:t>ACT Sustainable Energy Policy 2020-25 Discussion Paper</w:t>
      </w:r>
      <w:r w:rsidR="00161EF3" w:rsidRPr="00161EF3">
        <w:t>:</w:t>
      </w:r>
      <w:r w:rsidR="00A14757" w:rsidRPr="00161EF3">
        <w:t xml:space="preserve"> </w:t>
      </w:r>
    </w:p>
    <w:p w14:paraId="75A99F21" w14:textId="77777777" w:rsidR="00A14757" w:rsidRDefault="00A14757" w:rsidP="00A14757">
      <w:pPr>
        <w:pStyle w:val="BlockText"/>
      </w:pPr>
      <w:r w:rsidRPr="0083033B">
        <w:t>Given the technical and financial uncertainty regarding using fuels other than natural gas in gas infrastructure, ACTCOSS supports ceasing expansion of gas into new suburbs during 2020-25. This is the least risk, least cost approach.</w:t>
      </w:r>
      <w:r>
        <w:rPr>
          <w:rStyle w:val="FootnoteReference"/>
        </w:rPr>
        <w:footnoteReference w:id="7"/>
      </w:r>
    </w:p>
    <w:p w14:paraId="021FBEA1" w14:textId="7AAFCE53" w:rsidR="00086A11" w:rsidRDefault="00052367" w:rsidP="00EA4E5B">
      <w:pPr>
        <w:pStyle w:val="BodyText"/>
      </w:pPr>
      <w:r>
        <w:t xml:space="preserve">Similarly, the </w:t>
      </w:r>
      <w:r w:rsidR="00BF5411">
        <w:t xml:space="preserve">Citizens’ Jury </w:t>
      </w:r>
      <w:r w:rsidR="003C1158">
        <w:t xml:space="preserve">recommended </w:t>
      </w:r>
      <w:r>
        <w:t xml:space="preserve">‘that </w:t>
      </w:r>
      <w:proofErr w:type="spellStart"/>
      <w:r>
        <w:t>Evoenergy</w:t>
      </w:r>
      <w:proofErr w:type="spellEnd"/>
      <w:r>
        <w:t xml:space="preserve"> suspend expanding the gas network into new </w:t>
      </w:r>
      <w:r w:rsidR="00F503E1">
        <w:t>developments</w:t>
      </w:r>
      <w:r>
        <w:t xml:space="preserve"> until low emissions sources of gas </w:t>
      </w:r>
      <w:r w:rsidR="001D08D6">
        <w:t>become available’.</w:t>
      </w:r>
      <w:r w:rsidR="001D08D6">
        <w:rPr>
          <w:rStyle w:val="FootnoteReference"/>
        </w:rPr>
        <w:footnoteReference w:id="8"/>
      </w:r>
      <w:r w:rsidR="001D08D6">
        <w:t xml:space="preserve"> </w:t>
      </w:r>
      <w:r w:rsidR="003C1158">
        <w:t xml:space="preserve"> </w:t>
      </w:r>
    </w:p>
    <w:p w14:paraId="458B3D10" w14:textId="48A0067D" w:rsidR="00CE0D6B" w:rsidRDefault="00CE0D6B" w:rsidP="00EA4E5B">
      <w:pPr>
        <w:pStyle w:val="BodyText"/>
      </w:pPr>
      <w:r>
        <w:t>Our understanding is that while the mandate has been removed, there is no</w:t>
      </w:r>
      <w:r w:rsidR="00521F0F">
        <w:t xml:space="preserve">t an effective ban on </w:t>
      </w:r>
      <w:r w:rsidR="003E1B26">
        <w:t>developer</w:t>
      </w:r>
      <w:r>
        <w:t xml:space="preserve">s </w:t>
      </w:r>
      <w:r w:rsidR="003E1B26">
        <w:t>connecting gas to</w:t>
      </w:r>
      <w:r>
        <w:t xml:space="preserve"> new suburbs</w:t>
      </w:r>
      <w:r w:rsidR="00102E68">
        <w:t>. The</w:t>
      </w:r>
      <w:r>
        <w:t xml:space="preserve"> ACT Government has flagged th</w:t>
      </w:r>
      <w:r w:rsidR="00102E68">
        <w:t>at</w:t>
      </w:r>
      <w:r w:rsidR="00161EF3">
        <w:t>:</w:t>
      </w:r>
    </w:p>
    <w:p w14:paraId="1F5E830E" w14:textId="7969DDC8" w:rsidR="00F503E1" w:rsidRDefault="00F503E1" w:rsidP="00102E68">
      <w:pPr>
        <w:pStyle w:val="BlockText"/>
      </w:pPr>
      <w:r w:rsidRPr="00F503E1">
        <w:t xml:space="preserve">As a </w:t>
      </w:r>
      <w:proofErr w:type="gramStart"/>
      <w:r w:rsidRPr="00F503E1">
        <w:t>stepping stone</w:t>
      </w:r>
      <w:proofErr w:type="gramEnd"/>
      <w:r w:rsidRPr="00F503E1">
        <w:t xml:space="preserve"> to an eventual complete phase out of natural gas, the Government could also regulate to prevent gas connections to residences in new developments, or to all buildings (commercial and residential) in the development. This would require buildings to be all electric. However, a risk of this approach is that it would mean there is no pipeline infrastructure for the delivery of possible gas alternatives in the future, such as hydrogen.</w:t>
      </w:r>
      <w:r w:rsidR="00C73F94">
        <w:rPr>
          <w:rStyle w:val="FootnoteReference"/>
        </w:rPr>
        <w:footnoteReference w:id="9"/>
      </w:r>
    </w:p>
    <w:p w14:paraId="29022837" w14:textId="4B24AFE3" w:rsidR="00144BD2" w:rsidRDefault="00144BD2" w:rsidP="00C60240">
      <w:pPr>
        <w:pStyle w:val="BodyText"/>
      </w:pPr>
      <w:r>
        <w:t>The ACT Government has also indicated that the removal of the mandate will mean that</w:t>
      </w:r>
      <w:r w:rsidR="00161EF3">
        <w:t>:</w:t>
      </w:r>
      <w:r>
        <w:t xml:space="preserve"> </w:t>
      </w:r>
    </w:p>
    <w:p w14:paraId="6D6E2D67" w14:textId="660D6B45" w:rsidR="00C60240" w:rsidRDefault="00144BD2" w:rsidP="00144BD2">
      <w:pPr>
        <w:pStyle w:val="BlockText"/>
      </w:pPr>
      <w:r w:rsidRPr="00144BD2">
        <w:t xml:space="preserve">developers </w:t>
      </w:r>
      <w:r>
        <w:t xml:space="preserve">[will be] </w:t>
      </w:r>
      <w:r w:rsidRPr="00144BD2">
        <w:t>required to fund the installation of gas infrastructure up-front</w:t>
      </w:r>
      <w:r>
        <w:t xml:space="preserve"> [meaning that] </w:t>
      </w:r>
      <w:r w:rsidRPr="00144BD2">
        <w:t xml:space="preserve">gas infrastructure would only be installed if customers saw value in the service, and at a </w:t>
      </w:r>
      <w:proofErr w:type="gramStart"/>
      <w:r w:rsidRPr="00144BD2">
        <w:t>price customers</w:t>
      </w:r>
      <w:proofErr w:type="gramEnd"/>
      <w:r w:rsidRPr="00144BD2">
        <w:t xml:space="preserve"> are willing to pay.</w:t>
      </w:r>
    </w:p>
    <w:p w14:paraId="21850B53" w14:textId="5AB8760F" w:rsidR="008F0BE7" w:rsidRDefault="000D6764" w:rsidP="003E1B26">
      <w:pPr>
        <w:pStyle w:val="BodyText"/>
      </w:pPr>
      <w:r>
        <w:t xml:space="preserve">We assume that this </w:t>
      </w:r>
      <w:r w:rsidR="00AE4DA2">
        <w:t>cost would</w:t>
      </w:r>
      <w:r>
        <w:t xml:space="preserve"> present a significant </w:t>
      </w:r>
      <w:r w:rsidR="00AE4DA2">
        <w:t>disincentive for developers</w:t>
      </w:r>
      <w:r w:rsidR="00151019">
        <w:t xml:space="preserve"> and their customers.</w:t>
      </w:r>
      <w:r w:rsidR="005E6FB0">
        <w:t xml:space="preserve"> </w:t>
      </w:r>
    </w:p>
    <w:p w14:paraId="71960466" w14:textId="3FA10338" w:rsidR="004839BA" w:rsidRDefault="004839BA" w:rsidP="003E1B26">
      <w:pPr>
        <w:pStyle w:val="BodyText"/>
      </w:pPr>
      <w:r>
        <w:t xml:space="preserve">In response to the </w:t>
      </w:r>
      <w:r w:rsidR="00C44057">
        <w:t xml:space="preserve">supplementary </w:t>
      </w:r>
      <w:r>
        <w:t xml:space="preserve">recommendations of the 2019 Citizens’ Jury, </w:t>
      </w:r>
      <w:proofErr w:type="spellStart"/>
      <w:r>
        <w:t>Evoenergy</w:t>
      </w:r>
      <w:proofErr w:type="spellEnd"/>
      <w:r>
        <w:t xml:space="preserve"> noted that:</w:t>
      </w:r>
    </w:p>
    <w:p w14:paraId="392E41F7" w14:textId="7445F081" w:rsidR="00853583" w:rsidRDefault="00853583" w:rsidP="00853583">
      <w:pPr>
        <w:pStyle w:val="BlockText"/>
      </w:pPr>
      <w:r>
        <w:t xml:space="preserve">… </w:t>
      </w:r>
      <w:r w:rsidRPr="00853583">
        <w:t>over the course of the regulatory period, if there is a preference or requirement from the market (for example, a request from developers, builders, home buyers) for gas connections, we would examine any risks associated with investment and make a decision in the best interests of the consumer.</w:t>
      </w:r>
      <w:r w:rsidR="003A67AF">
        <w:rPr>
          <w:rStyle w:val="FootnoteReference"/>
        </w:rPr>
        <w:footnoteReference w:id="10"/>
      </w:r>
    </w:p>
    <w:p w14:paraId="32F51900" w14:textId="74FD196F" w:rsidR="004874D8" w:rsidRDefault="00BB0A6B" w:rsidP="005E6FB0">
      <w:pPr>
        <w:pStyle w:val="BodyText"/>
      </w:pPr>
      <w:r>
        <w:lastRenderedPageBreak/>
        <w:t xml:space="preserve">To test the validity of this assumption it would be useful for </w:t>
      </w:r>
      <w:proofErr w:type="spellStart"/>
      <w:r>
        <w:t>Evoenergy</w:t>
      </w:r>
      <w:proofErr w:type="spellEnd"/>
      <w:r>
        <w:t xml:space="preserve"> to address the following</w:t>
      </w:r>
      <w:r w:rsidR="00086A11">
        <w:t xml:space="preserve"> question</w:t>
      </w:r>
      <w:r>
        <w:t>:</w:t>
      </w:r>
      <w:r w:rsidR="00D477CA">
        <w:t xml:space="preserve"> </w:t>
      </w:r>
      <w:r w:rsidR="005E6FB0">
        <w:t>How likely is it that developers</w:t>
      </w:r>
      <w:r w:rsidR="00EA4E5B">
        <w:t xml:space="preserve"> </w:t>
      </w:r>
      <w:r w:rsidR="00AE02C7">
        <w:t>would</w:t>
      </w:r>
      <w:r w:rsidR="00EA4E5B">
        <w:t xml:space="preserve"> </w:t>
      </w:r>
      <w:r w:rsidR="005E6FB0">
        <w:t xml:space="preserve">continue to want to </w:t>
      </w:r>
      <w:r w:rsidR="00EA4E5B">
        <w:t xml:space="preserve">install gas connections </w:t>
      </w:r>
      <w:r w:rsidR="005E6FB0">
        <w:t>to new suburbs in the ACT now that it is not mandated</w:t>
      </w:r>
      <w:r w:rsidR="00177290">
        <w:t>?</w:t>
      </w:r>
    </w:p>
    <w:p w14:paraId="34B61B4A" w14:textId="64BFC6B4" w:rsidR="00177290" w:rsidRDefault="00AB1799" w:rsidP="00FB79DF">
      <w:pPr>
        <w:pStyle w:val="Heading3"/>
      </w:pPr>
      <w:bookmarkStart w:id="7" w:name="_Toc42267654"/>
      <w:r>
        <w:t xml:space="preserve">Assumption #2: </w:t>
      </w:r>
      <w:r w:rsidR="00FB79DF">
        <w:t>Reduced gas</w:t>
      </w:r>
      <w:r w:rsidR="00D87DBE">
        <w:t xml:space="preserve"> usage per customer and increase</w:t>
      </w:r>
      <w:r w:rsidR="00FB79DF">
        <w:t>d</w:t>
      </w:r>
      <w:r w:rsidR="00D87DBE">
        <w:t xml:space="preserve"> </w:t>
      </w:r>
      <w:r w:rsidR="00FB79DF">
        <w:t>gas disconnection rate</w:t>
      </w:r>
      <w:bookmarkEnd w:id="7"/>
    </w:p>
    <w:p w14:paraId="43459500" w14:textId="00E22163" w:rsidR="00160A48" w:rsidRDefault="00FB79DF" w:rsidP="00FB79DF">
      <w:pPr>
        <w:pStyle w:val="BlockText"/>
      </w:pPr>
      <w:r>
        <w:t>T</w:t>
      </w:r>
      <w:r w:rsidR="00160A48">
        <w:t>hat following campaigning by the ACT Government for a transition away from gas, we will see a significant reduction in average gas usage per customer and an increase in gas disconnection rates beyond historical trends</w:t>
      </w:r>
    </w:p>
    <w:p w14:paraId="6978B161" w14:textId="5EA9D8EA" w:rsidR="00FB79DF" w:rsidRDefault="009229AF" w:rsidP="00FB79DF">
      <w:pPr>
        <w:pStyle w:val="BodyText"/>
      </w:pPr>
      <w:r>
        <w:t xml:space="preserve">We </w:t>
      </w:r>
      <w:r w:rsidR="00517E42">
        <w:t xml:space="preserve">agree with </w:t>
      </w:r>
      <w:r w:rsidR="00DA3DD7">
        <w:t xml:space="preserve">this assumption based on the </w:t>
      </w:r>
      <w:r w:rsidR="003A1C81">
        <w:t xml:space="preserve">significant </w:t>
      </w:r>
      <w:r w:rsidR="00A52DAD">
        <w:t xml:space="preserve">commitments the ACT </w:t>
      </w:r>
      <w:r w:rsidR="008261E2">
        <w:t>Government has</w:t>
      </w:r>
      <w:r w:rsidR="00A52DAD">
        <w:t xml:space="preserve"> made </w:t>
      </w:r>
      <w:r w:rsidR="008261E2">
        <w:t xml:space="preserve">through </w:t>
      </w:r>
      <w:r w:rsidR="00A52DAD">
        <w:t xml:space="preserve">the </w:t>
      </w:r>
      <w:r w:rsidR="00A52DAD" w:rsidRPr="00B702BD">
        <w:rPr>
          <w:i/>
          <w:iCs/>
        </w:rPr>
        <w:t>ACT Climate Change Strategy 2019-25</w:t>
      </w:r>
      <w:r w:rsidR="00906828">
        <w:t xml:space="preserve">. </w:t>
      </w:r>
      <w:r w:rsidR="00E42353">
        <w:t>The</w:t>
      </w:r>
      <w:r w:rsidR="0025302F">
        <w:t xml:space="preserve"> GN21 Draft Plan</w:t>
      </w:r>
      <w:r w:rsidR="00E8527A">
        <w:t xml:space="preserve"> identifies three ACT Government actions to reduce emissions from gas</w:t>
      </w:r>
      <w:r w:rsidR="008B1BC0">
        <w:t>.</w:t>
      </w:r>
      <w:r w:rsidR="00C36637">
        <w:rPr>
          <w:rStyle w:val="FootnoteReference"/>
        </w:rPr>
        <w:footnoteReference w:id="11"/>
      </w:r>
      <w:r w:rsidR="008B1BC0">
        <w:t xml:space="preserve"> </w:t>
      </w:r>
      <w:r w:rsidR="00901696">
        <w:t xml:space="preserve">As shown in Table 1 below, there are </w:t>
      </w:r>
      <w:r w:rsidR="00F5025A">
        <w:t>10</w:t>
      </w:r>
      <w:r w:rsidR="002A386C">
        <w:t xml:space="preserve"> m</w:t>
      </w:r>
      <w:r w:rsidR="00901696">
        <w:t xml:space="preserve">easures in the </w:t>
      </w:r>
      <w:r w:rsidR="00901696" w:rsidRPr="00AE6181">
        <w:rPr>
          <w:i/>
          <w:iCs/>
        </w:rPr>
        <w:t>ACT Climate Change Strategy 2019-25</w:t>
      </w:r>
      <w:r w:rsidR="00901696">
        <w:t xml:space="preserve"> </w:t>
      </w:r>
      <w:r w:rsidR="00244824">
        <w:t xml:space="preserve">aimed at transitioning from gas to electricity. </w:t>
      </w:r>
      <w:r w:rsidR="006056B4">
        <w:t>We recommend</w:t>
      </w:r>
      <w:r w:rsidR="00DE5040">
        <w:t xml:space="preserve"> </w:t>
      </w:r>
      <w:r w:rsidR="00807D2A">
        <w:t xml:space="preserve">that </w:t>
      </w:r>
      <w:proofErr w:type="spellStart"/>
      <w:r w:rsidR="00807D2A">
        <w:t>Evoenergy</w:t>
      </w:r>
      <w:proofErr w:type="spellEnd"/>
      <w:r w:rsidR="00807D2A">
        <w:t xml:space="preserve"> </w:t>
      </w:r>
      <w:r w:rsidR="00244824">
        <w:t xml:space="preserve">use this more extensive list </w:t>
      </w:r>
      <w:r w:rsidR="002A386C">
        <w:t>to demonstrate</w:t>
      </w:r>
      <w:r w:rsidR="00D13894">
        <w:t xml:space="preserve"> the</w:t>
      </w:r>
      <w:r w:rsidR="00BE08A8">
        <w:t xml:space="preserve"> </w:t>
      </w:r>
      <w:r w:rsidR="00D13894">
        <w:t>ACT Government’s measures to transition away from gas</w:t>
      </w:r>
      <w:r w:rsidR="00E42353">
        <w:t xml:space="preserve"> within the GN21 period.</w:t>
      </w:r>
      <w:r w:rsidR="00907ACB">
        <w:rPr>
          <w:rStyle w:val="FootnoteReference"/>
        </w:rPr>
        <w:footnoteReference w:id="12"/>
      </w:r>
    </w:p>
    <w:p w14:paraId="71C34378" w14:textId="71184989" w:rsidR="00D705B4" w:rsidRDefault="009143B2" w:rsidP="00D705B4">
      <w:pPr>
        <w:pStyle w:val="BodyText"/>
      </w:pPr>
      <w:r>
        <w:t xml:space="preserve">We </w:t>
      </w:r>
      <w:r w:rsidR="007C4D34">
        <w:t>are concerned</w:t>
      </w:r>
      <w:r>
        <w:t xml:space="preserve"> that </w:t>
      </w:r>
      <w:proofErr w:type="spellStart"/>
      <w:r w:rsidR="00E848E4">
        <w:t>Evoenergy’s</w:t>
      </w:r>
      <w:proofErr w:type="spellEnd"/>
      <w:r w:rsidR="00E848E4">
        <w:t xml:space="preserve"> </w:t>
      </w:r>
      <w:r w:rsidR="007C4D34">
        <w:t>customer growth</w:t>
      </w:r>
      <w:r w:rsidR="00B918D2">
        <w:t xml:space="preserve"> and volume</w:t>
      </w:r>
      <w:r w:rsidR="007C4D34">
        <w:t xml:space="preserve"> forecast</w:t>
      </w:r>
      <w:r w:rsidR="00B918D2">
        <w:t>s</w:t>
      </w:r>
      <w:r w:rsidR="007C4D34">
        <w:t xml:space="preserve"> </w:t>
      </w:r>
      <w:r w:rsidR="001E7D55">
        <w:t>may</w:t>
      </w:r>
      <w:r w:rsidR="006E7EE6">
        <w:t xml:space="preserve"> be </w:t>
      </w:r>
      <w:r w:rsidR="00793EF4">
        <w:t>at odds with the</w:t>
      </w:r>
      <w:r w:rsidR="00EE6E4D">
        <w:t xml:space="preserve"> achievement of </w:t>
      </w:r>
      <w:r w:rsidR="00E33561">
        <w:t xml:space="preserve">the legislated interim target of a </w:t>
      </w:r>
      <w:r w:rsidR="001E7D55" w:rsidRPr="001E7D55">
        <w:t>50-60% reduction in greenhouse gas emissions (from 1990 levels) by 2025.</w:t>
      </w:r>
      <w:r w:rsidR="00793EF4">
        <w:t xml:space="preserve"> </w:t>
      </w:r>
      <w:r w:rsidR="00C36637">
        <w:t xml:space="preserve">Our </w:t>
      </w:r>
      <w:r w:rsidR="00A17898">
        <w:t xml:space="preserve">concerns are outlined </w:t>
      </w:r>
      <w:r w:rsidR="00D705B4">
        <w:t>under ‘</w:t>
      </w:r>
      <w:r w:rsidR="00D705B4" w:rsidRPr="00D705B4">
        <w:t>Customer Number and Volume Forecasts</w:t>
      </w:r>
      <w:r w:rsidR="00D705B4">
        <w:t xml:space="preserve">’ below. </w:t>
      </w:r>
    </w:p>
    <w:p w14:paraId="08F65A40" w14:textId="4FF8FD03" w:rsidR="003A1C81" w:rsidRDefault="003A1C81" w:rsidP="00DC0D37">
      <w:pPr>
        <w:pStyle w:val="Heading3"/>
      </w:pPr>
      <w:bookmarkStart w:id="9" w:name="_Toc42267655"/>
      <w:r>
        <w:t xml:space="preserve">Assumption #3: </w:t>
      </w:r>
      <w:proofErr w:type="spellStart"/>
      <w:r w:rsidR="00DC0D37">
        <w:t>Evoenergy</w:t>
      </w:r>
      <w:proofErr w:type="spellEnd"/>
      <w:r w:rsidR="00DC0D37">
        <w:t xml:space="preserve"> will need to accelerate depreciation</w:t>
      </w:r>
      <w:bookmarkEnd w:id="9"/>
    </w:p>
    <w:p w14:paraId="6E6F5106" w14:textId="573B257E" w:rsidR="00DC0D37" w:rsidRDefault="00DC0D37" w:rsidP="002B7535">
      <w:pPr>
        <w:pStyle w:val="BlockText"/>
      </w:pPr>
      <w:r>
        <w:t>T</w:t>
      </w:r>
      <w:r w:rsidR="003A1C81">
        <w:t>hat we will need to accelerate depreciation for new capital expenditure by adjusting the asset lives of new investment.</w:t>
      </w:r>
    </w:p>
    <w:p w14:paraId="43BB4CD4" w14:textId="1C68A59C" w:rsidR="00A4214C" w:rsidRDefault="007A6820" w:rsidP="002B7535">
      <w:pPr>
        <w:pStyle w:val="BodyText"/>
      </w:pPr>
      <w:r w:rsidRPr="007A6820">
        <w:t xml:space="preserve">Further information is needed </w:t>
      </w:r>
      <w:r w:rsidR="00AC060D">
        <w:t xml:space="preserve">to assist us </w:t>
      </w:r>
      <w:r w:rsidRPr="007A6820">
        <w:t xml:space="preserve">to determine the validity of this assumption. </w:t>
      </w:r>
      <w:r w:rsidR="002B7535">
        <w:t xml:space="preserve">ACTCOSS </w:t>
      </w:r>
      <w:r w:rsidR="00630904">
        <w:t xml:space="preserve">recommends that </w:t>
      </w:r>
      <w:proofErr w:type="spellStart"/>
      <w:r w:rsidR="00630904">
        <w:t>Evoenergy</w:t>
      </w:r>
      <w:proofErr w:type="spellEnd"/>
      <w:r w:rsidR="00630904">
        <w:t xml:space="preserve"> provides an</w:t>
      </w:r>
      <w:r w:rsidR="00B25A22">
        <w:t xml:space="preserve"> opportunity</w:t>
      </w:r>
      <w:r w:rsidR="00CC1CE6">
        <w:t xml:space="preserve"> for stakeholders</w:t>
      </w:r>
      <w:r w:rsidR="00B25A22">
        <w:t xml:space="preserve"> </w:t>
      </w:r>
      <w:r w:rsidR="00413C89">
        <w:t>to explore this issue in more detail</w:t>
      </w:r>
      <w:r w:rsidR="00736B6E">
        <w:t xml:space="preserve">. </w:t>
      </w:r>
    </w:p>
    <w:p w14:paraId="131A2C2A" w14:textId="504F1E4D" w:rsidR="002B7535" w:rsidRDefault="00B25A22" w:rsidP="002B7535">
      <w:pPr>
        <w:pStyle w:val="BodyText"/>
      </w:pPr>
      <w:r>
        <w:t>A</w:t>
      </w:r>
      <w:r w:rsidR="002B7535">
        <w:t xml:space="preserve"> detailed response </w:t>
      </w:r>
      <w:r>
        <w:t xml:space="preserve">is provided </w:t>
      </w:r>
      <w:r w:rsidR="004F5395">
        <w:t>in the section on</w:t>
      </w:r>
      <w:r w:rsidR="002B7535">
        <w:t xml:space="preserve"> ‘Depreciation’ below.</w:t>
      </w:r>
    </w:p>
    <w:p w14:paraId="62878DBE" w14:textId="4301969F" w:rsidR="003E0A79" w:rsidRDefault="003E0A79">
      <w:pPr>
        <w:rPr>
          <w:b/>
          <w:sz w:val="20"/>
        </w:rPr>
      </w:pPr>
      <w:r>
        <w:br w:type="page"/>
      </w:r>
    </w:p>
    <w:p w14:paraId="43B80E4A" w14:textId="353C39F0" w:rsidR="00A12DA9" w:rsidRDefault="00A12DA9" w:rsidP="00F1400B">
      <w:pPr>
        <w:pStyle w:val="Tableheading"/>
        <w:spacing w:after="120"/>
      </w:pPr>
      <w:r>
        <w:lastRenderedPageBreak/>
        <w:t xml:space="preserve">Table 1 Actions to transition from gas to electric, ACT Climate Change Strategy 2019-25 </w:t>
      </w:r>
    </w:p>
    <w:tbl>
      <w:tblPr>
        <w:tblStyle w:val="TableGrid"/>
        <w:tblW w:w="0" w:type="auto"/>
        <w:tblLook w:val="04A0" w:firstRow="1" w:lastRow="0" w:firstColumn="1" w:lastColumn="0" w:noHBand="0" w:noVBand="1"/>
      </w:tblPr>
      <w:tblGrid>
        <w:gridCol w:w="730"/>
        <w:gridCol w:w="2090"/>
        <w:gridCol w:w="4615"/>
        <w:gridCol w:w="1059"/>
      </w:tblGrid>
      <w:tr w:rsidR="00A12DA9" w:rsidRPr="006D2AEA" w14:paraId="20A1E89D" w14:textId="77777777" w:rsidTr="00A12DA9">
        <w:tc>
          <w:tcPr>
            <w:tcW w:w="0" w:type="auto"/>
          </w:tcPr>
          <w:p w14:paraId="09BCCFB1" w14:textId="1DCE6305" w:rsidR="00A12DA9" w:rsidRPr="00E5455B" w:rsidRDefault="006D2AEA" w:rsidP="001D6097">
            <w:pPr>
              <w:pStyle w:val="TableBody"/>
              <w:rPr>
                <w:b/>
                <w:bCs/>
                <w:szCs w:val="20"/>
              </w:rPr>
            </w:pPr>
            <w:r w:rsidRPr="00E5455B">
              <w:rPr>
                <w:b/>
                <w:bCs/>
                <w:szCs w:val="20"/>
              </w:rPr>
              <w:t>No.</w:t>
            </w:r>
          </w:p>
        </w:tc>
        <w:tc>
          <w:tcPr>
            <w:tcW w:w="0" w:type="auto"/>
          </w:tcPr>
          <w:p w14:paraId="2B788069" w14:textId="77777777" w:rsidR="00A12DA9" w:rsidRPr="00E5455B" w:rsidRDefault="00A12DA9" w:rsidP="001D6097">
            <w:pPr>
              <w:pStyle w:val="TableBody"/>
              <w:rPr>
                <w:b/>
                <w:bCs/>
                <w:szCs w:val="20"/>
              </w:rPr>
            </w:pPr>
            <w:r w:rsidRPr="00E5455B">
              <w:rPr>
                <w:b/>
                <w:bCs/>
                <w:szCs w:val="20"/>
              </w:rPr>
              <w:t>Goal</w:t>
            </w:r>
          </w:p>
        </w:tc>
        <w:tc>
          <w:tcPr>
            <w:tcW w:w="0" w:type="auto"/>
          </w:tcPr>
          <w:p w14:paraId="48E2FE15" w14:textId="77777777" w:rsidR="00A12DA9" w:rsidRPr="00E5455B" w:rsidRDefault="00A12DA9" w:rsidP="001D6097">
            <w:pPr>
              <w:pStyle w:val="TableBody"/>
              <w:rPr>
                <w:b/>
                <w:bCs/>
                <w:szCs w:val="20"/>
              </w:rPr>
            </w:pPr>
            <w:r w:rsidRPr="00E5455B">
              <w:rPr>
                <w:b/>
                <w:bCs/>
                <w:szCs w:val="20"/>
              </w:rPr>
              <w:t>Action</w:t>
            </w:r>
          </w:p>
        </w:tc>
        <w:tc>
          <w:tcPr>
            <w:tcW w:w="0" w:type="auto"/>
          </w:tcPr>
          <w:p w14:paraId="473A3F79" w14:textId="77777777" w:rsidR="00A12DA9" w:rsidRPr="00E5455B" w:rsidRDefault="00A12DA9" w:rsidP="001D6097">
            <w:pPr>
              <w:pStyle w:val="TableBody"/>
              <w:rPr>
                <w:b/>
                <w:bCs/>
                <w:szCs w:val="20"/>
              </w:rPr>
            </w:pPr>
            <w:r w:rsidRPr="00E5455B">
              <w:rPr>
                <w:b/>
                <w:bCs/>
                <w:szCs w:val="20"/>
              </w:rPr>
              <w:t>Timing</w:t>
            </w:r>
          </w:p>
        </w:tc>
      </w:tr>
      <w:tr w:rsidR="00A12DA9" w:rsidRPr="006D2AEA" w14:paraId="39D1449C" w14:textId="77777777" w:rsidTr="00A12DA9">
        <w:trPr>
          <w:trHeight w:val="803"/>
        </w:trPr>
        <w:tc>
          <w:tcPr>
            <w:tcW w:w="0" w:type="auto"/>
            <w:hideMark/>
          </w:tcPr>
          <w:p w14:paraId="7E6598D6"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4.03</w:t>
            </w:r>
          </w:p>
        </w:tc>
        <w:tc>
          <w:tcPr>
            <w:tcW w:w="0" w:type="auto"/>
            <w:hideMark/>
          </w:tcPr>
          <w:p w14:paraId="1AA546BA"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Reduce emissions from gas</w:t>
            </w:r>
          </w:p>
        </w:tc>
        <w:tc>
          <w:tcPr>
            <w:tcW w:w="0" w:type="auto"/>
            <w:hideMark/>
          </w:tcPr>
          <w:p w14:paraId="51970025"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Amend planning regulations to remove the mandating of reticulated gas in new suburbs.</w:t>
            </w:r>
          </w:p>
        </w:tc>
        <w:tc>
          <w:tcPr>
            <w:tcW w:w="0" w:type="auto"/>
            <w:hideMark/>
          </w:tcPr>
          <w:p w14:paraId="28ED7C96" w14:textId="77777777" w:rsidR="00A12DA9" w:rsidRPr="00F1400B" w:rsidRDefault="00A12DA9" w:rsidP="001D6097">
            <w:pPr>
              <w:pStyle w:val="TableBody"/>
              <w:rPr>
                <w:rFonts w:cs="Arial"/>
                <w:szCs w:val="20"/>
                <w:lang w:eastAsia="en-AU"/>
              </w:rPr>
            </w:pPr>
            <w:r w:rsidRPr="00F1400B">
              <w:rPr>
                <w:rFonts w:cs="Arial"/>
                <w:szCs w:val="20"/>
                <w:lang w:eastAsia="en-AU"/>
              </w:rPr>
              <w:t>By 2020</w:t>
            </w:r>
          </w:p>
        </w:tc>
      </w:tr>
      <w:tr w:rsidR="00A12DA9" w:rsidRPr="006D2AEA" w14:paraId="11EF9C0F" w14:textId="77777777" w:rsidTr="00A12DA9">
        <w:trPr>
          <w:trHeight w:val="1103"/>
        </w:trPr>
        <w:tc>
          <w:tcPr>
            <w:tcW w:w="0" w:type="auto"/>
            <w:hideMark/>
          </w:tcPr>
          <w:p w14:paraId="2C41DE67"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4.04</w:t>
            </w:r>
          </w:p>
        </w:tc>
        <w:tc>
          <w:tcPr>
            <w:tcW w:w="0" w:type="auto"/>
            <w:hideMark/>
          </w:tcPr>
          <w:p w14:paraId="75FDE510"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Reduce emissions from gas</w:t>
            </w:r>
          </w:p>
        </w:tc>
        <w:tc>
          <w:tcPr>
            <w:tcW w:w="0" w:type="auto"/>
            <w:hideMark/>
          </w:tcPr>
          <w:p w14:paraId="28499A3D"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Conduct a campaign to support the transition from gas by highlighting electric options and savings opportunities to the ACT community.</w:t>
            </w:r>
          </w:p>
        </w:tc>
        <w:tc>
          <w:tcPr>
            <w:tcW w:w="0" w:type="auto"/>
            <w:hideMark/>
          </w:tcPr>
          <w:p w14:paraId="2AAEE0B7" w14:textId="77777777" w:rsidR="00A12DA9" w:rsidRPr="00F1400B" w:rsidRDefault="00A12DA9" w:rsidP="001D6097">
            <w:pPr>
              <w:pStyle w:val="TableBody"/>
              <w:rPr>
                <w:rFonts w:cs="Arial"/>
                <w:szCs w:val="20"/>
                <w:lang w:eastAsia="en-AU"/>
              </w:rPr>
            </w:pPr>
            <w:r w:rsidRPr="00F1400B">
              <w:rPr>
                <w:rFonts w:cs="Arial"/>
                <w:szCs w:val="20"/>
                <w:lang w:eastAsia="en-AU"/>
              </w:rPr>
              <w:t>From 2020</w:t>
            </w:r>
          </w:p>
        </w:tc>
      </w:tr>
      <w:tr w:rsidR="00A12DA9" w:rsidRPr="006D2AEA" w14:paraId="155F58BD" w14:textId="77777777" w:rsidTr="00A12DA9">
        <w:trPr>
          <w:trHeight w:val="1310"/>
        </w:trPr>
        <w:tc>
          <w:tcPr>
            <w:tcW w:w="0" w:type="auto"/>
            <w:hideMark/>
          </w:tcPr>
          <w:p w14:paraId="30429B2E"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4.05</w:t>
            </w:r>
          </w:p>
        </w:tc>
        <w:tc>
          <w:tcPr>
            <w:tcW w:w="0" w:type="auto"/>
            <w:hideMark/>
          </w:tcPr>
          <w:p w14:paraId="0648023D"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Reduce emissions from gas</w:t>
            </w:r>
          </w:p>
        </w:tc>
        <w:tc>
          <w:tcPr>
            <w:tcW w:w="0" w:type="auto"/>
            <w:hideMark/>
          </w:tcPr>
          <w:p w14:paraId="138A9F6D"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Develop a plan for achieving zero emissions from gas use by 2045, including setting timeframes with appropriate transition periods for phasing out new and existing gas connections.</w:t>
            </w:r>
          </w:p>
        </w:tc>
        <w:tc>
          <w:tcPr>
            <w:tcW w:w="0" w:type="auto"/>
            <w:hideMark/>
          </w:tcPr>
          <w:p w14:paraId="4812D417" w14:textId="77777777" w:rsidR="00A12DA9" w:rsidRPr="00F1400B" w:rsidRDefault="00A12DA9" w:rsidP="001D6097">
            <w:pPr>
              <w:pStyle w:val="TableBody"/>
              <w:rPr>
                <w:rFonts w:cs="Arial"/>
                <w:szCs w:val="20"/>
                <w:lang w:eastAsia="en-AU"/>
              </w:rPr>
            </w:pPr>
            <w:r w:rsidRPr="00F1400B">
              <w:rPr>
                <w:rFonts w:cs="Arial"/>
                <w:szCs w:val="20"/>
                <w:lang w:eastAsia="en-AU"/>
              </w:rPr>
              <w:t>By 2024</w:t>
            </w:r>
          </w:p>
        </w:tc>
      </w:tr>
      <w:tr w:rsidR="00A12DA9" w:rsidRPr="006D2AEA" w14:paraId="1703B6A1" w14:textId="77777777" w:rsidTr="00A12DA9">
        <w:trPr>
          <w:trHeight w:val="1513"/>
        </w:trPr>
        <w:tc>
          <w:tcPr>
            <w:tcW w:w="0" w:type="auto"/>
            <w:hideMark/>
          </w:tcPr>
          <w:p w14:paraId="05DC1119"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4.09</w:t>
            </w:r>
          </w:p>
        </w:tc>
        <w:tc>
          <w:tcPr>
            <w:tcW w:w="0" w:type="auto"/>
            <w:hideMark/>
          </w:tcPr>
          <w:p w14:paraId="668895AA"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Climate-wise, zero emissions public housing</w:t>
            </w:r>
          </w:p>
        </w:tc>
        <w:tc>
          <w:tcPr>
            <w:tcW w:w="0" w:type="auto"/>
            <w:hideMark/>
          </w:tcPr>
          <w:p w14:paraId="20E293B2"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Continue to upgrade to efficient-electric appliances in existing public housing properties where technically feasible and assess the cost and benefits of shifting to all-electric public housing.</w:t>
            </w:r>
          </w:p>
        </w:tc>
        <w:tc>
          <w:tcPr>
            <w:tcW w:w="0" w:type="auto"/>
            <w:hideMark/>
          </w:tcPr>
          <w:p w14:paraId="2F48CD96" w14:textId="77777777" w:rsidR="00A12DA9" w:rsidRPr="00F1400B" w:rsidRDefault="00A12DA9" w:rsidP="001D6097">
            <w:pPr>
              <w:pStyle w:val="TableBody"/>
              <w:rPr>
                <w:rFonts w:cs="Arial"/>
                <w:szCs w:val="20"/>
                <w:lang w:eastAsia="en-AU"/>
              </w:rPr>
            </w:pPr>
            <w:r w:rsidRPr="00F1400B">
              <w:rPr>
                <w:rFonts w:cs="Arial"/>
                <w:szCs w:val="20"/>
                <w:lang w:eastAsia="en-AU"/>
              </w:rPr>
              <w:t xml:space="preserve">From 2019 </w:t>
            </w:r>
          </w:p>
        </w:tc>
      </w:tr>
      <w:tr w:rsidR="00A12DA9" w:rsidRPr="006D2AEA" w14:paraId="6A68480B" w14:textId="77777777" w:rsidTr="00A12DA9">
        <w:trPr>
          <w:trHeight w:val="1093"/>
        </w:trPr>
        <w:tc>
          <w:tcPr>
            <w:tcW w:w="0" w:type="auto"/>
            <w:hideMark/>
          </w:tcPr>
          <w:p w14:paraId="04820EBE"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4.10</w:t>
            </w:r>
          </w:p>
        </w:tc>
        <w:tc>
          <w:tcPr>
            <w:tcW w:w="0" w:type="auto"/>
            <w:hideMark/>
          </w:tcPr>
          <w:p w14:paraId="0C7C30BF"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Climate-wise, zero emissions public housing</w:t>
            </w:r>
          </w:p>
        </w:tc>
        <w:tc>
          <w:tcPr>
            <w:tcW w:w="0" w:type="auto"/>
            <w:hideMark/>
          </w:tcPr>
          <w:p w14:paraId="1366B8D3"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Ensure all newly constructed public housing properties are all-electric (fitted with electric appliances) from 2019.</w:t>
            </w:r>
          </w:p>
        </w:tc>
        <w:tc>
          <w:tcPr>
            <w:tcW w:w="0" w:type="auto"/>
            <w:hideMark/>
          </w:tcPr>
          <w:p w14:paraId="66CD3B49" w14:textId="77777777" w:rsidR="00A12DA9" w:rsidRPr="00F1400B" w:rsidRDefault="00A12DA9" w:rsidP="001D6097">
            <w:pPr>
              <w:pStyle w:val="TableBody"/>
              <w:rPr>
                <w:rFonts w:cs="Arial"/>
                <w:szCs w:val="20"/>
                <w:lang w:eastAsia="en-AU"/>
              </w:rPr>
            </w:pPr>
            <w:r w:rsidRPr="00F1400B">
              <w:rPr>
                <w:rFonts w:cs="Arial"/>
                <w:szCs w:val="20"/>
                <w:lang w:eastAsia="en-AU"/>
              </w:rPr>
              <w:t xml:space="preserve">From 2019 </w:t>
            </w:r>
          </w:p>
        </w:tc>
      </w:tr>
      <w:tr w:rsidR="00A12DA9" w:rsidRPr="006D2AEA" w14:paraId="30CBD8EA" w14:textId="77777777" w:rsidTr="00A12DA9">
        <w:trPr>
          <w:trHeight w:val="1238"/>
        </w:trPr>
        <w:tc>
          <w:tcPr>
            <w:tcW w:w="0" w:type="auto"/>
            <w:hideMark/>
          </w:tcPr>
          <w:p w14:paraId="3DA0B6BF"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4.12</w:t>
            </w:r>
          </w:p>
        </w:tc>
        <w:tc>
          <w:tcPr>
            <w:tcW w:w="0" w:type="auto"/>
            <w:hideMark/>
          </w:tcPr>
          <w:p w14:paraId="598F94AD"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Climate-wise, zero emissions low income homes</w:t>
            </w:r>
          </w:p>
        </w:tc>
        <w:tc>
          <w:tcPr>
            <w:tcW w:w="0" w:type="auto"/>
            <w:hideMark/>
          </w:tcPr>
          <w:p w14:paraId="7447A223"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 xml:space="preserve">Trial facilitating access to interest free loans or other innovative finance for gas to electric upgrades and deep retrofits of </w:t>
            </w:r>
            <w:proofErr w:type="gramStart"/>
            <w:r w:rsidRPr="00F1400B">
              <w:rPr>
                <w:rFonts w:cs="Arial"/>
                <w:color w:val="000000"/>
                <w:szCs w:val="20"/>
                <w:lang w:eastAsia="en-AU"/>
              </w:rPr>
              <w:t>low income</w:t>
            </w:r>
            <w:proofErr w:type="gramEnd"/>
            <w:r w:rsidRPr="00F1400B">
              <w:rPr>
                <w:rFonts w:cs="Arial"/>
                <w:color w:val="000000"/>
                <w:szCs w:val="20"/>
                <w:lang w:eastAsia="en-AU"/>
              </w:rPr>
              <w:t xml:space="preserve"> homes.</w:t>
            </w:r>
          </w:p>
        </w:tc>
        <w:tc>
          <w:tcPr>
            <w:tcW w:w="0" w:type="auto"/>
            <w:hideMark/>
          </w:tcPr>
          <w:p w14:paraId="7B240B21" w14:textId="77777777" w:rsidR="00A12DA9" w:rsidRPr="00F1400B" w:rsidRDefault="00A12DA9" w:rsidP="001D6097">
            <w:pPr>
              <w:pStyle w:val="TableBody"/>
              <w:rPr>
                <w:rFonts w:cs="Arial"/>
                <w:szCs w:val="20"/>
                <w:lang w:eastAsia="en-AU"/>
              </w:rPr>
            </w:pPr>
            <w:r w:rsidRPr="00F1400B">
              <w:rPr>
                <w:rFonts w:cs="Arial"/>
                <w:szCs w:val="20"/>
                <w:lang w:eastAsia="en-AU"/>
              </w:rPr>
              <w:t>By 2022</w:t>
            </w:r>
          </w:p>
        </w:tc>
      </w:tr>
      <w:tr w:rsidR="00A12DA9" w:rsidRPr="006D2AEA" w14:paraId="14CC650E" w14:textId="77777777" w:rsidTr="00A12DA9">
        <w:trPr>
          <w:trHeight w:val="973"/>
        </w:trPr>
        <w:tc>
          <w:tcPr>
            <w:tcW w:w="0" w:type="auto"/>
            <w:hideMark/>
          </w:tcPr>
          <w:p w14:paraId="174D6074"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4.18</w:t>
            </w:r>
          </w:p>
        </w:tc>
        <w:tc>
          <w:tcPr>
            <w:tcW w:w="0" w:type="auto"/>
            <w:hideMark/>
          </w:tcPr>
          <w:p w14:paraId="0E79F4A5"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Climate-wise, zero emissions buildings</w:t>
            </w:r>
          </w:p>
        </w:tc>
        <w:tc>
          <w:tcPr>
            <w:tcW w:w="0" w:type="auto"/>
            <w:hideMark/>
          </w:tcPr>
          <w:p w14:paraId="77AB21C0" w14:textId="77777777" w:rsidR="00A12DA9" w:rsidRPr="00F1400B" w:rsidRDefault="00A12DA9" w:rsidP="001D6097">
            <w:pPr>
              <w:pStyle w:val="TableBody"/>
              <w:rPr>
                <w:rFonts w:cs="Arial"/>
                <w:szCs w:val="20"/>
                <w:lang w:eastAsia="en-AU"/>
              </w:rPr>
            </w:pPr>
            <w:r w:rsidRPr="00F1400B">
              <w:rPr>
                <w:rFonts w:cs="Arial"/>
                <w:szCs w:val="20"/>
                <w:lang w:eastAsia="en-AU"/>
              </w:rPr>
              <w:t>Trial incentives and other measures to encourage all-electric, high efficiency apartment and commercial buildings.</w:t>
            </w:r>
          </w:p>
        </w:tc>
        <w:tc>
          <w:tcPr>
            <w:tcW w:w="0" w:type="auto"/>
            <w:hideMark/>
          </w:tcPr>
          <w:p w14:paraId="7B3AAB59" w14:textId="77777777" w:rsidR="00A12DA9" w:rsidRPr="00F1400B" w:rsidRDefault="00A12DA9" w:rsidP="001D6097">
            <w:pPr>
              <w:pStyle w:val="TableBody"/>
              <w:rPr>
                <w:rFonts w:cs="Arial"/>
                <w:szCs w:val="20"/>
                <w:lang w:eastAsia="en-AU"/>
              </w:rPr>
            </w:pPr>
            <w:r w:rsidRPr="00F1400B">
              <w:rPr>
                <w:rFonts w:cs="Arial"/>
                <w:szCs w:val="20"/>
                <w:lang w:eastAsia="en-AU"/>
              </w:rPr>
              <w:t>By 2024</w:t>
            </w:r>
          </w:p>
        </w:tc>
      </w:tr>
      <w:tr w:rsidR="00A12DA9" w:rsidRPr="006D2AEA" w14:paraId="41FA9FF5" w14:textId="77777777" w:rsidTr="00A12DA9">
        <w:trPr>
          <w:trHeight w:val="1478"/>
        </w:trPr>
        <w:tc>
          <w:tcPr>
            <w:tcW w:w="0" w:type="auto"/>
            <w:hideMark/>
          </w:tcPr>
          <w:p w14:paraId="004D76F9"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4.19</w:t>
            </w:r>
          </w:p>
        </w:tc>
        <w:tc>
          <w:tcPr>
            <w:tcW w:w="0" w:type="auto"/>
            <w:hideMark/>
          </w:tcPr>
          <w:p w14:paraId="36D9DA5E"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Climate-wise, zero emissions buildings</w:t>
            </w:r>
          </w:p>
        </w:tc>
        <w:tc>
          <w:tcPr>
            <w:tcW w:w="0" w:type="auto"/>
            <w:hideMark/>
          </w:tcPr>
          <w:p w14:paraId="5E9B0C8F"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Expand the Energy Efficiency Improvement Scheme to increase support for low income priority households and further encourage a shift from gas to high efficiency electric appliances.</w:t>
            </w:r>
          </w:p>
        </w:tc>
        <w:tc>
          <w:tcPr>
            <w:tcW w:w="0" w:type="auto"/>
            <w:hideMark/>
          </w:tcPr>
          <w:p w14:paraId="7D3DABF4" w14:textId="77777777" w:rsidR="00A12DA9" w:rsidRPr="00F1400B" w:rsidRDefault="00A12DA9" w:rsidP="001D6097">
            <w:pPr>
              <w:pStyle w:val="TableBody"/>
              <w:rPr>
                <w:rFonts w:cs="Arial"/>
                <w:szCs w:val="20"/>
                <w:lang w:eastAsia="en-AU"/>
              </w:rPr>
            </w:pPr>
            <w:r w:rsidRPr="00F1400B">
              <w:rPr>
                <w:rFonts w:cs="Arial"/>
                <w:szCs w:val="20"/>
                <w:lang w:eastAsia="en-AU"/>
              </w:rPr>
              <w:t xml:space="preserve">From 2020 </w:t>
            </w:r>
          </w:p>
        </w:tc>
      </w:tr>
      <w:tr w:rsidR="00A12DA9" w:rsidRPr="006D2AEA" w14:paraId="7A54CF2C" w14:textId="77777777" w:rsidTr="00A12DA9">
        <w:trPr>
          <w:trHeight w:val="1070"/>
        </w:trPr>
        <w:tc>
          <w:tcPr>
            <w:tcW w:w="0" w:type="auto"/>
            <w:hideMark/>
          </w:tcPr>
          <w:p w14:paraId="46D75EA2"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5.13</w:t>
            </w:r>
          </w:p>
        </w:tc>
        <w:tc>
          <w:tcPr>
            <w:tcW w:w="0" w:type="auto"/>
            <w:hideMark/>
          </w:tcPr>
          <w:p w14:paraId="4F564484"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Zero Emissions Government</w:t>
            </w:r>
          </w:p>
        </w:tc>
        <w:tc>
          <w:tcPr>
            <w:tcW w:w="0" w:type="auto"/>
            <w:hideMark/>
          </w:tcPr>
          <w:p w14:paraId="3B8F69B9"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Ensure all newly built or newly leased Government buildings and facilities are climate-wise and all-electric (where fit for purpose).</w:t>
            </w:r>
          </w:p>
        </w:tc>
        <w:tc>
          <w:tcPr>
            <w:tcW w:w="0" w:type="auto"/>
            <w:hideMark/>
          </w:tcPr>
          <w:p w14:paraId="07D7BC05" w14:textId="77777777" w:rsidR="00A12DA9" w:rsidRPr="00F1400B" w:rsidRDefault="00A12DA9" w:rsidP="001D6097">
            <w:pPr>
              <w:pStyle w:val="TableBody"/>
              <w:rPr>
                <w:rFonts w:cs="Arial"/>
                <w:szCs w:val="20"/>
                <w:lang w:eastAsia="en-AU"/>
              </w:rPr>
            </w:pPr>
            <w:r w:rsidRPr="00F1400B">
              <w:rPr>
                <w:rFonts w:cs="Arial"/>
                <w:szCs w:val="20"/>
                <w:lang w:eastAsia="en-AU"/>
              </w:rPr>
              <w:t>From 2020</w:t>
            </w:r>
          </w:p>
        </w:tc>
      </w:tr>
      <w:tr w:rsidR="00A12DA9" w:rsidRPr="006D2AEA" w14:paraId="6593E9C0" w14:textId="77777777" w:rsidTr="00A12DA9">
        <w:trPr>
          <w:trHeight w:val="1298"/>
        </w:trPr>
        <w:tc>
          <w:tcPr>
            <w:tcW w:w="0" w:type="auto"/>
            <w:hideMark/>
          </w:tcPr>
          <w:p w14:paraId="229CD681"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5.14</w:t>
            </w:r>
          </w:p>
        </w:tc>
        <w:tc>
          <w:tcPr>
            <w:tcW w:w="0" w:type="auto"/>
            <w:hideMark/>
          </w:tcPr>
          <w:p w14:paraId="75DDCEBA" w14:textId="77777777" w:rsidR="00A12DA9" w:rsidRPr="00F1400B" w:rsidRDefault="00A12DA9" w:rsidP="001D6097">
            <w:pPr>
              <w:pStyle w:val="TableBody"/>
              <w:rPr>
                <w:rFonts w:cs="Arial"/>
                <w:color w:val="000000"/>
                <w:szCs w:val="20"/>
                <w:lang w:eastAsia="en-AU"/>
              </w:rPr>
            </w:pPr>
            <w:r w:rsidRPr="00F1400B">
              <w:rPr>
                <w:rFonts w:cs="Arial"/>
                <w:color w:val="000000"/>
                <w:szCs w:val="20"/>
                <w:lang w:eastAsia="en-AU"/>
              </w:rPr>
              <w:t>Zero Emissions Government</w:t>
            </w:r>
          </w:p>
        </w:tc>
        <w:tc>
          <w:tcPr>
            <w:tcW w:w="0" w:type="auto"/>
            <w:hideMark/>
          </w:tcPr>
          <w:p w14:paraId="5950BACB" w14:textId="77777777" w:rsidR="00A12DA9" w:rsidRPr="00F1400B" w:rsidRDefault="00A12DA9" w:rsidP="001D6097">
            <w:pPr>
              <w:pStyle w:val="TableBody"/>
              <w:rPr>
                <w:rFonts w:cs="Arial"/>
                <w:szCs w:val="20"/>
                <w:lang w:eastAsia="en-AU"/>
              </w:rPr>
            </w:pPr>
            <w:r w:rsidRPr="00F1400B">
              <w:rPr>
                <w:rFonts w:cs="Arial"/>
                <w:szCs w:val="20"/>
                <w:lang w:eastAsia="en-AU"/>
              </w:rPr>
              <w:t>Replace all space and water heating systems in Government facilities with electric systems at the end of their economic lives (where fit for purpose).</w:t>
            </w:r>
          </w:p>
        </w:tc>
        <w:tc>
          <w:tcPr>
            <w:tcW w:w="0" w:type="auto"/>
            <w:hideMark/>
          </w:tcPr>
          <w:p w14:paraId="091AD617" w14:textId="77777777" w:rsidR="00A12DA9" w:rsidRPr="00F1400B" w:rsidRDefault="00A12DA9" w:rsidP="001D6097">
            <w:pPr>
              <w:pStyle w:val="TableBody"/>
              <w:rPr>
                <w:rFonts w:cs="Arial"/>
                <w:szCs w:val="20"/>
                <w:lang w:eastAsia="en-AU"/>
              </w:rPr>
            </w:pPr>
            <w:r w:rsidRPr="00F1400B">
              <w:rPr>
                <w:rFonts w:cs="Arial"/>
                <w:szCs w:val="20"/>
                <w:lang w:eastAsia="en-AU"/>
              </w:rPr>
              <w:t>From 2020</w:t>
            </w:r>
          </w:p>
        </w:tc>
      </w:tr>
    </w:tbl>
    <w:p w14:paraId="3B8A6AE9" w14:textId="7E922FBD" w:rsidR="00926B33" w:rsidRDefault="00043834" w:rsidP="00043834">
      <w:pPr>
        <w:pStyle w:val="Heading1"/>
      </w:pPr>
      <w:bookmarkStart w:id="10" w:name="_Toc42267656"/>
      <w:r>
        <w:lastRenderedPageBreak/>
        <w:t>GN21</w:t>
      </w:r>
      <w:r w:rsidR="00457C52">
        <w:t xml:space="preserve"> Draft Plan</w:t>
      </w:r>
      <w:r>
        <w:t xml:space="preserve"> Views and Priorities</w:t>
      </w:r>
      <w:bookmarkEnd w:id="10"/>
    </w:p>
    <w:tbl>
      <w:tblPr>
        <w:tblStyle w:val="TableGrid"/>
        <w:tblW w:w="0" w:type="auto"/>
        <w:shd w:val="clear" w:color="auto" w:fill="DEEAF6" w:themeFill="accent5" w:themeFillTint="33"/>
        <w:tblLook w:val="04A0" w:firstRow="1" w:lastRow="0" w:firstColumn="1" w:lastColumn="0" w:noHBand="0" w:noVBand="1"/>
      </w:tblPr>
      <w:tblGrid>
        <w:gridCol w:w="8494"/>
      </w:tblGrid>
      <w:tr w:rsidR="00043834" w14:paraId="3DA0C00D" w14:textId="77777777" w:rsidTr="00F1400B">
        <w:tc>
          <w:tcPr>
            <w:tcW w:w="8494" w:type="dxa"/>
            <w:shd w:val="clear" w:color="auto" w:fill="DEEAF6" w:themeFill="accent5" w:themeFillTint="33"/>
          </w:tcPr>
          <w:p w14:paraId="76C6A479" w14:textId="05B4510A" w:rsidR="00043834" w:rsidRDefault="00043834" w:rsidP="00F1400B">
            <w:pPr>
              <w:pStyle w:val="Boxbody"/>
            </w:pPr>
            <w:r w:rsidRPr="00043834">
              <w:t>Do the</w:t>
            </w:r>
            <w:r w:rsidR="00BD3C52">
              <w:t xml:space="preserve"> themes </w:t>
            </w:r>
            <w:r w:rsidR="00F845D1">
              <w:t xml:space="preserve">– </w:t>
            </w:r>
            <w:r w:rsidR="0065381A">
              <w:t xml:space="preserve">of </w:t>
            </w:r>
            <w:r w:rsidR="00F845D1">
              <w:t>e</w:t>
            </w:r>
            <w:r w:rsidR="00BD3C52">
              <w:t>nvironmental sustainability,</w:t>
            </w:r>
            <w:r w:rsidR="00F845D1">
              <w:t xml:space="preserve"> research into options and costs, transition impacts, affordability and tariffs, support for vulnerable customers, and communication and ongoing involvement – re</w:t>
            </w:r>
            <w:r w:rsidRPr="00043834">
              <w:t>flect your views and priorities as we plan for the 2021–26 access arrangement period and beyond?</w:t>
            </w:r>
          </w:p>
        </w:tc>
      </w:tr>
    </w:tbl>
    <w:p w14:paraId="360AC494" w14:textId="63D372CE" w:rsidR="00043834" w:rsidRDefault="00043834" w:rsidP="002C4E3A">
      <w:pPr>
        <w:pStyle w:val="BodyText"/>
      </w:pPr>
    </w:p>
    <w:p w14:paraId="41E83854" w14:textId="5E4D770F" w:rsidR="00572ACF" w:rsidRDefault="00F1400B" w:rsidP="00572ACF">
      <w:pPr>
        <w:pStyle w:val="BlockText"/>
      </w:pPr>
      <w:r>
        <w:t>‘</w:t>
      </w:r>
      <w:r w:rsidR="00572ACF" w:rsidRPr="00572ACF">
        <w:t xml:space="preserve">It will be important to ensure there is a just transition to the 2045 net zero emissions target to ensure that gas consumers on low incomes or at risk of  hardship do not bear a higher proportion of costs in terms of either staying on or moving off gas. Ideally, these households will be ‘winners’, and in a better position than at present </w:t>
      </w:r>
      <w:proofErr w:type="gramStart"/>
      <w:r w:rsidR="00572ACF" w:rsidRPr="00572ACF">
        <w:t>as a result of</w:t>
      </w:r>
      <w:proofErr w:type="gramEnd"/>
      <w:r w:rsidR="00572ACF" w:rsidRPr="00572ACF">
        <w:t xml:space="preserve"> the decisions that are made</w:t>
      </w:r>
      <w:r w:rsidR="00F221CB">
        <w:t>’</w:t>
      </w:r>
      <w:r w:rsidR="00572ACF" w:rsidRPr="00572ACF">
        <w:t xml:space="preserve">. </w:t>
      </w:r>
      <w:r w:rsidR="00572ACF">
        <w:t xml:space="preserve">Response to </w:t>
      </w:r>
      <w:proofErr w:type="spellStart"/>
      <w:r w:rsidR="00572ACF">
        <w:t>Evoenergy</w:t>
      </w:r>
      <w:proofErr w:type="spellEnd"/>
      <w:r w:rsidR="00572ACF">
        <w:t xml:space="preserve"> online survey.</w:t>
      </w:r>
      <w:r w:rsidR="00F221CB">
        <w:rPr>
          <w:rStyle w:val="FootnoteReference"/>
        </w:rPr>
        <w:footnoteReference w:id="13"/>
      </w:r>
    </w:p>
    <w:p w14:paraId="35BE6A7F" w14:textId="714B3C67" w:rsidR="00C00E8C" w:rsidRDefault="00BD6D40" w:rsidP="002C4E3A">
      <w:pPr>
        <w:pStyle w:val="BodyText"/>
      </w:pPr>
      <w:r>
        <w:t xml:space="preserve">We </w:t>
      </w:r>
      <w:r w:rsidR="008D31DD">
        <w:t xml:space="preserve">commend </w:t>
      </w:r>
      <w:proofErr w:type="spellStart"/>
      <w:r w:rsidR="008D31DD">
        <w:t>Evoenergy</w:t>
      </w:r>
      <w:proofErr w:type="spellEnd"/>
      <w:r w:rsidR="008D31DD">
        <w:t xml:space="preserve"> on incorporating </w:t>
      </w:r>
      <w:r w:rsidR="00316F79">
        <w:t>the views and priorities of consumers into the GN21 Draft Plan.</w:t>
      </w:r>
      <w:r w:rsidR="007405CB">
        <w:t xml:space="preserve"> The issues raised by consumers</w:t>
      </w:r>
      <w:r w:rsidR="00DD3803">
        <w:t xml:space="preserve"> </w:t>
      </w:r>
      <w:r w:rsidR="00B633D1">
        <w:t>in relation to</w:t>
      </w:r>
      <w:r w:rsidR="00DD3803">
        <w:t xml:space="preserve"> GN21</w:t>
      </w:r>
      <w:r w:rsidR="007405CB">
        <w:t xml:space="preserve"> reflect much of what ACTCOSS has </w:t>
      </w:r>
      <w:r w:rsidR="00DD3803">
        <w:t xml:space="preserve">heard </w:t>
      </w:r>
      <w:r w:rsidR="009B6C5A">
        <w:t xml:space="preserve">from the community in the development of the </w:t>
      </w:r>
      <w:r w:rsidR="009B6C5A" w:rsidRPr="00B633D1">
        <w:rPr>
          <w:i/>
          <w:iCs/>
        </w:rPr>
        <w:t>ACT Climate Change Strategy 2019-25</w:t>
      </w:r>
      <w:r w:rsidR="009B6C5A">
        <w:t xml:space="preserve"> and the </w:t>
      </w:r>
      <w:r w:rsidR="009B6C5A" w:rsidRPr="00B633D1">
        <w:rPr>
          <w:i/>
          <w:iCs/>
        </w:rPr>
        <w:t>ACT Sustainable Energy Policy 2020-25</w:t>
      </w:r>
      <w:r w:rsidR="009B6C5A">
        <w:t>.</w:t>
      </w:r>
      <w:r w:rsidR="00974101">
        <w:t xml:space="preserve"> </w:t>
      </w:r>
      <w:r w:rsidR="00C00E8C">
        <w:t xml:space="preserve">The GN21 Draft Plan outlines </w:t>
      </w:r>
      <w:r w:rsidR="00512E1B">
        <w:t>what consumers want and how</w:t>
      </w:r>
      <w:r w:rsidR="003A78A2">
        <w:t xml:space="preserve"> </w:t>
      </w:r>
      <w:proofErr w:type="spellStart"/>
      <w:r w:rsidR="003A78A2">
        <w:t>Evoenergy</w:t>
      </w:r>
      <w:proofErr w:type="spellEnd"/>
      <w:r w:rsidR="00512E1B">
        <w:t xml:space="preserve"> is responding</w:t>
      </w:r>
      <w:r w:rsidR="003A78A2">
        <w:t xml:space="preserve"> </w:t>
      </w:r>
      <w:r w:rsidR="00F845D1">
        <w:t>under the following themes</w:t>
      </w:r>
      <w:r w:rsidR="00FB0DBB">
        <w:t xml:space="preserve"> (see also Table 2 below)</w:t>
      </w:r>
      <w:r w:rsidR="002C4D01">
        <w:t>:</w:t>
      </w:r>
    </w:p>
    <w:p w14:paraId="5A5A3D57" w14:textId="0557FA70" w:rsidR="002C4D01" w:rsidRDefault="002C4D01" w:rsidP="00252893">
      <w:pPr>
        <w:pStyle w:val="ListBullet"/>
      </w:pPr>
      <w:r>
        <w:t>Environmental sustainability</w:t>
      </w:r>
    </w:p>
    <w:p w14:paraId="1B2F5369" w14:textId="4CD9D78E" w:rsidR="002C4D01" w:rsidRDefault="009E3184" w:rsidP="00252893">
      <w:pPr>
        <w:pStyle w:val="ListBullet"/>
      </w:pPr>
      <w:r w:rsidRPr="009E3184">
        <w:t>Research into options and costs</w:t>
      </w:r>
    </w:p>
    <w:p w14:paraId="5C2F36E1" w14:textId="29E41BB1" w:rsidR="009E3184" w:rsidRDefault="009E3184" w:rsidP="00252893">
      <w:pPr>
        <w:pStyle w:val="ListBullet"/>
      </w:pPr>
      <w:r>
        <w:t>Transition impacts</w:t>
      </w:r>
    </w:p>
    <w:p w14:paraId="2F070EB2" w14:textId="10CFF5CD" w:rsidR="009E3184" w:rsidRDefault="009E3184" w:rsidP="00252893">
      <w:pPr>
        <w:pStyle w:val="ListBullet"/>
      </w:pPr>
      <w:r>
        <w:t>Affordability and tariffs</w:t>
      </w:r>
    </w:p>
    <w:p w14:paraId="1515677B" w14:textId="772710A0" w:rsidR="009E3184" w:rsidRDefault="009E3184" w:rsidP="00252893">
      <w:pPr>
        <w:pStyle w:val="ListBullet"/>
      </w:pPr>
      <w:r>
        <w:t>Support for vulnerable customers</w:t>
      </w:r>
    </w:p>
    <w:p w14:paraId="30B5D27F" w14:textId="0552397D" w:rsidR="009E3184" w:rsidRDefault="00252893" w:rsidP="00252893">
      <w:pPr>
        <w:pStyle w:val="ListBullet"/>
      </w:pPr>
      <w:r>
        <w:t>Communication and ongoing involvement</w:t>
      </w:r>
      <w:r w:rsidR="0076661D">
        <w:t xml:space="preserve"> of consumers</w:t>
      </w:r>
      <w:r>
        <w:t>.</w:t>
      </w:r>
    </w:p>
    <w:p w14:paraId="1E35C0E5" w14:textId="5074A855" w:rsidR="00302555" w:rsidRDefault="00A813AE" w:rsidP="002C4E3A">
      <w:pPr>
        <w:pStyle w:val="BodyText"/>
      </w:pPr>
      <w:proofErr w:type="spellStart"/>
      <w:r>
        <w:t>Evoenergy’s</w:t>
      </w:r>
      <w:proofErr w:type="spellEnd"/>
      <w:r>
        <w:t xml:space="preserve"> consumer engagement identified</w:t>
      </w:r>
      <w:r w:rsidR="00974101">
        <w:t xml:space="preserve"> strong community support for a just transition to zero net greenhouse gas emissions in the ACT by 2045</w:t>
      </w:r>
      <w:r w:rsidR="00FC353E">
        <w:t xml:space="preserve"> </w:t>
      </w:r>
      <w:r w:rsidR="00213229">
        <w:t>implemented</w:t>
      </w:r>
      <w:r w:rsidR="00FC353E">
        <w:t xml:space="preserve"> </w:t>
      </w:r>
      <w:r w:rsidR="00213229">
        <w:t>in a way</w:t>
      </w:r>
      <w:r w:rsidR="006F7380">
        <w:t xml:space="preserve"> </w:t>
      </w:r>
      <w:r w:rsidR="00D838F2">
        <w:t>that supports</w:t>
      </w:r>
      <w:r w:rsidR="00121A9B">
        <w:t xml:space="preserve"> vulnerable consumers.</w:t>
      </w:r>
      <w:r w:rsidR="00A628F1">
        <w:t xml:space="preserve"> We welcome </w:t>
      </w:r>
      <w:proofErr w:type="spellStart"/>
      <w:r w:rsidR="00A628F1">
        <w:t>Evoenergy’s</w:t>
      </w:r>
      <w:proofErr w:type="spellEnd"/>
      <w:r w:rsidR="00A628F1">
        <w:t xml:space="preserve"> </w:t>
      </w:r>
      <w:r w:rsidR="005B07F2">
        <w:t>responses to</w:t>
      </w:r>
      <w:r w:rsidR="003D19BB">
        <w:t xml:space="preserve"> </w:t>
      </w:r>
      <w:r w:rsidR="00121A9B">
        <w:t>supporting vulnerable consumers</w:t>
      </w:r>
      <w:r w:rsidR="003D19BB">
        <w:t xml:space="preserve"> </w:t>
      </w:r>
      <w:r w:rsidR="008F2E93">
        <w:t>as part of its commitment to</w:t>
      </w:r>
      <w:r w:rsidR="00D62968">
        <w:t xml:space="preserve"> </w:t>
      </w:r>
      <w:r w:rsidR="00746CF8">
        <w:t>‘</w:t>
      </w:r>
      <w:r w:rsidR="00F94BB0" w:rsidRPr="00F94BB0">
        <w:t>work with stakeholders to understand and consider the needs of vulnerable customers and what we can do to help as we develop our transition roadmap</w:t>
      </w:r>
      <w:r w:rsidR="00746CF8">
        <w:t>’</w:t>
      </w:r>
      <w:r w:rsidR="00F94BB0" w:rsidRPr="00F94BB0">
        <w:t>.</w:t>
      </w:r>
      <w:r w:rsidR="00746CF8">
        <w:rPr>
          <w:rStyle w:val="FootnoteReference"/>
        </w:rPr>
        <w:footnoteReference w:id="14"/>
      </w:r>
    </w:p>
    <w:p w14:paraId="199400C6" w14:textId="77777777" w:rsidR="00F674E6" w:rsidRDefault="00F674E6" w:rsidP="002C4E3A">
      <w:pPr>
        <w:pStyle w:val="BodyText"/>
      </w:pPr>
    </w:p>
    <w:p w14:paraId="3A4DED61" w14:textId="77777777" w:rsidR="00F674E6" w:rsidRDefault="00F674E6" w:rsidP="002C4E3A">
      <w:pPr>
        <w:pStyle w:val="BodyText"/>
      </w:pPr>
    </w:p>
    <w:p w14:paraId="01535C87" w14:textId="77777777" w:rsidR="00F674E6" w:rsidRDefault="00F674E6" w:rsidP="002C4E3A">
      <w:pPr>
        <w:pStyle w:val="BodyText"/>
      </w:pPr>
    </w:p>
    <w:p w14:paraId="0157A537" w14:textId="6E592DD5" w:rsidR="00F674E6" w:rsidRDefault="00F674E6" w:rsidP="00F1400B">
      <w:pPr>
        <w:pStyle w:val="Tableheading"/>
        <w:spacing w:after="120"/>
        <w:rPr>
          <w:lang w:eastAsia="en-AU"/>
        </w:rPr>
      </w:pPr>
      <w:r>
        <w:rPr>
          <w:lang w:eastAsia="en-AU"/>
        </w:rPr>
        <w:lastRenderedPageBreak/>
        <w:t xml:space="preserve">Table 2 How </w:t>
      </w:r>
      <w:proofErr w:type="spellStart"/>
      <w:r>
        <w:rPr>
          <w:lang w:eastAsia="en-AU"/>
        </w:rPr>
        <w:t>Evoenergy</w:t>
      </w:r>
      <w:proofErr w:type="spellEnd"/>
      <w:r>
        <w:rPr>
          <w:lang w:eastAsia="en-AU"/>
        </w:rPr>
        <w:t xml:space="preserve"> are responding to what they heard from consumers</w:t>
      </w:r>
      <w:r w:rsidR="00FB0DBB">
        <w:rPr>
          <w:rStyle w:val="FootnoteReference"/>
          <w:lang w:eastAsia="en-AU"/>
        </w:rPr>
        <w:footnoteReference w:id="15"/>
      </w:r>
    </w:p>
    <w:tbl>
      <w:tblPr>
        <w:tblStyle w:val="TableGrid"/>
        <w:tblW w:w="8613" w:type="dxa"/>
        <w:tblLook w:val="04A0" w:firstRow="1" w:lastRow="0" w:firstColumn="1" w:lastColumn="0" w:noHBand="0" w:noVBand="1"/>
      </w:tblPr>
      <w:tblGrid>
        <w:gridCol w:w="4401"/>
        <w:gridCol w:w="4212"/>
      </w:tblGrid>
      <w:tr w:rsidR="00F674E6" w14:paraId="34C9D44C" w14:textId="77777777" w:rsidTr="004E3CAB">
        <w:trPr>
          <w:trHeight w:val="589"/>
          <w:tblHeader/>
        </w:trPr>
        <w:tc>
          <w:tcPr>
            <w:tcW w:w="0" w:type="auto"/>
          </w:tcPr>
          <w:p w14:paraId="08860386" w14:textId="77777777" w:rsidR="00F674E6" w:rsidRPr="00D46472" w:rsidRDefault="00F674E6" w:rsidP="004E3CAB">
            <w:pPr>
              <w:pStyle w:val="TableBody"/>
              <w:rPr>
                <w:b/>
                <w:bCs/>
                <w:lang w:eastAsia="en-AU"/>
              </w:rPr>
            </w:pPr>
            <w:r w:rsidRPr="00D46472">
              <w:rPr>
                <w:b/>
                <w:bCs/>
                <w:lang w:eastAsia="en-AU"/>
              </w:rPr>
              <w:t>What we heard</w:t>
            </w:r>
          </w:p>
        </w:tc>
        <w:tc>
          <w:tcPr>
            <w:tcW w:w="0" w:type="auto"/>
          </w:tcPr>
          <w:p w14:paraId="1841F111" w14:textId="77777777" w:rsidR="00F674E6" w:rsidRPr="00D46472" w:rsidRDefault="00F674E6" w:rsidP="004E3CAB">
            <w:pPr>
              <w:pStyle w:val="TableBody"/>
              <w:rPr>
                <w:b/>
                <w:bCs/>
                <w:lang w:eastAsia="en-AU"/>
              </w:rPr>
            </w:pPr>
            <w:r w:rsidRPr="00D46472">
              <w:rPr>
                <w:b/>
                <w:bCs/>
                <w:lang w:eastAsia="en-AU"/>
              </w:rPr>
              <w:t>How we are responding to what we heard</w:t>
            </w:r>
          </w:p>
        </w:tc>
      </w:tr>
      <w:tr w:rsidR="00F674E6" w14:paraId="3AD7444F" w14:textId="77777777" w:rsidTr="004E3CAB">
        <w:trPr>
          <w:trHeight w:val="3961"/>
        </w:trPr>
        <w:tc>
          <w:tcPr>
            <w:tcW w:w="0" w:type="auto"/>
          </w:tcPr>
          <w:p w14:paraId="3DE22726" w14:textId="77777777" w:rsidR="00F674E6" w:rsidRPr="00D46472" w:rsidRDefault="00F674E6" w:rsidP="004E3CAB">
            <w:pPr>
              <w:pStyle w:val="TableBody"/>
              <w:rPr>
                <w:b/>
                <w:bCs/>
                <w:lang w:eastAsia="en-AU"/>
              </w:rPr>
            </w:pPr>
            <w:r w:rsidRPr="00D46472">
              <w:rPr>
                <w:b/>
                <w:bCs/>
                <w:lang w:eastAsia="en-AU"/>
              </w:rPr>
              <w:t>Environmental sustainability</w:t>
            </w:r>
          </w:p>
          <w:p w14:paraId="2804B7D8" w14:textId="77777777" w:rsidR="00F674E6" w:rsidRDefault="00F674E6" w:rsidP="004E3CAB">
            <w:pPr>
              <w:pStyle w:val="TableBody"/>
              <w:rPr>
                <w:lang w:eastAsia="en-AU"/>
              </w:rPr>
            </w:pPr>
            <w:r>
              <w:rPr>
                <w:lang w:eastAsia="en-AU"/>
              </w:rPr>
              <w:t>Supporting environmental sustainability is a key driver for many consumers. This includes some support for halting the expansion of the gas network in new ACT suburbs.</w:t>
            </w:r>
          </w:p>
        </w:tc>
        <w:tc>
          <w:tcPr>
            <w:tcW w:w="0" w:type="auto"/>
          </w:tcPr>
          <w:p w14:paraId="580DA78B" w14:textId="77777777" w:rsidR="00F674E6" w:rsidRDefault="00F674E6" w:rsidP="004E3CAB">
            <w:pPr>
              <w:pStyle w:val="TableBody"/>
              <w:rPr>
                <w:lang w:eastAsia="en-AU"/>
              </w:rPr>
            </w:pPr>
            <w:r w:rsidRPr="007E4EF4">
              <w:rPr>
                <w:lang w:eastAsia="en-AU"/>
              </w:rPr>
              <w:t>In the short-term, we are responding to consumer</w:t>
            </w:r>
            <w:r>
              <w:rPr>
                <w:lang w:eastAsia="en-AU"/>
              </w:rPr>
              <w:t xml:space="preserve"> feedback on environmental sustainability by assuming that the gas network will not be extended into new ACT suburbs while we develop our transition roadmap for achieving net zero emissions by 2045.</w:t>
            </w:r>
          </w:p>
          <w:p w14:paraId="1EE163AD" w14:textId="77777777" w:rsidR="00F674E6" w:rsidRDefault="00F674E6" w:rsidP="004E3CAB">
            <w:pPr>
              <w:pStyle w:val="TableBody"/>
              <w:rPr>
                <w:lang w:eastAsia="en-AU"/>
              </w:rPr>
            </w:pPr>
            <w:r>
              <w:rPr>
                <w:lang w:eastAsia="en-AU"/>
              </w:rPr>
              <w:t>We have also assumed that average gas usage per customer will gradually decline, reflecting consumer sentiment and the expected response to ACT Government policy.</w:t>
            </w:r>
          </w:p>
          <w:p w14:paraId="47B9B811" w14:textId="77777777" w:rsidR="00F674E6" w:rsidRDefault="00F674E6" w:rsidP="004E3CAB">
            <w:pPr>
              <w:pStyle w:val="TableBody"/>
              <w:rPr>
                <w:lang w:eastAsia="en-AU"/>
              </w:rPr>
            </w:pPr>
            <w:r>
              <w:rPr>
                <w:lang w:eastAsia="en-AU"/>
              </w:rPr>
              <w:t>Over the longer-term, our roadmap will set out a pathway for achieving net zero greenhouse gas emissions consistent with the ACT Government’s legislated target.</w:t>
            </w:r>
          </w:p>
        </w:tc>
      </w:tr>
      <w:tr w:rsidR="00F674E6" w14:paraId="09B11DB5" w14:textId="77777777" w:rsidTr="004E3CAB">
        <w:trPr>
          <w:trHeight w:val="2086"/>
        </w:trPr>
        <w:tc>
          <w:tcPr>
            <w:tcW w:w="0" w:type="auto"/>
          </w:tcPr>
          <w:p w14:paraId="6F646642" w14:textId="77777777" w:rsidR="00F674E6" w:rsidRPr="00D46472" w:rsidRDefault="00F674E6" w:rsidP="004E3CAB">
            <w:pPr>
              <w:pStyle w:val="TableBody"/>
              <w:rPr>
                <w:b/>
                <w:bCs/>
                <w:lang w:eastAsia="en-AU"/>
              </w:rPr>
            </w:pPr>
            <w:r w:rsidRPr="00D46472">
              <w:rPr>
                <w:b/>
                <w:bCs/>
                <w:lang w:eastAsia="en-AU"/>
              </w:rPr>
              <w:t>Research into options and costs</w:t>
            </w:r>
          </w:p>
          <w:p w14:paraId="79B3F0D4" w14:textId="77777777" w:rsidR="00F674E6" w:rsidRDefault="00F674E6" w:rsidP="004E3CAB">
            <w:pPr>
              <w:pStyle w:val="TableBody"/>
              <w:rPr>
                <w:lang w:eastAsia="en-AU"/>
              </w:rPr>
            </w:pPr>
            <w:r>
              <w:rPr>
                <w:lang w:eastAsia="en-AU"/>
              </w:rPr>
              <w:t>Consumers want to gain a better understanding of the costs associated with various future energy options and how to transition to them.</w:t>
            </w:r>
          </w:p>
          <w:p w14:paraId="072AE2CA" w14:textId="77777777" w:rsidR="00F674E6" w:rsidRDefault="00F674E6" w:rsidP="004E3CAB">
            <w:pPr>
              <w:pStyle w:val="TableBody"/>
              <w:rPr>
                <w:lang w:eastAsia="en-AU"/>
              </w:rPr>
            </w:pPr>
            <w:r>
              <w:rPr>
                <w:lang w:eastAsia="en-AU"/>
              </w:rPr>
              <w:t>Consumers want us to undertake research and invest in understanding what the future energy options are.</w:t>
            </w:r>
          </w:p>
        </w:tc>
        <w:tc>
          <w:tcPr>
            <w:tcW w:w="0" w:type="auto"/>
          </w:tcPr>
          <w:p w14:paraId="134B16E8" w14:textId="77777777" w:rsidR="00F674E6" w:rsidRDefault="00F674E6" w:rsidP="004E3CAB">
            <w:pPr>
              <w:pStyle w:val="TableBody"/>
              <w:rPr>
                <w:lang w:eastAsia="en-AU"/>
              </w:rPr>
            </w:pPr>
            <w:r>
              <w:rPr>
                <w:lang w:eastAsia="en-AU"/>
              </w:rPr>
              <w:t xml:space="preserve">We will continue to investigate the options and their costs as we develop our roadmap to </w:t>
            </w:r>
            <w:proofErr w:type="gramStart"/>
            <w:r>
              <w:rPr>
                <w:lang w:eastAsia="en-AU"/>
              </w:rPr>
              <w:t>2045, and</w:t>
            </w:r>
            <w:proofErr w:type="gramEnd"/>
            <w:r>
              <w:rPr>
                <w:lang w:eastAsia="en-AU"/>
              </w:rPr>
              <w:t xml:space="preserve"> share what we find with stakeholders.</w:t>
            </w:r>
          </w:p>
          <w:p w14:paraId="42BA8C9C" w14:textId="77777777" w:rsidR="00F674E6" w:rsidRDefault="00F674E6" w:rsidP="004E3CAB">
            <w:pPr>
              <w:pStyle w:val="TableBody"/>
              <w:rPr>
                <w:lang w:eastAsia="en-AU"/>
              </w:rPr>
            </w:pPr>
            <w:r>
              <w:rPr>
                <w:lang w:eastAsia="en-AU"/>
              </w:rPr>
              <w:t>In the meantime, we have focussed in this draft plan on minimising our costs, and we will continue initiatives, such as our Hydrogen Test Facility in Fyshwick.</w:t>
            </w:r>
          </w:p>
        </w:tc>
      </w:tr>
      <w:tr w:rsidR="00F674E6" w14:paraId="077F8132" w14:textId="77777777" w:rsidTr="004E3CAB">
        <w:trPr>
          <w:trHeight w:val="2282"/>
        </w:trPr>
        <w:tc>
          <w:tcPr>
            <w:tcW w:w="0" w:type="auto"/>
          </w:tcPr>
          <w:p w14:paraId="6ACD64D8" w14:textId="77777777" w:rsidR="00F674E6" w:rsidRPr="00D46472" w:rsidRDefault="00F674E6" w:rsidP="004E3CAB">
            <w:pPr>
              <w:pStyle w:val="TableBody"/>
              <w:rPr>
                <w:b/>
                <w:bCs/>
                <w:lang w:eastAsia="en-AU"/>
              </w:rPr>
            </w:pPr>
            <w:r w:rsidRPr="00D46472">
              <w:rPr>
                <w:b/>
                <w:bCs/>
                <w:lang w:eastAsia="en-AU"/>
              </w:rPr>
              <w:t>Transition impacts</w:t>
            </w:r>
          </w:p>
          <w:p w14:paraId="64A2A63B" w14:textId="77777777" w:rsidR="00F674E6" w:rsidRDefault="00F674E6" w:rsidP="004E3CAB">
            <w:pPr>
              <w:pStyle w:val="TableBody"/>
              <w:rPr>
                <w:lang w:eastAsia="en-AU"/>
              </w:rPr>
            </w:pPr>
            <w:r>
              <w:rPr>
                <w:lang w:eastAsia="en-AU"/>
              </w:rPr>
              <w:t>Consumers are concerned about impacts that a transition away from natural gas would have on their appliances and costs that would be incurred in replacing or upgrading these appliances. They want continuing reliable services during the transition.</w:t>
            </w:r>
          </w:p>
        </w:tc>
        <w:tc>
          <w:tcPr>
            <w:tcW w:w="0" w:type="auto"/>
          </w:tcPr>
          <w:p w14:paraId="4ED017B3" w14:textId="77777777" w:rsidR="00F674E6" w:rsidRDefault="00F674E6" w:rsidP="004E3CAB">
            <w:pPr>
              <w:pStyle w:val="TableBody"/>
              <w:rPr>
                <w:lang w:eastAsia="en-AU"/>
              </w:rPr>
            </w:pPr>
            <w:r>
              <w:rPr>
                <w:lang w:eastAsia="en-AU"/>
              </w:rPr>
              <w:t>In the short-term, our draft plan reflects our commitment to investing only what we need to maintain the safety and reliability of gas supply as we develop a transition roadmap.</w:t>
            </w:r>
          </w:p>
          <w:p w14:paraId="202A07F2" w14:textId="77777777" w:rsidR="00F674E6" w:rsidRDefault="00F674E6" w:rsidP="004E3CAB">
            <w:pPr>
              <w:pStyle w:val="TableBody"/>
              <w:rPr>
                <w:lang w:eastAsia="en-AU"/>
              </w:rPr>
            </w:pPr>
            <w:r>
              <w:rPr>
                <w:lang w:eastAsia="en-AU"/>
              </w:rPr>
              <w:t>Based on consumer feedback, an important part of our roadmap will involve working with stakeholders to understand and fully consider transition impacts.</w:t>
            </w:r>
          </w:p>
        </w:tc>
      </w:tr>
      <w:tr w:rsidR="00F674E6" w14:paraId="6FBCED14" w14:textId="77777777" w:rsidTr="004E3CAB">
        <w:trPr>
          <w:trHeight w:val="2267"/>
        </w:trPr>
        <w:tc>
          <w:tcPr>
            <w:tcW w:w="0" w:type="auto"/>
          </w:tcPr>
          <w:p w14:paraId="418C0A12" w14:textId="77777777" w:rsidR="00F674E6" w:rsidRPr="00D46472" w:rsidRDefault="00F674E6" w:rsidP="004E3CAB">
            <w:pPr>
              <w:pStyle w:val="TableBody"/>
              <w:rPr>
                <w:b/>
                <w:bCs/>
                <w:lang w:eastAsia="en-AU"/>
              </w:rPr>
            </w:pPr>
            <w:r w:rsidRPr="00D46472">
              <w:rPr>
                <w:b/>
                <w:bCs/>
                <w:lang w:eastAsia="en-AU"/>
              </w:rPr>
              <w:t>Affordability and tariffs</w:t>
            </w:r>
          </w:p>
          <w:p w14:paraId="346B2324" w14:textId="77777777" w:rsidR="00F674E6" w:rsidRDefault="00F674E6" w:rsidP="004E3CAB">
            <w:pPr>
              <w:pStyle w:val="TableBody"/>
              <w:rPr>
                <w:lang w:eastAsia="en-AU"/>
              </w:rPr>
            </w:pPr>
            <w:r>
              <w:rPr>
                <w:lang w:eastAsia="en-AU"/>
              </w:rPr>
              <w:t>Consumers are concerned about affordability and are seeking reduced network charges. These views were often coupled with feedback that consumers seek price stability and certainty related to their gas supply.</w:t>
            </w:r>
          </w:p>
        </w:tc>
        <w:tc>
          <w:tcPr>
            <w:tcW w:w="0" w:type="auto"/>
          </w:tcPr>
          <w:p w14:paraId="0D2FE450" w14:textId="77777777" w:rsidR="00F674E6" w:rsidRDefault="00F674E6" w:rsidP="004E3CAB">
            <w:pPr>
              <w:pStyle w:val="TableBody"/>
              <w:rPr>
                <w:lang w:eastAsia="en-AU"/>
              </w:rPr>
            </w:pPr>
            <w:r>
              <w:rPr>
                <w:lang w:eastAsia="en-AU"/>
              </w:rPr>
              <w:t xml:space="preserve">In the short-term, we have focussed on minimising costs so that our draft plan delivers stable prices across 2021-26 access arrangement period. </w:t>
            </w:r>
          </w:p>
          <w:p w14:paraId="01568870" w14:textId="77777777" w:rsidR="00F674E6" w:rsidRDefault="00F674E6" w:rsidP="004E3CAB">
            <w:pPr>
              <w:pStyle w:val="TableBody"/>
              <w:rPr>
                <w:lang w:eastAsia="en-AU"/>
              </w:rPr>
            </w:pPr>
            <w:r>
              <w:rPr>
                <w:lang w:eastAsia="en-AU"/>
              </w:rPr>
              <w:t>Over the longer-term, as we develop our roadmap, the costs of achieving the net zero emissions target will be a key consideration in determining the future pathway.</w:t>
            </w:r>
          </w:p>
        </w:tc>
      </w:tr>
      <w:tr w:rsidR="00F674E6" w14:paraId="3CFDB4F3" w14:textId="77777777" w:rsidTr="004E3CAB">
        <w:trPr>
          <w:trHeight w:val="1300"/>
        </w:trPr>
        <w:tc>
          <w:tcPr>
            <w:tcW w:w="0" w:type="auto"/>
          </w:tcPr>
          <w:p w14:paraId="3DE0018B" w14:textId="77777777" w:rsidR="00F674E6" w:rsidRPr="00D46472" w:rsidRDefault="00F674E6" w:rsidP="004E3CAB">
            <w:pPr>
              <w:pStyle w:val="TableBody"/>
              <w:rPr>
                <w:b/>
                <w:bCs/>
                <w:lang w:eastAsia="en-AU"/>
              </w:rPr>
            </w:pPr>
            <w:r w:rsidRPr="00D46472">
              <w:rPr>
                <w:b/>
                <w:bCs/>
                <w:lang w:eastAsia="en-AU"/>
              </w:rPr>
              <w:lastRenderedPageBreak/>
              <w:t>Support for vulnerable customers</w:t>
            </w:r>
          </w:p>
          <w:p w14:paraId="55A7F874" w14:textId="77777777" w:rsidR="00F674E6" w:rsidRDefault="00F674E6" w:rsidP="004E3CAB">
            <w:pPr>
              <w:pStyle w:val="TableBody"/>
              <w:rPr>
                <w:lang w:eastAsia="en-AU"/>
              </w:rPr>
            </w:pPr>
            <w:r>
              <w:rPr>
                <w:lang w:eastAsia="en-AU"/>
              </w:rPr>
              <w:t>Consumers advocate support for vulnerable consumers, including through all elements of a transition.</w:t>
            </w:r>
          </w:p>
        </w:tc>
        <w:tc>
          <w:tcPr>
            <w:tcW w:w="0" w:type="auto"/>
          </w:tcPr>
          <w:p w14:paraId="27F35482" w14:textId="77777777" w:rsidR="00F674E6" w:rsidRDefault="00F674E6" w:rsidP="004E3CAB">
            <w:pPr>
              <w:pStyle w:val="TableBody"/>
              <w:rPr>
                <w:lang w:eastAsia="en-AU"/>
              </w:rPr>
            </w:pPr>
            <w:r>
              <w:rPr>
                <w:lang w:eastAsia="en-AU"/>
              </w:rPr>
              <w:t>We will work with stakeholders to understand and consider the needs of vulnerable customers and what we can do to help as we develop our transition roadmap.</w:t>
            </w:r>
          </w:p>
        </w:tc>
      </w:tr>
      <w:tr w:rsidR="00F674E6" w14:paraId="3810D6BB" w14:textId="77777777" w:rsidTr="004E3CAB">
        <w:trPr>
          <w:trHeight w:val="2056"/>
        </w:trPr>
        <w:tc>
          <w:tcPr>
            <w:tcW w:w="0" w:type="auto"/>
          </w:tcPr>
          <w:p w14:paraId="6C13B12E" w14:textId="77777777" w:rsidR="00F674E6" w:rsidRPr="00D46472" w:rsidRDefault="00F674E6" w:rsidP="004E3CAB">
            <w:pPr>
              <w:pStyle w:val="TableBody"/>
              <w:rPr>
                <w:b/>
                <w:bCs/>
                <w:lang w:eastAsia="en-AU"/>
              </w:rPr>
            </w:pPr>
            <w:r w:rsidRPr="00D46472">
              <w:rPr>
                <w:b/>
                <w:bCs/>
                <w:lang w:eastAsia="en-AU"/>
              </w:rPr>
              <w:t>Communication and ongoing involvement</w:t>
            </w:r>
          </w:p>
          <w:p w14:paraId="4A8128EC" w14:textId="77777777" w:rsidR="00F674E6" w:rsidRDefault="00F674E6" w:rsidP="004E3CAB">
            <w:pPr>
              <w:pStyle w:val="TableBody"/>
              <w:rPr>
                <w:lang w:eastAsia="en-AU"/>
              </w:rPr>
            </w:pPr>
            <w:r>
              <w:rPr>
                <w:lang w:eastAsia="en-AU"/>
              </w:rPr>
              <w:t>Consumers want to be kept informed and involved at all stages of the research, planning and transition towards a net zero emissions future.</w:t>
            </w:r>
          </w:p>
        </w:tc>
        <w:tc>
          <w:tcPr>
            <w:tcW w:w="0" w:type="auto"/>
          </w:tcPr>
          <w:p w14:paraId="580BBF46" w14:textId="77777777" w:rsidR="00F674E6" w:rsidRDefault="00F674E6" w:rsidP="004E3CAB">
            <w:pPr>
              <w:pStyle w:val="TableBody"/>
              <w:rPr>
                <w:lang w:eastAsia="en-AU"/>
              </w:rPr>
            </w:pPr>
            <w:r>
              <w:rPr>
                <w:lang w:eastAsia="en-AU"/>
              </w:rPr>
              <w:t>Our consumer engagement program to date and this draft plan are part of our mission to communicate with and involve our consumers.</w:t>
            </w:r>
          </w:p>
          <w:p w14:paraId="55B5BC97" w14:textId="77777777" w:rsidR="00F674E6" w:rsidRDefault="00F674E6" w:rsidP="004E3CAB">
            <w:pPr>
              <w:pStyle w:val="TableBody"/>
              <w:rPr>
                <w:lang w:eastAsia="en-AU"/>
              </w:rPr>
            </w:pPr>
            <w:r>
              <w:rPr>
                <w:lang w:eastAsia="en-AU"/>
              </w:rPr>
              <w:t>We will continue to keep consumers informed and involved throughout the 2021-26 period and as we develop our roadmap to 2045.</w:t>
            </w:r>
          </w:p>
        </w:tc>
      </w:tr>
    </w:tbl>
    <w:p w14:paraId="5FCB5AEF" w14:textId="77777777" w:rsidR="00302555" w:rsidRDefault="00302555" w:rsidP="00302555">
      <w:pPr>
        <w:pStyle w:val="Heading2"/>
      </w:pPr>
      <w:bookmarkStart w:id="11" w:name="_Toc42267657"/>
      <w:r>
        <w:t>Gas and energy affordability for low-income households</w:t>
      </w:r>
      <w:bookmarkEnd w:id="11"/>
    </w:p>
    <w:p w14:paraId="176C7218" w14:textId="7120770E" w:rsidR="00302555" w:rsidRDefault="001F5074" w:rsidP="00302555">
      <w:pPr>
        <w:pStyle w:val="BodyText"/>
      </w:pPr>
      <w:r>
        <w:t>A key concern for ACTCOSS is to ensure that</w:t>
      </w:r>
      <w:r w:rsidR="00D7078C">
        <w:t xml:space="preserve"> GN21 </w:t>
      </w:r>
      <w:r w:rsidR="008447AD">
        <w:t>is in the long-term interest of</w:t>
      </w:r>
      <w:r>
        <w:t xml:space="preserve"> low-income and other at-risk households </w:t>
      </w:r>
      <w:r w:rsidR="00EB54AC">
        <w:t xml:space="preserve">with respect to price, quality, safety, </w:t>
      </w:r>
      <w:proofErr w:type="gramStart"/>
      <w:r w:rsidR="00EB54AC">
        <w:t>reliability</w:t>
      </w:r>
      <w:proofErr w:type="gramEnd"/>
      <w:r w:rsidR="00EB54AC">
        <w:t xml:space="preserve"> and security of supply of </w:t>
      </w:r>
      <w:r w:rsidR="001B30F9">
        <w:t>gas (and energy more broadly)</w:t>
      </w:r>
      <w:r w:rsidR="00EB54AC">
        <w:t>.</w:t>
      </w:r>
    </w:p>
    <w:p w14:paraId="513024AB" w14:textId="4C8E098A" w:rsidR="00877AB4" w:rsidRDefault="00877AB4" w:rsidP="00877AB4">
      <w:pPr>
        <w:pStyle w:val="BodyText"/>
      </w:pPr>
      <w:r>
        <w:t>ACT households have relatively high levels of electricity and gas usage.</w:t>
      </w:r>
      <w:r>
        <w:rPr>
          <w:rStyle w:val="FootnoteReference"/>
        </w:rPr>
        <w:footnoteReference w:id="16"/>
      </w:r>
      <w:r>
        <w:t xml:space="preserve"> Alongside Victoria, ACT households have the highest gas bills due to having relatively high rates of gas connections and a colder climate.</w:t>
      </w:r>
      <w:r>
        <w:rPr>
          <w:rStyle w:val="FootnoteReference"/>
        </w:rPr>
        <w:footnoteReference w:id="17"/>
      </w:r>
      <w:r>
        <w:t xml:space="preserve"> While low-income households in the ACT spend less on gas than average-income households, gas bills account for a greater proportion of their disposable household income. In 2019, low-income ACT households on standing and market gas offers spent 4.9% and 4.2% of their income on gas, compared to 2.6% and 2.3% for average-income households.</w:t>
      </w:r>
      <w:r>
        <w:rPr>
          <w:rStyle w:val="FootnoteReference"/>
        </w:rPr>
        <w:footnoteReference w:id="18"/>
      </w:r>
      <w:r w:rsidR="0010001B">
        <w:t xml:space="preserve"> </w:t>
      </w:r>
      <w:r w:rsidR="001C5109">
        <w:t xml:space="preserve">It has been estimated that </w:t>
      </w:r>
      <w:r w:rsidR="001C5109" w:rsidRPr="001C5109">
        <w:t>dual</w:t>
      </w:r>
      <w:r w:rsidR="001C5109">
        <w:t>-</w:t>
      </w:r>
      <w:r w:rsidR="001C5109" w:rsidRPr="001C5109">
        <w:t>fuel households tend to spend 25-30% more on energy than all-electric households.</w:t>
      </w:r>
      <w:r w:rsidR="001C5109">
        <w:rPr>
          <w:rStyle w:val="FootnoteReference"/>
        </w:rPr>
        <w:footnoteReference w:id="19"/>
      </w:r>
      <w:r w:rsidR="001C5109">
        <w:t xml:space="preserve"> </w:t>
      </w:r>
      <w:r w:rsidR="0010001B">
        <w:t xml:space="preserve">The </w:t>
      </w:r>
      <w:r w:rsidR="00107DB9">
        <w:t xml:space="preserve">combined cost of electricity and gas in low-income, dual-fuel households </w:t>
      </w:r>
      <w:r w:rsidR="00F4452B">
        <w:t xml:space="preserve">increases the risk of </w:t>
      </w:r>
      <w:r w:rsidR="009C7A55">
        <w:t>energy stress, hardship, debt, and disconnection.</w:t>
      </w:r>
    </w:p>
    <w:p w14:paraId="699A5B81" w14:textId="75DB9F35" w:rsidR="008C5567" w:rsidRDefault="008C5567" w:rsidP="00302555">
      <w:pPr>
        <w:pStyle w:val="BodyText"/>
      </w:pPr>
      <w:r>
        <w:t>ACTCOSS has recently recommended to the ACT Government that</w:t>
      </w:r>
      <w:r w:rsidR="004C502F">
        <w:t>, during 2020-25, it fund:</w:t>
      </w:r>
    </w:p>
    <w:p w14:paraId="66336A3B" w14:textId="77EDD33A" w:rsidR="000639DA" w:rsidRDefault="00D73720" w:rsidP="000639DA">
      <w:pPr>
        <w:pStyle w:val="ListBullet"/>
      </w:pPr>
      <w:r>
        <w:lastRenderedPageBreak/>
        <w:t>A</w:t>
      </w:r>
      <w:r w:rsidR="000639DA">
        <w:t xml:space="preserve"> comprehensive analysis of the feasibility, </w:t>
      </w:r>
      <w:proofErr w:type="gramStart"/>
      <w:r w:rsidR="000639DA">
        <w:t>timeframe</w:t>
      </w:r>
      <w:proofErr w:type="gramEnd"/>
      <w:r w:rsidR="000639DA">
        <w:t xml:space="preserve"> and lowest cost pathway to adoption of hydrogen in existing housing and new construction</w:t>
      </w:r>
    </w:p>
    <w:p w14:paraId="36EF6DC9" w14:textId="551C6E9F" w:rsidR="004C502F" w:rsidRDefault="00D73720" w:rsidP="000639DA">
      <w:pPr>
        <w:pStyle w:val="ListBullet"/>
      </w:pPr>
      <w:r>
        <w:t>I</w:t>
      </w:r>
      <w:r w:rsidR="000639DA">
        <w:t>ndependent research on the cost relativities of growing the electricity grid versus maintaining and growing gas infrastructure.</w:t>
      </w:r>
      <w:r w:rsidR="00D26988">
        <w:rPr>
          <w:rStyle w:val="FootnoteReference"/>
        </w:rPr>
        <w:footnoteReference w:id="20"/>
      </w:r>
    </w:p>
    <w:p w14:paraId="2589C30E" w14:textId="5B54C766" w:rsidR="008221FA" w:rsidRDefault="00056EF9" w:rsidP="008221FA">
      <w:pPr>
        <w:pStyle w:val="BodyText"/>
      </w:pPr>
      <w:r>
        <w:t xml:space="preserve">While we await this evidence, </w:t>
      </w:r>
      <w:r w:rsidR="00742D9A">
        <w:t>ACTCOSS</w:t>
      </w:r>
      <w:r w:rsidR="00CD20BA">
        <w:t xml:space="preserve"> </w:t>
      </w:r>
      <w:r w:rsidR="008221FA">
        <w:t>welcomes</w:t>
      </w:r>
      <w:r w:rsidR="00CD20BA">
        <w:t xml:space="preserve"> </w:t>
      </w:r>
      <w:r w:rsidR="008B2FBD">
        <w:t xml:space="preserve">measures to </w:t>
      </w:r>
      <w:r w:rsidR="0019461F">
        <w:t>support</w:t>
      </w:r>
      <w:r w:rsidR="008B2FBD">
        <w:t xml:space="preserve"> low-income households</w:t>
      </w:r>
      <w:r w:rsidR="00951A6F">
        <w:t xml:space="preserve"> – including public housing tenants – </w:t>
      </w:r>
      <w:r w:rsidR="0019461F">
        <w:t xml:space="preserve">to transition </w:t>
      </w:r>
      <w:r w:rsidR="008B2FBD">
        <w:t xml:space="preserve">from </w:t>
      </w:r>
      <w:r w:rsidR="00742D9A">
        <w:t>gas to electric where feasible</w:t>
      </w:r>
      <w:r w:rsidR="00426188">
        <w:t xml:space="preserve"> and in consumers’ long-term interests.</w:t>
      </w:r>
      <w:r w:rsidR="008221FA">
        <w:t xml:space="preserve"> Based on our current understanding, transitioning low-income households from gas to all-electric appears to be in their long-term interests based on:</w:t>
      </w:r>
    </w:p>
    <w:p w14:paraId="310CAEA7" w14:textId="77777777" w:rsidR="008221FA" w:rsidRDefault="008221FA" w:rsidP="008221FA">
      <w:pPr>
        <w:pStyle w:val="ListBullet"/>
      </w:pPr>
      <w:r>
        <w:t>Rising gas prices</w:t>
      </w:r>
    </w:p>
    <w:p w14:paraId="4E9509D8" w14:textId="77777777" w:rsidR="008221FA" w:rsidRDefault="008221FA" w:rsidP="008221FA">
      <w:pPr>
        <w:pStyle w:val="ListBullet"/>
      </w:pPr>
      <w:r>
        <w:t>Additional supply charge cost for dual-fuel households</w:t>
      </w:r>
    </w:p>
    <w:p w14:paraId="46A780C1" w14:textId="77777777" w:rsidR="008221FA" w:rsidRDefault="008221FA" w:rsidP="008221FA">
      <w:pPr>
        <w:pStyle w:val="ListBullet"/>
      </w:pPr>
      <w:r>
        <w:t>Improved efficiency and effectiveness of electric household appliances and long-term impact on energy affordability</w:t>
      </w:r>
    </w:p>
    <w:p w14:paraId="23034B6D" w14:textId="77777777" w:rsidR="008221FA" w:rsidRDefault="008221FA" w:rsidP="008221FA">
      <w:pPr>
        <w:pStyle w:val="ListBullet"/>
      </w:pPr>
      <w:r>
        <w:t>100% renewable electricity in the ACT</w:t>
      </w:r>
    </w:p>
    <w:p w14:paraId="507149DF" w14:textId="77777777" w:rsidR="008221FA" w:rsidRDefault="008221FA" w:rsidP="008221FA">
      <w:pPr>
        <w:pStyle w:val="ListBullet"/>
      </w:pPr>
      <w:r>
        <w:t>Risk of low-income households being stranded on the gas network and being faced with significantly higher gas prices in the future</w:t>
      </w:r>
    </w:p>
    <w:p w14:paraId="252BCF79" w14:textId="6451893D" w:rsidR="008221FA" w:rsidRDefault="008221FA" w:rsidP="008221FA">
      <w:pPr>
        <w:pStyle w:val="ListBullet"/>
      </w:pPr>
      <w:r>
        <w:t xml:space="preserve">Need </w:t>
      </w:r>
      <w:r w:rsidR="00652645">
        <w:t>to replace appliances</w:t>
      </w:r>
      <w:r w:rsidR="007150DD">
        <w:t xml:space="preserve"> and some distribution assets (e.g. valves and meters)</w:t>
      </w:r>
      <w:r>
        <w:t xml:space="preserve"> if transitioning to hydrogen</w:t>
      </w:r>
    </w:p>
    <w:p w14:paraId="1CC3182C" w14:textId="624B0EB1" w:rsidR="008221FA" w:rsidRDefault="008221FA" w:rsidP="008221FA">
      <w:pPr>
        <w:pStyle w:val="ListBullet"/>
      </w:pPr>
      <w:r>
        <w:t>Risk of increased consumer bills with hydrogen.</w:t>
      </w:r>
      <w:r w:rsidR="00F4452B">
        <w:rPr>
          <w:rStyle w:val="FootnoteReference"/>
        </w:rPr>
        <w:footnoteReference w:id="21"/>
      </w:r>
      <w:r w:rsidR="00C235FF" w:rsidRPr="00837A44">
        <w:rPr>
          <w:rStyle w:val="FootnoteReference"/>
        </w:rPr>
        <w:t>,</w:t>
      </w:r>
      <w:r w:rsidR="00D32425">
        <w:rPr>
          <w:rStyle w:val="FootnoteReference"/>
        </w:rPr>
        <w:footnoteReference w:id="22"/>
      </w:r>
      <w:r w:rsidR="00D32425" w:rsidRPr="003538F9">
        <w:rPr>
          <w:rStyle w:val="FootnoteReference"/>
        </w:rPr>
        <w:t>,</w:t>
      </w:r>
      <w:r w:rsidR="00C235FF">
        <w:rPr>
          <w:rStyle w:val="FootnoteReference"/>
        </w:rPr>
        <w:footnoteReference w:id="23"/>
      </w:r>
      <w:r w:rsidR="00DD260B" w:rsidRPr="00837A44">
        <w:rPr>
          <w:rStyle w:val="FootnoteReference"/>
        </w:rPr>
        <w:t>,</w:t>
      </w:r>
      <w:r w:rsidR="00DD260B">
        <w:rPr>
          <w:rStyle w:val="FootnoteReference"/>
        </w:rPr>
        <w:footnoteReference w:id="24"/>
      </w:r>
      <w:r w:rsidR="00D150DF" w:rsidRPr="00837A44">
        <w:rPr>
          <w:rStyle w:val="FootnoteReference"/>
        </w:rPr>
        <w:t>,</w:t>
      </w:r>
      <w:r w:rsidR="00062695">
        <w:rPr>
          <w:rStyle w:val="FootnoteReference"/>
        </w:rPr>
        <w:footnoteReference w:id="25"/>
      </w:r>
    </w:p>
    <w:p w14:paraId="5F9239E1" w14:textId="62080F52" w:rsidR="00FF7A10" w:rsidRDefault="00C11197" w:rsidP="00025EC2">
      <w:pPr>
        <w:pStyle w:val="BodyText"/>
      </w:pPr>
      <w:r>
        <w:t>Low-income</w:t>
      </w:r>
      <w:r w:rsidR="0035472C">
        <w:t>, dual-fuel</w:t>
      </w:r>
      <w:r>
        <w:t xml:space="preserve"> households in existing homes, including private renters, face </w:t>
      </w:r>
      <w:r w:rsidR="009E1549">
        <w:t>bigger</w:t>
      </w:r>
      <w:r w:rsidR="00025EC2">
        <w:t xml:space="preserve"> barriers to transitioning from gas to all-electric. </w:t>
      </w:r>
      <w:r w:rsidR="003A08BA">
        <w:t>These households face what have been referred to as a ‘poverty premium’</w:t>
      </w:r>
      <w:r w:rsidR="00CD41CE">
        <w:t>,</w:t>
      </w:r>
      <w:r w:rsidR="003A08BA">
        <w:t xml:space="preserve"> </w:t>
      </w:r>
      <w:r w:rsidR="003355DF">
        <w:t>where their inability</w:t>
      </w:r>
      <w:r w:rsidR="00EF08BD">
        <w:t xml:space="preserve"> to afford the</w:t>
      </w:r>
      <w:r w:rsidR="003A08BA">
        <w:t xml:space="preserve"> </w:t>
      </w:r>
      <w:r w:rsidR="00B1006D">
        <w:t xml:space="preserve">upfront costs </w:t>
      </w:r>
      <w:r w:rsidR="00EF08BD">
        <w:t xml:space="preserve">of switching appliances prevents them from </w:t>
      </w:r>
      <w:r w:rsidR="00B1006D">
        <w:t xml:space="preserve">accessing long-term reductions in the </w:t>
      </w:r>
      <w:r w:rsidR="00930B6B">
        <w:t>cost of energy</w:t>
      </w:r>
      <w:r w:rsidR="00B1006D">
        <w:t>.</w:t>
      </w:r>
      <w:r w:rsidR="00BD3FEF">
        <w:t xml:space="preserve"> </w:t>
      </w:r>
      <w:r w:rsidR="0002415F">
        <w:t>In managing the transition, it will be particularly important to support t</w:t>
      </w:r>
      <w:r w:rsidR="00BD3FEF" w:rsidRPr="00BD3FEF">
        <w:t>hese</w:t>
      </w:r>
      <w:r w:rsidR="000E4EF9">
        <w:t xml:space="preserve"> consumers</w:t>
      </w:r>
      <w:r w:rsidR="00BD3FEF" w:rsidRPr="00BD3FEF">
        <w:t xml:space="preserve">, who remain connected to gas because of inability to switch, </w:t>
      </w:r>
      <w:r w:rsidR="0035472C">
        <w:t xml:space="preserve">and who </w:t>
      </w:r>
      <w:r w:rsidR="00BD3FEF" w:rsidRPr="00BD3FEF">
        <w:t>will be the most affected by the consequences of any changes.</w:t>
      </w:r>
      <w:r w:rsidR="009E1549">
        <w:t xml:space="preserve"> Private renters</w:t>
      </w:r>
      <w:r w:rsidR="00D004AB">
        <w:t xml:space="preserve"> are also faced with </w:t>
      </w:r>
      <w:r w:rsidR="00313588">
        <w:t xml:space="preserve">an additional barrier </w:t>
      </w:r>
      <w:r w:rsidR="005F2533">
        <w:t>in the form of a</w:t>
      </w:r>
      <w:r w:rsidR="00D004AB">
        <w:t xml:space="preserve"> ‘split incentive’, where energy efficiency </w:t>
      </w:r>
      <w:r w:rsidR="005F2533">
        <w:t xml:space="preserve">improvements </w:t>
      </w:r>
      <w:r w:rsidR="00557337">
        <w:t xml:space="preserve">represent a cost to the lessor, but </w:t>
      </w:r>
      <w:r w:rsidR="00904D85">
        <w:t xml:space="preserve">a </w:t>
      </w:r>
      <w:r w:rsidR="00557337">
        <w:t>saving to the tenant.</w:t>
      </w:r>
    </w:p>
    <w:p w14:paraId="6DCB42D6" w14:textId="78DC5704" w:rsidR="004E4D37" w:rsidRDefault="005277C7" w:rsidP="00025EC2">
      <w:pPr>
        <w:pStyle w:val="BodyText"/>
      </w:pPr>
      <w:r>
        <w:t xml:space="preserve">There </w:t>
      </w:r>
      <w:r w:rsidR="00241D48">
        <w:t xml:space="preserve">are also likely to be </w:t>
      </w:r>
      <w:proofErr w:type="gramStart"/>
      <w:r w:rsidR="00241D48">
        <w:t>a number of</w:t>
      </w:r>
      <w:proofErr w:type="gramEnd"/>
      <w:r w:rsidR="00241D48">
        <w:t xml:space="preserve"> low-income households that would prefer to</w:t>
      </w:r>
      <w:r w:rsidR="00656A31">
        <w:t xml:space="preserve"> continue to use gas and/or their existing </w:t>
      </w:r>
      <w:r w:rsidR="00904D85">
        <w:t xml:space="preserve">gas </w:t>
      </w:r>
      <w:r w:rsidR="00656A31">
        <w:t xml:space="preserve">appliances. This </w:t>
      </w:r>
      <w:r w:rsidR="0030778F">
        <w:t xml:space="preserve">is likely to include older people and people from culturally and linguistically diverse </w:t>
      </w:r>
      <w:r w:rsidR="0030778F">
        <w:lastRenderedPageBreak/>
        <w:t>backgrounds</w:t>
      </w:r>
      <w:r w:rsidR="00D92853">
        <w:t xml:space="preserve">. </w:t>
      </w:r>
      <w:r w:rsidR="005E46E2">
        <w:t xml:space="preserve">It will be important to ensure that </w:t>
      </w:r>
      <w:r w:rsidR="0007029D">
        <w:t xml:space="preserve">there are measures to support </w:t>
      </w:r>
      <w:r w:rsidR="00517895">
        <w:t>low-income</w:t>
      </w:r>
      <w:r w:rsidR="0007029D">
        <w:t xml:space="preserve"> households with a strong preference to remain on gas</w:t>
      </w:r>
      <w:r w:rsidR="0071654E">
        <w:t xml:space="preserve"> to do so affordably</w:t>
      </w:r>
      <w:r w:rsidR="00993B13">
        <w:t>, or otherwise providing appropriate support to transition to electric appliances.</w:t>
      </w:r>
    </w:p>
    <w:p w14:paraId="42D4A5C0" w14:textId="3842F255" w:rsidR="007C687D" w:rsidRDefault="00BB5E58" w:rsidP="00BB5E58">
      <w:pPr>
        <w:pStyle w:val="Heading1"/>
      </w:pPr>
      <w:bookmarkStart w:id="12" w:name="_Toc42267658"/>
      <w:r>
        <w:t>Depreciation</w:t>
      </w:r>
      <w:bookmarkEnd w:id="12"/>
    </w:p>
    <w:tbl>
      <w:tblPr>
        <w:tblStyle w:val="TableGrid"/>
        <w:tblW w:w="0" w:type="auto"/>
        <w:shd w:val="clear" w:color="auto" w:fill="DEEAF6" w:themeFill="accent5" w:themeFillTint="33"/>
        <w:tblLook w:val="04A0" w:firstRow="1" w:lastRow="0" w:firstColumn="1" w:lastColumn="0" w:noHBand="0" w:noVBand="1"/>
      </w:tblPr>
      <w:tblGrid>
        <w:gridCol w:w="8494"/>
      </w:tblGrid>
      <w:tr w:rsidR="00BB5E58" w14:paraId="29417A83" w14:textId="77777777" w:rsidTr="00D73720">
        <w:tc>
          <w:tcPr>
            <w:tcW w:w="8494" w:type="dxa"/>
            <w:shd w:val="clear" w:color="auto" w:fill="DEEAF6" w:themeFill="accent5" w:themeFillTint="33"/>
          </w:tcPr>
          <w:p w14:paraId="79BED6C0" w14:textId="58DCC757" w:rsidR="00BB5E58" w:rsidRDefault="00BB5E58" w:rsidP="00D73720">
            <w:pPr>
              <w:pStyle w:val="Boxbody"/>
            </w:pPr>
            <w:r w:rsidRPr="00BB5E58">
              <w:t>We would welcome your views on our proposed approach to calculating depreciation</w:t>
            </w:r>
            <w:r w:rsidR="00D73720">
              <w:t>.</w:t>
            </w:r>
          </w:p>
        </w:tc>
      </w:tr>
    </w:tbl>
    <w:p w14:paraId="4E1E7FAC" w14:textId="77777777" w:rsidR="00BB5E58" w:rsidRDefault="00BB5E58" w:rsidP="00043834">
      <w:pPr>
        <w:pStyle w:val="BodyText"/>
      </w:pPr>
    </w:p>
    <w:p w14:paraId="7FD51795" w14:textId="2FFF4AA0" w:rsidR="00806CCF" w:rsidRDefault="00806CCF" w:rsidP="00806CCF">
      <w:pPr>
        <w:pStyle w:val="BodyText"/>
      </w:pPr>
      <w:r>
        <w:t xml:space="preserve">As noted above, the GN21 Draft Plan </w:t>
      </w:r>
      <w:proofErr w:type="gramStart"/>
      <w:r>
        <w:t>is based on the assumption</w:t>
      </w:r>
      <w:proofErr w:type="gramEnd"/>
      <w:r>
        <w:t xml:space="preserve"> that </w:t>
      </w:r>
      <w:proofErr w:type="spellStart"/>
      <w:r>
        <w:t>Evoenergy</w:t>
      </w:r>
      <w:proofErr w:type="spellEnd"/>
      <w:r>
        <w:t xml:space="preserve"> ‘will </w:t>
      </w:r>
      <w:r w:rsidRPr="008C756B">
        <w:t>need to accelerate depreciation for new capital expenditure by adjusting the asset lives of new investment</w:t>
      </w:r>
      <w:r>
        <w:t>’</w:t>
      </w:r>
      <w:r w:rsidRPr="008C756B">
        <w:t>.</w:t>
      </w:r>
      <w:r w:rsidR="00A53725">
        <w:t xml:space="preserve"> </w:t>
      </w:r>
      <w:proofErr w:type="spellStart"/>
      <w:r w:rsidR="00126E3C">
        <w:t>Evoenergy’s</w:t>
      </w:r>
      <w:proofErr w:type="spellEnd"/>
      <w:r w:rsidR="00126E3C">
        <w:t xml:space="preserve"> proposed approach to calculating depreciation is outlined as follows:</w:t>
      </w:r>
    </w:p>
    <w:p w14:paraId="0E1BA85B" w14:textId="77777777" w:rsidR="00806CCF" w:rsidRDefault="00806CCF" w:rsidP="00806CCF">
      <w:pPr>
        <w:pStyle w:val="BlockText"/>
      </w:pPr>
      <w:r>
        <w:t xml:space="preserve">In this environment of uncertainty, we consider it prudent to shorten the useful lives of some new, long-lived assets for calculating regulatory depreciation to reflect the likelihood that they may become obsolete before the end of their engineering lives. We have in this way shortened the lives of three asset groups for new investment. </w:t>
      </w:r>
      <w:proofErr w:type="gramStart"/>
      <w:r>
        <w:t>Specifically</w:t>
      </w:r>
      <w:proofErr w:type="gramEnd"/>
      <w:r>
        <w:t xml:space="preserve"> we have:</w:t>
      </w:r>
    </w:p>
    <w:p w14:paraId="5616552B" w14:textId="77777777" w:rsidR="00806CCF" w:rsidRDefault="00806CCF" w:rsidP="00D73720">
      <w:pPr>
        <w:pStyle w:val="BlockText-ListBullet"/>
      </w:pPr>
      <w:r>
        <w:t xml:space="preserve">reduced the asset lives for new investment in high pressure mains from 80 years to 50 </w:t>
      </w:r>
      <w:proofErr w:type="gramStart"/>
      <w:r>
        <w:t>years;</w:t>
      </w:r>
      <w:proofErr w:type="gramEnd"/>
    </w:p>
    <w:p w14:paraId="31CE2F9C" w14:textId="77777777" w:rsidR="00806CCF" w:rsidRDefault="00806CCF" w:rsidP="00D73720">
      <w:pPr>
        <w:pStyle w:val="BlockText-ListBullet"/>
      </w:pPr>
      <w:r>
        <w:t>reduced the asset lives for new investment in medium pressure mains from 50 to 30 years; and</w:t>
      </w:r>
    </w:p>
    <w:p w14:paraId="4E05371B" w14:textId="77777777" w:rsidR="00806CCF" w:rsidRDefault="00806CCF" w:rsidP="00D73720">
      <w:pPr>
        <w:pStyle w:val="BlockText-ListBullet"/>
      </w:pPr>
      <w:r>
        <w:t>reduced the asset lives for new investment in medium pressure services from 50 to 30 years.</w:t>
      </w:r>
    </w:p>
    <w:p w14:paraId="391FF2EE" w14:textId="77777777" w:rsidR="00806CCF" w:rsidRDefault="00806CCF" w:rsidP="00806CCF">
      <w:pPr>
        <w:pStyle w:val="BlockText"/>
      </w:pPr>
      <w:r>
        <w:t>The impact of shortening asset lives on the revenue requirement for the 2021–26 period is minimal ($0.7 million).</w:t>
      </w:r>
      <w:r>
        <w:rPr>
          <w:rStyle w:val="FootnoteReference"/>
        </w:rPr>
        <w:footnoteReference w:id="26"/>
      </w:r>
    </w:p>
    <w:p w14:paraId="088D8FD3" w14:textId="0881E6D0" w:rsidR="00BD7348" w:rsidRDefault="007F0DF3" w:rsidP="00204E1D">
      <w:pPr>
        <w:pStyle w:val="BodyText"/>
      </w:pPr>
      <w:r>
        <w:t xml:space="preserve">ACTCOSS recommends that </w:t>
      </w:r>
      <w:proofErr w:type="spellStart"/>
      <w:r>
        <w:t>Evoenergy</w:t>
      </w:r>
      <w:proofErr w:type="spellEnd"/>
      <w:r>
        <w:t xml:space="preserve"> undertake an additional ‘deep dive’</w:t>
      </w:r>
      <w:r w:rsidR="00BD7348">
        <w:t xml:space="preserve"> </w:t>
      </w:r>
      <w:r>
        <w:t>with</w:t>
      </w:r>
      <w:r w:rsidR="00BD7348">
        <w:t xml:space="preserve"> stakeholders on the issue of depreciation </w:t>
      </w:r>
      <w:r w:rsidR="000F2BE8">
        <w:t>to inform</w:t>
      </w:r>
      <w:r w:rsidR="00BD7348">
        <w:t xml:space="preserve"> its proposal to</w:t>
      </w:r>
      <w:r w:rsidR="000F2BE8">
        <w:t xml:space="preserve"> the</w:t>
      </w:r>
      <w:r w:rsidR="00BD7348">
        <w:t xml:space="preserve"> AER.</w:t>
      </w:r>
      <w:r w:rsidR="00AB32DB">
        <w:t xml:space="preserve"> </w:t>
      </w:r>
      <w:r w:rsidR="00883E3C">
        <w:t xml:space="preserve">We expect that the AER </w:t>
      </w:r>
      <w:r w:rsidR="000F2BE8">
        <w:t xml:space="preserve">will </w:t>
      </w:r>
      <w:r w:rsidR="00883E3C">
        <w:t xml:space="preserve">want to </w:t>
      </w:r>
      <w:r w:rsidR="000F2BE8">
        <w:t>see evidence of</w:t>
      </w:r>
      <w:r w:rsidR="00883E3C">
        <w:t xml:space="preserve"> consumer support for </w:t>
      </w:r>
      <w:proofErr w:type="spellStart"/>
      <w:r w:rsidR="00E6099C">
        <w:t>Evoenergy’s</w:t>
      </w:r>
      <w:proofErr w:type="spellEnd"/>
      <w:r w:rsidR="00E6099C">
        <w:t xml:space="preserve"> proposed approach. Given the technical nature of this issue, it would be useful to provide consumer advocates with</w:t>
      </w:r>
      <w:r w:rsidR="00AB32DB">
        <w:t xml:space="preserve"> the opportunity to </w:t>
      </w:r>
      <w:r w:rsidR="00E6099C">
        <w:t>obtain</w:t>
      </w:r>
      <w:r w:rsidR="00AB32DB">
        <w:t xml:space="preserve"> independent</w:t>
      </w:r>
      <w:r w:rsidR="00E6099C">
        <w:t xml:space="preserve"> </w:t>
      </w:r>
      <w:r w:rsidR="00AB32DB">
        <w:t>expert advice on this</w:t>
      </w:r>
      <w:r w:rsidR="0002352F">
        <w:t xml:space="preserve"> </w:t>
      </w:r>
      <w:proofErr w:type="gramStart"/>
      <w:r w:rsidR="0002352F">
        <w:t>in order to</w:t>
      </w:r>
      <w:proofErr w:type="gramEnd"/>
      <w:r w:rsidR="0002352F">
        <w:t xml:space="preserve"> determine whether to support th</w:t>
      </w:r>
      <w:r w:rsidR="000F2BE8">
        <w:t>e proposed</w:t>
      </w:r>
      <w:r w:rsidR="0002352F">
        <w:t xml:space="preserve"> approach</w:t>
      </w:r>
      <w:r w:rsidR="000F2BE8">
        <w:t xml:space="preserve"> to calculating depreciation</w:t>
      </w:r>
      <w:r w:rsidR="0002352F">
        <w:t>.</w:t>
      </w:r>
    </w:p>
    <w:p w14:paraId="53BDD1C3" w14:textId="0CC2F8B0" w:rsidR="00BF0B88" w:rsidRDefault="00AB66FF" w:rsidP="00204E1D">
      <w:pPr>
        <w:pStyle w:val="BodyText"/>
      </w:pPr>
      <w:r>
        <w:t xml:space="preserve">In order for us to support </w:t>
      </w:r>
      <w:proofErr w:type="spellStart"/>
      <w:r>
        <w:t>Evoenergy’s</w:t>
      </w:r>
      <w:proofErr w:type="spellEnd"/>
      <w:r>
        <w:t xml:space="preserve"> approach, we would need to be confident that </w:t>
      </w:r>
      <w:r w:rsidR="00066060">
        <w:t xml:space="preserve">this approach </w:t>
      </w:r>
      <w:r w:rsidR="005C54D3">
        <w:t>ensures</w:t>
      </w:r>
      <w:r w:rsidR="00BF0B88">
        <w:t xml:space="preserve"> the equitable distribution of financial risks</w:t>
      </w:r>
      <w:r w:rsidR="00BB75B5">
        <w:t xml:space="preserve"> </w:t>
      </w:r>
      <w:r w:rsidR="00E839EF" w:rsidRPr="00E839EF">
        <w:t>so that those exposed to risks to have the ability and incentive to manage them</w:t>
      </w:r>
      <w:r w:rsidR="000D1039">
        <w:t>.</w:t>
      </w:r>
      <w:r w:rsidR="003E3FCD">
        <w:rPr>
          <w:rStyle w:val="FootnoteReference"/>
        </w:rPr>
        <w:footnoteReference w:id="27"/>
      </w:r>
      <w:r w:rsidR="00951B57" w:rsidRPr="00951B57">
        <w:t xml:space="preserve"> </w:t>
      </w:r>
      <w:r w:rsidR="0075573E">
        <w:t>A</w:t>
      </w:r>
      <w:r w:rsidR="00A40E87">
        <w:t xml:space="preserve"> critical</w:t>
      </w:r>
      <w:r w:rsidR="00951B57" w:rsidRPr="00951B57">
        <w:t xml:space="preserve"> question </w:t>
      </w:r>
      <w:r w:rsidR="0075573E">
        <w:t>is</w:t>
      </w:r>
      <w:r w:rsidR="00951B57" w:rsidRPr="00951B57">
        <w:t xml:space="preserve"> who should pay –</w:t>
      </w:r>
      <w:r w:rsidR="0075573E">
        <w:t xml:space="preserve"> </w:t>
      </w:r>
      <w:r w:rsidR="00951B57" w:rsidRPr="00951B57">
        <w:t>consumer</w:t>
      </w:r>
      <w:r w:rsidR="009A7835">
        <w:t>s</w:t>
      </w:r>
      <w:r w:rsidR="009A20B6">
        <w:t xml:space="preserve"> (current or future)</w:t>
      </w:r>
      <w:r w:rsidR="00951B57" w:rsidRPr="00951B57">
        <w:t>,</w:t>
      </w:r>
      <w:r w:rsidR="00A40E87">
        <w:t xml:space="preserve"> shareholders,</w:t>
      </w:r>
      <w:r w:rsidR="00951B57" w:rsidRPr="00951B57">
        <w:t xml:space="preserve"> </w:t>
      </w:r>
      <w:proofErr w:type="spellStart"/>
      <w:r w:rsidR="00951B57" w:rsidRPr="00951B57">
        <w:t>Evoenergy</w:t>
      </w:r>
      <w:proofErr w:type="spellEnd"/>
      <w:r w:rsidR="00951B57" w:rsidRPr="00951B57">
        <w:t>, or the ACT Government.</w:t>
      </w:r>
      <w:r w:rsidR="0019584E">
        <w:t xml:space="preserve"> Our view is that it is not </w:t>
      </w:r>
      <w:r w:rsidR="0019584E">
        <w:lastRenderedPageBreak/>
        <w:t>reasonable to expect consumers to bear the full risk</w:t>
      </w:r>
      <w:r w:rsidR="00DC521E">
        <w:t xml:space="preserve"> of </w:t>
      </w:r>
      <w:proofErr w:type="spellStart"/>
      <w:r w:rsidR="00DC521E">
        <w:t>Evoenergy’s</w:t>
      </w:r>
      <w:proofErr w:type="spellEnd"/>
      <w:r w:rsidR="00DC521E">
        <w:t xml:space="preserve"> gas assets becoming stranded </w:t>
      </w:r>
      <w:r w:rsidR="00C2124E">
        <w:t>due to the perceived climate change mitigation risks.</w:t>
      </w:r>
    </w:p>
    <w:p w14:paraId="3996413F" w14:textId="3B0FBBD9" w:rsidR="004E5DA2" w:rsidRDefault="004E5DA2" w:rsidP="00204E1D">
      <w:pPr>
        <w:pStyle w:val="BodyText"/>
      </w:pPr>
      <w:r>
        <w:t xml:space="preserve">Our primary concern is that </w:t>
      </w:r>
      <w:r w:rsidR="00C2124E">
        <w:t xml:space="preserve">low-income gas consumers </w:t>
      </w:r>
      <w:r w:rsidR="00C34C3E">
        <w:t xml:space="preserve">who are unable to afford to transition </w:t>
      </w:r>
      <w:r w:rsidR="007D4464">
        <w:t xml:space="preserve">from gas </w:t>
      </w:r>
      <w:r w:rsidR="00A87511">
        <w:t xml:space="preserve">are </w:t>
      </w:r>
      <w:r w:rsidR="004931E6">
        <w:t xml:space="preserve">at </w:t>
      </w:r>
      <w:r w:rsidR="00665287">
        <w:t>significant risk of being stuck on the gas network</w:t>
      </w:r>
      <w:r w:rsidR="007D4464">
        <w:t xml:space="preserve">. </w:t>
      </w:r>
      <w:r w:rsidR="003E2B5A">
        <w:t xml:space="preserve">Those customers remaining on the gas network </w:t>
      </w:r>
      <w:r w:rsidR="007D4464">
        <w:t xml:space="preserve">would face </w:t>
      </w:r>
      <w:r w:rsidR="00AB66FF">
        <w:t xml:space="preserve">even higher </w:t>
      </w:r>
      <w:r w:rsidR="007D4464">
        <w:t>gas</w:t>
      </w:r>
      <w:r w:rsidR="00665287">
        <w:t xml:space="preserve"> costs </w:t>
      </w:r>
      <w:r w:rsidR="00364B98">
        <w:t>as they are spread over a smaller customer base.</w:t>
      </w:r>
      <w:r w:rsidR="00E2095B">
        <w:t xml:space="preserve"> </w:t>
      </w:r>
      <w:r w:rsidR="00174DA3">
        <w:t xml:space="preserve">One resource that we have found useful </w:t>
      </w:r>
      <w:r w:rsidR="0085128A">
        <w:t xml:space="preserve">in relation to this </w:t>
      </w:r>
      <w:r w:rsidR="00174DA3">
        <w:t>is a recent report on</w:t>
      </w:r>
      <w:r w:rsidR="003E2B5A">
        <w:t xml:space="preserve"> the risk of stranded gas assets in California (see extract</w:t>
      </w:r>
      <w:r w:rsidR="00C8266D">
        <w:t xml:space="preserve"> in</w:t>
      </w:r>
      <w:r w:rsidR="00B702BD">
        <w:t xml:space="preserve"> text</w:t>
      </w:r>
      <w:r w:rsidR="00C8266D">
        <w:t xml:space="preserve"> box</w:t>
      </w:r>
      <w:r w:rsidR="003E2B5A">
        <w:t xml:space="preserve"> </w:t>
      </w:r>
      <w:r w:rsidR="00B702BD">
        <w:t>below</w:t>
      </w:r>
      <w:r w:rsidR="003E2B5A">
        <w:t>).</w:t>
      </w:r>
    </w:p>
    <w:p w14:paraId="20F5D126" w14:textId="28F29930" w:rsidR="00965F1B" w:rsidRDefault="00C56D82" w:rsidP="00204E1D">
      <w:pPr>
        <w:pStyle w:val="BodyText"/>
      </w:pPr>
      <w:r>
        <w:t xml:space="preserve">We note that </w:t>
      </w:r>
      <w:proofErr w:type="spellStart"/>
      <w:r w:rsidR="00836CD4" w:rsidRPr="00836CD4">
        <w:t>Evoenergy</w:t>
      </w:r>
      <w:proofErr w:type="spellEnd"/>
      <w:r w:rsidR="00836CD4" w:rsidRPr="00836CD4">
        <w:t xml:space="preserve"> has supported </w:t>
      </w:r>
      <w:r w:rsidR="00886581">
        <w:t xml:space="preserve">the </w:t>
      </w:r>
      <w:r w:rsidR="00846838">
        <w:t xml:space="preserve">following </w:t>
      </w:r>
      <w:r w:rsidR="00886581">
        <w:t>Citizens’</w:t>
      </w:r>
      <w:r w:rsidR="009A7835">
        <w:t xml:space="preserve"> </w:t>
      </w:r>
      <w:r w:rsidR="00886581">
        <w:t xml:space="preserve">Jury </w:t>
      </w:r>
      <w:r w:rsidR="00846838">
        <w:t>r</w:t>
      </w:r>
      <w:r w:rsidR="00886581">
        <w:t>ecommendation</w:t>
      </w:r>
      <w:r w:rsidR="00595E80">
        <w:t xml:space="preserve"> in principle:</w:t>
      </w:r>
    </w:p>
    <w:p w14:paraId="5844EDB1" w14:textId="238DBAC3" w:rsidR="00886581" w:rsidRDefault="00846838" w:rsidP="005B7E68">
      <w:pPr>
        <w:pStyle w:val="BlockText"/>
      </w:pPr>
      <w:r>
        <w:t xml:space="preserve">Recommendation 5: </w:t>
      </w:r>
      <w:proofErr w:type="spellStart"/>
      <w:r w:rsidR="005B7E68" w:rsidRPr="005B7E68">
        <w:t>Evoenergy</w:t>
      </w:r>
      <w:proofErr w:type="spellEnd"/>
      <w:r w:rsidR="005B7E68" w:rsidRPr="005B7E68">
        <w:t>, in consultation with relevant parties (including Government, retailers and consumers), to develop consumer-centred policy to protect consumers from unexpected transition issues; consumers being stranded if critical mass exodus occurs. The purpose of this recommendation is to give consumers certainty.</w:t>
      </w:r>
      <w:r w:rsidR="00595E80">
        <w:rPr>
          <w:rStyle w:val="FootnoteReference"/>
        </w:rPr>
        <w:footnoteReference w:id="28"/>
      </w:r>
    </w:p>
    <w:p w14:paraId="0F429E2A" w14:textId="01C71CCE" w:rsidR="00836CD4" w:rsidRDefault="00E15039" w:rsidP="00836CD4">
      <w:pPr>
        <w:pStyle w:val="BodyText"/>
      </w:pPr>
      <w:r>
        <w:t xml:space="preserve">It would be useful if </w:t>
      </w:r>
      <w:proofErr w:type="spellStart"/>
      <w:r>
        <w:t>Evoenergy</w:t>
      </w:r>
      <w:proofErr w:type="spellEnd"/>
      <w:r>
        <w:t xml:space="preserve"> could </w:t>
      </w:r>
      <w:r w:rsidR="00A2757E">
        <w:t>demonstrate</w:t>
      </w:r>
      <w:r>
        <w:t xml:space="preserve"> how the proposed approach to </w:t>
      </w:r>
      <w:r w:rsidR="00C50A24">
        <w:t xml:space="preserve">depreciation would be consumer-centred </w:t>
      </w:r>
      <w:r w:rsidR="00EF3577">
        <w:t>in relation to the distribution of risk</w:t>
      </w:r>
      <w:r w:rsidR="00C50A24">
        <w:t>.</w:t>
      </w:r>
    </w:p>
    <w:p w14:paraId="4EA8B851" w14:textId="2AD309F4" w:rsidR="00C96DB2" w:rsidRDefault="00B746FA" w:rsidP="00836CD4">
      <w:pPr>
        <w:pStyle w:val="BodyText"/>
      </w:pPr>
      <w:r>
        <w:t xml:space="preserve">In response to questions raised as part of the Deep Dive Part A workshop, </w:t>
      </w:r>
      <w:proofErr w:type="spellStart"/>
      <w:r>
        <w:t>Evoenergy</w:t>
      </w:r>
      <w:proofErr w:type="spellEnd"/>
      <w:r>
        <w:t xml:space="preserve"> stated that its</w:t>
      </w:r>
      <w:r w:rsidRPr="00B746FA">
        <w:t xml:space="preserve"> </w:t>
      </w:r>
      <w:r>
        <w:t>‘</w:t>
      </w:r>
      <w:r w:rsidRPr="00B746FA">
        <w:t>ambition as a business is that in time the network will distribute renewable gas</w:t>
      </w:r>
      <w:r>
        <w:t>’</w:t>
      </w:r>
      <w:r w:rsidRPr="00B746FA">
        <w:t>.</w:t>
      </w:r>
      <w:r w:rsidR="004002FF">
        <w:rPr>
          <w:rStyle w:val="FootnoteReference"/>
        </w:rPr>
        <w:footnoteReference w:id="29"/>
      </w:r>
      <w:r w:rsidR="00E47241">
        <w:t xml:space="preserve"> </w:t>
      </w:r>
      <w:r w:rsidR="009C1E16">
        <w:t>While we agree wi</w:t>
      </w:r>
      <w:r w:rsidR="00687D5A">
        <w:t xml:space="preserve">th </w:t>
      </w:r>
      <w:proofErr w:type="spellStart"/>
      <w:r w:rsidR="00687D5A">
        <w:t>Evoenergy</w:t>
      </w:r>
      <w:proofErr w:type="spellEnd"/>
      <w:r w:rsidR="00687D5A">
        <w:t xml:space="preserve"> that GN21 is taking place amidst considerable uncertainty</w:t>
      </w:r>
      <w:r w:rsidR="005554A3">
        <w:t xml:space="preserve">, </w:t>
      </w:r>
      <w:r w:rsidR="00806821">
        <w:t xml:space="preserve">there is potentially a tension between </w:t>
      </w:r>
      <w:r w:rsidR="00AA37A3">
        <w:t>its stated</w:t>
      </w:r>
      <w:r w:rsidR="00806821">
        <w:t xml:space="preserve"> ambition and </w:t>
      </w:r>
      <w:r w:rsidR="005971D9">
        <w:t>the proposed approach to depreciation</w:t>
      </w:r>
      <w:r w:rsidR="00414F08">
        <w:t xml:space="preserve"> if </w:t>
      </w:r>
      <w:r w:rsidR="00396D26">
        <w:t>this</w:t>
      </w:r>
      <w:r w:rsidR="00866D2C">
        <w:t xml:space="preserve"> approach</w:t>
      </w:r>
      <w:r w:rsidR="00414F08">
        <w:t xml:space="preserve"> includes</w:t>
      </w:r>
      <w:r w:rsidR="00EA3CCA">
        <w:t xml:space="preserve"> the accelerated depreciation of</w:t>
      </w:r>
      <w:r w:rsidR="00414F08">
        <w:t xml:space="preserve"> assets that </w:t>
      </w:r>
      <w:r w:rsidR="00866D2C">
        <w:t>w</w:t>
      </w:r>
      <w:r w:rsidR="00EA3CCA">
        <w:t>ould remain useful to distribute renewable gas.</w:t>
      </w:r>
      <w:r w:rsidR="005554A3">
        <w:t xml:space="preserve"> </w:t>
      </w:r>
    </w:p>
    <w:p w14:paraId="6579EF35" w14:textId="396A6A18" w:rsidR="009F3ED9" w:rsidRDefault="00F62380" w:rsidP="00846838">
      <w:pPr>
        <w:pStyle w:val="BodyText"/>
      </w:pPr>
      <w:r>
        <w:t xml:space="preserve">We </w:t>
      </w:r>
      <w:r w:rsidR="00B9217F">
        <w:t>are aware</w:t>
      </w:r>
      <w:r>
        <w:t xml:space="preserve"> that the issue of accelerated depreciation has </w:t>
      </w:r>
      <w:r w:rsidR="00BC0FC6">
        <w:t>been a contentious one</w:t>
      </w:r>
      <w:r>
        <w:t xml:space="preserve"> in </w:t>
      </w:r>
      <w:r w:rsidR="008A72A3">
        <w:t xml:space="preserve">the </w:t>
      </w:r>
      <w:r w:rsidR="00924095" w:rsidRPr="00924095">
        <w:t>Jemena Gas Networks (NSW) - Access arrangement 2020-25</w:t>
      </w:r>
      <w:r w:rsidR="00B9217F">
        <w:t xml:space="preserve">. </w:t>
      </w:r>
      <w:r w:rsidR="00682633">
        <w:t xml:space="preserve">This </w:t>
      </w:r>
      <w:r w:rsidR="00014AF1">
        <w:t xml:space="preserve">issue </w:t>
      </w:r>
      <w:r w:rsidR="00682633">
        <w:t>seem</w:t>
      </w:r>
      <w:r w:rsidR="00014AF1">
        <w:t>s</w:t>
      </w:r>
      <w:r w:rsidR="00682633">
        <w:t xml:space="preserve"> to </w:t>
      </w:r>
      <w:r w:rsidR="00D57A2F">
        <w:t xml:space="preserve">fall </w:t>
      </w:r>
      <w:r w:rsidR="00682633">
        <w:t>with</w:t>
      </w:r>
      <w:r w:rsidR="008A4B3F">
        <w:t>in the application of the national energy objectives in relation to climate change mitigation risks</w:t>
      </w:r>
      <w:r w:rsidR="00D57A2F">
        <w:t xml:space="preserve"> as outlined by the Australian Energy Market Commission (AEMC)</w:t>
      </w:r>
      <w:r w:rsidR="00FE63DD">
        <w:t>:</w:t>
      </w:r>
    </w:p>
    <w:p w14:paraId="54FA9FE0" w14:textId="7310980B" w:rsidR="00846838" w:rsidRDefault="00A313AF" w:rsidP="00A313AF">
      <w:pPr>
        <w:pStyle w:val="BlockText"/>
      </w:pPr>
      <w:r>
        <w:t xml:space="preserve">[The national energy objectives] </w:t>
      </w:r>
      <w:r w:rsidR="00FB17B7" w:rsidRPr="00FB17B7">
        <w:t>do not specifically require the Commission to have regard to the long-term interests of consumers with respect to climate change or the environmen</w:t>
      </w:r>
      <w:r w:rsidR="009F3ED9">
        <w:t xml:space="preserve">t... </w:t>
      </w:r>
      <w:r>
        <w:t xml:space="preserve">However, </w:t>
      </w:r>
      <w:r w:rsidR="009F3ED9" w:rsidRPr="009F3ED9">
        <w:t>in order to make decisions that meet the national energy objectives, the Commission considers whether its decisions are robust to any impacts on price, quality, safety, reliability and security of supply of energy or energy services, if these matters are impacted by mitigation or adaptation risk that manifests due to the issue of climate change.</w:t>
      </w:r>
      <w:r>
        <w:rPr>
          <w:rStyle w:val="FootnoteReference"/>
        </w:rPr>
        <w:footnoteReference w:id="30"/>
      </w:r>
    </w:p>
    <w:p w14:paraId="5EA5CACA" w14:textId="42DD3B3A" w:rsidR="00AA37A3" w:rsidRDefault="00AA37A3" w:rsidP="00AA37A3">
      <w:pPr>
        <w:pStyle w:val="BodyText"/>
      </w:pPr>
      <w:r>
        <w:lastRenderedPageBreak/>
        <w:t>We would encourage the AEMC and the AER to consider addressing this issue at a policy-level for gas networks in general.</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B702BD" w:rsidRPr="00CA7855" w14:paraId="68C688B2" w14:textId="77777777" w:rsidTr="004E3CAB">
        <w:trPr>
          <w:cantSplit/>
        </w:trPr>
        <w:tc>
          <w:tcPr>
            <w:tcW w:w="8720" w:type="dxa"/>
            <w:shd w:val="clear" w:color="auto" w:fill="auto"/>
            <w:tcMar>
              <w:left w:w="170" w:type="dxa"/>
              <w:right w:w="170" w:type="dxa"/>
            </w:tcMar>
          </w:tcPr>
          <w:p w14:paraId="7EEBF9CF" w14:textId="77777777" w:rsidR="00B702BD" w:rsidRDefault="00B702BD" w:rsidP="0086497C">
            <w:pPr>
              <w:pStyle w:val="BodyText"/>
              <w:spacing w:before="120"/>
              <w:rPr>
                <w:b/>
                <w:bCs/>
              </w:rPr>
            </w:pPr>
            <w:r>
              <w:rPr>
                <w:b/>
                <w:bCs/>
              </w:rPr>
              <w:t>Extract from ‘Managing the transition: proactive solutions for stranded gas asset risk in California’</w:t>
            </w:r>
            <w:r>
              <w:rPr>
                <w:rStyle w:val="FootnoteReference"/>
                <w:b/>
                <w:bCs/>
              </w:rPr>
              <w:footnoteReference w:id="31"/>
            </w:r>
          </w:p>
          <w:p w14:paraId="3DDB7FB9" w14:textId="77777777" w:rsidR="00B702BD" w:rsidRPr="00F10673" w:rsidRDefault="00B702BD" w:rsidP="004E3CAB">
            <w:pPr>
              <w:pStyle w:val="BodyText"/>
              <w:rPr>
                <w:b/>
                <w:bCs/>
              </w:rPr>
            </w:pPr>
            <w:r w:rsidRPr="00F10673">
              <w:rPr>
                <w:b/>
                <w:bCs/>
              </w:rPr>
              <w:t>Equitable Distribution of Financial Risks</w:t>
            </w:r>
          </w:p>
          <w:p w14:paraId="28BFAA0F" w14:textId="77777777" w:rsidR="00B702BD" w:rsidRDefault="00B702BD" w:rsidP="004E3CAB">
            <w:pPr>
              <w:pStyle w:val="BodyText"/>
            </w:pPr>
            <w:r>
              <w:t xml:space="preserve">As discussed in more detail below, there are critical tensions between different customer classifications that need to be considered in working to manage the risk and impact of stranded value during this transition. Importantly, key questions will need to be addressed regarding the balance between future and current customers, electric and gas customers, high income and </w:t>
            </w:r>
            <w:proofErr w:type="gramStart"/>
            <w:r>
              <w:t>low income</w:t>
            </w:r>
            <w:proofErr w:type="gramEnd"/>
            <w:r>
              <w:t xml:space="preserve"> customers, just to name a few. In the near term, it is highly possible that wealthier customers are more likely to be able to afford to disconnect from the gas system and to electrify its buildings, leaving the remaining customers with a lower ability to pay to pick up the remaining costs. As customers leave the system, the state may want to consider how the cost of the “exit” should be addressed and accommodated for, and on what time horizon.</w:t>
            </w:r>
          </w:p>
          <w:p w14:paraId="5BEBD0B9" w14:textId="77777777" w:rsidR="00B702BD" w:rsidRPr="009A2AC9" w:rsidRDefault="00B702BD" w:rsidP="004E3CAB">
            <w:pPr>
              <w:pStyle w:val="BodyText"/>
              <w:rPr>
                <w:b/>
                <w:bCs/>
              </w:rPr>
            </w:pPr>
            <w:r w:rsidRPr="009A2AC9">
              <w:rPr>
                <w:b/>
                <w:bCs/>
              </w:rPr>
              <w:t>Equity</w:t>
            </w:r>
          </w:p>
          <w:p w14:paraId="00B329CB" w14:textId="77777777" w:rsidR="00B702BD" w:rsidRDefault="00B702BD" w:rsidP="004E3CAB">
            <w:pPr>
              <w:pStyle w:val="BodyText"/>
            </w:pPr>
            <w:r w:rsidRPr="00AB757E">
              <w:t xml:space="preserve">With gas system operation and maintenance costs spread out across a smaller customer base, there is a significant risk that certain customer groups, particularly those low income customer groups, will be left footing the bill for an oversized gas system that other parties have now departed. Such groups may be stuck with rising gas rates (departing customers and recovery costs) and an inability to electrify (high capital costs, etc.). Further, there are also concerns over intergenerational equity as future ratepayers could be saddled with the costs of investments in the gas system that are no longer used and </w:t>
            </w:r>
            <w:proofErr w:type="gramStart"/>
            <w:r w:rsidRPr="00AB757E">
              <w:t>useful</w:t>
            </w:r>
            <w:proofErr w:type="gramEnd"/>
            <w:r w:rsidRPr="00AB757E">
              <w:t xml:space="preserve"> and they receive no benefit from.</w:t>
            </w:r>
          </w:p>
          <w:p w14:paraId="74570964" w14:textId="77777777" w:rsidR="00B702BD" w:rsidRPr="009A2AC9" w:rsidRDefault="00B702BD" w:rsidP="004E3CAB">
            <w:pPr>
              <w:pStyle w:val="BodyText"/>
              <w:rPr>
                <w:b/>
                <w:bCs/>
              </w:rPr>
            </w:pPr>
            <w:r w:rsidRPr="009A2AC9">
              <w:rPr>
                <w:b/>
                <w:bCs/>
              </w:rPr>
              <w:t>High Income vs. Low-Income Customers</w:t>
            </w:r>
          </w:p>
          <w:p w14:paraId="4A102775" w14:textId="77777777" w:rsidR="00B702BD" w:rsidRPr="00CA7855" w:rsidRDefault="00B702BD" w:rsidP="004E3CAB">
            <w:pPr>
              <w:pStyle w:val="BodyText"/>
            </w:pPr>
            <w:r w:rsidRPr="00107361">
              <w:t xml:space="preserve">With high </w:t>
            </w:r>
            <w:proofErr w:type="gramStart"/>
            <w:r w:rsidRPr="00107361">
              <w:t>up front</w:t>
            </w:r>
            <w:proofErr w:type="gramEnd"/>
            <w:r w:rsidRPr="00107361">
              <w:t xml:space="preserve"> capital costs associated with some electrification strategies, some investments will likely be implemented by higher income communities and customers. As a result, with a dwindling customer base in the gas system, large scale electrification may leave some lower income customers vulnerable to rising gas rates and no avenue to escape. As a result, a tension based on income and personal resources available to perform fuel substitution may increase over time, necessitating changes and expansions to public purpose programs to help vulnerable customers.</w:t>
            </w:r>
          </w:p>
        </w:tc>
      </w:tr>
    </w:tbl>
    <w:p w14:paraId="662CC750" w14:textId="667C7FDF" w:rsidR="00D95D45" w:rsidRDefault="00D95D45" w:rsidP="00552098">
      <w:pPr>
        <w:pStyle w:val="Heading1"/>
      </w:pPr>
      <w:bookmarkStart w:id="14" w:name="_Toc42267659"/>
      <w:r>
        <w:lastRenderedPageBreak/>
        <w:t>Bill</w:t>
      </w:r>
      <w:r w:rsidR="009567EE">
        <w:t xml:space="preserve"> </w:t>
      </w:r>
      <w:r w:rsidR="008D3C25">
        <w:t>I</w:t>
      </w:r>
      <w:r w:rsidR="009567EE">
        <w:t>mpacts</w:t>
      </w:r>
      <w:bookmarkEnd w:id="14"/>
    </w:p>
    <w:p w14:paraId="4CC55BA7" w14:textId="77777777" w:rsidR="009567EE" w:rsidRDefault="009567EE" w:rsidP="009567EE">
      <w:pPr>
        <w:pStyle w:val="BodyText"/>
      </w:pPr>
      <w:proofErr w:type="spellStart"/>
      <w:r>
        <w:t>Evoenergy’s</w:t>
      </w:r>
      <w:proofErr w:type="spellEnd"/>
      <w:r>
        <w:t xml:space="preserve"> GN21 Draft Plan indicates a relatively flat price path for the distribution network with minimal bill impacts for residential customers. The only real annual change to residential consumers bills is expected to be a 0.4% decrease in 2021-22, with no change in following years to 2025-26.</w:t>
      </w:r>
    </w:p>
    <w:p w14:paraId="2B8B1901" w14:textId="19E7C1E4" w:rsidR="009567EE" w:rsidRDefault="00251003" w:rsidP="009567EE">
      <w:pPr>
        <w:pStyle w:val="BodyText"/>
      </w:pPr>
      <w:r>
        <w:t>We understand that a</w:t>
      </w:r>
      <w:r w:rsidR="009567EE">
        <w:t xml:space="preserve"> decrease in the first year is typical (and potentially preferred by consumers), but the level of decrease in the draft plan appears smaller than was expected.</w:t>
      </w:r>
      <w:r>
        <w:t xml:space="preserve"> </w:t>
      </w:r>
    </w:p>
    <w:p w14:paraId="28BAA548" w14:textId="6B2F815A" w:rsidR="00873964" w:rsidRPr="009567EE" w:rsidRDefault="00873964" w:rsidP="009567EE">
      <w:pPr>
        <w:pStyle w:val="BodyText"/>
      </w:pPr>
      <w:r>
        <w:t xml:space="preserve">We would welcome </w:t>
      </w:r>
      <w:r w:rsidR="00E124CF">
        <w:t>further</w:t>
      </w:r>
      <w:r>
        <w:t xml:space="preserve"> </w:t>
      </w:r>
      <w:r w:rsidR="00BC52C1">
        <w:t xml:space="preserve">explanation of </w:t>
      </w:r>
      <w:r w:rsidR="00E124CF">
        <w:t>why the</w:t>
      </w:r>
      <w:r w:rsidR="00BC52C1">
        <w:t xml:space="preserve"> </w:t>
      </w:r>
      <w:r w:rsidR="00560B48">
        <w:t>forecast of a minimal impact on</w:t>
      </w:r>
      <w:r w:rsidR="00A44874">
        <w:t xml:space="preserve"> residential customers</w:t>
      </w:r>
      <w:r w:rsidR="00560B48">
        <w:t>’ bills</w:t>
      </w:r>
      <w:r w:rsidR="00A44874">
        <w:t xml:space="preserve"> under </w:t>
      </w:r>
      <w:proofErr w:type="spellStart"/>
      <w:r w:rsidR="00A44874">
        <w:t>Evoenergy’s</w:t>
      </w:r>
      <w:proofErr w:type="spellEnd"/>
      <w:r w:rsidR="00A44874">
        <w:t xml:space="preserve"> proposed approach.</w:t>
      </w:r>
    </w:p>
    <w:p w14:paraId="42E5C112" w14:textId="06ABA073" w:rsidR="00BB5E58" w:rsidRDefault="00BB5E58" w:rsidP="00552098">
      <w:pPr>
        <w:pStyle w:val="Heading1"/>
      </w:pPr>
      <w:bookmarkStart w:id="15" w:name="_Toc42267660"/>
      <w:r>
        <w:t>Capital E</w:t>
      </w:r>
      <w:r w:rsidR="000966A6">
        <w:t>xpenditure</w:t>
      </w:r>
      <w:r>
        <w:t xml:space="preserve"> Sharing Scheme</w:t>
      </w:r>
      <w:bookmarkEnd w:id="15"/>
    </w:p>
    <w:tbl>
      <w:tblPr>
        <w:tblStyle w:val="TableGrid"/>
        <w:tblW w:w="0" w:type="auto"/>
        <w:shd w:val="clear" w:color="auto" w:fill="DEEAF6" w:themeFill="accent5" w:themeFillTint="33"/>
        <w:tblLook w:val="04A0" w:firstRow="1" w:lastRow="0" w:firstColumn="1" w:lastColumn="0" w:noHBand="0" w:noVBand="1"/>
      </w:tblPr>
      <w:tblGrid>
        <w:gridCol w:w="8494"/>
      </w:tblGrid>
      <w:tr w:rsidR="00552098" w14:paraId="617814B1" w14:textId="77777777" w:rsidTr="004A6387">
        <w:tc>
          <w:tcPr>
            <w:tcW w:w="8494" w:type="dxa"/>
            <w:shd w:val="clear" w:color="auto" w:fill="DEEAF6" w:themeFill="accent5" w:themeFillTint="33"/>
          </w:tcPr>
          <w:p w14:paraId="3373184D" w14:textId="09A10846" w:rsidR="00552098" w:rsidRDefault="00552098" w:rsidP="004A6387">
            <w:pPr>
              <w:pStyle w:val="Boxbody"/>
            </w:pPr>
            <w:r w:rsidRPr="00552098">
              <w:t xml:space="preserve">What are your views on our proposal to adopt a CESS? What factors should we </w:t>
            </w:r>
            <w:proofErr w:type="gramStart"/>
            <w:r w:rsidRPr="00552098">
              <w:t>take into account</w:t>
            </w:r>
            <w:proofErr w:type="gramEnd"/>
            <w:r w:rsidRPr="00552098">
              <w:t xml:space="preserve"> in applying the scheme to the ACT?</w:t>
            </w:r>
          </w:p>
        </w:tc>
      </w:tr>
    </w:tbl>
    <w:p w14:paraId="5971CF50" w14:textId="77777777" w:rsidR="00552098" w:rsidRDefault="00552098" w:rsidP="00BB5E58">
      <w:pPr>
        <w:pStyle w:val="BodyText"/>
      </w:pPr>
    </w:p>
    <w:p w14:paraId="745351E9" w14:textId="5D46B43F" w:rsidR="003C0B98" w:rsidRDefault="00307873" w:rsidP="00A45703">
      <w:pPr>
        <w:pStyle w:val="BodyText"/>
      </w:pPr>
      <w:r>
        <w:t xml:space="preserve">We are uncertain about the value of </w:t>
      </w:r>
      <w:proofErr w:type="spellStart"/>
      <w:r w:rsidR="007078EE">
        <w:t>Evoenergy</w:t>
      </w:r>
      <w:proofErr w:type="spellEnd"/>
      <w:r w:rsidR="007078EE">
        <w:t xml:space="preserve"> adopting a Capital E</w:t>
      </w:r>
      <w:r w:rsidR="000966A6">
        <w:t>xpenditure</w:t>
      </w:r>
      <w:r w:rsidR="007078EE">
        <w:t xml:space="preserve"> Sharing Scheme (CESS) under GN21</w:t>
      </w:r>
      <w:r w:rsidR="00482C0E">
        <w:t xml:space="preserve">. Under the proposed CESS </w:t>
      </w:r>
      <w:r w:rsidR="00A45703">
        <w:t>any underspends or overspends on capital expenditure would be shared between customers (70 per cent) and the network business (30 per cent)</w:t>
      </w:r>
      <w:r w:rsidR="007078EE">
        <w:t xml:space="preserve">. </w:t>
      </w:r>
      <w:r w:rsidR="002539B0">
        <w:t xml:space="preserve">It is unclear whether </w:t>
      </w:r>
      <w:r w:rsidR="006540FF">
        <w:t xml:space="preserve">customers want or </w:t>
      </w:r>
      <w:r w:rsidR="00B64D60">
        <w:t xml:space="preserve">would </w:t>
      </w:r>
      <w:r w:rsidR="006540FF">
        <w:t xml:space="preserve">benefit from </w:t>
      </w:r>
      <w:r w:rsidR="00482C0E">
        <w:t>the proposed</w:t>
      </w:r>
      <w:r w:rsidR="006540FF">
        <w:t xml:space="preserve"> CESS</w:t>
      </w:r>
      <w:r w:rsidR="002539B0">
        <w:t xml:space="preserve">. </w:t>
      </w:r>
      <w:proofErr w:type="spellStart"/>
      <w:r w:rsidR="003C0B98">
        <w:t>Evoenergy’s</w:t>
      </w:r>
      <w:proofErr w:type="spellEnd"/>
      <w:r w:rsidR="003C0B98">
        <w:t xml:space="preserve"> </w:t>
      </w:r>
      <w:r w:rsidR="00684516">
        <w:t>Deep Dive</w:t>
      </w:r>
      <w:r w:rsidR="004F563B">
        <w:t xml:space="preserve"> Part A</w:t>
      </w:r>
      <w:r w:rsidR="00684516">
        <w:t xml:space="preserve"> </w:t>
      </w:r>
      <w:r w:rsidR="003C0B98">
        <w:t xml:space="preserve">workshop </w:t>
      </w:r>
      <w:r w:rsidR="00BB390A">
        <w:t>sought feedback from stakeholders on the most appropriate</w:t>
      </w:r>
      <w:r w:rsidR="004F563B">
        <w:t xml:space="preserve"> </w:t>
      </w:r>
      <w:r w:rsidR="00BB390A">
        <w:t>performance measures and weightings for the CESS</w:t>
      </w:r>
      <w:r w:rsidR="004F563B">
        <w:t>.</w:t>
      </w:r>
      <w:r w:rsidR="006540FF">
        <w:t xml:space="preserve"> </w:t>
      </w:r>
      <w:r w:rsidR="00B17AC2">
        <w:t xml:space="preserve">This </w:t>
      </w:r>
      <w:r w:rsidR="00B64D60">
        <w:t>skipped</w:t>
      </w:r>
      <w:r w:rsidR="00B17AC2">
        <w:t xml:space="preserve"> </w:t>
      </w:r>
      <w:r w:rsidR="00B64D60">
        <w:t>the</w:t>
      </w:r>
      <w:r w:rsidR="00B17AC2">
        <w:t xml:space="preserve"> key step of seeking </w:t>
      </w:r>
      <w:r w:rsidR="00B17AC2" w:rsidRPr="00B17AC2">
        <w:t>feedback from stakeholders on whether a CESS should be adopted</w:t>
      </w:r>
      <w:r w:rsidR="00B17AC2">
        <w:t>.</w:t>
      </w:r>
    </w:p>
    <w:p w14:paraId="4EB2C6FD" w14:textId="0F970AA9" w:rsidR="006540FF" w:rsidRDefault="00190D4D" w:rsidP="00616E24">
      <w:pPr>
        <w:pStyle w:val="BodyText"/>
      </w:pPr>
      <w:r>
        <w:t xml:space="preserve">We recommend </w:t>
      </w:r>
      <w:proofErr w:type="spellStart"/>
      <w:r>
        <w:t>Evoenergy</w:t>
      </w:r>
      <w:proofErr w:type="spellEnd"/>
      <w:r>
        <w:t xml:space="preserve"> seek consumer fee</w:t>
      </w:r>
      <w:r w:rsidR="00786198">
        <w:t xml:space="preserve">dback on </w:t>
      </w:r>
      <w:r w:rsidR="00CC3941">
        <w:t>whether a</w:t>
      </w:r>
      <w:r w:rsidR="006540FF">
        <w:t xml:space="preserve"> CESS </w:t>
      </w:r>
      <w:r w:rsidR="00CC3941">
        <w:t>should be adopted</w:t>
      </w:r>
      <w:r w:rsidR="00786198">
        <w:t xml:space="preserve">. Our key concern is </w:t>
      </w:r>
      <w:r w:rsidR="00392CE6">
        <w:t>whether</w:t>
      </w:r>
      <w:r w:rsidR="00CC3941">
        <w:t xml:space="preserve"> </w:t>
      </w:r>
      <w:r w:rsidR="00786198">
        <w:t>adopting a CESS</w:t>
      </w:r>
      <w:r w:rsidR="00CC3941">
        <w:t xml:space="preserve"> would </w:t>
      </w:r>
      <w:r w:rsidR="00392CE6">
        <w:t xml:space="preserve">be in the long-term interests of </w:t>
      </w:r>
      <w:r w:rsidR="00CC3941">
        <w:t>consumers</w:t>
      </w:r>
      <w:r w:rsidR="00786198">
        <w:t xml:space="preserve">. The </w:t>
      </w:r>
      <w:r w:rsidR="003061E7">
        <w:t xml:space="preserve">value of </w:t>
      </w:r>
      <w:r w:rsidR="00291EE0">
        <w:t xml:space="preserve">adopting </w:t>
      </w:r>
      <w:r w:rsidR="003061E7">
        <w:t xml:space="preserve">a CESS </w:t>
      </w:r>
      <w:r w:rsidR="002019CB">
        <w:t xml:space="preserve">seems to be </w:t>
      </w:r>
      <w:r w:rsidR="00BC1E19">
        <w:t xml:space="preserve">questionable </w:t>
      </w:r>
      <w:r w:rsidR="003061E7">
        <w:t xml:space="preserve">within </w:t>
      </w:r>
      <w:r w:rsidR="00291EE0">
        <w:t>the GN21 Draft Plan</w:t>
      </w:r>
      <w:r w:rsidR="003061E7">
        <w:t xml:space="preserve"> context of limited </w:t>
      </w:r>
      <w:r w:rsidR="00BC1E19">
        <w:t>market expansion and a relatively low</w:t>
      </w:r>
      <w:r w:rsidR="006540FF">
        <w:t xml:space="preserve"> level of </w:t>
      </w:r>
      <w:r w:rsidR="00BC1E19">
        <w:t xml:space="preserve">capital </w:t>
      </w:r>
      <w:r w:rsidR="006540FF">
        <w:t>expenditure.</w:t>
      </w:r>
      <w:r w:rsidR="00825BFA">
        <w:t xml:space="preserve"> </w:t>
      </w:r>
      <w:r w:rsidR="00DB7657">
        <w:t>The CESS seems</w:t>
      </w:r>
      <w:r w:rsidR="00534172">
        <w:t xml:space="preserve"> even further restricted </w:t>
      </w:r>
      <w:r w:rsidR="00616E24">
        <w:t>given</w:t>
      </w:r>
      <w:r w:rsidR="00624AC3">
        <w:t xml:space="preserve"> </w:t>
      </w:r>
      <w:proofErr w:type="spellStart"/>
      <w:r w:rsidR="00624AC3">
        <w:t>Evoenergy’s</w:t>
      </w:r>
      <w:proofErr w:type="spellEnd"/>
      <w:r w:rsidR="00624AC3">
        <w:t xml:space="preserve"> proposal that</w:t>
      </w:r>
      <w:r w:rsidR="00616E24">
        <w:t xml:space="preserve"> ‘any capital expenditure associated with new connections should be excluded from the operation of the [CESS] scheme’.</w:t>
      </w:r>
      <w:r w:rsidR="00616E24">
        <w:rPr>
          <w:rStyle w:val="FootnoteReference"/>
        </w:rPr>
        <w:footnoteReference w:id="32"/>
      </w:r>
    </w:p>
    <w:p w14:paraId="523132A3" w14:textId="7F980DE5" w:rsidR="003F55E6" w:rsidRDefault="003F55E6" w:rsidP="00BB390A">
      <w:pPr>
        <w:pStyle w:val="BodyText"/>
      </w:pPr>
      <w:r>
        <w:t xml:space="preserve">We do see value in </w:t>
      </w:r>
      <w:r w:rsidR="005D3BBF">
        <w:t xml:space="preserve">there being a </w:t>
      </w:r>
      <w:r w:rsidR="005D3BBF" w:rsidRPr="005D3BBF">
        <w:t xml:space="preserve">strong incentive </w:t>
      </w:r>
      <w:r w:rsidR="005D3BBF">
        <w:t xml:space="preserve">for </w:t>
      </w:r>
      <w:proofErr w:type="spellStart"/>
      <w:r w:rsidR="005D3BBF">
        <w:t>Evoenergy</w:t>
      </w:r>
      <w:proofErr w:type="spellEnd"/>
      <w:r w:rsidR="005D3BBF">
        <w:t xml:space="preserve"> </w:t>
      </w:r>
      <w:r w:rsidR="005D3BBF" w:rsidRPr="005D3BBF">
        <w:t xml:space="preserve">to </w:t>
      </w:r>
      <w:r w:rsidR="00314A03">
        <w:t>maintain</w:t>
      </w:r>
      <w:r w:rsidR="005D3BBF" w:rsidRPr="005D3BBF">
        <w:t xml:space="preserve"> high</w:t>
      </w:r>
      <w:r w:rsidR="00314A03">
        <w:t xml:space="preserve"> </w:t>
      </w:r>
      <w:r w:rsidR="005D3BBF" w:rsidRPr="005D3BBF">
        <w:t>performance standards, and therefore minimise impacts of outages for affected customers</w:t>
      </w:r>
      <w:r w:rsidR="00FA6920">
        <w:t>. We would be</w:t>
      </w:r>
      <w:r w:rsidR="00605D6D">
        <w:t xml:space="preserve"> </w:t>
      </w:r>
      <w:r w:rsidR="009C4063">
        <w:t>interested in assessing</w:t>
      </w:r>
      <w:r w:rsidR="00A77937">
        <w:t xml:space="preserve"> the value of adopting a CESS alongside the</w:t>
      </w:r>
      <w:r w:rsidR="009C4063">
        <w:t xml:space="preserve"> existing</w:t>
      </w:r>
      <w:r w:rsidR="00A77937">
        <w:t xml:space="preserve"> </w:t>
      </w:r>
      <w:r w:rsidR="00C83E68">
        <w:t>Efficiency Carryover Mechanism (ECM) for operational costs.</w:t>
      </w:r>
    </w:p>
    <w:p w14:paraId="0D5A4783" w14:textId="5CEE9363" w:rsidR="00EB0F5A" w:rsidRDefault="001A1131" w:rsidP="00EB0F5A">
      <w:pPr>
        <w:pStyle w:val="BodyText"/>
      </w:pPr>
      <w:r>
        <w:lastRenderedPageBreak/>
        <w:t xml:space="preserve">If a CESS is to be </w:t>
      </w:r>
      <w:proofErr w:type="gramStart"/>
      <w:r>
        <w:t>adopted</w:t>
      </w:r>
      <w:proofErr w:type="gramEnd"/>
      <w:r w:rsidR="00EB0F5A">
        <w:t xml:space="preserve"> it is essential that:</w:t>
      </w:r>
    </w:p>
    <w:p w14:paraId="5B76368B" w14:textId="08573307" w:rsidR="00EB0F5A" w:rsidRDefault="004A6387" w:rsidP="00EB0F5A">
      <w:pPr>
        <w:pStyle w:val="ListBullet"/>
      </w:pPr>
      <w:r>
        <w:t>T</w:t>
      </w:r>
      <w:r w:rsidR="00EB0F5A">
        <w:t xml:space="preserve">he metrics represent decisions the </w:t>
      </w:r>
      <w:proofErr w:type="spellStart"/>
      <w:r w:rsidR="00C426AC">
        <w:t>Evoenergy</w:t>
      </w:r>
      <w:proofErr w:type="spellEnd"/>
      <w:r w:rsidR="00EB0F5A">
        <w:t xml:space="preserve"> has under its control</w:t>
      </w:r>
    </w:p>
    <w:p w14:paraId="46DA7E06" w14:textId="73CCDAEF" w:rsidR="00977D95" w:rsidRDefault="004A6387" w:rsidP="00EB0F5A">
      <w:pPr>
        <w:pStyle w:val="ListBullet"/>
      </w:pPr>
      <w:r>
        <w:t>T</w:t>
      </w:r>
      <w:r w:rsidR="00977D95">
        <w:t>he metrics</w:t>
      </w:r>
      <w:r w:rsidR="00493FF8">
        <w:t>/weightings</w:t>
      </w:r>
      <w:r w:rsidR="00977D95">
        <w:t xml:space="preserve"> reflect </w:t>
      </w:r>
      <w:r w:rsidR="000E55C6">
        <w:t>the importance to or impact on customers (customer-centred)</w:t>
      </w:r>
    </w:p>
    <w:p w14:paraId="6117570C" w14:textId="07DE4936" w:rsidR="00EB0F5A" w:rsidRDefault="004A6387" w:rsidP="00EB0F5A">
      <w:pPr>
        <w:pStyle w:val="ListBullet"/>
      </w:pPr>
      <w:r>
        <w:t>T</w:t>
      </w:r>
      <w:r w:rsidR="00EB0F5A">
        <w:t>he targets are set at levels that truly represent achievements beyond business as usual such that the scheme does not simply represent a ‘</w:t>
      </w:r>
      <w:r w:rsidR="00C426AC">
        <w:t>easy wins</w:t>
      </w:r>
      <w:r w:rsidR="00EB0F5A">
        <w:t xml:space="preserve">’ </w:t>
      </w:r>
      <w:r w:rsidR="00C426AC">
        <w:t xml:space="preserve">or ‘low-hanging fruit’ </w:t>
      </w:r>
      <w:r w:rsidR="00EB0F5A">
        <w:t xml:space="preserve">for </w:t>
      </w:r>
      <w:proofErr w:type="spellStart"/>
      <w:r w:rsidR="00C426AC">
        <w:t>Evoenergy</w:t>
      </w:r>
      <w:proofErr w:type="spellEnd"/>
    </w:p>
    <w:p w14:paraId="6EFFE685" w14:textId="4685ED67" w:rsidR="00605D6D" w:rsidRDefault="004A6387" w:rsidP="00EB0F5A">
      <w:pPr>
        <w:pStyle w:val="ListBullet"/>
      </w:pPr>
      <w:r>
        <w:t>T</w:t>
      </w:r>
      <w:r w:rsidR="00EB0F5A">
        <w:t xml:space="preserve">he scheme is designed such that it is generally symmetric – i.e. the quantum of incentive payment and the probability of meeting the target is such that </w:t>
      </w:r>
      <w:proofErr w:type="spellStart"/>
      <w:r w:rsidR="003077DD">
        <w:t>Evoenergy</w:t>
      </w:r>
      <w:proofErr w:type="spellEnd"/>
      <w:r w:rsidR="00EB0F5A">
        <w:t xml:space="preserve"> has a close to equal likelihood of earning a positive payment as a negative one.</w:t>
      </w:r>
    </w:p>
    <w:p w14:paraId="1D673AB9" w14:textId="45A2E66A" w:rsidR="006F3DCC" w:rsidRDefault="006F3DCC" w:rsidP="00FB3645">
      <w:pPr>
        <w:pStyle w:val="BodyText"/>
      </w:pPr>
      <w:r>
        <w:t xml:space="preserve">As discussed at </w:t>
      </w:r>
      <w:proofErr w:type="spellStart"/>
      <w:r>
        <w:t>Evoenergy’s</w:t>
      </w:r>
      <w:proofErr w:type="spellEnd"/>
      <w:r>
        <w:t xml:space="preserve"> Deep Dive Part B teleconference, </w:t>
      </w:r>
      <w:r w:rsidR="00FB3645">
        <w:t xml:space="preserve">it would be useful to provide stakeholders with further information about </w:t>
      </w:r>
      <w:r w:rsidR="00706F04">
        <w:t>performance measures</w:t>
      </w:r>
      <w:r w:rsidR="0059033F">
        <w:t>, baselines, and benchmarks.</w:t>
      </w:r>
    </w:p>
    <w:p w14:paraId="4FD3B9C7" w14:textId="4392132C" w:rsidR="00552098" w:rsidRDefault="00552098" w:rsidP="006C7EE0">
      <w:pPr>
        <w:pStyle w:val="Heading1"/>
      </w:pPr>
      <w:bookmarkStart w:id="16" w:name="_Toc42267661"/>
      <w:r>
        <w:t>Tariff</w:t>
      </w:r>
      <w:r w:rsidR="006C7EE0">
        <w:t>s</w:t>
      </w:r>
      <w:bookmarkEnd w:id="16"/>
    </w:p>
    <w:tbl>
      <w:tblPr>
        <w:tblStyle w:val="TableGrid"/>
        <w:tblW w:w="0" w:type="auto"/>
        <w:shd w:val="clear" w:color="auto" w:fill="DEEAF6" w:themeFill="accent5" w:themeFillTint="33"/>
        <w:tblLook w:val="04A0" w:firstRow="1" w:lastRow="0" w:firstColumn="1" w:lastColumn="0" w:noHBand="0" w:noVBand="1"/>
      </w:tblPr>
      <w:tblGrid>
        <w:gridCol w:w="8494"/>
      </w:tblGrid>
      <w:tr w:rsidR="006C7EE0" w14:paraId="07DC3A56" w14:textId="77777777" w:rsidTr="004A6387">
        <w:tc>
          <w:tcPr>
            <w:tcW w:w="8494" w:type="dxa"/>
            <w:shd w:val="clear" w:color="auto" w:fill="DEEAF6" w:themeFill="accent5" w:themeFillTint="33"/>
          </w:tcPr>
          <w:p w14:paraId="681BA6D5" w14:textId="3F3D920F" w:rsidR="006C7EE0" w:rsidRDefault="006C7EE0" w:rsidP="004A6387">
            <w:pPr>
              <w:pStyle w:val="Boxbody"/>
            </w:pPr>
            <w:r w:rsidRPr="006C7EE0">
              <w:t>We are seeking your views on our proposed approach to simplifying tariffs.</w:t>
            </w:r>
          </w:p>
        </w:tc>
      </w:tr>
    </w:tbl>
    <w:p w14:paraId="1AAEE0B3" w14:textId="386EB466" w:rsidR="006C7EE0" w:rsidRDefault="006C7EE0" w:rsidP="00552098">
      <w:pPr>
        <w:pStyle w:val="BodyText"/>
      </w:pPr>
    </w:p>
    <w:p w14:paraId="39E66345" w14:textId="0FB9DF5B" w:rsidR="00DE6863" w:rsidRDefault="00DE6863" w:rsidP="00224CCA">
      <w:pPr>
        <w:pStyle w:val="BodyText"/>
      </w:pPr>
      <w:r>
        <w:t xml:space="preserve">We support </w:t>
      </w:r>
      <w:proofErr w:type="spellStart"/>
      <w:r>
        <w:t>Evoenergy</w:t>
      </w:r>
      <w:proofErr w:type="spellEnd"/>
      <w:r>
        <w:t xml:space="preserve"> simplifying tariffs</w:t>
      </w:r>
      <w:r w:rsidR="00F43FBE">
        <w:t xml:space="preserve"> by abolishing unused </w:t>
      </w:r>
      <w:r w:rsidR="00D810F1">
        <w:t>tariffs</w:t>
      </w:r>
      <w:r>
        <w:t xml:space="preserve"> </w:t>
      </w:r>
      <w:r w:rsidR="00F43FBE">
        <w:t>under GN21.</w:t>
      </w:r>
    </w:p>
    <w:p w14:paraId="61DC0B9A" w14:textId="7A15A4DB" w:rsidR="00B14A1E" w:rsidRDefault="00B14A1E" w:rsidP="00224CCA">
      <w:pPr>
        <w:pStyle w:val="BodyText"/>
      </w:pPr>
      <w:r>
        <w:t>The GN21 Draft Plan notes that:</w:t>
      </w:r>
    </w:p>
    <w:p w14:paraId="677B6052" w14:textId="0F81982B" w:rsidR="002C2012" w:rsidRDefault="00874C1A" w:rsidP="00B14A1E">
      <w:pPr>
        <w:pStyle w:val="BlockText"/>
      </w:pPr>
      <w:proofErr w:type="spellStart"/>
      <w:r w:rsidRPr="00874C1A">
        <w:t>Evoenergy</w:t>
      </w:r>
      <w:proofErr w:type="spellEnd"/>
      <w:r w:rsidRPr="00874C1A">
        <w:t xml:space="preserve"> has declining usage rates, meaning the price per unit falls the more gas is used. This helps encourage utilisation of the gas network, and minimise the bill impacts of higher usage during peak times of the year</w:t>
      </w:r>
      <w:r w:rsidR="00B14A1E">
        <w:t>.</w:t>
      </w:r>
      <w:r w:rsidR="00B14A1E">
        <w:rPr>
          <w:rStyle w:val="FootnoteReference"/>
        </w:rPr>
        <w:footnoteReference w:id="33"/>
      </w:r>
    </w:p>
    <w:p w14:paraId="62E8C7BF" w14:textId="6653AE02" w:rsidR="00224CCA" w:rsidRDefault="00EE01F1" w:rsidP="00224CCA">
      <w:pPr>
        <w:pStyle w:val="BodyText"/>
      </w:pPr>
      <w:r>
        <w:t>We would be interested in analys</w:t>
      </w:r>
      <w:r w:rsidR="003060A9">
        <w:t>is</w:t>
      </w:r>
      <w:r w:rsidR="000B04AB">
        <w:t xml:space="preserve"> of</w:t>
      </w:r>
      <w:r>
        <w:t xml:space="preserve"> </w:t>
      </w:r>
      <w:r w:rsidR="00645C9E">
        <w:t>declining usage rates</w:t>
      </w:r>
      <w:r w:rsidR="000B04AB">
        <w:t xml:space="preserve"> impacts</w:t>
      </w:r>
      <w:r w:rsidR="00645C9E">
        <w:t xml:space="preserve"> in relation to</w:t>
      </w:r>
      <w:r w:rsidR="00224CCA">
        <w:t>:</w:t>
      </w:r>
    </w:p>
    <w:p w14:paraId="1743C3EE" w14:textId="04081DD2" w:rsidR="00224CCA" w:rsidRDefault="00224CCA" w:rsidP="00224CCA">
      <w:pPr>
        <w:pStyle w:val="ListBullet"/>
      </w:pPr>
      <w:r>
        <w:t xml:space="preserve">Equity </w:t>
      </w:r>
      <w:r w:rsidR="000B04AB">
        <w:t>outcomes</w:t>
      </w:r>
      <w:r>
        <w:t xml:space="preserve"> –</w:t>
      </w:r>
      <w:r w:rsidR="00645C9E">
        <w:t xml:space="preserve"> </w:t>
      </w:r>
      <w:proofErr w:type="spellStart"/>
      <w:r w:rsidR="00246463">
        <w:t>Evoenergy</w:t>
      </w:r>
      <w:proofErr w:type="spellEnd"/>
      <w:r w:rsidR="00246463">
        <w:t xml:space="preserve"> presented data </w:t>
      </w:r>
      <w:r w:rsidR="001852CD">
        <w:t xml:space="preserve">to the Energy Consumer Reference </w:t>
      </w:r>
      <w:r w:rsidR="0087378E">
        <w:t xml:space="preserve">Council (ECRC) meeting on 31 October 2019 </w:t>
      </w:r>
      <w:r w:rsidR="005C7D0A">
        <w:t>that</w:t>
      </w:r>
      <w:r w:rsidR="0087378E">
        <w:t xml:space="preserve"> </w:t>
      </w:r>
      <w:r w:rsidR="00705631">
        <w:t>indicate</w:t>
      </w:r>
      <w:r w:rsidR="005C7D0A">
        <w:t>d</w:t>
      </w:r>
      <w:r w:rsidR="00705631">
        <w:t xml:space="preserve"> that while low-income gas consumers ha</w:t>
      </w:r>
      <w:r w:rsidR="0025468A">
        <w:t>ve</w:t>
      </w:r>
      <w:r w:rsidR="00705631">
        <w:t xml:space="preserve"> lower </w:t>
      </w:r>
      <w:r w:rsidR="0025468A">
        <w:t>gas usage per quarter, the</w:t>
      </w:r>
      <w:r w:rsidR="000C780B">
        <w:t xml:space="preserve"> impact of the</w:t>
      </w:r>
      <w:r w:rsidR="0025468A">
        <w:t xml:space="preserve"> declining usage rate </w:t>
      </w:r>
      <w:r w:rsidR="000C780B">
        <w:t>is not</w:t>
      </w:r>
      <w:r w:rsidR="005C7D0A">
        <w:t xml:space="preserve"> likely to be</w:t>
      </w:r>
      <w:r w:rsidR="0025468A">
        <w:t xml:space="preserve"> </w:t>
      </w:r>
      <w:r w:rsidR="000C780B">
        <w:t xml:space="preserve">inequitable. </w:t>
      </w:r>
      <w:r>
        <w:t xml:space="preserve">There remains a concern that </w:t>
      </w:r>
      <w:r w:rsidR="003D297F">
        <w:t>the declining usage rate is</w:t>
      </w:r>
      <w:r>
        <w:t xml:space="preserve"> not progressive and may not </w:t>
      </w:r>
      <w:r w:rsidR="00C52FCC">
        <w:t>equally benefit</w:t>
      </w:r>
      <w:r>
        <w:t xml:space="preserve"> low-income households</w:t>
      </w:r>
      <w:r w:rsidR="00C52FCC">
        <w:t xml:space="preserve"> who have lower gas usage per quarter</w:t>
      </w:r>
      <w:r>
        <w:t xml:space="preserve">. </w:t>
      </w:r>
      <w:r w:rsidR="0032579E">
        <w:t xml:space="preserve">We would value more detailed analysis of the declining usage rate in relation to </w:t>
      </w:r>
      <w:r w:rsidR="005C7D0A">
        <w:t xml:space="preserve">equitable outcomes for </w:t>
      </w:r>
      <w:r w:rsidR="0032579E">
        <w:t>low</w:t>
      </w:r>
      <w:r>
        <w:t>-income households.</w:t>
      </w:r>
    </w:p>
    <w:p w14:paraId="1DC03743" w14:textId="42EC90D2" w:rsidR="00224CCA" w:rsidRDefault="00224CCA" w:rsidP="00224CCA">
      <w:pPr>
        <w:pStyle w:val="ListBullet"/>
      </w:pPr>
      <w:r>
        <w:t xml:space="preserve">Sustainability outcomes – </w:t>
      </w:r>
      <w:r w:rsidR="00614442">
        <w:t>the</w:t>
      </w:r>
      <w:r>
        <w:t xml:space="preserve"> declining </w:t>
      </w:r>
      <w:r w:rsidR="00614442">
        <w:t>usage rate</w:t>
      </w:r>
      <w:r>
        <w:t xml:space="preserve"> appears to work against ACT Government policy objectives in relation to reducing </w:t>
      </w:r>
      <w:r>
        <w:lastRenderedPageBreak/>
        <w:t>greenhouse gas emissions</w:t>
      </w:r>
      <w:r w:rsidR="004A6B6D">
        <w:t xml:space="preserve"> from natural gas consumption</w:t>
      </w:r>
      <w:r>
        <w:t>. A tariff structure where the unit price of gas is reduced as consumption increases beyond appears to incentivise higher consumption levels and hence emissions.</w:t>
      </w:r>
    </w:p>
    <w:p w14:paraId="3F4CF020" w14:textId="404F0A5C" w:rsidR="00047E45" w:rsidRDefault="008A6EB7" w:rsidP="008A6EB7">
      <w:pPr>
        <w:pStyle w:val="Heading1"/>
      </w:pPr>
      <w:bookmarkStart w:id="17" w:name="_Toc42267662"/>
      <w:r>
        <w:t>Capital Expenditure</w:t>
      </w:r>
      <w:bookmarkEnd w:id="17"/>
    </w:p>
    <w:tbl>
      <w:tblPr>
        <w:tblStyle w:val="TableGrid"/>
        <w:tblW w:w="0" w:type="auto"/>
        <w:shd w:val="clear" w:color="auto" w:fill="DEEAF6" w:themeFill="accent5" w:themeFillTint="33"/>
        <w:tblLook w:val="04A0" w:firstRow="1" w:lastRow="0" w:firstColumn="1" w:lastColumn="0" w:noHBand="0" w:noVBand="1"/>
      </w:tblPr>
      <w:tblGrid>
        <w:gridCol w:w="8494"/>
      </w:tblGrid>
      <w:tr w:rsidR="008A6EB7" w14:paraId="558307C6" w14:textId="77777777" w:rsidTr="004A6387">
        <w:tc>
          <w:tcPr>
            <w:tcW w:w="8494" w:type="dxa"/>
            <w:shd w:val="clear" w:color="auto" w:fill="DEEAF6" w:themeFill="accent5" w:themeFillTint="33"/>
          </w:tcPr>
          <w:p w14:paraId="4A987310" w14:textId="0F324807" w:rsidR="008A6EB7" w:rsidRDefault="008A6EB7" w:rsidP="004A6387">
            <w:pPr>
              <w:pStyle w:val="Boxbody"/>
            </w:pPr>
            <w:r w:rsidRPr="008A6EB7">
              <w:t>Do you have any feedback about our proposed capex program? Does our approach seem reasonable? Are there any specific elements you would like to know more about?</w:t>
            </w:r>
          </w:p>
        </w:tc>
      </w:tr>
    </w:tbl>
    <w:p w14:paraId="33324B04" w14:textId="77777777" w:rsidR="008A6EB7" w:rsidRDefault="008A6EB7" w:rsidP="006C7EE0">
      <w:pPr>
        <w:pStyle w:val="BodyText"/>
      </w:pPr>
    </w:p>
    <w:p w14:paraId="7123ECB1" w14:textId="0277BA05" w:rsidR="00E6771F" w:rsidRDefault="00E6771F" w:rsidP="009C5192">
      <w:pPr>
        <w:pStyle w:val="BodyText"/>
      </w:pPr>
      <w:r>
        <w:t>We suppor</w:t>
      </w:r>
      <w:r w:rsidR="00F525B0">
        <w:t xml:space="preserve">t </w:t>
      </w:r>
      <w:proofErr w:type="spellStart"/>
      <w:r w:rsidR="00F525B0">
        <w:t>Evoenergy’s</w:t>
      </w:r>
      <w:proofErr w:type="spellEnd"/>
      <w:r w:rsidR="00F525B0">
        <w:t xml:space="preserve"> approach</w:t>
      </w:r>
      <w:r w:rsidR="00B90DF4">
        <w:t xml:space="preserve"> </w:t>
      </w:r>
      <w:r w:rsidR="00C71B1A">
        <w:t xml:space="preserve">to capital expenditure </w:t>
      </w:r>
      <w:r w:rsidR="00F525B0">
        <w:t>based on</w:t>
      </w:r>
      <w:r w:rsidR="00B90DF4">
        <w:t xml:space="preserve"> the assumption </w:t>
      </w:r>
      <w:r w:rsidR="00C71B1A">
        <w:t>of</w:t>
      </w:r>
      <w:r w:rsidR="00F525B0">
        <w:t xml:space="preserve"> no expansion of </w:t>
      </w:r>
      <w:r w:rsidR="008B15D0">
        <w:t>the gas network into new suburbs in the ACT.</w:t>
      </w:r>
      <w:r w:rsidR="004A1F3A">
        <w:t xml:space="preserve"> We agree that g</w:t>
      </w:r>
      <w:r w:rsidR="004A1F3A" w:rsidRPr="004A1F3A">
        <w:t>iven the current degree of uncertainty regarding the future of the gas network, it is in the best interest of customers to limit the amount of capital investment added to the asset base.</w:t>
      </w:r>
    </w:p>
    <w:p w14:paraId="12E152CE" w14:textId="463B85DE" w:rsidR="0040216A" w:rsidRDefault="00C71D6F" w:rsidP="0040216A">
      <w:pPr>
        <w:pStyle w:val="BodyText"/>
      </w:pPr>
      <w:r>
        <w:t xml:space="preserve">We would </w:t>
      </w:r>
      <w:r w:rsidR="0040216A">
        <w:t>welcome</w:t>
      </w:r>
      <w:r>
        <w:t xml:space="preserve"> more detailed information on </w:t>
      </w:r>
      <w:r w:rsidR="003A5DE9">
        <w:t xml:space="preserve">the two largest components of </w:t>
      </w:r>
      <w:proofErr w:type="spellStart"/>
      <w:r w:rsidR="003A5DE9">
        <w:t>Evoenergy’s</w:t>
      </w:r>
      <w:proofErr w:type="spellEnd"/>
      <w:r w:rsidR="003A5DE9">
        <w:t xml:space="preserve"> capital </w:t>
      </w:r>
      <w:r w:rsidR="0007651F">
        <w:t>expenditure</w:t>
      </w:r>
      <w:r w:rsidR="0040216A">
        <w:t>:</w:t>
      </w:r>
    </w:p>
    <w:p w14:paraId="512F2589" w14:textId="61A807F6" w:rsidR="008B15D0" w:rsidRDefault="0007651F" w:rsidP="0040216A">
      <w:pPr>
        <w:pStyle w:val="ListBullet"/>
      </w:pPr>
      <w:r>
        <w:t>Market expansion (</w:t>
      </w:r>
      <w:r w:rsidR="002E40DC">
        <w:t>$</w:t>
      </w:r>
      <w:r>
        <w:t>34.8</w:t>
      </w:r>
      <w:r w:rsidR="002E40DC">
        <w:t>m</w:t>
      </w:r>
      <w:r>
        <w:t>)</w:t>
      </w:r>
    </w:p>
    <w:p w14:paraId="682294B8" w14:textId="6824E588" w:rsidR="0007651F" w:rsidRDefault="0040216A" w:rsidP="0040216A">
      <w:pPr>
        <w:pStyle w:val="ListBullet"/>
      </w:pPr>
      <w:r>
        <w:t>Meter renewal (</w:t>
      </w:r>
      <w:r w:rsidR="002E40DC">
        <w:t>$</w:t>
      </w:r>
      <w:r>
        <w:t>21.7</w:t>
      </w:r>
      <w:r w:rsidR="002E40DC">
        <w:t>m</w:t>
      </w:r>
      <w:r>
        <w:t>)</w:t>
      </w:r>
    </w:p>
    <w:p w14:paraId="6A867649" w14:textId="2AECE600" w:rsidR="00401F91" w:rsidRDefault="00401F91" w:rsidP="00401F91">
      <w:pPr>
        <w:pStyle w:val="ListBullet"/>
        <w:numPr>
          <w:ilvl w:val="0"/>
          <w:numId w:val="0"/>
        </w:numPr>
        <w:ind w:left="567" w:hanging="567"/>
      </w:pPr>
      <w:r>
        <w:t>In relation to market expansion we understand that,</w:t>
      </w:r>
    </w:p>
    <w:p w14:paraId="5D4068F6" w14:textId="540B29C5" w:rsidR="00401F91" w:rsidRDefault="00401F91" w:rsidP="00401F91">
      <w:pPr>
        <w:pStyle w:val="BlockText"/>
      </w:pPr>
      <w:r w:rsidRPr="00401F91">
        <w:t>Of this</w:t>
      </w:r>
      <w:r>
        <w:t xml:space="preserve"> [$35m]</w:t>
      </w:r>
      <w:r w:rsidRPr="00401F91">
        <w:t>, 31% is for expansion in NSW. The remainder is for expansion in ACT and does not include expansion into greenfield sites, only brownfields and infill areas.</w:t>
      </w:r>
      <w:r w:rsidR="00DF4AF5">
        <w:rPr>
          <w:rStyle w:val="FootnoteReference"/>
        </w:rPr>
        <w:footnoteReference w:id="34"/>
      </w:r>
    </w:p>
    <w:p w14:paraId="563075D2" w14:textId="0BBE83B8" w:rsidR="007B2A34" w:rsidRDefault="007B2A34" w:rsidP="007B2A34">
      <w:pPr>
        <w:pStyle w:val="BodyText"/>
      </w:pPr>
      <w:r>
        <w:t xml:space="preserve">We have concerns about the </w:t>
      </w:r>
      <w:r w:rsidR="00F52F93">
        <w:t xml:space="preserve">impact </w:t>
      </w:r>
      <w:r w:rsidR="007C225D">
        <w:t xml:space="preserve">on the long-term interests of </w:t>
      </w:r>
      <w:r w:rsidR="006B77D2">
        <w:t>gas consumers – especially low-income</w:t>
      </w:r>
      <w:r w:rsidR="00301C74">
        <w:t xml:space="preserve"> dual-fuel</w:t>
      </w:r>
      <w:r w:rsidR="006B77D2">
        <w:t xml:space="preserve"> households – in the Queanbeyan-</w:t>
      </w:r>
      <w:proofErr w:type="spellStart"/>
      <w:r w:rsidR="006B77D2">
        <w:t>Palerang</w:t>
      </w:r>
      <w:proofErr w:type="spellEnd"/>
      <w:r w:rsidR="006B77D2">
        <w:t xml:space="preserve"> Region</w:t>
      </w:r>
      <w:r w:rsidR="00CF38C4">
        <w:t xml:space="preserve"> </w:t>
      </w:r>
      <w:r w:rsidR="00016C6C">
        <w:t xml:space="preserve">if there is </w:t>
      </w:r>
      <w:r w:rsidR="00CF38C4">
        <w:t xml:space="preserve">significant expansion of the network there </w:t>
      </w:r>
      <w:r w:rsidR="00DF49A4">
        <w:t>while</w:t>
      </w:r>
      <w:r w:rsidR="00364155">
        <w:t xml:space="preserve"> </w:t>
      </w:r>
      <w:r w:rsidR="00016C6C">
        <w:t xml:space="preserve">the customer base and/or </w:t>
      </w:r>
      <w:r w:rsidR="00A7020C">
        <w:t xml:space="preserve">gas </w:t>
      </w:r>
      <w:r w:rsidR="00016C6C">
        <w:t xml:space="preserve">usage declines </w:t>
      </w:r>
      <w:r w:rsidR="00364155">
        <w:t xml:space="preserve">significantly </w:t>
      </w:r>
      <w:r w:rsidR="00016C6C">
        <w:t>in the ACT</w:t>
      </w:r>
      <w:r w:rsidR="00CF38C4">
        <w:t xml:space="preserve">. </w:t>
      </w:r>
      <w:r w:rsidR="003712A2">
        <w:t xml:space="preserve">We thank </w:t>
      </w:r>
      <w:proofErr w:type="spellStart"/>
      <w:r w:rsidR="0034013E">
        <w:t>Evoenergy</w:t>
      </w:r>
      <w:proofErr w:type="spellEnd"/>
      <w:r w:rsidR="0034013E">
        <w:t xml:space="preserve"> </w:t>
      </w:r>
      <w:r w:rsidR="003712A2">
        <w:t>for outlining</w:t>
      </w:r>
      <w:r w:rsidR="0034013E">
        <w:t xml:space="preserve"> the </w:t>
      </w:r>
      <w:r w:rsidR="00510BA3">
        <w:t>NSW-specific drivers of demand for gas</w:t>
      </w:r>
      <w:r w:rsidR="0034013E">
        <w:t xml:space="preserve"> in that region</w:t>
      </w:r>
      <w:r w:rsidR="003712A2">
        <w:t xml:space="preserve"> in response to these concerns.</w:t>
      </w:r>
      <w:r w:rsidR="007C225D">
        <w:rPr>
          <w:rStyle w:val="FootnoteReference"/>
        </w:rPr>
        <w:footnoteReference w:id="35"/>
      </w:r>
      <w:r w:rsidR="00DF49A4">
        <w:t xml:space="preserve"> </w:t>
      </w:r>
    </w:p>
    <w:p w14:paraId="26CFE4BD" w14:textId="64B7BDD1" w:rsidR="006A5252" w:rsidRDefault="00DD1238" w:rsidP="007B2A34">
      <w:pPr>
        <w:pStyle w:val="BodyText"/>
      </w:pPr>
      <w:r>
        <w:t>We are also</w:t>
      </w:r>
      <w:r w:rsidR="006A5252" w:rsidRPr="006A5252">
        <w:t xml:space="preserve"> concern</w:t>
      </w:r>
      <w:r>
        <w:t>ed</w:t>
      </w:r>
      <w:r w:rsidR="006A5252" w:rsidRPr="006A5252">
        <w:t xml:space="preserve"> that market expansion in existing suburbs</w:t>
      </w:r>
      <w:r>
        <w:t xml:space="preserve"> in the ACT and Queanbeyan-</w:t>
      </w:r>
      <w:proofErr w:type="spellStart"/>
      <w:r>
        <w:t>Palerang</w:t>
      </w:r>
      <w:proofErr w:type="spellEnd"/>
      <w:r>
        <w:t xml:space="preserve"> Region might</w:t>
      </w:r>
      <w:r w:rsidR="006A5252" w:rsidRPr="006A5252">
        <w:t xml:space="preserve"> lock multi-unit developments into the gas network, or otherwise make retrofit to all-electric more challenging</w:t>
      </w:r>
      <w:r w:rsidR="001240CF">
        <w:t xml:space="preserve"> for residents</w:t>
      </w:r>
      <w:r w:rsidR="006A5252" w:rsidRPr="006A5252">
        <w:t>.</w:t>
      </w:r>
    </w:p>
    <w:p w14:paraId="4C56196E" w14:textId="49BD74F8" w:rsidR="008A6EB7" w:rsidRDefault="008A6EB7" w:rsidP="004D7051">
      <w:pPr>
        <w:pStyle w:val="Heading1"/>
      </w:pPr>
      <w:bookmarkStart w:id="18" w:name="_Toc42267663"/>
      <w:r>
        <w:lastRenderedPageBreak/>
        <w:t xml:space="preserve">Operating </w:t>
      </w:r>
      <w:r w:rsidR="004D7051">
        <w:t>Costs</w:t>
      </w:r>
      <w:bookmarkEnd w:id="18"/>
    </w:p>
    <w:tbl>
      <w:tblPr>
        <w:tblStyle w:val="TableGrid"/>
        <w:tblW w:w="0" w:type="auto"/>
        <w:shd w:val="clear" w:color="auto" w:fill="DEEAF6" w:themeFill="accent5" w:themeFillTint="33"/>
        <w:tblLook w:val="04A0" w:firstRow="1" w:lastRow="0" w:firstColumn="1" w:lastColumn="0" w:noHBand="0" w:noVBand="1"/>
      </w:tblPr>
      <w:tblGrid>
        <w:gridCol w:w="8494"/>
      </w:tblGrid>
      <w:tr w:rsidR="004D7051" w14:paraId="0F9FCCA6" w14:textId="77777777" w:rsidTr="004A6387">
        <w:tc>
          <w:tcPr>
            <w:tcW w:w="8494" w:type="dxa"/>
            <w:shd w:val="clear" w:color="auto" w:fill="DEEAF6" w:themeFill="accent5" w:themeFillTint="33"/>
          </w:tcPr>
          <w:p w14:paraId="3A66AA4B" w14:textId="19BB67A9" w:rsidR="004D7051" w:rsidRDefault="004D7051" w:rsidP="004A6387">
            <w:pPr>
              <w:pStyle w:val="Boxbody"/>
            </w:pPr>
            <w:r w:rsidRPr="004D7051">
              <w:t>We are interested in your views on our proposed operating costs. Does our approach seem reasonable? Are there any specific elements you would like to know more about?</w:t>
            </w:r>
          </w:p>
        </w:tc>
      </w:tr>
    </w:tbl>
    <w:p w14:paraId="2B005BEB" w14:textId="47306CBA" w:rsidR="004D7051" w:rsidRDefault="004D7051" w:rsidP="008A6EB7">
      <w:pPr>
        <w:pStyle w:val="BodyText"/>
      </w:pPr>
    </w:p>
    <w:p w14:paraId="27C8005A" w14:textId="24B30BA7" w:rsidR="00FA2D23" w:rsidRDefault="002E111D" w:rsidP="008A6EB7">
      <w:pPr>
        <w:pStyle w:val="BodyText"/>
      </w:pPr>
      <w:r>
        <w:t xml:space="preserve">We believe </w:t>
      </w:r>
      <w:proofErr w:type="spellStart"/>
      <w:r>
        <w:t>Evoenergy’s</w:t>
      </w:r>
      <w:proofErr w:type="spellEnd"/>
      <w:r>
        <w:t xml:space="preserve"> approach to proposed operating costs is reasonable</w:t>
      </w:r>
      <w:r w:rsidR="00295E85">
        <w:t xml:space="preserve"> given the circumstances under which this plan is being developed</w:t>
      </w:r>
      <w:r>
        <w:t xml:space="preserve">. We welcome the </w:t>
      </w:r>
      <w:r w:rsidR="004A4F73">
        <w:t xml:space="preserve">offsetting of operating cost increases with estimated productivity gains of </w:t>
      </w:r>
      <w:r w:rsidR="0026581B">
        <w:t>0.74% per year totalling over $2.5m.</w:t>
      </w:r>
    </w:p>
    <w:p w14:paraId="03D2B8FF" w14:textId="5A06E4D5" w:rsidR="00D256D7" w:rsidRDefault="00D256D7" w:rsidP="008A6EB7">
      <w:pPr>
        <w:pStyle w:val="BodyText"/>
      </w:pPr>
      <w:r>
        <w:t>We do have some concern in relation to marketing costs in relation to subsidising gas appliances</w:t>
      </w:r>
      <w:r w:rsidR="00BF0725">
        <w:t xml:space="preserve"> as outlined below.</w:t>
      </w:r>
    </w:p>
    <w:p w14:paraId="5654025E" w14:textId="780F81A6" w:rsidR="00C72492" w:rsidRDefault="00C72492" w:rsidP="00065A02">
      <w:pPr>
        <w:pStyle w:val="Heading2"/>
      </w:pPr>
      <w:bookmarkStart w:id="19" w:name="_Toc42267664"/>
      <w:r>
        <w:t xml:space="preserve">Marketing costs: </w:t>
      </w:r>
      <w:proofErr w:type="spellStart"/>
      <w:r w:rsidR="00872D93">
        <w:t>Evoenergy’s</w:t>
      </w:r>
      <w:proofErr w:type="spellEnd"/>
      <w:r w:rsidR="00872D93">
        <w:t xml:space="preserve"> gas rewards program</w:t>
      </w:r>
      <w:bookmarkEnd w:id="19"/>
    </w:p>
    <w:p w14:paraId="59BAEF21" w14:textId="7267A4C6" w:rsidR="00065A02" w:rsidRDefault="00604F5C" w:rsidP="008A6EB7">
      <w:pPr>
        <w:pStyle w:val="BodyText"/>
      </w:pPr>
      <w:r>
        <w:t xml:space="preserve">In response to questions from Deep Dive Part A, </w:t>
      </w:r>
      <w:proofErr w:type="spellStart"/>
      <w:r>
        <w:t>Evoenergy</w:t>
      </w:r>
      <w:proofErr w:type="spellEnd"/>
      <w:r>
        <w:t xml:space="preserve"> advised that,</w:t>
      </w:r>
    </w:p>
    <w:p w14:paraId="7954985A" w14:textId="2C0972E5" w:rsidR="00604F5C" w:rsidRDefault="00604F5C" w:rsidP="00604F5C">
      <w:pPr>
        <w:pStyle w:val="BlockText"/>
      </w:pPr>
      <w:r w:rsidRPr="00604F5C">
        <w:t xml:space="preserve">Marketing expenditure in 2019/20 (the year used as a base for the forecast) is expected to be $1.1 million. Existing gas consumers who choose to continue to use gas benefit from replacing an existing gas appliance with a new 5-star or 6-star energy efficient system. Doing so lowers the cost of their energy bill and reduces their energy use, which has a positive environmental impact. </w:t>
      </w:r>
      <w:proofErr w:type="spellStart"/>
      <w:r w:rsidRPr="00604F5C">
        <w:t>Evoenergy’s</w:t>
      </w:r>
      <w:proofErr w:type="spellEnd"/>
      <w:r w:rsidRPr="00604F5C">
        <w:t xml:space="preserve"> gas rewards marketing program is designed to target existing and continuing gas customers to ensure </w:t>
      </w:r>
      <w:proofErr w:type="gramStart"/>
      <w:r w:rsidRPr="00604F5C">
        <w:t>they’re</w:t>
      </w:r>
      <w:proofErr w:type="gramEnd"/>
      <w:r w:rsidRPr="00604F5C">
        <w:t xml:space="preserve"> aware of the benefits of upgrading (and incentivise them to upgrade) to a more energy efficient gas appliance.</w:t>
      </w:r>
      <w:r>
        <w:rPr>
          <w:rStyle w:val="FootnoteReference"/>
        </w:rPr>
        <w:footnoteReference w:id="36"/>
      </w:r>
    </w:p>
    <w:p w14:paraId="575553E7" w14:textId="30800642" w:rsidR="00254943" w:rsidRDefault="00604F5C" w:rsidP="00604F5C">
      <w:pPr>
        <w:pStyle w:val="BodyText"/>
      </w:pPr>
      <w:r>
        <w:t xml:space="preserve">We </w:t>
      </w:r>
      <w:r w:rsidR="00254943">
        <w:t xml:space="preserve">welcome </w:t>
      </w:r>
      <w:r w:rsidR="00C50423">
        <w:t xml:space="preserve">initiatives </w:t>
      </w:r>
      <w:r w:rsidR="00342EC4">
        <w:t>supporting</w:t>
      </w:r>
      <w:r w:rsidR="001A0D68">
        <w:t xml:space="preserve"> low-income dual-fuel households </w:t>
      </w:r>
      <w:r w:rsidR="00342EC4">
        <w:t xml:space="preserve">to purchase </w:t>
      </w:r>
      <w:r w:rsidR="00156792">
        <w:t>more energy efficient gas appliances</w:t>
      </w:r>
      <w:r w:rsidR="00ED7988">
        <w:t xml:space="preserve"> – and long-term gas bill savings – </w:t>
      </w:r>
      <w:r w:rsidR="00214467">
        <w:t xml:space="preserve">where they </w:t>
      </w:r>
      <w:r w:rsidR="001A0D68">
        <w:t>are not able</w:t>
      </w:r>
      <w:r w:rsidR="00A17F55">
        <w:t xml:space="preserve"> or willing</w:t>
      </w:r>
      <w:r w:rsidR="001A0D68">
        <w:t xml:space="preserve"> to transition to electric appliances</w:t>
      </w:r>
      <w:r w:rsidR="00A17F55">
        <w:t>.</w:t>
      </w:r>
      <w:r w:rsidR="00610E79">
        <w:t xml:space="preserve"> </w:t>
      </w:r>
      <w:r w:rsidR="00BD4DE8">
        <w:t xml:space="preserve">Our concern is that this does not </w:t>
      </w:r>
      <w:r w:rsidR="00DB42A8">
        <w:t>address the underlying issue of whether switching to an electric appliance would be preferable and more beneficial</w:t>
      </w:r>
      <w:r w:rsidR="00672F42">
        <w:t xml:space="preserve"> to the consumer.</w:t>
      </w:r>
    </w:p>
    <w:p w14:paraId="7AE089B1" w14:textId="6AA3A9CC" w:rsidR="00254943" w:rsidRDefault="00254943" w:rsidP="00254943">
      <w:pPr>
        <w:pStyle w:val="BodyText"/>
      </w:pPr>
      <w:r>
        <w:t xml:space="preserve">ACTCOSS encourages </w:t>
      </w:r>
      <w:proofErr w:type="spellStart"/>
      <w:r>
        <w:t>Evoenergy</w:t>
      </w:r>
      <w:proofErr w:type="spellEnd"/>
      <w:r>
        <w:t xml:space="preserve"> to address the following questions:</w:t>
      </w:r>
    </w:p>
    <w:p w14:paraId="4D7CDDDA" w14:textId="65D7ECDB" w:rsidR="00254943" w:rsidRDefault="00254943" w:rsidP="00254943">
      <w:pPr>
        <w:pStyle w:val="ListBullet"/>
      </w:pPr>
      <w:r>
        <w:t xml:space="preserve">How is </w:t>
      </w:r>
      <w:proofErr w:type="spellStart"/>
      <w:r>
        <w:t>Evoenergy</w:t>
      </w:r>
      <w:proofErr w:type="spellEnd"/>
      <w:r>
        <w:t xml:space="preserve"> testing to ensure the appliances purchased via </w:t>
      </w:r>
      <w:r w:rsidR="00153B0B">
        <w:t>the gas rewards marketing program</w:t>
      </w:r>
      <w:r>
        <w:t xml:space="preserve"> are energy efficient?</w:t>
      </w:r>
    </w:p>
    <w:p w14:paraId="23F2B32E" w14:textId="43D71C30" w:rsidR="00254943" w:rsidRDefault="00254943" w:rsidP="00254943">
      <w:pPr>
        <w:pStyle w:val="ListBullet"/>
      </w:pPr>
      <w:r>
        <w:t xml:space="preserve">How is </w:t>
      </w:r>
      <w:proofErr w:type="spellStart"/>
      <w:r w:rsidR="00C50423">
        <w:t>Evoenergy</w:t>
      </w:r>
      <w:proofErr w:type="spellEnd"/>
      <w:r>
        <w:t xml:space="preserve"> testing to ensure the appliance(s) chosen is</w:t>
      </w:r>
      <w:r w:rsidR="00900634">
        <w:t xml:space="preserve"> </w:t>
      </w:r>
      <w:r>
        <w:t>economically efficient for the purchaser</w:t>
      </w:r>
      <w:r w:rsidR="00A370D0">
        <w:t xml:space="preserve"> based on their housing situation</w:t>
      </w:r>
      <w:r>
        <w:t>, especially noting the potential for an electric alternative?</w:t>
      </w:r>
    </w:p>
    <w:p w14:paraId="30D0A45C" w14:textId="6D1F2B2F" w:rsidR="00254943" w:rsidRDefault="00254943" w:rsidP="00254943">
      <w:pPr>
        <w:pStyle w:val="ListBullet"/>
      </w:pPr>
      <w:r>
        <w:t>How is the cost being recovered for these incentive payments?</w:t>
      </w:r>
    </w:p>
    <w:p w14:paraId="3942D38C" w14:textId="638BB088" w:rsidR="00604F5C" w:rsidRDefault="00254943" w:rsidP="00254943">
      <w:pPr>
        <w:pStyle w:val="ListBullet"/>
      </w:pPr>
      <w:r>
        <w:lastRenderedPageBreak/>
        <w:t xml:space="preserve">Which consumers are receiving these </w:t>
      </w:r>
      <w:r w:rsidR="00A370D0">
        <w:t>gas rewards</w:t>
      </w:r>
      <w:r>
        <w:t xml:space="preserve"> payments – are low-income/vulnerable households with low</w:t>
      </w:r>
      <w:r w:rsidR="006A5252">
        <w:t>-</w:t>
      </w:r>
      <w:r>
        <w:t>efficiency appliances making use of these where it is economically efficient for them to do so?</w:t>
      </w:r>
      <w:r w:rsidR="00CB5E82">
        <w:t xml:space="preserve"> </w:t>
      </w:r>
    </w:p>
    <w:p w14:paraId="467718C6" w14:textId="79718457" w:rsidR="004D7051" w:rsidRDefault="00270DD6" w:rsidP="00270DD6">
      <w:pPr>
        <w:pStyle w:val="Heading1"/>
      </w:pPr>
      <w:bookmarkStart w:id="20" w:name="_Toc42267665"/>
      <w:r>
        <w:t>Customer Number and Volume Forecasts</w:t>
      </w:r>
      <w:bookmarkEnd w:id="20"/>
    </w:p>
    <w:tbl>
      <w:tblPr>
        <w:tblStyle w:val="TableGrid"/>
        <w:tblW w:w="0" w:type="auto"/>
        <w:shd w:val="clear" w:color="auto" w:fill="DEEAF6" w:themeFill="accent5" w:themeFillTint="33"/>
        <w:tblLook w:val="04A0" w:firstRow="1" w:lastRow="0" w:firstColumn="1" w:lastColumn="0" w:noHBand="0" w:noVBand="1"/>
      </w:tblPr>
      <w:tblGrid>
        <w:gridCol w:w="8494"/>
      </w:tblGrid>
      <w:tr w:rsidR="00270DD6" w14:paraId="0976F682" w14:textId="77777777" w:rsidTr="004A6387">
        <w:tc>
          <w:tcPr>
            <w:tcW w:w="8494" w:type="dxa"/>
            <w:shd w:val="clear" w:color="auto" w:fill="DEEAF6" w:themeFill="accent5" w:themeFillTint="33"/>
          </w:tcPr>
          <w:p w14:paraId="6756D6AF" w14:textId="1FD47C57" w:rsidR="00270DD6" w:rsidRDefault="00270DD6" w:rsidP="004A6387">
            <w:pPr>
              <w:pStyle w:val="Boxbody"/>
            </w:pPr>
            <w:r w:rsidRPr="00270DD6">
              <w:t xml:space="preserve">We are interested in your views on our proposed customer number and volume forecasts. Does our approach seem reasonable </w:t>
            </w:r>
            <w:proofErr w:type="gramStart"/>
            <w:r w:rsidRPr="00270DD6">
              <w:t>in light of</w:t>
            </w:r>
            <w:proofErr w:type="gramEnd"/>
            <w:r w:rsidRPr="00270DD6">
              <w:t xml:space="preserve"> the ACT Government’s Climate Change Strategy and commitment to explore alternatives to natural gas?</w:t>
            </w:r>
          </w:p>
        </w:tc>
      </w:tr>
    </w:tbl>
    <w:p w14:paraId="4BC4E01B" w14:textId="77777777" w:rsidR="00270DD6" w:rsidRDefault="00270DD6" w:rsidP="004D7051">
      <w:pPr>
        <w:pStyle w:val="BodyText"/>
      </w:pPr>
    </w:p>
    <w:p w14:paraId="0AC2EA77" w14:textId="7D97C459" w:rsidR="00872D93" w:rsidRDefault="00813021" w:rsidP="00D705B4">
      <w:pPr>
        <w:pStyle w:val="BodyText"/>
      </w:pPr>
      <w:proofErr w:type="spellStart"/>
      <w:r>
        <w:t>Evoenergy’s</w:t>
      </w:r>
      <w:proofErr w:type="spellEnd"/>
      <w:r>
        <w:t xml:space="preserve"> proposed customer number and volume forecasts seem reasonabl</w:t>
      </w:r>
      <w:r w:rsidR="00850AB7">
        <w:t xml:space="preserve">e from a business perspective, but </w:t>
      </w:r>
      <w:r w:rsidR="00C06DC6">
        <w:t xml:space="preserve">do </w:t>
      </w:r>
      <w:r w:rsidR="00C77478">
        <w:t xml:space="preserve">not </w:t>
      </w:r>
      <w:r w:rsidR="0002589B">
        <w:t>align</w:t>
      </w:r>
      <w:r w:rsidR="00DE1461">
        <w:t xml:space="preserve"> </w:t>
      </w:r>
      <w:r w:rsidR="0002589B">
        <w:t xml:space="preserve">with </w:t>
      </w:r>
      <w:r w:rsidR="00C06DC6">
        <w:t>ACT Government’s</w:t>
      </w:r>
      <w:r w:rsidR="00644D3C">
        <w:t xml:space="preserve"> indicative</w:t>
      </w:r>
      <w:r w:rsidR="0062562D">
        <w:t xml:space="preserve"> forecasts</w:t>
      </w:r>
      <w:r w:rsidR="00C06DC6">
        <w:t xml:space="preserve"> in</w:t>
      </w:r>
      <w:r w:rsidR="0062562D">
        <w:t xml:space="preserve"> </w:t>
      </w:r>
      <w:r w:rsidR="0002589B">
        <w:t xml:space="preserve">the </w:t>
      </w:r>
      <w:r w:rsidR="0002589B" w:rsidRPr="00644D3C">
        <w:rPr>
          <w:i/>
          <w:iCs/>
        </w:rPr>
        <w:t>ACT Climate Change Strategy</w:t>
      </w:r>
      <w:r w:rsidR="002B2B0A" w:rsidRPr="00644D3C">
        <w:rPr>
          <w:i/>
          <w:iCs/>
        </w:rPr>
        <w:t xml:space="preserve"> </w:t>
      </w:r>
      <w:r w:rsidR="000F4BCF" w:rsidRPr="00644D3C">
        <w:rPr>
          <w:i/>
          <w:iCs/>
        </w:rPr>
        <w:t>2019-25</w:t>
      </w:r>
      <w:r w:rsidR="000F4BCF">
        <w:t xml:space="preserve"> and</w:t>
      </w:r>
      <w:r w:rsidR="00036946">
        <w:t xml:space="preserve"> </w:t>
      </w:r>
      <w:r w:rsidR="002B2B0A">
        <w:t>the legislated greenhouse gas emissions reduction targets.</w:t>
      </w:r>
    </w:p>
    <w:p w14:paraId="228B4DB3" w14:textId="05EDB199" w:rsidR="00D705B4" w:rsidRDefault="00D705B4" w:rsidP="00D705B4">
      <w:pPr>
        <w:pStyle w:val="BodyText"/>
      </w:pPr>
      <w:r>
        <w:t>The ACT Government has legislated to reduce emissions (from 1990 levels) by:</w:t>
      </w:r>
    </w:p>
    <w:p w14:paraId="55308AE4" w14:textId="77777777" w:rsidR="00D705B4" w:rsidRDefault="00D705B4" w:rsidP="00D705B4">
      <w:pPr>
        <w:pStyle w:val="ListBullet"/>
      </w:pPr>
      <w:r>
        <w:t>40% by 2020</w:t>
      </w:r>
    </w:p>
    <w:p w14:paraId="424D35E1" w14:textId="77777777" w:rsidR="00D705B4" w:rsidRDefault="00D705B4" w:rsidP="00D705B4">
      <w:pPr>
        <w:pStyle w:val="ListBullet"/>
      </w:pPr>
      <w:r>
        <w:t>50–60% by 2025</w:t>
      </w:r>
    </w:p>
    <w:p w14:paraId="2718C58B" w14:textId="77777777" w:rsidR="00D705B4" w:rsidRDefault="00D705B4" w:rsidP="00D705B4">
      <w:pPr>
        <w:pStyle w:val="ListBullet"/>
      </w:pPr>
      <w:r>
        <w:t>65–75% by 2030</w:t>
      </w:r>
    </w:p>
    <w:p w14:paraId="7C5F1FF0" w14:textId="77777777" w:rsidR="00D705B4" w:rsidRDefault="00D705B4" w:rsidP="00D705B4">
      <w:pPr>
        <w:pStyle w:val="ListBullet"/>
      </w:pPr>
      <w:r>
        <w:t>90–95% by 2040</w:t>
      </w:r>
    </w:p>
    <w:p w14:paraId="68592E19" w14:textId="77777777" w:rsidR="00D705B4" w:rsidRDefault="00D705B4" w:rsidP="00D705B4">
      <w:pPr>
        <w:pStyle w:val="ListBullet"/>
      </w:pPr>
      <w:r>
        <w:t>100% (net zero emissions) by 2045.</w:t>
      </w:r>
    </w:p>
    <w:p w14:paraId="404A7549" w14:textId="77777777" w:rsidR="00D705B4" w:rsidRDefault="00D705B4" w:rsidP="00D705B4">
      <w:pPr>
        <w:pStyle w:val="BodyText"/>
      </w:pPr>
      <w:r>
        <w:t>These staged targets provide useful context for GN21, indicating that a further 10-20% reduction in greenhouse gas emissions is to be achieved by 2025. This will require a focus on gas and transport given the achievement of 100% renewable electricity in late 2019.</w:t>
      </w:r>
    </w:p>
    <w:p w14:paraId="03824332" w14:textId="77777777" w:rsidR="00D705B4" w:rsidRDefault="00D705B4" w:rsidP="00D705B4">
      <w:pPr>
        <w:pStyle w:val="BodyText"/>
      </w:pPr>
      <w:r>
        <w:t>While only indicative, the ACT Government has undertaken modelling that suggests that to achieve these targets there would need to be ‘around 60,000 existing households not connected to gas by 2025, increasing to 90,000 in 2030 and all houses by 2045’.</w:t>
      </w:r>
      <w:r>
        <w:rPr>
          <w:rStyle w:val="FootnoteReference"/>
        </w:rPr>
        <w:footnoteReference w:id="37"/>
      </w:r>
      <w:r>
        <w:t xml:space="preserve"> </w:t>
      </w:r>
    </w:p>
    <w:p w14:paraId="58A1DBE4" w14:textId="1DEB6B4A" w:rsidR="008779E9" w:rsidRDefault="00D705B4" w:rsidP="00D705B4">
      <w:pPr>
        <w:pStyle w:val="BodyText"/>
        <w:rPr>
          <w:lang w:eastAsia="en-AU"/>
        </w:rPr>
      </w:pPr>
      <w:r>
        <w:t>The GN21 Draft Plan forecasts an increase of around 14,000 volume (residential and small business) customers – growing from around 150,000 at present to 164,000 by 2025-26.</w:t>
      </w:r>
      <w:r w:rsidR="00646435" w:rsidRPr="00CA7855">
        <w:rPr>
          <w:lang w:eastAsia="en-AU"/>
        </w:rPr>
        <w:t xml:space="preserve"> </w:t>
      </w:r>
    </w:p>
    <w:p w14:paraId="6B7FB86B" w14:textId="1AEFE55C" w:rsidR="00F2428B" w:rsidRDefault="00F2428B" w:rsidP="00D705B4">
      <w:pPr>
        <w:pStyle w:val="BodyText"/>
        <w:rPr>
          <w:lang w:eastAsia="en-AU"/>
        </w:rPr>
      </w:pPr>
      <w:r>
        <w:rPr>
          <w:lang w:eastAsia="en-AU"/>
        </w:rPr>
        <w:t xml:space="preserve">We would welcome </w:t>
      </w:r>
      <w:proofErr w:type="spellStart"/>
      <w:r w:rsidR="009129BE">
        <w:rPr>
          <w:lang w:eastAsia="en-AU"/>
        </w:rPr>
        <w:t>Evoenergy’s</w:t>
      </w:r>
      <w:proofErr w:type="spellEnd"/>
      <w:r w:rsidR="009129BE">
        <w:rPr>
          <w:lang w:eastAsia="en-AU"/>
        </w:rPr>
        <w:t xml:space="preserve"> view</w:t>
      </w:r>
      <w:r w:rsidR="007F0CEE">
        <w:rPr>
          <w:lang w:eastAsia="en-AU"/>
        </w:rPr>
        <w:t>s</w:t>
      </w:r>
      <w:r w:rsidR="009129BE">
        <w:rPr>
          <w:lang w:eastAsia="en-AU"/>
        </w:rPr>
        <w:t xml:space="preserve"> o</w:t>
      </w:r>
      <w:r w:rsidR="007F0CEE">
        <w:rPr>
          <w:lang w:eastAsia="en-AU"/>
        </w:rPr>
        <w:t>n</w:t>
      </w:r>
      <w:r w:rsidR="009129BE">
        <w:rPr>
          <w:lang w:eastAsia="en-AU"/>
        </w:rPr>
        <w:t xml:space="preserve"> how GN21 </w:t>
      </w:r>
      <w:r w:rsidR="007C26CA">
        <w:rPr>
          <w:lang w:eastAsia="en-AU"/>
        </w:rPr>
        <w:t>fits within the</w:t>
      </w:r>
      <w:r w:rsidR="007F0CEE">
        <w:rPr>
          <w:lang w:eastAsia="en-AU"/>
        </w:rPr>
        <w:t xml:space="preserve"> context of the</w:t>
      </w:r>
      <w:r w:rsidR="007C26CA">
        <w:rPr>
          <w:lang w:eastAsia="en-AU"/>
        </w:rPr>
        <w:t xml:space="preserve"> legislated target for a 50-60% reduction in greenhouse gas emissions (from 1990 levels)</w:t>
      </w:r>
      <w:r w:rsidR="007F0CEE">
        <w:rPr>
          <w:lang w:eastAsia="en-AU"/>
        </w:rPr>
        <w:t xml:space="preserve"> by 2025.</w:t>
      </w:r>
    </w:p>
    <w:p w14:paraId="5297CDBF" w14:textId="77777777" w:rsidR="002E116A" w:rsidRDefault="002E116A" w:rsidP="002E116A">
      <w:pPr>
        <w:pStyle w:val="Heading2"/>
        <w:rPr>
          <w:lang w:eastAsia="en-AU"/>
        </w:rPr>
      </w:pPr>
      <w:bookmarkStart w:id="21" w:name="_Toc42267666"/>
      <w:r>
        <w:rPr>
          <w:lang w:eastAsia="en-AU"/>
        </w:rPr>
        <w:lastRenderedPageBreak/>
        <w:t>2020 ACT Election</w:t>
      </w:r>
      <w:bookmarkEnd w:id="21"/>
    </w:p>
    <w:p w14:paraId="24BCFCCB" w14:textId="013ABA83" w:rsidR="002E116A" w:rsidRDefault="002E116A" w:rsidP="002E116A">
      <w:pPr>
        <w:pStyle w:val="BodyText"/>
        <w:rPr>
          <w:lang w:eastAsia="en-AU"/>
        </w:rPr>
      </w:pPr>
      <w:r>
        <w:rPr>
          <w:lang w:eastAsia="en-AU"/>
        </w:rPr>
        <w:t xml:space="preserve">While there is currently bi-partisan support for achieving zero net greenhouse gas emissions in the ACT by 2045, a change of government at the October 2020 ACT Election could see a change in the shape of the Climate Change Strategy and Sustainable Energy Policy. This might include a change in the way the issue of gas is approached by the next ACT Government. </w:t>
      </w:r>
    </w:p>
    <w:p w14:paraId="4511E0FF" w14:textId="65A874AA" w:rsidR="002E116A" w:rsidRDefault="002E116A" w:rsidP="002E116A">
      <w:pPr>
        <w:pStyle w:val="Heading2"/>
        <w:rPr>
          <w:lang w:eastAsia="en-AU"/>
        </w:rPr>
      </w:pPr>
      <w:bookmarkStart w:id="22" w:name="_Toc42267667"/>
      <w:r>
        <w:rPr>
          <w:lang w:eastAsia="en-AU"/>
        </w:rPr>
        <w:t>COVID-19 impacts</w:t>
      </w:r>
      <w:bookmarkEnd w:id="22"/>
    </w:p>
    <w:p w14:paraId="5F451120" w14:textId="350D3C87" w:rsidR="002E116A" w:rsidRDefault="002E116A" w:rsidP="00D705B4">
      <w:pPr>
        <w:pStyle w:val="BodyText"/>
        <w:rPr>
          <w:lang w:eastAsia="en-AU"/>
        </w:rPr>
      </w:pPr>
      <w:r>
        <w:rPr>
          <w:lang w:eastAsia="en-AU"/>
        </w:rPr>
        <w:t xml:space="preserve">We appreciate that there may be </w:t>
      </w:r>
      <w:r w:rsidR="00E53680">
        <w:rPr>
          <w:lang w:eastAsia="en-AU"/>
        </w:rPr>
        <w:t xml:space="preserve">economic impacts resulting from COVID-19 that could impact on </w:t>
      </w:r>
      <w:proofErr w:type="spellStart"/>
      <w:r w:rsidR="000652AB">
        <w:rPr>
          <w:lang w:eastAsia="en-AU"/>
        </w:rPr>
        <w:t>Evoenergy’s</w:t>
      </w:r>
      <w:proofErr w:type="spellEnd"/>
      <w:r w:rsidR="000652AB">
        <w:rPr>
          <w:lang w:eastAsia="en-AU"/>
        </w:rPr>
        <w:t xml:space="preserve"> planning for the gas network during GN21.</w:t>
      </w:r>
    </w:p>
    <w:p w14:paraId="57D7D44B" w14:textId="77777777" w:rsidR="00EF4C5A" w:rsidRDefault="00EF4C5A" w:rsidP="00D705B4">
      <w:pPr>
        <w:pStyle w:val="BodyText"/>
        <w:rPr>
          <w:lang w:eastAsia="en-AU"/>
        </w:rPr>
      </w:pPr>
    </w:p>
    <w:sectPr w:rsidR="00EF4C5A" w:rsidSect="002C4E3A">
      <w:footerReference w:type="even" r:id="rId15"/>
      <w:footerReference w:type="default" r:id="rId1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B6DDA" w14:textId="77777777" w:rsidR="00C84676" w:rsidRDefault="00C84676">
      <w:r>
        <w:separator/>
      </w:r>
    </w:p>
  </w:endnote>
  <w:endnote w:type="continuationSeparator" w:id="0">
    <w:p w14:paraId="06E54089" w14:textId="77777777" w:rsidR="00C84676" w:rsidRDefault="00C84676">
      <w:r>
        <w:continuationSeparator/>
      </w:r>
    </w:p>
  </w:endnote>
  <w:endnote w:type="continuationNotice" w:id="1">
    <w:p w14:paraId="52268F28" w14:textId="77777777" w:rsidR="00C84676" w:rsidRDefault="00C84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A12DA9" w:rsidRDefault="00A12DA9"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A12DA9" w:rsidRDefault="00A1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A12DA9" w:rsidRDefault="00A12DA9"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0EA0A0" w14:textId="77777777" w:rsidR="00A12DA9" w:rsidRDefault="00A1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B81F" w14:textId="77777777" w:rsidR="00C84676" w:rsidRDefault="00C84676">
      <w:r>
        <w:separator/>
      </w:r>
    </w:p>
  </w:footnote>
  <w:footnote w:type="continuationSeparator" w:id="0">
    <w:p w14:paraId="3CC09DF2" w14:textId="77777777" w:rsidR="00C84676" w:rsidRDefault="00C84676">
      <w:r>
        <w:continuationSeparator/>
      </w:r>
    </w:p>
  </w:footnote>
  <w:footnote w:type="continuationNotice" w:id="1">
    <w:p w14:paraId="4F261AC9" w14:textId="77777777" w:rsidR="00C84676" w:rsidRDefault="00C84676"/>
  </w:footnote>
  <w:footnote w:id="2">
    <w:p w14:paraId="5B289D95" w14:textId="53176FF6" w:rsidR="00A12DA9" w:rsidRDefault="00A12DA9">
      <w:pPr>
        <w:pStyle w:val="FootnoteText"/>
      </w:pPr>
      <w:r w:rsidRPr="00E8629C">
        <w:footnoteRef/>
      </w:r>
      <w:r w:rsidRPr="00E8629C">
        <w:t xml:space="preserve"> </w:t>
      </w:r>
      <w:r w:rsidR="00E8629C">
        <w:tab/>
      </w:r>
      <w:r>
        <w:t xml:space="preserve">ACTCOSS, </w:t>
      </w:r>
      <w:r w:rsidRPr="00EF0354">
        <w:rPr>
          <w:i/>
          <w:iCs/>
        </w:rPr>
        <w:t>GN21 energy consumer advocacy workshop outcomes report: building capacity for people on low incomes, experiencing disadvantage, or at risk or hardship to actively engage in the Evoenergy Gas Network 2021-26 Access Arrangement Review</w:t>
      </w:r>
      <w:r>
        <w:t>, ACTCOSS, Canberra, October 2019.</w:t>
      </w:r>
    </w:p>
  </w:footnote>
  <w:footnote w:id="3">
    <w:p w14:paraId="2526F45C" w14:textId="61FC9CD1" w:rsidR="00A12DA9" w:rsidRDefault="00A12DA9" w:rsidP="00F9572E">
      <w:pPr>
        <w:pStyle w:val="FootnoteText"/>
      </w:pPr>
      <w:r w:rsidRPr="00074C9E">
        <w:footnoteRef/>
      </w:r>
      <w:r>
        <w:t xml:space="preserve"> </w:t>
      </w:r>
      <w:r w:rsidR="00074C9E">
        <w:tab/>
      </w:r>
      <w:r>
        <w:t xml:space="preserve">Evoenergy, </w:t>
      </w:r>
      <w:r w:rsidRPr="00884C8F">
        <w:rPr>
          <w:i/>
          <w:iCs/>
        </w:rPr>
        <w:t>Evoenergy gas network 2021 draft plan</w:t>
      </w:r>
      <w:r>
        <w:t>, Evoenergy gas network 2021-26 access arrangement review, Evoenergy, Canberra, February 2020, p. 20, viewed at, &lt;</w:t>
      </w:r>
      <w:hyperlink r:id="rId1" w:history="1">
        <w:r w:rsidRPr="00074C9E">
          <w:rPr>
            <w:rStyle w:val="Hyperlink"/>
          </w:rPr>
          <w:t>https://www.evoenergy.com.au/gas-network-draft-plan</w:t>
        </w:r>
      </w:hyperlink>
      <w:r>
        <w:t xml:space="preserve">&gt;. </w:t>
      </w:r>
    </w:p>
  </w:footnote>
  <w:footnote w:id="4">
    <w:p w14:paraId="11DDD04E" w14:textId="17FDBEB1" w:rsidR="00A12DA9" w:rsidRDefault="00A12DA9" w:rsidP="00620B62">
      <w:pPr>
        <w:pStyle w:val="FootnoteText"/>
      </w:pPr>
      <w:r w:rsidRPr="00074C9E">
        <w:footnoteRef/>
      </w:r>
      <w:r w:rsidR="00074C9E">
        <w:t xml:space="preserve"> </w:t>
      </w:r>
      <w:r w:rsidR="00074C9E">
        <w:tab/>
      </w:r>
      <w:r>
        <w:t>Alternative Technology Association</w:t>
      </w:r>
      <w:r w:rsidRPr="006D3022">
        <w:rPr>
          <w:i/>
          <w:iCs/>
        </w:rPr>
        <w:t xml:space="preserve">, </w:t>
      </w:r>
      <w:r w:rsidRPr="006D3022">
        <w:rPr>
          <w:i/>
          <w:iCs/>
        </w:rPr>
        <w:t>Are we still cooking with gas?</w:t>
      </w:r>
      <w:r>
        <w:t xml:space="preserve"> Report for the Consumer Advocacy Panel, ATA, Melbourne, 2014, p. 5, viewed at, &lt;</w:t>
      </w:r>
      <w:hyperlink r:id="rId2" w:history="1">
        <w:r w:rsidRPr="00074C9E">
          <w:rPr>
            <w:rStyle w:val="Hyperlink"/>
          </w:rPr>
          <w:t>https://renew.org.au/wp-content/projects/CAP_Gas_Research_Final_Report_251114_v2.0.pdf</w:t>
        </w:r>
      </w:hyperlink>
      <w:r>
        <w:t xml:space="preserve">&gt;. </w:t>
      </w:r>
    </w:p>
  </w:footnote>
  <w:footnote w:id="5">
    <w:p w14:paraId="7A75F1CB" w14:textId="1C92A92A" w:rsidR="00A12DA9" w:rsidRDefault="00A12DA9">
      <w:pPr>
        <w:pStyle w:val="FootnoteText"/>
      </w:pPr>
      <w:r w:rsidRPr="00074C9E">
        <w:footnoteRef/>
      </w:r>
      <w:r w:rsidRPr="00074C9E">
        <w:t xml:space="preserve"> </w:t>
      </w:r>
      <w:r w:rsidR="00074C9E">
        <w:tab/>
      </w:r>
      <w:r>
        <w:t xml:space="preserve">ATA, </w:t>
      </w:r>
      <w:r w:rsidRPr="00620B62">
        <w:rPr>
          <w:i/>
          <w:iCs/>
        </w:rPr>
        <w:t>Household fuel choice in the National Energy Market</w:t>
      </w:r>
      <w:r>
        <w:t>, Final Report, ATA, Melbourne, 2018, p. 6, viewed at, &lt;</w:t>
      </w:r>
      <w:hyperlink r:id="rId3" w:history="1">
        <w:r w:rsidRPr="00074C9E">
          <w:rPr>
            <w:rStyle w:val="Hyperlink"/>
          </w:rPr>
          <w:t>https://renew.org.au/wp-content/uploads/2018/08/Household_fuel_choice_in_the_NEM_Revised_June_2018.pdf</w:t>
        </w:r>
      </w:hyperlink>
      <w:r>
        <w:t xml:space="preserve">&gt;. </w:t>
      </w:r>
    </w:p>
  </w:footnote>
  <w:footnote w:id="6">
    <w:p w14:paraId="5CE22495" w14:textId="14E49DB1" w:rsidR="00A12DA9" w:rsidRDefault="00A12DA9">
      <w:pPr>
        <w:pStyle w:val="FootnoteText"/>
      </w:pPr>
      <w:r w:rsidRPr="00161EF3">
        <w:footnoteRef/>
      </w:r>
      <w:r w:rsidRPr="00161EF3">
        <w:t xml:space="preserve"> </w:t>
      </w:r>
      <w:r w:rsidR="00161EF3">
        <w:tab/>
      </w:r>
      <w:r>
        <w:t xml:space="preserve">ACT Government, </w:t>
      </w:r>
      <w:r w:rsidRPr="00F2271A">
        <w:rPr>
          <w:i/>
          <w:iCs/>
        </w:rPr>
        <w:t>ACT Climate Change Strategy 2019-25</w:t>
      </w:r>
      <w:r>
        <w:t>, Environment, Planning and Sustainable Development Directorate, Canberra, ACT 2019, p. 37, viewed at, &lt;</w:t>
      </w:r>
      <w:hyperlink r:id="rId4" w:history="1">
        <w:r w:rsidRPr="00161EF3">
          <w:rPr>
            <w:rStyle w:val="Hyperlink"/>
          </w:rPr>
          <w:t>https://www.environment.act.gov.au/cc/act-climate-change-strategy</w:t>
        </w:r>
      </w:hyperlink>
      <w:r>
        <w:t xml:space="preserve">&gt;. </w:t>
      </w:r>
    </w:p>
  </w:footnote>
  <w:footnote w:id="7">
    <w:p w14:paraId="54501600" w14:textId="18AA5D4C" w:rsidR="00A12DA9" w:rsidRDefault="00A12DA9" w:rsidP="00A14757">
      <w:pPr>
        <w:pStyle w:val="FootnoteText"/>
      </w:pPr>
      <w:r w:rsidRPr="00161EF3">
        <w:footnoteRef/>
      </w:r>
      <w:r w:rsidRPr="00161EF3">
        <w:t xml:space="preserve"> </w:t>
      </w:r>
      <w:r w:rsidR="00161EF3">
        <w:tab/>
      </w:r>
      <w:r>
        <w:t xml:space="preserve">ACTCOSS, </w:t>
      </w:r>
      <w:bookmarkStart w:id="6" w:name="_Hlk37678006"/>
      <w:r w:rsidRPr="002B5EAF">
        <w:rPr>
          <w:i/>
          <w:iCs/>
        </w:rPr>
        <w:t>Submission: Response to the ACT Sustainable Energy Policy 2020-25 Discussion Paper</w:t>
      </w:r>
      <w:bookmarkEnd w:id="6"/>
      <w:r>
        <w:t>, ACTCOSS, Canberra, November 2019, p. 25, viewed at, &lt;</w:t>
      </w:r>
      <w:hyperlink r:id="rId5" w:history="1">
        <w:r w:rsidRPr="00161EF3">
          <w:rPr>
            <w:rStyle w:val="Hyperlink"/>
          </w:rPr>
          <w:t>https://www.actcoss.org.au/publications/advocacy-publications/submission-response-act-sustainable-energy-policy-2020-25</w:t>
        </w:r>
      </w:hyperlink>
      <w:r>
        <w:t xml:space="preserve">&gt;. </w:t>
      </w:r>
    </w:p>
  </w:footnote>
  <w:footnote w:id="8">
    <w:p w14:paraId="140563E0" w14:textId="2767BBAB" w:rsidR="00A12DA9" w:rsidRDefault="00A12DA9">
      <w:pPr>
        <w:pStyle w:val="FootnoteText"/>
      </w:pPr>
      <w:r w:rsidRPr="00161EF3">
        <w:footnoteRef/>
      </w:r>
      <w:r w:rsidRPr="00161EF3">
        <w:t xml:space="preserve"> </w:t>
      </w:r>
      <w:r w:rsidR="00161EF3">
        <w:tab/>
      </w:r>
      <w:r>
        <w:t xml:space="preserve">Evoenergy, </w:t>
      </w:r>
      <w:r w:rsidRPr="00981423">
        <w:rPr>
          <w:i/>
          <w:iCs/>
        </w:rPr>
        <w:t>Report from the Evoenergy Citizens’ Jury</w:t>
      </w:r>
      <w:r>
        <w:t>, Evoenergy, Canberra, 3 November 2019, Supplementary recommendation 2, viewed at, &lt;</w:t>
      </w:r>
      <w:hyperlink r:id="rId6" w:history="1">
        <w:r w:rsidRPr="00161EF3">
          <w:rPr>
            <w:rStyle w:val="Hyperlink"/>
          </w:rPr>
          <w:t>https://www.evoenergy.com.au/about-us/about-our-network/gas-five-year-plan/gas-network-consultation-program</w:t>
        </w:r>
      </w:hyperlink>
      <w:r>
        <w:t xml:space="preserve">&gt;. </w:t>
      </w:r>
    </w:p>
  </w:footnote>
  <w:footnote w:id="9">
    <w:p w14:paraId="1F202777" w14:textId="28BD1FA8" w:rsidR="00A12DA9" w:rsidRDefault="00A12DA9">
      <w:pPr>
        <w:pStyle w:val="FootnoteText"/>
      </w:pPr>
      <w:r w:rsidRPr="00161EF3">
        <w:footnoteRef/>
      </w:r>
      <w:r w:rsidRPr="00161EF3">
        <w:t xml:space="preserve"> </w:t>
      </w:r>
      <w:r w:rsidR="00161EF3">
        <w:tab/>
      </w:r>
      <w:r>
        <w:t xml:space="preserve">ACT Government, </w:t>
      </w:r>
      <w:r w:rsidRPr="00B702BD">
        <w:rPr>
          <w:i/>
          <w:iCs/>
        </w:rPr>
        <w:t>ACT Sustainable Energy Policy 2020-25 Discussion Paper</w:t>
      </w:r>
      <w:r>
        <w:t xml:space="preserve">, Environment, Planning and Sustainable Development Directorate, Canberra, 2019, p. </w:t>
      </w:r>
    </w:p>
  </w:footnote>
  <w:footnote w:id="10">
    <w:p w14:paraId="3A2880A5" w14:textId="579784EA" w:rsidR="00A12DA9" w:rsidRDefault="00A12DA9">
      <w:pPr>
        <w:pStyle w:val="FootnoteText"/>
      </w:pPr>
      <w:r w:rsidRPr="00FB387F">
        <w:footnoteRef/>
      </w:r>
      <w:r w:rsidRPr="00FB387F">
        <w:t xml:space="preserve"> </w:t>
      </w:r>
      <w:r w:rsidR="00FB387F">
        <w:tab/>
      </w:r>
      <w:r>
        <w:t xml:space="preserve">Evoenergy, </w:t>
      </w:r>
      <w:r w:rsidRPr="00846838">
        <w:rPr>
          <w:i/>
          <w:iCs/>
        </w:rPr>
        <w:t>Evoenergy 2019 Citizens’ jury: Evoenergy gas network 2021–26 review response to recommendations</w:t>
      </w:r>
      <w:r>
        <w:t>, Evoenergy, Canberra, 2020, p. 15, viewed at, &lt;</w:t>
      </w:r>
      <w:hyperlink r:id="rId7" w:history="1">
        <w:r w:rsidRPr="00FB387F">
          <w:rPr>
            <w:rStyle w:val="Hyperlink"/>
          </w:rPr>
          <w:t>https://www.evoenergy.com.au/about-us/about-our-network/gas-five-year-plan/gas-network-consultation-program</w:t>
        </w:r>
      </w:hyperlink>
      <w:r>
        <w:t>&gt;.</w:t>
      </w:r>
    </w:p>
  </w:footnote>
  <w:footnote w:id="11">
    <w:p w14:paraId="34F3834B" w14:textId="1E6AD743" w:rsidR="00C36637" w:rsidRDefault="00C36637" w:rsidP="00C36637">
      <w:pPr>
        <w:pStyle w:val="FootnoteText"/>
      </w:pPr>
      <w:r w:rsidRPr="00FB387F">
        <w:footnoteRef/>
      </w:r>
      <w:r w:rsidRPr="00FB387F">
        <w:t xml:space="preserve"> </w:t>
      </w:r>
      <w:r w:rsidR="00FB387F">
        <w:tab/>
      </w:r>
      <w:r>
        <w:t xml:space="preserve">Evoenergy, </w:t>
      </w:r>
      <w:r w:rsidRPr="00884C8F">
        <w:rPr>
          <w:i/>
          <w:iCs/>
        </w:rPr>
        <w:t>Evoenergy gas network 2021 draft plan</w:t>
      </w:r>
      <w:r>
        <w:t xml:space="preserve">, op. cit., </w:t>
      </w:r>
      <w:r w:rsidR="00BB600F">
        <w:t xml:space="preserve">Table 3.1, </w:t>
      </w:r>
      <w:r>
        <w:t>p. 17</w:t>
      </w:r>
      <w:r w:rsidR="00BB600F">
        <w:t>.</w:t>
      </w:r>
    </w:p>
  </w:footnote>
  <w:footnote w:id="12">
    <w:p w14:paraId="3C4D9ABA" w14:textId="03D0E482" w:rsidR="00A12DA9" w:rsidRDefault="00A12DA9">
      <w:pPr>
        <w:pStyle w:val="FootnoteText"/>
      </w:pPr>
      <w:r w:rsidRPr="00FB387F">
        <w:footnoteRef/>
      </w:r>
      <w:r>
        <w:t xml:space="preserve"> </w:t>
      </w:r>
      <w:bookmarkStart w:id="8" w:name="_Hlk37768642"/>
      <w:r w:rsidR="00FB387F">
        <w:tab/>
      </w:r>
      <w:r w:rsidR="00BB600F">
        <w:t xml:space="preserve">ibid, </w:t>
      </w:r>
      <w:r>
        <w:t>p. 17.</w:t>
      </w:r>
    </w:p>
    <w:bookmarkEnd w:id="8"/>
  </w:footnote>
  <w:footnote w:id="13">
    <w:p w14:paraId="020F5CF1" w14:textId="5CDD6598" w:rsidR="00A12DA9" w:rsidRDefault="00A12DA9">
      <w:pPr>
        <w:pStyle w:val="FootnoteText"/>
      </w:pPr>
      <w:r w:rsidRPr="00F1400B">
        <w:footnoteRef/>
      </w:r>
      <w:r w:rsidRPr="00F1400B">
        <w:t xml:space="preserve"> </w:t>
      </w:r>
      <w:r w:rsidR="00F1400B">
        <w:tab/>
      </w:r>
      <w:r>
        <w:t xml:space="preserve">Evoenergy, </w:t>
      </w:r>
      <w:r w:rsidRPr="00884C8F">
        <w:rPr>
          <w:i/>
          <w:iCs/>
        </w:rPr>
        <w:t>Evoenergy gas network 2021 draft plan</w:t>
      </w:r>
      <w:r>
        <w:t>, op. cit., p. 32.</w:t>
      </w:r>
    </w:p>
  </w:footnote>
  <w:footnote w:id="14">
    <w:p w14:paraId="6E6A353F" w14:textId="348F6EAE" w:rsidR="00A12DA9" w:rsidRDefault="00A12DA9">
      <w:pPr>
        <w:pStyle w:val="FootnoteText"/>
      </w:pPr>
      <w:r w:rsidRPr="00F1400B">
        <w:footnoteRef/>
      </w:r>
      <w:r w:rsidRPr="00F1400B">
        <w:t xml:space="preserve"> </w:t>
      </w:r>
      <w:r w:rsidR="00F1400B">
        <w:tab/>
      </w:r>
      <w:r w:rsidRPr="00F1400B">
        <w:t>i</w:t>
      </w:r>
      <w:r>
        <w:t>bid, p. 23.</w:t>
      </w:r>
    </w:p>
  </w:footnote>
  <w:footnote w:id="15">
    <w:p w14:paraId="6E402C4D" w14:textId="0E1E31BC" w:rsidR="00FB0DBB" w:rsidRDefault="00FB0DBB">
      <w:pPr>
        <w:pStyle w:val="FootnoteText"/>
      </w:pPr>
      <w:r w:rsidRPr="00F1400B">
        <w:footnoteRef/>
      </w:r>
      <w:r w:rsidRPr="00F1400B">
        <w:t xml:space="preserve"> </w:t>
      </w:r>
      <w:r w:rsidR="00F1400B">
        <w:tab/>
      </w:r>
      <w:r>
        <w:t xml:space="preserve">Evoenergy, </w:t>
      </w:r>
      <w:r w:rsidRPr="00884C8F">
        <w:rPr>
          <w:i/>
          <w:iCs/>
        </w:rPr>
        <w:t>Evoenergy gas network 2021 draft plan</w:t>
      </w:r>
      <w:r>
        <w:t xml:space="preserve">, op. cit., </w:t>
      </w:r>
      <w:r w:rsidR="00B07A35">
        <w:t xml:space="preserve">Table 4.1, </w:t>
      </w:r>
      <w:r>
        <w:t xml:space="preserve">p. </w:t>
      </w:r>
      <w:r w:rsidR="00B07A35">
        <w:t>23</w:t>
      </w:r>
      <w:r w:rsidR="00F1400B">
        <w:t>.</w:t>
      </w:r>
    </w:p>
  </w:footnote>
  <w:footnote w:id="16">
    <w:p w14:paraId="3EFB9707" w14:textId="23284C46" w:rsidR="00A12DA9" w:rsidRDefault="00A12DA9" w:rsidP="00877AB4">
      <w:pPr>
        <w:pStyle w:val="FootnoteText"/>
      </w:pPr>
      <w:r w:rsidRPr="00D73720">
        <w:footnoteRef/>
      </w:r>
      <w:r w:rsidRPr="00D73720">
        <w:t xml:space="preserve"> </w:t>
      </w:r>
      <w:r w:rsidR="00D73720">
        <w:tab/>
      </w:r>
      <w:r>
        <w:t xml:space="preserve">AER, </w:t>
      </w:r>
      <w:r w:rsidRPr="0043176B">
        <w:rPr>
          <w:i/>
          <w:iCs/>
        </w:rPr>
        <w:t>Affordability in retail energy markets 2019</w:t>
      </w:r>
      <w:r>
        <w:t>, AER, Melbourne, September 2019, viewed at, &lt;</w:t>
      </w:r>
      <w:hyperlink r:id="rId8" w:history="1">
        <w:r w:rsidRPr="00D73720">
          <w:rPr>
            <w:rStyle w:val="Hyperlink"/>
          </w:rPr>
          <w:t>https://www.aer.gov.au/retail-markets/performance-reporting/affordability-in-retail-energy-markets-september-2019</w:t>
        </w:r>
      </w:hyperlink>
      <w:r>
        <w:t>&gt;.</w:t>
      </w:r>
    </w:p>
  </w:footnote>
  <w:footnote w:id="17">
    <w:p w14:paraId="54DDB864" w14:textId="72E28775" w:rsidR="00A12DA9" w:rsidRDefault="00A12DA9" w:rsidP="00877AB4">
      <w:pPr>
        <w:pStyle w:val="FootnoteText"/>
      </w:pPr>
      <w:r w:rsidRPr="00D73720">
        <w:footnoteRef/>
      </w:r>
      <w:r w:rsidRPr="00D73720">
        <w:t xml:space="preserve"> </w:t>
      </w:r>
      <w:r w:rsidR="00D73720">
        <w:tab/>
      </w:r>
      <w:r w:rsidRPr="00D73720">
        <w:t>i</w:t>
      </w:r>
      <w:r>
        <w:t>bid, p. 16.</w:t>
      </w:r>
    </w:p>
  </w:footnote>
  <w:footnote w:id="18">
    <w:p w14:paraId="58F7ADCB" w14:textId="77737F79" w:rsidR="00A12DA9" w:rsidRDefault="00A12DA9" w:rsidP="00877AB4">
      <w:pPr>
        <w:pStyle w:val="FootnoteText"/>
      </w:pPr>
      <w:r w:rsidRPr="00D73720">
        <w:footnoteRef/>
      </w:r>
      <w:r w:rsidRPr="00D73720">
        <w:t xml:space="preserve"> </w:t>
      </w:r>
      <w:r w:rsidR="00D73720">
        <w:tab/>
      </w:r>
      <w:r w:rsidRPr="00D73720">
        <w:t>i</w:t>
      </w:r>
      <w:r>
        <w:t>bid, pp. 17-18.</w:t>
      </w:r>
    </w:p>
  </w:footnote>
  <w:footnote w:id="19">
    <w:p w14:paraId="0010D359" w14:textId="0AC881D8" w:rsidR="00A12DA9" w:rsidRDefault="00A12DA9">
      <w:pPr>
        <w:pStyle w:val="FootnoteText"/>
      </w:pPr>
      <w:r w:rsidRPr="00D73720">
        <w:footnoteRef/>
      </w:r>
      <w:r w:rsidRPr="00D73720">
        <w:t xml:space="preserve"> </w:t>
      </w:r>
      <w:r w:rsidR="00D73720">
        <w:tab/>
      </w:r>
      <w:r>
        <w:t xml:space="preserve">A Nance, </w:t>
      </w:r>
      <w:r w:rsidRPr="00A5099D">
        <w:rPr>
          <w:i/>
          <w:iCs/>
        </w:rPr>
        <w:t>Relative energy poverty in Australia</w:t>
      </w:r>
      <w:r>
        <w:t xml:space="preserve">, </w:t>
      </w:r>
      <w:r w:rsidRPr="00314317">
        <w:t>A research report for consumer advocates and policy makers funded by the Consumer Advocacy Panel</w:t>
      </w:r>
      <w:r>
        <w:t xml:space="preserve"> </w:t>
      </w:r>
      <w:r w:rsidRPr="00AE039D">
        <w:t>(Project No. 565)</w:t>
      </w:r>
      <w:r>
        <w:t xml:space="preserve">, </w:t>
      </w:r>
      <w:r>
        <w:t>st.kitts.associates, Adelaide, 2013, p. 20, viewed at, &lt;</w:t>
      </w:r>
      <w:hyperlink r:id="rId9" w:history="1">
        <w:r w:rsidRPr="00D73720">
          <w:rPr>
            <w:rStyle w:val="Hyperlink"/>
          </w:rPr>
          <w:t>https://www.sacoss.org.au/sites/default/files/public/documents/Reports/131120_Relative_Energy_Poverty_in_Australia%20Report.pdf</w:t>
        </w:r>
      </w:hyperlink>
      <w:r>
        <w:t xml:space="preserve">&gt;. </w:t>
      </w:r>
    </w:p>
  </w:footnote>
  <w:footnote w:id="20">
    <w:p w14:paraId="633444E8" w14:textId="3ECCB5E2" w:rsidR="00A12DA9" w:rsidRPr="00D26988" w:rsidRDefault="00A12DA9">
      <w:pPr>
        <w:pStyle w:val="FootnoteText"/>
      </w:pPr>
      <w:r w:rsidRPr="00D73720">
        <w:footnoteRef/>
      </w:r>
      <w:r w:rsidRPr="00D73720">
        <w:t xml:space="preserve"> </w:t>
      </w:r>
      <w:r w:rsidR="00D73720">
        <w:tab/>
      </w:r>
      <w:r>
        <w:t xml:space="preserve">ACTCOSS, </w:t>
      </w:r>
      <w:r w:rsidRPr="002B5EAF">
        <w:rPr>
          <w:i/>
          <w:iCs/>
        </w:rPr>
        <w:t>Submission: Response to the ACT Sustainable Energy Policy 2020-25 Discussion Paper</w:t>
      </w:r>
      <w:r>
        <w:rPr>
          <w:i/>
          <w:iCs/>
        </w:rPr>
        <w:t xml:space="preserve">, </w:t>
      </w:r>
      <w:r w:rsidRPr="00D26988">
        <w:t xml:space="preserve">op. </w:t>
      </w:r>
      <w:r w:rsidRPr="00D26988">
        <w:t>cit, p. 25.</w:t>
      </w:r>
    </w:p>
  </w:footnote>
  <w:footnote w:id="21">
    <w:p w14:paraId="47CB6F48" w14:textId="7D4B9D41" w:rsidR="00A12DA9" w:rsidRDefault="00A12DA9">
      <w:pPr>
        <w:pStyle w:val="FootnoteText"/>
      </w:pPr>
      <w:r w:rsidRPr="00D73720">
        <w:footnoteRef/>
      </w:r>
      <w:r w:rsidRPr="00D73720">
        <w:t xml:space="preserve"> </w:t>
      </w:r>
      <w:r w:rsidR="00D73720">
        <w:tab/>
      </w:r>
      <w:r w:rsidRPr="00D73720">
        <w:t>A</w:t>
      </w:r>
      <w:r>
        <w:t xml:space="preserve">CTCOSS, </w:t>
      </w:r>
      <w:r w:rsidRPr="00C235FF">
        <w:rPr>
          <w:i/>
          <w:iCs/>
        </w:rPr>
        <w:t>ACT cost of living report 2019</w:t>
      </w:r>
      <w:r>
        <w:t>, ACTCOSS, May 2019, viewed at, &lt;</w:t>
      </w:r>
      <w:hyperlink r:id="rId10" w:history="1">
        <w:r w:rsidRPr="00D73720">
          <w:rPr>
            <w:rStyle w:val="Hyperlink"/>
          </w:rPr>
          <w:t>https://www.actcoss.org.au/publications/advocacy-publications/act-cost-living-report-2019</w:t>
        </w:r>
      </w:hyperlink>
      <w:r>
        <w:t xml:space="preserve">&gt;. </w:t>
      </w:r>
    </w:p>
  </w:footnote>
  <w:footnote w:id="22">
    <w:p w14:paraId="3D0ADF35" w14:textId="664CA01C" w:rsidR="00A12DA9" w:rsidRPr="002D2D28" w:rsidRDefault="00A12DA9">
      <w:pPr>
        <w:pStyle w:val="FootnoteText"/>
      </w:pPr>
      <w:r w:rsidRPr="00D73720">
        <w:footnoteRef/>
      </w:r>
      <w:r w:rsidRPr="00D73720">
        <w:t xml:space="preserve"> </w:t>
      </w:r>
      <w:r w:rsidR="00D73720">
        <w:tab/>
      </w:r>
      <w:r w:rsidRPr="00D73720">
        <w:t>A</w:t>
      </w:r>
      <w:r>
        <w:t xml:space="preserve">CTCOSS, </w:t>
      </w:r>
      <w:r w:rsidRPr="002D2D28">
        <w:rPr>
          <w:i/>
          <w:iCs/>
        </w:rPr>
        <w:t>GN21 energy consumer advocacy workshop outcomes report</w:t>
      </w:r>
      <w:r>
        <w:t>, op. cit.</w:t>
      </w:r>
    </w:p>
  </w:footnote>
  <w:footnote w:id="23">
    <w:p w14:paraId="5345A19B" w14:textId="24A72F16" w:rsidR="00A12DA9" w:rsidRDefault="00A12DA9">
      <w:pPr>
        <w:pStyle w:val="FootnoteText"/>
      </w:pPr>
      <w:r w:rsidRPr="00D73720">
        <w:footnoteRef/>
      </w:r>
      <w:r w:rsidRPr="00D73720">
        <w:t xml:space="preserve"> </w:t>
      </w:r>
      <w:r w:rsidR="00D73720">
        <w:tab/>
      </w:r>
      <w:r>
        <w:t>ATA, 2014 &amp; 2018, op. cit.</w:t>
      </w:r>
    </w:p>
  </w:footnote>
  <w:footnote w:id="24">
    <w:p w14:paraId="6C7308F1" w14:textId="21FC7252" w:rsidR="00A12DA9" w:rsidRDefault="00A12DA9" w:rsidP="00173F83">
      <w:pPr>
        <w:pStyle w:val="FootnoteText"/>
      </w:pPr>
      <w:r w:rsidRPr="00D73720">
        <w:footnoteRef/>
      </w:r>
      <w:r w:rsidRPr="00D73720">
        <w:t xml:space="preserve"> </w:t>
      </w:r>
      <w:r w:rsidR="00D73720">
        <w:tab/>
      </w:r>
      <w:r>
        <w:t xml:space="preserve">D </w:t>
      </w:r>
      <w:r w:rsidRPr="00BA7EC2">
        <w:t>Daly, M</w:t>
      </w:r>
      <w:r>
        <w:t xml:space="preserve"> </w:t>
      </w:r>
      <w:r w:rsidRPr="00BA7EC2">
        <w:t>Tibbs, T</w:t>
      </w:r>
      <w:r>
        <w:t xml:space="preserve"> </w:t>
      </w:r>
      <w:r w:rsidRPr="00BA7EC2">
        <w:t>Harada, G</w:t>
      </w:r>
      <w:r>
        <w:t xml:space="preserve"> </w:t>
      </w:r>
      <w:r w:rsidRPr="00BA7EC2">
        <w:t>Waitt</w:t>
      </w:r>
      <w:r>
        <w:t xml:space="preserve"> &amp; </w:t>
      </w:r>
      <w:r w:rsidRPr="00BA7EC2">
        <w:t>P Cooper</w:t>
      </w:r>
      <w:r>
        <w:t xml:space="preserve">, </w:t>
      </w:r>
      <w:r w:rsidRPr="00D150DF">
        <w:rPr>
          <w:i/>
          <w:iCs/>
        </w:rPr>
        <w:t>Guide to Implementing Low Carbon Retrofits for Social Housing</w:t>
      </w:r>
      <w:r>
        <w:t>, Low Carbon Living CRC, Sydney, 2019, viewed at, &lt;</w:t>
      </w:r>
      <w:hyperlink r:id="rId11" w:history="1">
        <w:r w:rsidRPr="00D73720">
          <w:rPr>
            <w:rStyle w:val="Hyperlink"/>
          </w:rPr>
          <w:t>http://www.lowcarbonlivingcrc.com.au/resources/crc-publications/guide-implementing-low-carbon-retrofits-social-housing</w:t>
        </w:r>
      </w:hyperlink>
      <w:r>
        <w:t xml:space="preserve">&gt;. </w:t>
      </w:r>
    </w:p>
  </w:footnote>
  <w:footnote w:id="25">
    <w:p w14:paraId="0912C914" w14:textId="0FB19B8C" w:rsidR="00A12DA9" w:rsidRDefault="00A12DA9">
      <w:pPr>
        <w:pStyle w:val="FootnoteText"/>
      </w:pPr>
      <w:r w:rsidRPr="00D73720">
        <w:footnoteRef/>
      </w:r>
      <w:r w:rsidRPr="00D73720">
        <w:t xml:space="preserve"> </w:t>
      </w:r>
      <w:r w:rsidR="00D73720">
        <w:tab/>
      </w:r>
      <w:r w:rsidRPr="00D73720">
        <w:t>R</w:t>
      </w:r>
      <w:r>
        <w:t xml:space="preserve">enew, </w:t>
      </w:r>
      <w:r w:rsidRPr="00837A44">
        <w:rPr>
          <w:i/>
          <w:iCs/>
        </w:rPr>
        <w:t>Hydrogen: help or hype?</w:t>
      </w:r>
      <w:r>
        <w:t xml:space="preserve"> Discussion paper, Renew, Melbourne, 2019, viewed at, &lt;</w:t>
      </w:r>
      <w:hyperlink r:id="rId12" w:history="1">
        <w:r w:rsidRPr="00D73720">
          <w:rPr>
            <w:rStyle w:val="Hyperlink"/>
          </w:rPr>
          <w:t>https://renew.org.au/wp-content/uploads/2019/06/HydrogenHelpOrHype02d.pdf</w:t>
        </w:r>
      </w:hyperlink>
      <w:r>
        <w:t xml:space="preserve">&gt;. </w:t>
      </w:r>
    </w:p>
  </w:footnote>
  <w:footnote w:id="26">
    <w:p w14:paraId="19B7726C" w14:textId="06A38DB6" w:rsidR="00A12DA9" w:rsidRDefault="00A12DA9" w:rsidP="00806CCF">
      <w:pPr>
        <w:pStyle w:val="FootnoteText"/>
      </w:pPr>
      <w:r w:rsidRPr="00D73720">
        <w:footnoteRef/>
      </w:r>
      <w:r w:rsidRPr="00D73720">
        <w:t xml:space="preserve"> </w:t>
      </w:r>
      <w:bookmarkStart w:id="13" w:name="_Hlk37688256"/>
      <w:r w:rsidR="00D73720">
        <w:tab/>
      </w:r>
      <w:r>
        <w:t xml:space="preserve">Evoenergy, </w:t>
      </w:r>
      <w:r w:rsidRPr="00884C8F">
        <w:rPr>
          <w:i/>
          <w:iCs/>
        </w:rPr>
        <w:t>Evoenergy gas network 2021 draft plan</w:t>
      </w:r>
      <w:r>
        <w:t>, op. cit., p. 41</w:t>
      </w:r>
      <w:bookmarkEnd w:id="13"/>
      <w:r>
        <w:t>.</w:t>
      </w:r>
    </w:p>
  </w:footnote>
  <w:footnote w:id="27">
    <w:p w14:paraId="5C9B752C" w14:textId="4B803823" w:rsidR="00A12DA9" w:rsidRPr="003E3FCD" w:rsidRDefault="00A12DA9">
      <w:pPr>
        <w:pStyle w:val="FootnoteText"/>
      </w:pPr>
      <w:r w:rsidRPr="00D73720">
        <w:footnoteRef/>
      </w:r>
      <w:r w:rsidRPr="00D73720">
        <w:t xml:space="preserve"> </w:t>
      </w:r>
      <w:r w:rsidR="00D73720">
        <w:tab/>
      </w:r>
      <w:r>
        <w:t xml:space="preserve">ACTCOSS, </w:t>
      </w:r>
      <w:r w:rsidRPr="003E3FCD">
        <w:rPr>
          <w:i/>
          <w:iCs/>
        </w:rPr>
        <w:t>Submission: Response to the ACT Sustainable Energy Policy 2020-25 Discussion Paper</w:t>
      </w:r>
      <w:r>
        <w:t>, op. cit.</w:t>
      </w:r>
    </w:p>
  </w:footnote>
  <w:footnote w:id="28">
    <w:p w14:paraId="2D7140FF" w14:textId="2FB044BF" w:rsidR="00A12DA9" w:rsidRDefault="00A12DA9">
      <w:pPr>
        <w:pStyle w:val="FootnoteText"/>
      </w:pPr>
      <w:r w:rsidRPr="00D73720">
        <w:footnoteRef/>
      </w:r>
      <w:r w:rsidRPr="00D73720">
        <w:t xml:space="preserve"> </w:t>
      </w:r>
      <w:r w:rsidR="00D73720">
        <w:tab/>
      </w:r>
      <w:r>
        <w:t xml:space="preserve">Evoenergy, </w:t>
      </w:r>
      <w:r w:rsidRPr="00846838">
        <w:rPr>
          <w:i/>
          <w:iCs/>
        </w:rPr>
        <w:t>Evoenergy 2019 Citizens’ jury: Evoenergy gas network 2021–26 review response to recommendations</w:t>
      </w:r>
      <w:r>
        <w:t>, Evoenergy, Canberra, 2020, p. 11, viewed at, &lt;</w:t>
      </w:r>
      <w:hyperlink r:id="rId13" w:history="1">
        <w:r w:rsidRPr="00D73720">
          <w:rPr>
            <w:rStyle w:val="Hyperlink"/>
          </w:rPr>
          <w:t>https://www.evoenergy.com.au/about-us/about-our-network/gas-five-year-plan/gas-network-consultation-program</w:t>
        </w:r>
      </w:hyperlink>
      <w:r>
        <w:t xml:space="preserve">&gt;. </w:t>
      </w:r>
    </w:p>
  </w:footnote>
  <w:footnote w:id="29">
    <w:p w14:paraId="09801F4C" w14:textId="5A991A20" w:rsidR="00A12DA9" w:rsidRDefault="00A12DA9">
      <w:pPr>
        <w:pStyle w:val="FootnoteText"/>
      </w:pPr>
      <w:r w:rsidRPr="00D73720">
        <w:footnoteRef/>
      </w:r>
      <w:r w:rsidRPr="00D73720">
        <w:t xml:space="preserve"> </w:t>
      </w:r>
      <w:r w:rsidR="00D73720">
        <w:tab/>
      </w:r>
      <w:r w:rsidRPr="00D73720">
        <w:t>E</w:t>
      </w:r>
      <w:r>
        <w:t xml:space="preserve">voenergy, </w:t>
      </w:r>
      <w:r w:rsidRPr="00D10676">
        <w:rPr>
          <w:i/>
          <w:iCs/>
        </w:rPr>
        <w:t>Part A Deep Dive Q and A</w:t>
      </w:r>
      <w:r>
        <w:t>, Evoenergy, Canberra, 2020, p. 1.</w:t>
      </w:r>
    </w:p>
  </w:footnote>
  <w:footnote w:id="30">
    <w:p w14:paraId="541E0A36" w14:textId="21B67C33" w:rsidR="00A12DA9" w:rsidRDefault="00A12DA9">
      <w:pPr>
        <w:pStyle w:val="FootnoteText"/>
      </w:pPr>
      <w:r w:rsidRPr="00D73720">
        <w:footnoteRef/>
      </w:r>
      <w:r w:rsidRPr="00D73720">
        <w:t xml:space="preserve"> </w:t>
      </w:r>
      <w:r w:rsidR="00D73720">
        <w:tab/>
      </w:r>
      <w:r w:rsidRPr="00D73720">
        <w:t>A</w:t>
      </w:r>
      <w:r>
        <w:t xml:space="preserve">EMC, </w:t>
      </w:r>
      <w:r w:rsidRPr="00802E02">
        <w:rPr>
          <w:i/>
          <w:iCs/>
        </w:rPr>
        <w:t>Applying the energy market objectives</w:t>
      </w:r>
      <w:r>
        <w:t>, AEMC, Sydney, 8 July 2019, pp. 10-11, viewed at, &lt;</w:t>
      </w:r>
      <w:hyperlink r:id="rId14" w:history="1">
        <w:r w:rsidRPr="00D73720">
          <w:rPr>
            <w:rStyle w:val="Hyperlink"/>
          </w:rPr>
          <w:t>https://www.aemc.gov.au/sites/default/files/2019-07/Applying%20the%20energy%20market%20objectives_4.pdf</w:t>
        </w:r>
      </w:hyperlink>
      <w:r>
        <w:t>&gt;.</w:t>
      </w:r>
    </w:p>
  </w:footnote>
  <w:footnote w:id="31">
    <w:p w14:paraId="237702A9" w14:textId="517F825C" w:rsidR="00B702BD" w:rsidRDefault="00B702BD" w:rsidP="00B702BD">
      <w:pPr>
        <w:pStyle w:val="FootnoteText"/>
      </w:pPr>
      <w:r w:rsidRPr="0086497C">
        <w:footnoteRef/>
      </w:r>
      <w:r w:rsidRPr="0086497C">
        <w:t xml:space="preserve"> </w:t>
      </w:r>
      <w:r w:rsidR="0086497C">
        <w:tab/>
      </w:r>
      <w:r>
        <w:t xml:space="preserve">Environmental </w:t>
      </w:r>
      <w:r>
        <w:t xml:space="preserve">Defense Fund, </w:t>
      </w:r>
      <w:r w:rsidRPr="00CC6465">
        <w:rPr>
          <w:i/>
          <w:iCs/>
        </w:rPr>
        <w:t>Managing the transition: proactive solutions for stranded gas asset risk in California</w:t>
      </w:r>
      <w:r>
        <w:t>, EDF, New York, 2019, pp. 20, 21 &amp; 23, viewed at, &lt;</w:t>
      </w:r>
      <w:hyperlink r:id="rId15" w:history="1">
        <w:r w:rsidR="002349FD" w:rsidRPr="004A6387">
          <w:rPr>
            <w:rStyle w:val="Hyperlink"/>
          </w:rPr>
          <w:t>https://www.edf.org/sites/default/files/documents/Managing%20the%20Transition_1.pdf</w:t>
        </w:r>
      </w:hyperlink>
      <w:r>
        <w:t xml:space="preserve">&gt;. </w:t>
      </w:r>
    </w:p>
  </w:footnote>
  <w:footnote w:id="32">
    <w:p w14:paraId="47F09DE7" w14:textId="23B8D818" w:rsidR="00A12DA9" w:rsidRDefault="00A12DA9">
      <w:pPr>
        <w:pStyle w:val="FootnoteText"/>
      </w:pPr>
      <w:r w:rsidRPr="004A6387">
        <w:footnoteRef/>
      </w:r>
      <w:r w:rsidRPr="004A6387">
        <w:t xml:space="preserve"> </w:t>
      </w:r>
      <w:r w:rsidR="004A6387">
        <w:tab/>
      </w:r>
      <w:r>
        <w:t xml:space="preserve">Evoenergy, </w:t>
      </w:r>
      <w:r w:rsidRPr="00884C8F">
        <w:rPr>
          <w:i/>
          <w:iCs/>
        </w:rPr>
        <w:t>Evoenergy gas network 2021 draft plan</w:t>
      </w:r>
      <w:r>
        <w:t>, op. cit., p. 42.</w:t>
      </w:r>
    </w:p>
  </w:footnote>
  <w:footnote w:id="33">
    <w:p w14:paraId="79B76051" w14:textId="1AF159DE" w:rsidR="00A12DA9" w:rsidRDefault="00A12DA9">
      <w:pPr>
        <w:pStyle w:val="FootnoteText"/>
      </w:pPr>
      <w:r w:rsidRPr="004A6387">
        <w:footnoteRef/>
      </w:r>
      <w:r w:rsidRPr="004A6387">
        <w:t xml:space="preserve"> </w:t>
      </w:r>
      <w:r w:rsidR="004A6387">
        <w:tab/>
      </w:r>
      <w:r>
        <w:t xml:space="preserve">Evoenergy, </w:t>
      </w:r>
      <w:r w:rsidRPr="00884C8F">
        <w:rPr>
          <w:i/>
          <w:iCs/>
        </w:rPr>
        <w:t>Evoenergy gas network 2021 draft plan</w:t>
      </w:r>
      <w:r>
        <w:t>, op. cit., p. 44.</w:t>
      </w:r>
    </w:p>
  </w:footnote>
  <w:footnote w:id="34">
    <w:p w14:paraId="4B4E47DA" w14:textId="38115E22" w:rsidR="00A12DA9" w:rsidRDefault="00A12DA9">
      <w:pPr>
        <w:pStyle w:val="FootnoteText"/>
      </w:pPr>
      <w:r w:rsidRPr="004A6387">
        <w:footnoteRef/>
      </w:r>
      <w:r w:rsidRPr="004A6387">
        <w:t xml:space="preserve"> </w:t>
      </w:r>
      <w:r w:rsidR="004A6387">
        <w:tab/>
      </w:r>
      <w:r>
        <w:t xml:space="preserve">Evoenergy, </w:t>
      </w:r>
      <w:r w:rsidRPr="00D10676">
        <w:rPr>
          <w:i/>
          <w:iCs/>
        </w:rPr>
        <w:t>Part A Deep Dive Q and A</w:t>
      </w:r>
      <w:r>
        <w:t>, Evoenergy, op. cit., p. 1.</w:t>
      </w:r>
    </w:p>
  </w:footnote>
  <w:footnote w:id="35">
    <w:p w14:paraId="5B6E4634" w14:textId="0D5518F1" w:rsidR="00A12DA9" w:rsidRDefault="00A12DA9">
      <w:pPr>
        <w:pStyle w:val="FootnoteText"/>
      </w:pPr>
      <w:r w:rsidRPr="004A6387">
        <w:footnoteRef/>
      </w:r>
      <w:r w:rsidRPr="004A6387">
        <w:t xml:space="preserve"> </w:t>
      </w:r>
      <w:r w:rsidR="004A6387">
        <w:tab/>
      </w:r>
      <w:r w:rsidRPr="004A6387">
        <w:t>ibi</w:t>
      </w:r>
      <w:r>
        <w:t>d.</w:t>
      </w:r>
    </w:p>
  </w:footnote>
  <w:footnote w:id="36">
    <w:p w14:paraId="01897EDB" w14:textId="14AAA02F" w:rsidR="00A12DA9" w:rsidRDefault="00A12DA9">
      <w:pPr>
        <w:pStyle w:val="FootnoteText"/>
      </w:pPr>
      <w:r w:rsidRPr="004A6387">
        <w:footnoteRef/>
      </w:r>
      <w:r w:rsidRPr="004A6387">
        <w:t xml:space="preserve"> </w:t>
      </w:r>
      <w:r w:rsidR="004A6387">
        <w:tab/>
      </w:r>
      <w:r w:rsidRPr="004A6387">
        <w:t>ibid</w:t>
      </w:r>
      <w:r>
        <w:t>.</w:t>
      </w:r>
    </w:p>
  </w:footnote>
  <w:footnote w:id="37">
    <w:p w14:paraId="5A6D8E06" w14:textId="70CFDB40" w:rsidR="00A12DA9" w:rsidRDefault="00A12DA9" w:rsidP="00D705B4">
      <w:pPr>
        <w:pStyle w:val="FootnoteText"/>
      </w:pPr>
      <w:r w:rsidRPr="004A6387">
        <w:footnoteRef/>
      </w:r>
      <w:r w:rsidRPr="004A6387">
        <w:t xml:space="preserve"> </w:t>
      </w:r>
      <w:r w:rsidR="004A6387">
        <w:tab/>
      </w:r>
      <w:r>
        <w:t xml:space="preserve">ACT Government, </w:t>
      </w:r>
      <w:r w:rsidRPr="00ED4B71">
        <w:rPr>
          <w:i/>
          <w:iCs/>
        </w:rPr>
        <w:t>ACT Climate Change Strategy 2019-25</w:t>
      </w:r>
      <w:r>
        <w:t>, op. cit.,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D6C34C4"/>
    <w:multiLevelType w:val="hybridMultilevel"/>
    <w:tmpl w:val="0FDE091E"/>
    <w:lvl w:ilvl="0" w:tplc="0C090001">
      <w:start w:val="1"/>
      <w:numFmt w:val="bullet"/>
      <w:lvlText w:val=""/>
      <w:lvlJc w:val="left"/>
      <w:pPr>
        <w:ind w:left="1287" w:hanging="360"/>
      </w:pPr>
      <w:rPr>
        <w:rFonts w:ascii="Symbol" w:hAnsi="Symbol" w:cs="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cs="Wingdings" w:hint="default"/>
      </w:rPr>
    </w:lvl>
    <w:lvl w:ilvl="3" w:tplc="0C090001" w:tentative="1">
      <w:start w:val="1"/>
      <w:numFmt w:val="bullet"/>
      <w:lvlText w:val=""/>
      <w:lvlJc w:val="left"/>
      <w:pPr>
        <w:ind w:left="3447" w:hanging="360"/>
      </w:pPr>
      <w:rPr>
        <w:rFonts w:ascii="Symbol" w:hAnsi="Symbol" w:cs="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cs="Wingdings" w:hint="default"/>
      </w:rPr>
    </w:lvl>
    <w:lvl w:ilvl="6" w:tplc="0C090001" w:tentative="1">
      <w:start w:val="1"/>
      <w:numFmt w:val="bullet"/>
      <w:lvlText w:val=""/>
      <w:lvlJc w:val="left"/>
      <w:pPr>
        <w:ind w:left="5607" w:hanging="360"/>
      </w:pPr>
      <w:rPr>
        <w:rFonts w:ascii="Symbol" w:hAnsi="Symbol" w:cs="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cs="Wingding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4"/>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6"/>
  </w:num>
  <w:num w:numId="25">
    <w:abstractNumId w:val="25"/>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22E"/>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D48"/>
    <w:rsid w:val="00005FF4"/>
    <w:rsid w:val="00006385"/>
    <w:rsid w:val="00006B64"/>
    <w:rsid w:val="00007467"/>
    <w:rsid w:val="00007AF0"/>
    <w:rsid w:val="00010F14"/>
    <w:rsid w:val="000116AF"/>
    <w:rsid w:val="00011872"/>
    <w:rsid w:val="00011B78"/>
    <w:rsid w:val="00011C8F"/>
    <w:rsid w:val="000120D3"/>
    <w:rsid w:val="00012365"/>
    <w:rsid w:val="00012633"/>
    <w:rsid w:val="00012D83"/>
    <w:rsid w:val="00012E73"/>
    <w:rsid w:val="000132C9"/>
    <w:rsid w:val="00013ED8"/>
    <w:rsid w:val="00014172"/>
    <w:rsid w:val="00014206"/>
    <w:rsid w:val="00014249"/>
    <w:rsid w:val="000143A5"/>
    <w:rsid w:val="00014A41"/>
    <w:rsid w:val="00014AF1"/>
    <w:rsid w:val="00014B3B"/>
    <w:rsid w:val="0001514A"/>
    <w:rsid w:val="000152FD"/>
    <w:rsid w:val="00015F7A"/>
    <w:rsid w:val="000162D8"/>
    <w:rsid w:val="000164F8"/>
    <w:rsid w:val="000166C8"/>
    <w:rsid w:val="00016946"/>
    <w:rsid w:val="00016C6C"/>
    <w:rsid w:val="00017087"/>
    <w:rsid w:val="00017887"/>
    <w:rsid w:val="00020D9C"/>
    <w:rsid w:val="000215B8"/>
    <w:rsid w:val="00021975"/>
    <w:rsid w:val="00022381"/>
    <w:rsid w:val="0002251B"/>
    <w:rsid w:val="00022CA9"/>
    <w:rsid w:val="000233EA"/>
    <w:rsid w:val="0002352F"/>
    <w:rsid w:val="000238CB"/>
    <w:rsid w:val="000239A2"/>
    <w:rsid w:val="00023C3F"/>
    <w:rsid w:val="0002415F"/>
    <w:rsid w:val="0002453D"/>
    <w:rsid w:val="000246AF"/>
    <w:rsid w:val="000247E6"/>
    <w:rsid w:val="00024A48"/>
    <w:rsid w:val="00024DDE"/>
    <w:rsid w:val="000252FB"/>
    <w:rsid w:val="000253A9"/>
    <w:rsid w:val="0002546F"/>
    <w:rsid w:val="000256D4"/>
    <w:rsid w:val="0002589B"/>
    <w:rsid w:val="00025A2F"/>
    <w:rsid w:val="00025EC2"/>
    <w:rsid w:val="00025F23"/>
    <w:rsid w:val="00026723"/>
    <w:rsid w:val="00026A30"/>
    <w:rsid w:val="0002726C"/>
    <w:rsid w:val="0002768E"/>
    <w:rsid w:val="00030229"/>
    <w:rsid w:val="000302A3"/>
    <w:rsid w:val="0003057E"/>
    <w:rsid w:val="0003066E"/>
    <w:rsid w:val="00030AAE"/>
    <w:rsid w:val="00031388"/>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DF"/>
    <w:rsid w:val="000358E8"/>
    <w:rsid w:val="00036236"/>
    <w:rsid w:val="00036701"/>
    <w:rsid w:val="00036946"/>
    <w:rsid w:val="00036EFE"/>
    <w:rsid w:val="000372C0"/>
    <w:rsid w:val="00037427"/>
    <w:rsid w:val="00037BE6"/>
    <w:rsid w:val="00040A4C"/>
    <w:rsid w:val="00040CFB"/>
    <w:rsid w:val="00040DD7"/>
    <w:rsid w:val="00040F25"/>
    <w:rsid w:val="000418AF"/>
    <w:rsid w:val="00041995"/>
    <w:rsid w:val="000419C3"/>
    <w:rsid w:val="00041BF1"/>
    <w:rsid w:val="00041F28"/>
    <w:rsid w:val="00042382"/>
    <w:rsid w:val="00042E96"/>
    <w:rsid w:val="00043834"/>
    <w:rsid w:val="00043919"/>
    <w:rsid w:val="00043CF4"/>
    <w:rsid w:val="00043D22"/>
    <w:rsid w:val="00043F97"/>
    <w:rsid w:val="00044716"/>
    <w:rsid w:val="000447F4"/>
    <w:rsid w:val="00044A07"/>
    <w:rsid w:val="00044D90"/>
    <w:rsid w:val="0004507D"/>
    <w:rsid w:val="000454CC"/>
    <w:rsid w:val="000456FF"/>
    <w:rsid w:val="00046C0E"/>
    <w:rsid w:val="00046F42"/>
    <w:rsid w:val="000471FF"/>
    <w:rsid w:val="00047B01"/>
    <w:rsid w:val="00047E45"/>
    <w:rsid w:val="000503BF"/>
    <w:rsid w:val="00050620"/>
    <w:rsid w:val="000506CD"/>
    <w:rsid w:val="00050C3C"/>
    <w:rsid w:val="00050D10"/>
    <w:rsid w:val="00050E6A"/>
    <w:rsid w:val="0005220F"/>
    <w:rsid w:val="00052367"/>
    <w:rsid w:val="0005297E"/>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6EF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2673"/>
    <w:rsid w:val="00062695"/>
    <w:rsid w:val="00063064"/>
    <w:rsid w:val="000631D9"/>
    <w:rsid w:val="0006342A"/>
    <w:rsid w:val="00063522"/>
    <w:rsid w:val="0006399D"/>
    <w:rsid w:val="000639DA"/>
    <w:rsid w:val="00063DF4"/>
    <w:rsid w:val="00063EE6"/>
    <w:rsid w:val="0006459D"/>
    <w:rsid w:val="000646B1"/>
    <w:rsid w:val="0006512C"/>
    <w:rsid w:val="000652AB"/>
    <w:rsid w:val="000659DC"/>
    <w:rsid w:val="00065A02"/>
    <w:rsid w:val="00065AF2"/>
    <w:rsid w:val="00066060"/>
    <w:rsid w:val="00066893"/>
    <w:rsid w:val="00066F37"/>
    <w:rsid w:val="00067018"/>
    <w:rsid w:val="00067248"/>
    <w:rsid w:val="00067529"/>
    <w:rsid w:val="000677B2"/>
    <w:rsid w:val="00067900"/>
    <w:rsid w:val="00067A96"/>
    <w:rsid w:val="00067D75"/>
    <w:rsid w:val="00070148"/>
    <w:rsid w:val="0007029D"/>
    <w:rsid w:val="0007044D"/>
    <w:rsid w:val="00070475"/>
    <w:rsid w:val="00070586"/>
    <w:rsid w:val="0007074A"/>
    <w:rsid w:val="000717FA"/>
    <w:rsid w:val="00071BF7"/>
    <w:rsid w:val="00072825"/>
    <w:rsid w:val="00072957"/>
    <w:rsid w:val="0007344A"/>
    <w:rsid w:val="00073589"/>
    <w:rsid w:val="000739EE"/>
    <w:rsid w:val="00073A77"/>
    <w:rsid w:val="00073D40"/>
    <w:rsid w:val="00073E5F"/>
    <w:rsid w:val="00073F40"/>
    <w:rsid w:val="00073F60"/>
    <w:rsid w:val="0007435C"/>
    <w:rsid w:val="0007474E"/>
    <w:rsid w:val="00074C9E"/>
    <w:rsid w:val="0007534D"/>
    <w:rsid w:val="00075471"/>
    <w:rsid w:val="000755E9"/>
    <w:rsid w:val="000762BD"/>
    <w:rsid w:val="0007651F"/>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A11"/>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40"/>
    <w:rsid w:val="00092A6C"/>
    <w:rsid w:val="00092D66"/>
    <w:rsid w:val="000932CC"/>
    <w:rsid w:val="000938E3"/>
    <w:rsid w:val="00093A61"/>
    <w:rsid w:val="00093E89"/>
    <w:rsid w:val="00094301"/>
    <w:rsid w:val="000943A8"/>
    <w:rsid w:val="00094B68"/>
    <w:rsid w:val="00095480"/>
    <w:rsid w:val="00095E56"/>
    <w:rsid w:val="00096103"/>
    <w:rsid w:val="0009615B"/>
    <w:rsid w:val="0009660D"/>
    <w:rsid w:val="000966A6"/>
    <w:rsid w:val="00096802"/>
    <w:rsid w:val="00096939"/>
    <w:rsid w:val="000969A2"/>
    <w:rsid w:val="00096D8F"/>
    <w:rsid w:val="00097786"/>
    <w:rsid w:val="000A056E"/>
    <w:rsid w:val="000A0CCD"/>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4AB"/>
    <w:rsid w:val="000B07D4"/>
    <w:rsid w:val="000B08D0"/>
    <w:rsid w:val="000B1357"/>
    <w:rsid w:val="000B16EF"/>
    <w:rsid w:val="000B1876"/>
    <w:rsid w:val="000B2114"/>
    <w:rsid w:val="000B2A20"/>
    <w:rsid w:val="000B2AF8"/>
    <w:rsid w:val="000B35E3"/>
    <w:rsid w:val="000B3E4F"/>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363D"/>
    <w:rsid w:val="000C37C8"/>
    <w:rsid w:val="000C52BB"/>
    <w:rsid w:val="000C5437"/>
    <w:rsid w:val="000C57A3"/>
    <w:rsid w:val="000C5BD7"/>
    <w:rsid w:val="000C5D11"/>
    <w:rsid w:val="000C60EE"/>
    <w:rsid w:val="000C662B"/>
    <w:rsid w:val="000C780B"/>
    <w:rsid w:val="000C7B0F"/>
    <w:rsid w:val="000C7C48"/>
    <w:rsid w:val="000D0B03"/>
    <w:rsid w:val="000D0F69"/>
    <w:rsid w:val="000D103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764"/>
    <w:rsid w:val="000D6909"/>
    <w:rsid w:val="000D6BB1"/>
    <w:rsid w:val="000D71DB"/>
    <w:rsid w:val="000D7415"/>
    <w:rsid w:val="000E00C0"/>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EF9"/>
    <w:rsid w:val="000E4F34"/>
    <w:rsid w:val="000E55C6"/>
    <w:rsid w:val="000E5AC7"/>
    <w:rsid w:val="000E5F84"/>
    <w:rsid w:val="000E610D"/>
    <w:rsid w:val="000E6774"/>
    <w:rsid w:val="000E78F7"/>
    <w:rsid w:val="000F098E"/>
    <w:rsid w:val="000F0AA6"/>
    <w:rsid w:val="000F14F7"/>
    <w:rsid w:val="000F1A19"/>
    <w:rsid w:val="000F1CDC"/>
    <w:rsid w:val="000F256C"/>
    <w:rsid w:val="000F262E"/>
    <w:rsid w:val="000F27FF"/>
    <w:rsid w:val="000F2BE8"/>
    <w:rsid w:val="000F39F4"/>
    <w:rsid w:val="000F4692"/>
    <w:rsid w:val="000F4BCF"/>
    <w:rsid w:val="000F4F71"/>
    <w:rsid w:val="000F5085"/>
    <w:rsid w:val="000F56AC"/>
    <w:rsid w:val="000F5B27"/>
    <w:rsid w:val="000F5FDF"/>
    <w:rsid w:val="000F6BDC"/>
    <w:rsid w:val="000F6DC9"/>
    <w:rsid w:val="000F71B8"/>
    <w:rsid w:val="000F73C5"/>
    <w:rsid w:val="0010001B"/>
    <w:rsid w:val="00100B87"/>
    <w:rsid w:val="00100C37"/>
    <w:rsid w:val="00100C86"/>
    <w:rsid w:val="00101373"/>
    <w:rsid w:val="00101589"/>
    <w:rsid w:val="001017B4"/>
    <w:rsid w:val="001027CF"/>
    <w:rsid w:val="00102A07"/>
    <w:rsid w:val="00102D95"/>
    <w:rsid w:val="00102D9C"/>
    <w:rsid w:val="00102E68"/>
    <w:rsid w:val="00103BE9"/>
    <w:rsid w:val="00103FC7"/>
    <w:rsid w:val="001040E9"/>
    <w:rsid w:val="001040EC"/>
    <w:rsid w:val="001042C5"/>
    <w:rsid w:val="00104C21"/>
    <w:rsid w:val="00104FBE"/>
    <w:rsid w:val="001052A2"/>
    <w:rsid w:val="001056BD"/>
    <w:rsid w:val="0010628C"/>
    <w:rsid w:val="00106F30"/>
    <w:rsid w:val="00107361"/>
    <w:rsid w:val="00107469"/>
    <w:rsid w:val="00107A8C"/>
    <w:rsid w:val="00107CF9"/>
    <w:rsid w:val="00107DB9"/>
    <w:rsid w:val="00111019"/>
    <w:rsid w:val="001112E3"/>
    <w:rsid w:val="0011178F"/>
    <w:rsid w:val="00111DEF"/>
    <w:rsid w:val="00112027"/>
    <w:rsid w:val="001120E4"/>
    <w:rsid w:val="00112C38"/>
    <w:rsid w:val="00112D44"/>
    <w:rsid w:val="00112D70"/>
    <w:rsid w:val="00113216"/>
    <w:rsid w:val="00113510"/>
    <w:rsid w:val="001135C2"/>
    <w:rsid w:val="00113746"/>
    <w:rsid w:val="00113866"/>
    <w:rsid w:val="00114787"/>
    <w:rsid w:val="001148A7"/>
    <w:rsid w:val="00114932"/>
    <w:rsid w:val="00114D34"/>
    <w:rsid w:val="00115181"/>
    <w:rsid w:val="001151E6"/>
    <w:rsid w:val="00115270"/>
    <w:rsid w:val="001157D9"/>
    <w:rsid w:val="00115C21"/>
    <w:rsid w:val="00116097"/>
    <w:rsid w:val="0011629A"/>
    <w:rsid w:val="0011641A"/>
    <w:rsid w:val="0011696E"/>
    <w:rsid w:val="00116AB3"/>
    <w:rsid w:val="00116D55"/>
    <w:rsid w:val="00116F58"/>
    <w:rsid w:val="00117F25"/>
    <w:rsid w:val="001204E3"/>
    <w:rsid w:val="001205A1"/>
    <w:rsid w:val="001205A4"/>
    <w:rsid w:val="001209BF"/>
    <w:rsid w:val="00120DE1"/>
    <w:rsid w:val="001213A3"/>
    <w:rsid w:val="0012177B"/>
    <w:rsid w:val="00121A9B"/>
    <w:rsid w:val="00121AE3"/>
    <w:rsid w:val="00121D44"/>
    <w:rsid w:val="00122740"/>
    <w:rsid w:val="00122DF0"/>
    <w:rsid w:val="001232C5"/>
    <w:rsid w:val="00123B15"/>
    <w:rsid w:val="001240CF"/>
    <w:rsid w:val="001244FA"/>
    <w:rsid w:val="0012505F"/>
    <w:rsid w:val="001250CD"/>
    <w:rsid w:val="001254E9"/>
    <w:rsid w:val="00125B92"/>
    <w:rsid w:val="00125C11"/>
    <w:rsid w:val="00126713"/>
    <w:rsid w:val="00126D22"/>
    <w:rsid w:val="00126E3C"/>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C23"/>
    <w:rsid w:val="00132F5E"/>
    <w:rsid w:val="0013344D"/>
    <w:rsid w:val="00133C57"/>
    <w:rsid w:val="001347CA"/>
    <w:rsid w:val="00134B44"/>
    <w:rsid w:val="00134D46"/>
    <w:rsid w:val="0013574D"/>
    <w:rsid w:val="00135A61"/>
    <w:rsid w:val="00135E66"/>
    <w:rsid w:val="0013698C"/>
    <w:rsid w:val="00137283"/>
    <w:rsid w:val="001377DE"/>
    <w:rsid w:val="0013785B"/>
    <w:rsid w:val="00137AF8"/>
    <w:rsid w:val="0014005E"/>
    <w:rsid w:val="001401EE"/>
    <w:rsid w:val="001405FD"/>
    <w:rsid w:val="001406ED"/>
    <w:rsid w:val="00140A42"/>
    <w:rsid w:val="00140A6B"/>
    <w:rsid w:val="00140DEA"/>
    <w:rsid w:val="00141410"/>
    <w:rsid w:val="0014153A"/>
    <w:rsid w:val="0014161E"/>
    <w:rsid w:val="00141FA0"/>
    <w:rsid w:val="001428F3"/>
    <w:rsid w:val="00142B78"/>
    <w:rsid w:val="00143411"/>
    <w:rsid w:val="001434FA"/>
    <w:rsid w:val="001442B1"/>
    <w:rsid w:val="0014484F"/>
    <w:rsid w:val="0014496B"/>
    <w:rsid w:val="00144BD2"/>
    <w:rsid w:val="00144FA2"/>
    <w:rsid w:val="001452BE"/>
    <w:rsid w:val="0014538A"/>
    <w:rsid w:val="001454B7"/>
    <w:rsid w:val="00145717"/>
    <w:rsid w:val="00146E81"/>
    <w:rsid w:val="001473CD"/>
    <w:rsid w:val="00147756"/>
    <w:rsid w:val="00147AB7"/>
    <w:rsid w:val="0015006B"/>
    <w:rsid w:val="001503A1"/>
    <w:rsid w:val="00150904"/>
    <w:rsid w:val="00150981"/>
    <w:rsid w:val="00150FC3"/>
    <w:rsid w:val="00151019"/>
    <w:rsid w:val="001517BD"/>
    <w:rsid w:val="00151BC0"/>
    <w:rsid w:val="00151BFA"/>
    <w:rsid w:val="00152293"/>
    <w:rsid w:val="00152A93"/>
    <w:rsid w:val="00152D3F"/>
    <w:rsid w:val="00153B0B"/>
    <w:rsid w:val="00153BAA"/>
    <w:rsid w:val="001540EA"/>
    <w:rsid w:val="001542FF"/>
    <w:rsid w:val="0015462C"/>
    <w:rsid w:val="00154A89"/>
    <w:rsid w:val="00154F9C"/>
    <w:rsid w:val="0015585B"/>
    <w:rsid w:val="00156792"/>
    <w:rsid w:val="00156923"/>
    <w:rsid w:val="00156A23"/>
    <w:rsid w:val="00156BB1"/>
    <w:rsid w:val="00156BED"/>
    <w:rsid w:val="00156DB0"/>
    <w:rsid w:val="00157B88"/>
    <w:rsid w:val="00160301"/>
    <w:rsid w:val="00160900"/>
    <w:rsid w:val="00160947"/>
    <w:rsid w:val="00160A48"/>
    <w:rsid w:val="00160AD9"/>
    <w:rsid w:val="001610FE"/>
    <w:rsid w:val="0016115D"/>
    <w:rsid w:val="0016197C"/>
    <w:rsid w:val="00161ABA"/>
    <w:rsid w:val="00161E53"/>
    <w:rsid w:val="00161EF3"/>
    <w:rsid w:val="00161F07"/>
    <w:rsid w:val="0016245C"/>
    <w:rsid w:val="0016318D"/>
    <w:rsid w:val="00163482"/>
    <w:rsid w:val="0016363B"/>
    <w:rsid w:val="00164895"/>
    <w:rsid w:val="001648A4"/>
    <w:rsid w:val="001652CD"/>
    <w:rsid w:val="00165605"/>
    <w:rsid w:val="00165792"/>
    <w:rsid w:val="001659AB"/>
    <w:rsid w:val="00165ABE"/>
    <w:rsid w:val="00165E22"/>
    <w:rsid w:val="00165F8F"/>
    <w:rsid w:val="0016628A"/>
    <w:rsid w:val="00166D83"/>
    <w:rsid w:val="00167200"/>
    <w:rsid w:val="00170296"/>
    <w:rsid w:val="001704BE"/>
    <w:rsid w:val="00170817"/>
    <w:rsid w:val="00170CE5"/>
    <w:rsid w:val="00171437"/>
    <w:rsid w:val="00172183"/>
    <w:rsid w:val="001728CB"/>
    <w:rsid w:val="00172970"/>
    <w:rsid w:val="0017311F"/>
    <w:rsid w:val="001734E5"/>
    <w:rsid w:val="00173CE1"/>
    <w:rsid w:val="00173F83"/>
    <w:rsid w:val="00174751"/>
    <w:rsid w:val="001747DD"/>
    <w:rsid w:val="00174DA3"/>
    <w:rsid w:val="001751C7"/>
    <w:rsid w:val="001761B3"/>
    <w:rsid w:val="00176412"/>
    <w:rsid w:val="00176562"/>
    <w:rsid w:val="00177290"/>
    <w:rsid w:val="001774D8"/>
    <w:rsid w:val="00177588"/>
    <w:rsid w:val="001779C5"/>
    <w:rsid w:val="00177FC3"/>
    <w:rsid w:val="001800E6"/>
    <w:rsid w:val="001800FA"/>
    <w:rsid w:val="001801EF"/>
    <w:rsid w:val="00180A90"/>
    <w:rsid w:val="00180BDC"/>
    <w:rsid w:val="00181C54"/>
    <w:rsid w:val="001822D7"/>
    <w:rsid w:val="0018260E"/>
    <w:rsid w:val="00182F1F"/>
    <w:rsid w:val="00182FE7"/>
    <w:rsid w:val="00183229"/>
    <w:rsid w:val="00183456"/>
    <w:rsid w:val="00183779"/>
    <w:rsid w:val="00183F6B"/>
    <w:rsid w:val="001845B2"/>
    <w:rsid w:val="00185011"/>
    <w:rsid w:val="001852B7"/>
    <w:rsid w:val="001852CD"/>
    <w:rsid w:val="00185509"/>
    <w:rsid w:val="0018574B"/>
    <w:rsid w:val="00186CFD"/>
    <w:rsid w:val="001870E5"/>
    <w:rsid w:val="0018739F"/>
    <w:rsid w:val="001875F8"/>
    <w:rsid w:val="00187A6C"/>
    <w:rsid w:val="00187CBC"/>
    <w:rsid w:val="0019036A"/>
    <w:rsid w:val="00190D4D"/>
    <w:rsid w:val="00190D7B"/>
    <w:rsid w:val="0019104D"/>
    <w:rsid w:val="00191DCE"/>
    <w:rsid w:val="001920A7"/>
    <w:rsid w:val="00192451"/>
    <w:rsid w:val="0019257F"/>
    <w:rsid w:val="00192C79"/>
    <w:rsid w:val="00193B0C"/>
    <w:rsid w:val="00193B91"/>
    <w:rsid w:val="00193ED3"/>
    <w:rsid w:val="00194214"/>
    <w:rsid w:val="0019461F"/>
    <w:rsid w:val="001948A9"/>
    <w:rsid w:val="001949F5"/>
    <w:rsid w:val="00194AD4"/>
    <w:rsid w:val="00194B72"/>
    <w:rsid w:val="00194C6D"/>
    <w:rsid w:val="00194DDD"/>
    <w:rsid w:val="00195619"/>
    <w:rsid w:val="0019584E"/>
    <w:rsid w:val="00195B32"/>
    <w:rsid w:val="00195E3B"/>
    <w:rsid w:val="00195E7B"/>
    <w:rsid w:val="00196D40"/>
    <w:rsid w:val="00196F97"/>
    <w:rsid w:val="00197372"/>
    <w:rsid w:val="00197582"/>
    <w:rsid w:val="001A0305"/>
    <w:rsid w:val="001A050B"/>
    <w:rsid w:val="001A0D68"/>
    <w:rsid w:val="001A0F4E"/>
    <w:rsid w:val="001A0FF4"/>
    <w:rsid w:val="001A1131"/>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BF6"/>
    <w:rsid w:val="001A3C8C"/>
    <w:rsid w:val="001A40F4"/>
    <w:rsid w:val="001A4EF6"/>
    <w:rsid w:val="001A52A3"/>
    <w:rsid w:val="001A5906"/>
    <w:rsid w:val="001A6732"/>
    <w:rsid w:val="001A68BD"/>
    <w:rsid w:val="001A6928"/>
    <w:rsid w:val="001A6C17"/>
    <w:rsid w:val="001A77DE"/>
    <w:rsid w:val="001A7D8C"/>
    <w:rsid w:val="001A7E66"/>
    <w:rsid w:val="001B05E9"/>
    <w:rsid w:val="001B07B5"/>
    <w:rsid w:val="001B111D"/>
    <w:rsid w:val="001B162F"/>
    <w:rsid w:val="001B1863"/>
    <w:rsid w:val="001B1A7A"/>
    <w:rsid w:val="001B1EE2"/>
    <w:rsid w:val="001B2112"/>
    <w:rsid w:val="001B211B"/>
    <w:rsid w:val="001B2703"/>
    <w:rsid w:val="001B2807"/>
    <w:rsid w:val="001B28B6"/>
    <w:rsid w:val="001B29BA"/>
    <w:rsid w:val="001B2F70"/>
    <w:rsid w:val="001B2FCD"/>
    <w:rsid w:val="001B30F9"/>
    <w:rsid w:val="001B3723"/>
    <w:rsid w:val="001B3BDD"/>
    <w:rsid w:val="001B3D3F"/>
    <w:rsid w:val="001B3DA9"/>
    <w:rsid w:val="001B46A0"/>
    <w:rsid w:val="001B4A5C"/>
    <w:rsid w:val="001B4B8F"/>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1F9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109"/>
    <w:rsid w:val="001C549D"/>
    <w:rsid w:val="001C54B3"/>
    <w:rsid w:val="001C562C"/>
    <w:rsid w:val="001C6319"/>
    <w:rsid w:val="001C6363"/>
    <w:rsid w:val="001C69F0"/>
    <w:rsid w:val="001C6AF4"/>
    <w:rsid w:val="001C75E9"/>
    <w:rsid w:val="001C7C79"/>
    <w:rsid w:val="001C7CBE"/>
    <w:rsid w:val="001C7D84"/>
    <w:rsid w:val="001D01D4"/>
    <w:rsid w:val="001D08D6"/>
    <w:rsid w:val="001D08F7"/>
    <w:rsid w:val="001D0975"/>
    <w:rsid w:val="001D0ADC"/>
    <w:rsid w:val="001D0FDD"/>
    <w:rsid w:val="001D1793"/>
    <w:rsid w:val="001D17FD"/>
    <w:rsid w:val="001D1843"/>
    <w:rsid w:val="001D1E2C"/>
    <w:rsid w:val="001D2019"/>
    <w:rsid w:val="001D2123"/>
    <w:rsid w:val="001D30E5"/>
    <w:rsid w:val="001D31C1"/>
    <w:rsid w:val="001D35F6"/>
    <w:rsid w:val="001D3902"/>
    <w:rsid w:val="001D3EEA"/>
    <w:rsid w:val="001D4272"/>
    <w:rsid w:val="001D50B3"/>
    <w:rsid w:val="001D52A0"/>
    <w:rsid w:val="001D5767"/>
    <w:rsid w:val="001D5CCF"/>
    <w:rsid w:val="001D6D28"/>
    <w:rsid w:val="001D6EEF"/>
    <w:rsid w:val="001D7617"/>
    <w:rsid w:val="001E05EA"/>
    <w:rsid w:val="001E1035"/>
    <w:rsid w:val="001E117D"/>
    <w:rsid w:val="001E13FA"/>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D55"/>
    <w:rsid w:val="001E7E3C"/>
    <w:rsid w:val="001F0485"/>
    <w:rsid w:val="001F08E8"/>
    <w:rsid w:val="001F0A79"/>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074"/>
    <w:rsid w:val="001F5229"/>
    <w:rsid w:val="001F55B9"/>
    <w:rsid w:val="001F5781"/>
    <w:rsid w:val="001F5B8D"/>
    <w:rsid w:val="001F5E3C"/>
    <w:rsid w:val="001F656A"/>
    <w:rsid w:val="001F6B00"/>
    <w:rsid w:val="001F6B7E"/>
    <w:rsid w:val="001F6BC4"/>
    <w:rsid w:val="001F71B1"/>
    <w:rsid w:val="001F7329"/>
    <w:rsid w:val="001F74B3"/>
    <w:rsid w:val="001F799C"/>
    <w:rsid w:val="001F7B0D"/>
    <w:rsid w:val="001F7FF3"/>
    <w:rsid w:val="0020025B"/>
    <w:rsid w:val="0020038B"/>
    <w:rsid w:val="00200477"/>
    <w:rsid w:val="00200710"/>
    <w:rsid w:val="0020072D"/>
    <w:rsid w:val="0020082D"/>
    <w:rsid w:val="00200D28"/>
    <w:rsid w:val="00201216"/>
    <w:rsid w:val="002013C2"/>
    <w:rsid w:val="0020160B"/>
    <w:rsid w:val="00201783"/>
    <w:rsid w:val="002019CB"/>
    <w:rsid w:val="00201D57"/>
    <w:rsid w:val="00202337"/>
    <w:rsid w:val="002025DA"/>
    <w:rsid w:val="00202AB7"/>
    <w:rsid w:val="00203060"/>
    <w:rsid w:val="0020314B"/>
    <w:rsid w:val="002035EC"/>
    <w:rsid w:val="002037E3"/>
    <w:rsid w:val="00203A60"/>
    <w:rsid w:val="00203D00"/>
    <w:rsid w:val="00204108"/>
    <w:rsid w:val="00204192"/>
    <w:rsid w:val="0020467D"/>
    <w:rsid w:val="00204E1D"/>
    <w:rsid w:val="00205492"/>
    <w:rsid w:val="00205671"/>
    <w:rsid w:val="00206353"/>
    <w:rsid w:val="0020643D"/>
    <w:rsid w:val="00206802"/>
    <w:rsid w:val="00206878"/>
    <w:rsid w:val="00206882"/>
    <w:rsid w:val="00210128"/>
    <w:rsid w:val="002105B8"/>
    <w:rsid w:val="002107DC"/>
    <w:rsid w:val="00210BB4"/>
    <w:rsid w:val="00211195"/>
    <w:rsid w:val="00211866"/>
    <w:rsid w:val="0021190B"/>
    <w:rsid w:val="00211BFA"/>
    <w:rsid w:val="00211E14"/>
    <w:rsid w:val="0021218B"/>
    <w:rsid w:val="00212593"/>
    <w:rsid w:val="00212CC0"/>
    <w:rsid w:val="00213229"/>
    <w:rsid w:val="002136F6"/>
    <w:rsid w:val="0021378D"/>
    <w:rsid w:val="00213D6A"/>
    <w:rsid w:val="00213EE7"/>
    <w:rsid w:val="00214467"/>
    <w:rsid w:val="00214607"/>
    <w:rsid w:val="00214B9A"/>
    <w:rsid w:val="00214ED9"/>
    <w:rsid w:val="00215534"/>
    <w:rsid w:val="002156C9"/>
    <w:rsid w:val="00215AE8"/>
    <w:rsid w:val="00215DD2"/>
    <w:rsid w:val="002179F6"/>
    <w:rsid w:val="00220240"/>
    <w:rsid w:val="002208BA"/>
    <w:rsid w:val="00220F80"/>
    <w:rsid w:val="002212FD"/>
    <w:rsid w:val="00221DC9"/>
    <w:rsid w:val="00222321"/>
    <w:rsid w:val="00222565"/>
    <w:rsid w:val="00222A16"/>
    <w:rsid w:val="00222CE1"/>
    <w:rsid w:val="00222E88"/>
    <w:rsid w:val="00223CC2"/>
    <w:rsid w:val="002243E1"/>
    <w:rsid w:val="002244B7"/>
    <w:rsid w:val="00224CCA"/>
    <w:rsid w:val="00224FB2"/>
    <w:rsid w:val="0022506C"/>
    <w:rsid w:val="00225085"/>
    <w:rsid w:val="002252EC"/>
    <w:rsid w:val="002254F6"/>
    <w:rsid w:val="002259F8"/>
    <w:rsid w:val="002261C9"/>
    <w:rsid w:val="00226FEF"/>
    <w:rsid w:val="00227017"/>
    <w:rsid w:val="00227061"/>
    <w:rsid w:val="002272FA"/>
    <w:rsid w:val="00227630"/>
    <w:rsid w:val="00230AA3"/>
    <w:rsid w:val="00231640"/>
    <w:rsid w:val="00231AF3"/>
    <w:rsid w:val="00231BCE"/>
    <w:rsid w:val="002329E2"/>
    <w:rsid w:val="00232AE3"/>
    <w:rsid w:val="00232B10"/>
    <w:rsid w:val="00232FF4"/>
    <w:rsid w:val="002330E4"/>
    <w:rsid w:val="00233783"/>
    <w:rsid w:val="0023406A"/>
    <w:rsid w:val="002340FA"/>
    <w:rsid w:val="0023457A"/>
    <w:rsid w:val="002349FD"/>
    <w:rsid w:val="00234A2A"/>
    <w:rsid w:val="00234A85"/>
    <w:rsid w:val="00234C94"/>
    <w:rsid w:val="0023500A"/>
    <w:rsid w:val="00235AAD"/>
    <w:rsid w:val="00235F09"/>
    <w:rsid w:val="00235FD5"/>
    <w:rsid w:val="00236226"/>
    <w:rsid w:val="002366F5"/>
    <w:rsid w:val="00236863"/>
    <w:rsid w:val="00236F9B"/>
    <w:rsid w:val="00236FE7"/>
    <w:rsid w:val="00237044"/>
    <w:rsid w:val="00237D4C"/>
    <w:rsid w:val="00240658"/>
    <w:rsid w:val="0024066C"/>
    <w:rsid w:val="00240EA7"/>
    <w:rsid w:val="00241283"/>
    <w:rsid w:val="002413BF"/>
    <w:rsid w:val="00241D48"/>
    <w:rsid w:val="00241D76"/>
    <w:rsid w:val="002427A4"/>
    <w:rsid w:val="00242F1F"/>
    <w:rsid w:val="002431A5"/>
    <w:rsid w:val="0024387E"/>
    <w:rsid w:val="00244058"/>
    <w:rsid w:val="0024420E"/>
    <w:rsid w:val="00244824"/>
    <w:rsid w:val="00245019"/>
    <w:rsid w:val="00245475"/>
    <w:rsid w:val="00245A7F"/>
    <w:rsid w:val="00245ADA"/>
    <w:rsid w:val="00246463"/>
    <w:rsid w:val="00246869"/>
    <w:rsid w:val="00246C9A"/>
    <w:rsid w:val="002478AE"/>
    <w:rsid w:val="002478E4"/>
    <w:rsid w:val="002479B4"/>
    <w:rsid w:val="00250702"/>
    <w:rsid w:val="002507B5"/>
    <w:rsid w:val="00250F34"/>
    <w:rsid w:val="00251003"/>
    <w:rsid w:val="0025148C"/>
    <w:rsid w:val="00251FD1"/>
    <w:rsid w:val="002527E2"/>
    <w:rsid w:val="00252893"/>
    <w:rsid w:val="002528E6"/>
    <w:rsid w:val="00252ABF"/>
    <w:rsid w:val="00252AE6"/>
    <w:rsid w:val="0025302F"/>
    <w:rsid w:val="0025367C"/>
    <w:rsid w:val="0025393B"/>
    <w:rsid w:val="002539B0"/>
    <w:rsid w:val="002539DE"/>
    <w:rsid w:val="00253EF6"/>
    <w:rsid w:val="002544EA"/>
    <w:rsid w:val="00254592"/>
    <w:rsid w:val="0025468A"/>
    <w:rsid w:val="00254943"/>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760"/>
    <w:rsid w:val="00263929"/>
    <w:rsid w:val="0026396B"/>
    <w:rsid w:val="00263A0C"/>
    <w:rsid w:val="0026498C"/>
    <w:rsid w:val="00264A36"/>
    <w:rsid w:val="002651E6"/>
    <w:rsid w:val="0026581B"/>
    <w:rsid w:val="002660F6"/>
    <w:rsid w:val="00266CE7"/>
    <w:rsid w:val="002670F7"/>
    <w:rsid w:val="002670F9"/>
    <w:rsid w:val="00267612"/>
    <w:rsid w:val="00270387"/>
    <w:rsid w:val="00270AFC"/>
    <w:rsid w:val="00270DD6"/>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0B1D"/>
    <w:rsid w:val="00281791"/>
    <w:rsid w:val="00281DC2"/>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A12"/>
    <w:rsid w:val="00287EE3"/>
    <w:rsid w:val="002900F3"/>
    <w:rsid w:val="00290414"/>
    <w:rsid w:val="00290564"/>
    <w:rsid w:val="00290911"/>
    <w:rsid w:val="002909C2"/>
    <w:rsid w:val="00290D0B"/>
    <w:rsid w:val="00291CEE"/>
    <w:rsid w:val="00291E9B"/>
    <w:rsid w:val="00291EE0"/>
    <w:rsid w:val="0029219A"/>
    <w:rsid w:val="00292FD6"/>
    <w:rsid w:val="002933B3"/>
    <w:rsid w:val="002938E9"/>
    <w:rsid w:val="00294DD4"/>
    <w:rsid w:val="0029564D"/>
    <w:rsid w:val="00295E85"/>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DBD"/>
    <w:rsid w:val="002A2F3E"/>
    <w:rsid w:val="002A2FA7"/>
    <w:rsid w:val="002A3342"/>
    <w:rsid w:val="002A3803"/>
    <w:rsid w:val="002A384A"/>
    <w:rsid w:val="002A386C"/>
    <w:rsid w:val="002A3ED1"/>
    <w:rsid w:val="002A4333"/>
    <w:rsid w:val="002A43BB"/>
    <w:rsid w:val="002A453A"/>
    <w:rsid w:val="002A4618"/>
    <w:rsid w:val="002A503D"/>
    <w:rsid w:val="002A50C4"/>
    <w:rsid w:val="002A52C4"/>
    <w:rsid w:val="002A5554"/>
    <w:rsid w:val="002A6076"/>
    <w:rsid w:val="002A66E2"/>
    <w:rsid w:val="002A74CB"/>
    <w:rsid w:val="002A7776"/>
    <w:rsid w:val="002A7A8F"/>
    <w:rsid w:val="002B0A88"/>
    <w:rsid w:val="002B0B42"/>
    <w:rsid w:val="002B0C9D"/>
    <w:rsid w:val="002B176B"/>
    <w:rsid w:val="002B184E"/>
    <w:rsid w:val="002B1EC9"/>
    <w:rsid w:val="002B2137"/>
    <w:rsid w:val="002B2464"/>
    <w:rsid w:val="002B258B"/>
    <w:rsid w:val="002B27AB"/>
    <w:rsid w:val="002B2B0A"/>
    <w:rsid w:val="002B2BF7"/>
    <w:rsid w:val="002B2C02"/>
    <w:rsid w:val="002B2ED0"/>
    <w:rsid w:val="002B3829"/>
    <w:rsid w:val="002B3DBF"/>
    <w:rsid w:val="002B4102"/>
    <w:rsid w:val="002B411A"/>
    <w:rsid w:val="002B43BC"/>
    <w:rsid w:val="002B490E"/>
    <w:rsid w:val="002B4A8C"/>
    <w:rsid w:val="002B53C0"/>
    <w:rsid w:val="002B5E59"/>
    <w:rsid w:val="002B5EAF"/>
    <w:rsid w:val="002B5F9F"/>
    <w:rsid w:val="002B607A"/>
    <w:rsid w:val="002B615C"/>
    <w:rsid w:val="002B61B8"/>
    <w:rsid w:val="002B642E"/>
    <w:rsid w:val="002B7535"/>
    <w:rsid w:val="002C0CC8"/>
    <w:rsid w:val="002C11C4"/>
    <w:rsid w:val="002C16DF"/>
    <w:rsid w:val="002C1933"/>
    <w:rsid w:val="002C2012"/>
    <w:rsid w:val="002C2BFC"/>
    <w:rsid w:val="002C34EA"/>
    <w:rsid w:val="002C41F2"/>
    <w:rsid w:val="002C46D4"/>
    <w:rsid w:val="002C4D01"/>
    <w:rsid w:val="002C4E3A"/>
    <w:rsid w:val="002C4E96"/>
    <w:rsid w:val="002C59C5"/>
    <w:rsid w:val="002C6425"/>
    <w:rsid w:val="002C6DB1"/>
    <w:rsid w:val="002C72EF"/>
    <w:rsid w:val="002C735F"/>
    <w:rsid w:val="002C750C"/>
    <w:rsid w:val="002C7811"/>
    <w:rsid w:val="002C7F58"/>
    <w:rsid w:val="002D00FA"/>
    <w:rsid w:val="002D02C0"/>
    <w:rsid w:val="002D0595"/>
    <w:rsid w:val="002D078E"/>
    <w:rsid w:val="002D0B60"/>
    <w:rsid w:val="002D0B65"/>
    <w:rsid w:val="002D0CE5"/>
    <w:rsid w:val="002D0E8C"/>
    <w:rsid w:val="002D1338"/>
    <w:rsid w:val="002D2363"/>
    <w:rsid w:val="002D2D28"/>
    <w:rsid w:val="002D3697"/>
    <w:rsid w:val="002D387F"/>
    <w:rsid w:val="002D3F34"/>
    <w:rsid w:val="002D3FEF"/>
    <w:rsid w:val="002D4114"/>
    <w:rsid w:val="002D4412"/>
    <w:rsid w:val="002D4421"/>
    <w:rsid w:val="002D47AF"/>
    <w:rsid w:val="002D4CC6"/>
    <w:rsid w:val="002D532B"/>
    <w:rsid w:val="002D5A24"/>
    <w:rsid w:val="002D5AA3"/>
    <w:rsid w:val="002D6D7E"/>
    <w:rsid w:val="002D73AC"/>
    <w:rsid w:val="002D761B"/>
    <w:rsid w:val="002D7706"/>
    <w:rsid w:val="002D79D5"/>
    <w:rsid w:val="002E0255"/>
    <w:rsid w:val="002E0CC1"/>
    <w:rsid w:val="002E0EBA"/>
    <w:rsid w:val="002E111D"/>
    <w:rsid w:val="002E116A"/>
    <w:rsid w:val="002E1BD6"/>
    <w:rsid w:val="002E2751"/>
    <w:rsid w:val="002E2779"/>
    <w:rsid w:val="002E27A1"/>
    <w:rsid w:val="002E38EA"/>
    <w:rsid w:val="002E3997"/>
    <w:rsid w:val="002E3AFE"/>
    <w:rsid w:val="002E3B2B"/>
    <w:rsid w:val="002E3CC9"/>
    <w:rsid w:val="002E3D95"/>
    <w:rsid w:val="002E40DC"/>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61"/>
    <w:rsid w:val="002F2CDD"/>
    <w:rsid w:val="002F3814"/>
    <w:rsid w:val="002F3A98"/>
    <w:rsid w:val="002F3E06"/>
    <w:rsid w:val="002F3FB6"/>
    <w:rsid w:val="002F4325"/>
    <w:rsid w:val="002F4CB2"/>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C74"/>
    <w:rsid w:val="00301E3C"/>
    <w:rsid w:val="0030200C"/>
    <w:rsid w:val="00302190"/>
    <w:rsid w:val="003021CB"/>
    <w:rsid w:val="00302555"/>
    <w:rsid w:val="003028F5"/>
    <w:rsid w:val="0030294B"/>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0A9"/>
    <w:rsid w:val="003061E7"/>
    <w:rsid w:val="00306577"/>
    <w:rsid w:val="003067DC"/>
    <w:rsid w:val="00306809"/>
    <w:rsid w:val="00306985"/>
    <w:rsid w:val="003069D8"/>
    <w:rsid w:val="00306EC7"/>
    <w:rsid w:val="0030778F"/>
    <w:rsid w:val="003077DD"/>
    <w:rsid w:val="00307873"/>
    <w:rsid w:val="00310543"/>
    <w:rsid w:val="003107A9"/>
    <w:rsid w:val="0031175C"/>
    <w:rsid w:val="00311D17"/>
    <w:rsid w:val="0031221C"/>
    <w:rsid w:val="003122AA"/>
    <w:rsid w:val="00312D6B"/>
    <w:rsid w:val="00312DD3"/>
    <w:rsid w:val="00312FD5"/>
    <w:rsid w:val="00313588"/>
    <w:rsid w:val="00313593"/>
    <w:rsid w:val="003139E1"/>
    <w:rsid w:val="00314317"/>
    <w:rsid w:val="00314A03"/>
    <w:rsid w:val="003151CA"/>
    <w:rsid w:val="003151D0"/>
    <w:rsid w:val="0031549A"/>
    <w:rsid w:val="00315C2C"/>
    <w:rsid w:val="00315C92"/>
    <w:rsid w:val="0031600C"/>
    <w:rsid w:val="0031605A"/>
    <w:rsid w:val="003161D0"/>
    <w:rsid w:val="0031629A"/>
    <w:rsid w:val="0031676C"/>
    <w:rsid w:val="00316B24"/>
    <w:rsid w:val="00316F79"/>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4FA9"/>
    <w:rsid w:val="0032579E"/>
    <w:rsid w:val="00325C26"/>
    <w:rsid w:val="00326FCE"/>
    <w:rsid w:val="003271A7"/>
    <w:rsid w:val="00327244"/>
    <w:rsid w:val="00327A3B"/>
    <w:rsid w:val="00327A96"/>
    <w:rsid w:val="00327C3F"/>
    <w:rsid w:val="00330021"/>
    <w:rsid w:val="00330266"/>
    <w:rsid w:val="00330300"/>
    <w:rsid w:val="003308F2"/>
    <w:rsid w:val="00330F22"/>
    <w:rsid w:val="003318AB"/>
    <w:rsid w:val="00332627"/>
    <w:rsid w:val="00332647"/>
    <w:rsid w:val="0033271E"/>
    <w:rsid w:val="0033277D"/>
    <w:rsid w:val="00332781"/>
    <w:rsid w:val="00332BBB"/>
    <w:rsid w:val="00333131"/>
    <w:rsid w:val="00333145"/>
    <w:rsid w:val="0033392C"/>
    <w:rsid w:val="00334558"/>
    <w:rsid w:val="003348F4"/>
    <w:rsid w:val="003353E7"/>
    <w:rsid w:val="003355C3"/>
    <w:rsid w:val="003355DF"/>
    <w:rsid w:val="00335DBA"/>
    <w:rsid w:val="00335E48"/>
    <w:rsid w:val="00336038"/>
    <w:rsid w:val="00336934"/>
    <w:rsid w:val="00336974"/>
    <w:rsid w:val="00336AFC"/>
    <w:rsid w:val="0034013E"/>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C0B"/>
    <w:rsid w:val="00342EB3"/>
    <w:rsid w:val="00342EC4"/>
    <w:rsid w:val="00343227"/>
    <w:rsid w:val="003433C6"/>
    <w:rsid w:val="0034359D"/>
    <w:rsid w:val="003436DD"/>
    <w:rsid w:val="00343AA7"/>
    <w:rsid w:val="00343E41"/>
    <w:rsid w:val="003441FB"/>
    <w:rsid w:val="00344C5D"/>
    <w:rsid w:val="00344D23"/>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8F9"/>
    <w:rsid w:val="00353906"/>
    <w:rsid w:val="0035472C"/>
    <w:rsid w:val="0035476E"/>
    <w:rsid w:val="0035497B"/>
    <w:rsid w:val="00354B4F"/>
    <w:rsid w:val="00354F32"/>
    <w:rsid w:val="00355582"/>
    <w:rsid w:val="0035565A"/>
    <w:rsid w:val="00355727"/>
    <w:rsid w:val="00355FA3"/>
    <w:rsid w:val="003563E1"/>
    <w:rsid w:val="00356A65"/>
    <w:rsid w:val="003577AB"/>
    <w:rsid w:val="0035782E"/>
    <w:rsid w:val="00357D2F"/>
    <w:rsid w:val="00360728"/>
    <w:rsid w:val="00360A0C"/>
    <w:rsid w:val="0036104C"/>
    <w:rsid w:val="003617F5"/>
    <w:rsid w:val="003628F9"/>
    <w:rsid w:val="00363F8E"/>
    <w:rsid w:val="00364155"/>
    <w:rsid w:val="00364470"/>
    <w:rsid w:val="00364548"/>
    <w:rsid w:val="003648DB"/>
    <w:rsid w:val="003649C7"/>
    <w:rsid w:val="00364B98"/>
    <w:rsid w:val="00365899"/>
    <w:rsid w:val="00365BB7"/>
    <w:rsid w:val="00365D44"/>
    <w:rsid w:val="00366020"/>
    <w:rsid w:val="00366217"/>
    <w:rsid w:val="00366618"/>
    <w:rsid w:val="003667D0"/>
    <w:rsid w:val="00366A49"/>
    <w:rsid w:val="003678ED"/>
    <w:rsid w:val="00367C4F"/>
    <w:rsid w:val="00367CBE"/>
    <w:rsid w:val="003709B0"/>
    <w:rsid w:val="00370B5E"/>
    <w:rsid w:val="00370C93"/>
    <w:rsid w:val="003712A2"/>
    <w:rsid w:val="00371448"/>
    <w:rsid w:val="0037158D"/>
    <w:rsid w:val="003715B6"/>
    <w:rsid w:val="00371931"/>
    <w:rsid w:val="00371C35"/>
    <w:rsid w:val="00371D9F"/>
    <w:rsid w:val="00371EAC"/>
    <w:rsid w:val="003727B7"/>
    <w:rsid w:val="003729F6"/>
    <w:rsid w:val="00372F8A"/>
    <w:rsid w:val="00373754"/>
    <w:rsid w:val="0037387B"/>
    <w:rsid w:val="003738C5"/>
    <w:rsid w:val="00374349"/>
    <w:rsid w:val="00374A72"/>
    <w:rsid w:val="003763BA"/>
    <w:rsid w:val="00376683"/>
    <w:rsid w:val="0037678B"/>
    <w:rsid w:val="00376C3B"/>
    <w:rsid w:val="00376E2D"/>
    <w:rsid w:val="00377AEA"/>
    <w:rsid w:val="003809CA"/>
    <w:rsid w:val="00380D94"/>
    <w:rsid w:val="003812E6"/>
    <w:rsid w:val="00381763"/>
    <w:rsid w:val="00381EDF"/>
    <w:rsid w:val="00381F19"/>
    <w:rsid w:val="00382568"/>
    <w:rsid w:val="00382B10"/>
    <w:rsid w:val="00382E1B"/>
    <w:rsid w:val="0038323C"/>
    <w:rsid w:val="00383981"/>
    <w:rsid w:val="003839DF"/>
    <w:rsid w:val="00383F23"/>
    <w:rsid w:val="003846CE"/>
    <w:rsid w:val="00385819"/>
    <w:rsid w:val="003859D4"/>
    <w:rsid w:val="00385B25"/>
    <w:rsid w:val="00386482"/>
    <w:rsid w:val="00386BA9"/>
    <w:rsid w:val="00387462"/>
    <w:rsid w:val="00387698"/>
    <w:rsid w:val="0038793B"/>
    <w:rsid w:val="00387AEF"/>
    <w:rsid w:val="00387B48"/>
    <w:rsid w:val="00387E8D"/>
    <w:rsid w:val="003905A8"/>
    <w:rsid w:val="003908AA"/>
    <w:rsid w:val="00391629"/>
    <w:rsid w:val="00391A05"/>
    <w:rsid w:val="003925D4"/>
    <w:rsid w:val="0039262D"/>
    <w:rsid w:val="00392CE6"/>
    <w:rsid w:val="00392EDF"/>
    <w:rsid w:val="003930F2"/>
    <w:rsid w:val="00393213"/>
    <w:rsid w:val="0039368C"/>
    <w:rsid w:val="0039387B"/>
    <w:rsid w:val="003938A9"/>
    <w:rsid w:val="00393A4C"/>
    <w:rsid w:val="00393A60"/>
    <w:rsid w:val="00394089"/>
    <w:rsid w:val="003943DF"/>
    <w:rsid w:val="003947AF"/>
    <w:rsid w:val="003947CF"/>
    <w:rsid w:val="00394858"/>
    <w:rsid w:val="00394B21"/>
    <w:rsid w:val="00395364"/>
    <w:rsid w:val="003959AB"/>
    <w:rsid w:val="00396D26"/>
    <w:rsid w:val="0039703B"/>
    <w:rsid w:val="00397175"/>
    <w:rsid w:val="00397234"/>
    <w:rsid w:val="0039753B"/>
    <w:rsid w:val="003976CA"/>
    <w:rsid w:val="0039775F"/>
    <w:rsid w:val="00397974"/>
    <w:rsid w:val="003A0150"/>
    <w:rsid w:val="003A08BA"/>
    <w:rsid w:val="003A0B98"/>
    <w:rsid w:val="003A1130"/>
    <w:rsid w:val="003A1600"/>
    <w:rsid w:val="003A17A7"/>
    <w:rsid w:val="003A1C81"/>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E9"/>
    <w:rsid w:val="003A62B0"/>
    <w:rsid w:val="003A6566"/>
    <w:rsid w:val="003A67AF"/>
    <w:rsid w:val="003A7014"/>
    <w:rsid w:val="003A73E1"/>
    <w:rsid w:val="003A78A2"/>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B98"/>
    <w:rsid w:val="003C1158"/>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207"/>
    <w:rsid w:val="003D158F"/>
    <w:rsid w:val="003D19BB"/>
    <w:rsid w:val="003D1B7F"/>
    <w:rsid w:val="003D1E76"/>
    <w:rsid w:val="003D1EF8"/>
    <w:rsid w:val="003D200E"/>
    <w:rsid w:val="003D21FE"/>
    <w:rsid w:val="003D297F"/>
    <w:rsid w:val="003D304D"/>
    <w:rsid w:val="003D320D"/>
    <w:rsid w:val="003D3636"/>
    <w:rsid w:val="003D3638"/>
    <w:rsid w:val="003D3772"/>
    <w:rsid w:val="003D5478"/>
    <w:rsid w:val="003D5E16"/>
    <w:rsid w:val="003D62C3"/>
    <w:rsid w:val="003D6C69"/>
    <w:rsid w:val="003D6F08"/>
    <w:rsid w:val="003D7038"/>
    <w:rsid w:val="003D75D4"/>
    <w:rsid w:val="003D7AFC"/>
    <w:rsid w:val="003D7DFA"/>
    <w:rsid w:val="003E0804"/>
    <w:rsid w:val="003E0953"/>
    <w:rsid w:val="003E095C"/>
    <w:rsid w:val="003E0A79"/>
    <w:rsid w:val="003E0A7A"/>
    <w:rsid w:val="003E173D"/>
    <w:rsid w:val="003E178C"/>
    <w:rsid w:val="003E1B26"/>
    <w:rsid w:val="003E1EE7"/>
    <w:rsid w:val="003E1F57"/>
    <w:rsid w:val="003E2694"/>
    <w:rsid w:val="003E288C"/>
    <w:rsid w:val="003E2B5A"/>
    <w:rsid w:val="003E3926"/>
    <w:rsid w:val="003E3FCD"/>
    <w:rsid w:val="003E438A"/>
    <w:rsid w:val="003E47A9"/>
    <w:rsid w:val="003E4BE5"/>
    <w:rsid w:val="003E50EC"/>
    <w:rsid w:val="003E58AF"/>
    <w:rsid w:val="003E595A"/>
    <w:rsid w:val="003E5E45"/>
    <w:rsid w:val="003E62AF"/>
    <w:rsid w:val="003E6820"/>
    <w:rsid w:val="003E6EF5"/>
    <w:rsid w:val="003E7332"/>
    <w:rsid w:val="003E7FA7"/>
    <w:rsid w:val="003F12D4"/>
    <w:rsid w:val="003F1990"/>
    <w:rsid w:val="003F2D20"/>
    <w:rsid w:val="003F301A"/>
    <w:rsid w:val="003F32F7"/>
    <w:rsid w:val="003F3564"/>
    <w:rsid w:val="003F393B"/>
    <w:rsid w:val="003F3AC3"/>
    <w:rsid w:val="003F489E"/>
    <w:rsid w:val="003F4B3E"/>
    <w:rsid w:val="003F4CB4"/>
    <w:rsid w:val="003F4DBF"/>
    <w:rsid w:val="003F55E6"/>
    <w:rsid w:val="003F5B77"/>
    <w:rsid w:val="003F5F43"/>
    <w:rsid w:val="003F6031"/>
    <w:rsid w:val="003F6410"/>
    <w:rsid w:val="003F657F"/>
    <w:rsid w:val="003F6C45"/>
    <w:rsid w:val="003F6DE4"/>
    <w:rsid w:val="0040019B"/>
    <w:rsid w:val="004002FF"/>
    <w:rsid w:val="00400377"/>
    <w:rsid w:val="00400491"/>
    <w:rsid w:val="004007BB"/>
    <w:rsid w:val="00400CFD"/>
    <w:rsid w:val="00400F72"/>
    <w:rsid w:val="004013BC"/>
    <w:rsid w:val="00401F91"/>
    <w:rsid w:val="0040216A"/>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07F8A"/>
    <w:rsid w:val="00410671"/>
    <w:rsid w:val="00410B8E"/>
    <w:rsid w:val="00411A8C"/>
    <w:rsid w:val="00411BA2"/>
    <w:rsid w:val="00411E86"/>
    <w:rsid w:val="00411EBD"/>
    <w:rsid w:val="00412522"/>
    <w:rsid w:val="004125A1"/>
    <w:rsid w:val="00412A9B"/>
    <w:rsid w:val="00413062"/>
    <w:rsid w:val="0041312C"/>
    <w:rsid w:val="0041338B"/>
    <w:rsid w:val="00413A3A"/>
    <w:rsid w:val="00413C89"/>
    <w:rsid w:val="0041464D"/>
    <w:rsid w:val="00414C53"/>
    <w:rsid w:val="00414F08"/>
    <w:rsid w:val="00415279"/>
    <w:rsid w:val="0041530D"/>
    <w:rsid w:val="004154CD"/>
    <w:rsid w:val="00415E4B"/>
    <w:rsid w:val="00416059"/>
    <w:rsid w:val="004164A1"/>
    <w:rsid w:val="00417F7A"/>
    <w:rsid w:val="00420DBD"/>
    <w:rsid w:val="00420FD2"/>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188"/>
    <w:rsid w:val="004268CB"/>
    <w:rsid w:val="004269BA"/>
    <w:rsid w:val="004274EE"/>
    <w:rsid w:val="00427C27"/>
    <w:rsid w:val="00427CCC"/>
    <w:rsid w:val="004300CB"/>
    <w:rsid w:val="00430283"/>
    <w:rsid w:val="00430453"/>
    <w:rsid w:val="00430BCC"/>
    <w:rsid w:val="0043176B"/>
    <w:rsid w:val="0043295B"/>
    <w:rsid w:val="0043367B"/>
    <w:rsid w:val="004336E9"/>
    <w:rsid w:val="00433981"/>
    <w:rsid w:val="00433AAE"/>
    <w:rsid w:val="00434C95"/>
    <w:rsid w:val="0043510A"/>
    <w:rsid w:val="0043628A"/>
    <w:rsid w:val="0043646E"/>
    <w:rsid w:val="004371D7"/>
    <w:rsid w:val="00437437"/>
    <w:rsid w:val="0043750A"/>
    <w:rsid w:val="00437761"/>
    <w:rsid w:val="00437780"/>
    <w:rsid w:val="004378BC"/>
    <w:rsid w:val="00437D0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47F39"/>
    <w:rsid w:val="004506A8"/>
    <w:rsid w:val="00450CA7"/>
    <w:rsid w:val="00450E29"/>
    <w:rsid w:val="00451082"/>
    <w:rsid w:val="00451C48"/>
    <w:rsid w:val="0045351A"/>
    <w:rsid w:val="004537B4"/>
    <w:rsid w:val="004539A1"/>
    <w:rsid w:val="004544BC"/>
    <w:rsid w:val="004546C3"/>
    <w:rsid w:val="00454A40"/>
    <w:rsid w:val="004551D5"/>
    <w:rsid w:val="0045623B"/>
    <w:rsid w:val="004564BE"/>
    <w:rsid w:val="00456D24"/>
    <w:rsid w:val="0045729F"/>
    <w:rsid w:val="004573F7"/>
    <w:rsid w:val="004574E2"/>
    <w:rsid w:val="00457A81"/>
    <w:rsid w:val="00457AAB"/>
    <w:rsid w:val="00457C52"/>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CFC"/>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67F79"/>
    <w:rsid w:val="00470052"/>
    <w:rsid w:val="0047022F"/>
    <w:rsid w:val="00470832"/>
    <w:rsid w:val="00470CD6"/>
    <w:rsid w:val="0047134A"/>
    <w:rsid w:val="0047195B"/>
    <w:rsid w:val="00471E03"/>
    <w:rsid w:val="004722CE"/>
    <w:rsid w:val="004723E6"/>
    <w:rsid w:val="00472D1F"/>
    <w:rsid w:val="00472F12"/>
    <w:rsid w:val="004731B6"/>
    <w:rsid w:val="00473274"/>
    <w:rsid w:val="00473A5B"/>
    <w:rsid w:val="004741C3"/>
    <w:rsid w:val="00474DEE"/>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C0E"/>
    <w:rsid w:val="00482D1C"/>
    <w:rsid w:val="00482EC7"/>
    <w:rsid w:val="0048302C"/>
    <w:rsid w:val="0048306C"/>
    <w:rsid w:val="00483383"/>
    <w:rsid w:val="00483441"/>
    <w:rsid w:val="004836A3"/>
    <w:rsid w:val="004839BA"/>
    <w:rsid w:val="00483EA9"/>
    <w:rsid w:val="00484659"/>
    <w:rsid w:val="0048474B"/>
    <w:rsid w:val="004847D9"/>
    <w:rsid w:val="00484F1C"/>
    <w:rsid w:val="004850F8"/>
    <w:rsid w:val="004853FA"/>
    <w:rsid w:val="00485A2F"/>
    <w:rsid w:val="00485B68"/>
    <w:rsid w:val="00485D1E"/>
    <w:rsid w:val="00486159"/>
    <w:rsid w:val="0048640C"/>
    <w:rsid w:val="004867EE"/>
    <w:rsid w:val="00487036"/>
    <w:rsid w:val="00487243"/>
    <w:rsid w:val="004873A7"/>
    <w:rsid w:val="004874D8"/>
    <w:rsid w:val="0048797C"/>
    <w:rsid w:val="00487EE1"/>
    <w:rsid w:val="00490467"/>
    <w:rsid w:val="0049184C"/>
    <w:rsid w:val="00491A12"/>
    <w:rsid w:val="00491D00"/>
    <w:rsid w:val="0049217C"/>
    <w:rsid w:val="004924E6"/>
    <w:rsid w:val="004925DF"/>
    <w:rsid w:val="004927E9"/>
    <w:rsid w:val="004930B3"/>
    <w:rsid w:val="004931E6"/>
    <w:rsid w:val="00493223"/>
    <w:rsid w:val="0049327D"/>
    <w:rsid w:val="004935F7"/>
    <w:rsid w:val="00493D53"/>
    <w:rsid w:val="00493FF8"/>
    <w:rsid w:val="00494B73"/>
    <w:rsid w:val="00495005"/>
    <w:rsid w:val="0049561C"/>
    <w:rsid w:val="00496102"/>
    <w:rsid w:val="004969C7"/>
    <w:rsid w:val="00496D13"/>
    <w:rsid w:val="00497CE6"/>
    <w:rsid w:val="00497F1E"/>
    <w:rsid w:val="004A0078"/>
    <w:rsid w:val="004A02FB"/>
    <w:rsid w:val="004A1197"/>
    <w:rsid w:val="004A1855"/>
    <w:rsid w:val="004A1A16"/>
    <w:rsid w:val="004A1F3A"/>
    <w:rsid w:val="004A2197"/>
    <w:rsid w:val="004A2804"/>
    <w:rsid w:val="004A29B2"/>
    <w:rsid w:val="004A29B3"/>
    <w:rsid w:val="004A2F68"/>
    <w:rsid w:val="004A36C6"/>
    <w:rsid w:val="004A3D9E"/>
    <w:rsid w:val="004A4E31"/>
    <w:rsid w:val="004A4F65"/>
    <w:rsid w:val="004A4F73"/>
    <w:rsid w:val="004A5E2D"/>
    <w:rsid w:val="004A5E42"/>
    <w:rsid w:val="004A628A"/>
    <w:rsid w:val="004A6387"/>
    <w:rsid w:val="004A6976"/>
    <w:rsid w:val="004A6B6D"/>
    <w:rsid w:val="004A73A7"/>
    <w:rsid w:val="004B0151"/>
    <w:rsid w:val="004B056E"/>
    <w:rsid w:val="004B0B81"/>
    <w:rsid w:val="004B1670"/>
    <w:rsid w:val="004B16A3"/>
    <w:rsid w:val="004B2234"/>
    <w:rsid w:val="004B2434"/>
    <w:rsid w:val="004B265B"/>
    <w:rsid w:val="004B2A86"/>
    <w:rsid w:val="004B2CEA"/>
    <w:rsid w:val="004B317F"/>
    <w:rsid w:val="004B3509"/>
    <w:rsid w:val="004B39FC"/>
    <w:rsid w:val="004B3C3E"/>
    <w:rsid w:val="004B4166"/>
    <w:rsid w:val="004B430E"/>
    <w:rsid w:val="004B4D11"/>
    <w:rsid w:val="004B4E7C"/>
    <w:rsid w:val="004B4ECD"/>
    <w:rsid w:val="004B548C"/>
    <w:rsid w:val="004B54EA"/>
    <w:rsid w:val="004B5787"/>
    <w:rsid w:val="004B6062"/>
    <w:rsid w:val="004B6238"/>
    <w:rsid w:val="004B6510"/>
    <w:rsid w:val="004B69FA"/>
    <w:rsid w:val="004B6A79"/>
    <w:rsid w:val="004B6D08"/>
    <w:rsid w:val="004B6DD2"/>
    <w:rsid w:val="004B7126"/>
    <w:rsid w:val="004B76A9"/>
    <w:rsid w:val="004B7AD6"/>
    <w:rsid w:val="004C01BF"/>
    <w:rsid w:val="004C06EF"/>
    <w:rsid w:val="004C0E18"/>
    <w:rsid w:val="004C0EA3"/>
    <w:rsid w:val="004C12A3"/>
    <w:rsid w:val="004C14C0"/>
    <w:rsid w:val="004C1D53"/>
    <w:rsid w:val="004C20B8"/>
    <w:rsid w:val="004C2935"/>
    <w:rsid w:val="004C2B94"/>
    <w:rsid w:val="004C33E8"/>
    <w:rsid w:val="004C3E56"/>
    <w:rsid w:val="004C3EFC"/>
    <w:rsid w:val="004C42B9"/>
    <w:rsid w:val="004C46C5"/>
    <w:rsid w:val="004C4911"/>
    <w:rsid w:val="004C4B9F"/>
    <w:rsid w:val="004C502F"/>
    <w:rsid w:val="004C53BA"/>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1C49"/>
    <w:rsid w:val="004D29F0"/>
    <w:rsid w:val="004D2A84"/>
    <w:rsid w:val="004D32F6"/>
    <w:rsid w:val="004D33E4"/>
    <w:rsid w:val="004D3F44"/>
    <w:rsid w:val="004D3FC2"/>
    <w:rsid w:val="004D456C"/>
    <w:rsid w:val="004D485F"/>
    <w:rsid w:val="004D4FC2"/>
    <w:rsid w:val="004D5111"/>
    <w:rsid w:val="004D55D2"/>
    <w:rsid w:val="004D59A0"/>
    <w:rsid w:val="004D6C99"/>
    <w:rsid w:val="004D7051"/>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D37"/>
    <w:rsid w:val="004E4E17"/>
    <w:rsid w:val="004E5872"/>
    <w:rsid w:val="004E5D63"/>
    <w:rsid w:val="004E5DA2"/>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949"/>
    <w:rsid w:val="004F429F"/>
    <w:rsid w:val="004F42D6"/>
    <w:rsid w:val="004F4466"/>
    <w:rsid w:val="004F4562"/>
    <w:rsid w:val="004F4C9C"/>
    <w:rsid w:val="004F5395"/>
    <w:rsid w:val="004F563B"/>
    <w:rsid w:val="004F5EC1"/>
    <w:rsid w:val="004F6015"/>
    <w:rsid w:val="004F62FD"/>
    <w:rsid w:val="004F6332"/>
    <w:rsid w:val="004F67A2"/>
    <w:rsid w:val="004F68B0"/>
    <w:rsid w:val="004F7BDE"/>
    <w:rsid w:val="0050034B"/>
    <w:rsid w:val="00500FC8"/>
    <w:rsid w:val="00503191"/>
    <w:rsid w:val="0050326D"/>
    <w:rsid w:val="005035DD"/>
    <w:rsid w:val="00503A8C"/>
    <w:rsid w:val="00503E32"/>
    <w:rsid w:val="005047CB"/>
    <w:rsid w:val="005047F1"/>
    <w:rsid w:val="00504B40"/>
    <w:rsid w:val="00504E9D"/>
    <w:rsid w:val="00505225"/>
    <w:rsid w:val="00505D84"/>
    <w:rsid w:val="0050601B"/>
    <w:rsid w:val="00506108"/>
    <w:rsid w:val="0050667D"/>
    <w:rsid w:val="005068F5"/>
    <w:rsid w:val="00506BB4"/>
    <w:rsid w:val="00506C38"/>
    <w:rsid w:val="00506C3E"/>
    <w:rsid w:val="00506E46"/>
    <w:rsid w:val="0050702C"/>
    <w:rsid w:val="005071A2"/>
    <w:rsid w:val="005101F9"/>
    <w:rsid w:val="005105DB"/>
    <w:rsid w:val="00510683"/>
    <w:rsid w:val="00510876"/>
    <w:rsid w:val="00510AAD"/>
    <w:rsid w:val="00510BA3"/>
    <w:rsid w:val="0051130C"/>
    <w:rsid w:val="00511429"/>
    <w:rsid w:val="00512111"/>
    <w:rsid w:val="005124E1"/>
    <w:rsid w:val="005129C7"/>
    <w:rsid w:val="00512E1B"/>
    <w:rsid w:val="005132AC"/>
    <w:rsid w:val="005139AB"/>
    <w:rsid w:val="005139B9"/>
    <w:rsid w:val="005143FD"/>
    <w:rsid w:val="00514443"/>
    <w:rsid w:val="00514F81"/>
    <w:rsid w:val="0051540F"/>
    <w:rsid w:val="00515684"/>
    <w:rsid w:val="0051582F"/>
    <w:rsid w:val="00515CFA"/>
    <w:rsid w:val="005162CA"/>
    <w:rsid w:val="0051655C"/>
    <w:rsid w:val="005166BA"/>
    <w:rsid w:val="00516D97"/>
    <w:rsid w:val="00517731"/>
    <w:rsid w:val="00517788"/>
    <w:rsid w:val="00517895"/>
    <w:rsid w:val="005179F5"/>
    <w:rsid w:val="00517AFB"/>
    <w:rsid w:val="00517E42"/>
    <w:rsid w:val="005207FB"/>
    <w:rsid w:val="00521139"/>
    <w:rsid w:val="00521725"/>
    <w:rsid w:val="0052175E"/>
    <w:rsid w:val="00521BFB"/>
    <w:rsid w:val="00521F0F"/>
    <w:rsid w:val="00522AD0"/>
    <w:rsid w:val="00522B23"/>
    <w:rsid w:val="00522BFC"/>
    <w:rsid w:val="00522CA9"/>
    <w:rsid w:val="00522E09"/>
    <w:rsid w:val="00522EFA"/>
    <w:rsid w:val="005233E4"/>
    <w:rsid w:val="0052343A"/>
    <w:rsid w:val="00523E8E"/>
    <w:rsid w:val="00524908"/>
    <w:rsid w:val="00524C72"/>
    <w:rsid w:val="00525088"/>
    <w:rsid w:val="005250C7"/>
    <w:rsid w:val="005250E1"/>
    <w:rsid w:val="0052563B"/>
    <w:rsid w:val="005258A2"/>
    <w:rsid w:val="00525972"/>
    <w:rsid w:val="00525D2D"/>
    <w:rsid w:val="00526991"/>
    <w:rsid w:val="00526B6D"/>
    <w:rsid w:val="00526FBE"/>
    <w:rsid w:val="00527322"/>
    <w:rsid w:val="00527605"/>
    <w:rsid w:val="005277C7"/>
    <w:rsid w:val="00527DD2"/>
    <w:rsid w:val="005304A4"/>
    <w:rsid w:val="00530AF7"/>
    <w:rsid w:val="00530B7B"/>
    <w:rsid w:val="00530C74"/>
    <w:rsid w:val="0053128D"/>
    <w:rsid w:val="005313FE"/>
    <w:rsid w:val="00531429"/>
    <w:rsid w:val="0053157E"/>
    <w:rsid w:val="00531671"/>
    <w:rsid w:val="00531B3E"/>
    <w:rsid w:val="00531D3A"/>
    <w:rsid w:val="00531E7F"/>
    <w:rsid w:val="005320F9"/>
    <w:rsid w:val="0053263B"/>
    <w:rsid w:val="0053263D"/>
    <w:rsid w:val="00532BA0"/>
    <w:rsid w:val="00533102"/>
    <w:rsid w:val="005337F3"/>
    <w:rsid w:val="00534056"/>
    <w:rsid w:val="00534172"/>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18A"/>
    <w:rsid w:val="00545620"/>
    <w:rsid w:val="00545AD8"/>
    <w:rsid w:val="00545D8E"/>
    <w:rsid w:val="0054612E"/>
    <w:rsid w:val="00546465"/>
    <w:rsid w:val="00546855"/>
    <w:rsid w:val="005469E6"/>
    <w:rsid w:val="00546E3A"/>
    <w:rsid w:val="005472C4"/>
    <w:rsid w:val="005474B0"/>
    <w:rsid w:val="005478D2"/>
    <w:rsid w:val="00547A54"/>
    <w:rsid w:val="00547F6E"/>
    <w:rsid w:val="005506A3"/>
    <w:rsid w:val="005508AA"/>
    <w:rsid w:val="005509AE"/>
    <w:rsid w:val="00550C30"/>
    <w:rsid w:val="00551575"/>
    <w:rsid w:val="00551A99"/>
    <w:rsid w:val="00551B34"/>
    <w:rsid w:val="00551D50"/>
    <w:rsid w:val="00551F88"/>
    <w:rsid w:val="00552098"/>
    <w:rsid w:val="005525C4"/>
    <w:rsid w:val="00552759"/>
    <w:rsid w:val="0055280A"/>
    <w:rsid w:val="00552915"/>
    <w:rsid w:val="0055299B"/>
    <w:rsid w:val="0055321E"/>
    <w:rsid w:val="005536C2"/>
    <w:rsid w:val="00553C0D"/>
    <w:rsid w:val="00553E04"/>
    <w:rsid w:val="00554195"/>
    <w:rsid w:val="00554BEF"/>
    <w:rsid w:val="00555085"/>
    <w:rsid w:val="00555428"/>
    <w:rsid w:val="005554A3"/>
    <w:rsid w:val="005554E9"/>
    <w:rsid w:val="0055654B"/>
    <w:rsid w:val="005566D6"/>
    <w:rsid w:val="00556839"/>
    <w:rsid w:val="00556C01"/>
    <w:rsid w:val="00556ECF"/>
    <w:rsid w:val="005572EF"/>
    <w:rsid w:val="00557337"/>
    <w:rsid w:val="0055771E"/>
    <w:rsid w:val="00557F04"/>
    <w:rsid w:val="00560B48"/>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CF5"/>
    <w:rsid w:val="00567ED0"/>
    <w:rsid w:val="00567F82"/>
    <w:rsid w:val="005701D9"/>
    <w:rsid w:val="00570538"/>
    <w:rsid w:val="00570A2C"/>
    <w:rsid w:val="00570AD7"/>
    <w:rsid w:val="00571012"/>
    <w:rsid w:val="00571319"/>
    <w:rsid w:val="005719E7"/>
    <w:rsid w:val="0057206E"/>
    <w:rsid w:val="00572ACF"/>
    <w:rsid w:val="00572B7E"/>
    <w:rsid w:val="00572BFE"/>
    <w:rsid w:val="00572D65"/>
    <w:rsid w:val="00572D91"/>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1C27"/>
    <w:rsid w:val="0058288A"/>
    <w:rsid w:val="00582D17"/>
    <w:rsid w:val="00582F6E"/>
    <w:rsid w:val="005833C2"/>
    <w:rsid w:val="00583AD9"/>
    <w:rsid w:val="00583B0A"/>
    <w:rsid w:val="005859A4"/>
    <w:rsid w:val="00585A18"/>
    <w:rsid w:val="00585D00"/>
    <w:rsid w:val="00586039"/>
    <w:rsid w:val="00586E5E"/>
    <w:rsid w:val="00586F4E"/>
    <w:rsid w:val="0058714C"/>
    <w:rsid w:val="005876FA"/>
    <w:rsid w:val="00590262"/>
    <w:rsid w:val="0059033F"/>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6E0"/>
    <w:rsid w:val="0059370F"/>
    <w:rsid w:val="00593977"/>
    <w:rsid w:val="005942A7"/>
    <w:rsid w:val="00594A5A"/>
    <w:rsid w:val="00594B39"/>
    <w:rsid w:val="00594D16"/>
    <w:rsid w:val="00595057"/>
    <w:rsid w:val="005952EA"/>
    <w:rsid w:val="00595513"/>
    <w:rsid w:val="00595852"/>
    <w:rsid w:val="00595A38"/>
    <w:rsid w:val="00595D50"/>
    <w:rsid w:val="00595D57"/>
    <w:rsid w:val="00595E80"/>
    <w:rsid w:val="00595F6D"/>
    <w:rsid w:val="00596235"/>
    <w:rsid w:val="005964B7"/>
    <w:rsid w:val="005971D9"/>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7F2"/>
    <w:rsid w:val="005B0E69"/>
    <w:rsid w:val="005B12CD"/>
    <w:rsid w:val="005B1A92"/>
    <w:rsid w:val="005B1B30"/>
    <w:rsid w:val="005B2805"/>
    <w:rsid w:val="005B2859"/>
    <w:rsid w:val="005B2EA2"/>
    <w:rsid w:val="005B3282"/>
    <w:rsid w:val="005B3546"/>
    <w:rsid w:val="005B35AA"/>
    <w:rsid w:val="005B3675"/>
    <w:rsid w:val="005B36AC"/>
    <w:rsid w:val="005B3C5E"/>
    <w:rsid w:val="005B3E02"/>
    <w:rsid w:val="005B4B27"/>
    <w:rsid w:val="005B4BE9"/>
    <w:rsid w:val="005B5036"/>
    <w:rsid w:val="005B52D5"/>
    <w:rsid w:val="005B57B6"/>
    <w:rsid w:val="005B591D"/>
    <w:rsid w:val="005B5ADE"/>
    <w:rsid w:val="005B5C55"/>
    <w:rsid w:val="005B5DC4"/>
    <w:rsid w:val="005B6505"/>
    <w:rsid w:val="005B66F2"/>
    <w:rsid w:val="005B682C"/>
    <w:rsid w:val="005B6A11"/>
    <w:rsid w:val="005B7163"/>
    <w:rsid w:val="005B7306"/>
    <w:rsid w:val="005B756D"/>
    <w:rsid w:val="005B7602"/>
    <w:rsid w:val="005B79E9"/>
    <w:rsid w:val="005B7DDB"/>
    <w:rsid w:val="005B7E68"/>
    <w:rsid w:val="005B7F53"/>
    <w:rsid w:val="005C00DE"/>
    <w:rsid w:val="005C0498"/>
    <w:rsid w:val="005C0CF3"/>
    <w:rsid w:val="005C0F3E"/>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5335"/>
    <w:rsid w:val="005C54D3"/>
    <w:rsid w:val="005C5506"/>
    <w:rsid w:val="005C6125"/>
    <w:rsid w:val="005C7131"/>
    <w:rsid w:val="005C7726"/>
    <w:rsid w:val="005C7D0A"/>
    <w:rsid w:val="005C7E2F"/>
    <w:rsid w:val="005D00E9"/>
    <w:rsid w:val="005D0275"/>
    <w:rsid w:val="005D02B1"/>
    <w:rsid w:val="005D05F9"/>
    <w:rsid w:val="005D0647"/>
    <w:rsid w:val="005D0D2D"/>
    <w:rsid w:val="005D117B"/>
    <w:rsid w:val="005D1596"/>
    <w:rsid w:val="005D1782"/>
    <w:rsid w:val="005D17B9"/>
    <w:rsid w:val="005D1E03"/>
    <w:rsid w:val="005D20D0"/>
    <w:rsid w:val="005D27C0"/>
    <w:rsid w:val="005D2BE4"/>
    <w:rsid w:val="005D306F"/>
    <w:rsid w:val="005D3567"/>
    <w:rsid w:val="005D3801"/>
    <w:rsid w:val="005D3979"/>
    <w:rsid w:val="005D3984"/>
    <w:rsid w:val="005D3BBF"/>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3E9"/>
    <w:rsid w:val="005E2653"/>
    <w:rsid w:val="005E2A08"/>
    <w:rsid w:val="005E2F1A"/>
    <w:rsid w:val="005E304B"/>
    <w:rsid w:val="005E34B0"/>
    <w:rsid w:val="005E35FB"/>
    <w:rsid w:val="005E365E"/>
    <w:rsid w:val="005E3909"/>
    <w:rsid w:val="005E42E3"/>
    <w:rsid w:val="005E449E"/>
    <w:rsid w:val="005E4528"/>
    <w:rsid w:val="005E46E2"/>
    <w:rsid w:val="005E49E4"/>
    <w:rsid w:val="005E4B45"/>
    <w:rsid w:val="005E4E72"/>
    <w:rsid w:val="005E6FB0"/>
    <w:rsid w:val="005E70A5"/>
    <w:rsid w:val="005E79BB"/>
    <w:rsid w:val="005E7B4E"/>
    <w:rsid w:val="005F00DE"/>
    <w:rsid w:val="005F066A"/>
    <w:rsid w:val="005F0C15"/>
    <w:rsid w:val="005F2236"/>
    <w:rsid w:val="005F24E0"/>
    <w:rsid w:val="005F2533"/>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1B3"/>
    <w:rsid w:val="005F644A"/>
    <w:rsid w:val="005F6728"/>
    <w:rsid w:val="005F6B3F"/>
    <w:rsid w:val="005F6B88"/>
    <w:rsid w:val="005F6BF9"/>
    <w:rsid w:val="005F76C0"/>
    <w:rsid w:val="005F7F6C"/>
    <w:rsid w:val="00600213"/>
    <w:rsid w:val="00600A8B"/>
    <w:rsid w:val="00600BDB"/>
    <w:rsid w:val="006018AA"/>
    <w:rsid w:val="00601A48"/>
    <w:rsid w:val="00601BF3"/>
    <w:rsid w:val="00601C3A"/>
    <w:rsid w:val="00602059"/>
    <w:rsid w:val="00602283"/>
    <w:rsid w:val="00603609"/>
    <w:rsid w:val="00603AA1"/>
    <w:rsid w:val="00603E9C"/>
    <w:rsid w:val="00603F4E"/>
    <w:rsid w:val="006040A7"/>
    <w:rsid w:val="00604687"/>
    <w:rsid w:val="0060484A"/>
    <w:rsid w:val="00604F5C"/>
    <w:rsid w:val="006056B4"/>
    <w:rsid w:val="00605A01"/>
    <w:rsid w:val="00605D6D"/>
    <w:rsid w:val="00606C10"/>
    <w:rsid w:val="0060745B"/>
    <w:rsid w:val="00607593"/>
    <w:rsid w:val="0061012C"/>
    <w:rsid w:val="00610C46"/>
    <w:rsid w:val="00610E79"/>
    <w:rsid w:val="00610F08"/>
    <w:rsid w:val="006115A3"/>
    <w:rsid w:val="00611729"/>
    <w:rsid w:val="00611AD5"/>
    <w:rsid w:val="00611B39"/>
    <w:rsid w:val="00612C40"/>
    <w:rsid w:val="00612F40"/>
    <w:rsid w:val="00612FBE"/>
    <w:rsid w:val="006139D4"/>
    <w:rsid w:val="00614442"/>
    <w:rsid w:val="00614446"/>
    <w:rsid w:val="00614D59"/>
    <w:rsid w:val="00614FE8"/>
    <w:rsid w:val="0061580D"/>
    <w:rsid w:val="00615A74"/>
    <w:rsid w:val="00615EFD"/>
    <w:rsid w:val="00616D1F"/>
    <w:rsid w:val="00616D71"/>
    <w:rsid w:val="00616E24"/>
    <w:rsid w:val="00617041"/>
    <w:rsid w:val="00617644"/>
    <w:rsid w:val="00617769"/>
    <w:rsid w:val="006177A2"/>
    <w:rsid w:val="0062026C"/>
    <w:rsid w:val="006202C4"/>
    <w:rsid w:val="0062032A"/>
    <w:rsid w:val="00620364"/>
    <w:rsid w:val="0062059D"/>
    <w:rsid w:val="00620994"/>
    <w:rsid w:val="00620B62"/>
    <w:rsid w:val="00620CF2"/>
    <w:rsid w:val="00622604"/>
    <w:rsid w:val="006227DD"/>
    <w:rsid w:val="00622A36"/>
    <w:rsid w:val="00622F82"/>
    <w:rsid w:val="0062336D"/>
    <w:rsid w:val="00623DA3"/>
    <w:rsid w:val="00623F4C"/>
    <w:rsid w:val="006245DC"/>
    <w:rsid w:val="00624AC3"/>
    <w:rsid w:val="00624E30"/>
    <w:rsid w:val="0062528D"/>
    <w:rsid w:val="0062536F"/>
    <w:rsid w:val="00625492"/>
    <w:rsid w:val="0062562D"/>
    <w:rsid w:val="00625A21"/>
    <w:rsid w:val="0062605B"/>
    <w:rsid w:val="0062623D"/>
    <w:rsid w:val="00626355"/>
    <w:rsid w:val="00626F44"/>
    <w:rsid w:val="006270C7"/>
    <w:rsid w:val="006275F5"/>
    <w:rsid w:val="0062793F"/>
    <w:rsid w:val="006279E3"/>
    <w:rsid w:val="00630012"/>
    <w:rsid w:val="006306F2"/>
    <w:rsid w:val="00630904"/>
    <w:rsid w:val="00630E5A"/>
    <w:rsid w:val="00630F45"/>
    <w:rsid w:val="0063109E"/>
    <w:rsid w:val="00631B6D"/>
    <w:rsid w:val="006327C3"/>
    <w:rsid w:val="0063286A"/>
    <w:rsid w:val="00632E65"/>
    <w:rsid w:val="00632EFF"/>
    <w:rsid w:val="006330CE"/>
    <w:rsid w:val="0063331F"/>
    <w:rsid w:val="006338CA"/>
    <w:rsid w:val="00633D9C"/>
    <w:rsid w:val="006342FF"/>
    <w:rsid w:val="006344E8"/>
    <w:rsid w:val="0063456E"/>
    <w:rsid w:val="00634885"/>
    <w:rsid w:val="006348E3"/>
    <w:rsid w:val="00634D3E"/>
    <w:rsid w:val="00634E51"/>
    <w:rsid w:val="0063511C"/>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EE"/>
    <w:rsid w:val="00641B60"/>
    <w:rsid w:val="0064266E"/>
    <w:rsid w:val="006428AB"/>
    <w:rsid w:val="00642E59"/>
    <w:rsid w:val="00643008"/>
    <w:rsid w:val="00643809"/>
    <w:rsid w:val="00643A8F"/>
    <w:rsid w:val="00643C58"/>
    <w:rsid w:val="00644558"/>
    <w:rsid w:val="00644768"/>
    <w:rsid w:val="00644847"/>
    <w:rsid w:val="00644BF3"/>
    <w:rsid w:val="00644D3C"/>
    <w:rsid w:val="00644F3A"/>
    <w:rsid w:val="006454A0"/>
    <w:rsid w:val="00645C9E"/>
    <w:rsid w:val="006461AC"/>
    <w:rsid w:val="006462B7"/>
    <w:rsid w:val="00646435"/>
    <w:rsid w:val="006468CE"/>
    <w:rsid w:val="00646966"/>
    <w:rsid w:val="00646B49"/>
    <w:rsid w:val="006470CB"/>
    <w:rsid w:val="00647756"/>
    <w:rsid w:val="00647CA5"/>
    <w:rsid w:val="00650286"/>
    <w:rsid w:val="006507D6"/>
    <w:rsid w:val="0065103A"/>
    <w:rsid w:val="006511F1"/>
    <w:rsid w:val="00651487"/>
    <w:rsid w:val="00652645"/>
    <w:rsid w:val="0065282D"/>
    <w:rsid w:val="00652C4A"/>
    <w:rsid w:val="00652E8D"/>
    <w:rsid w:val="00653451"/>
    <w:rsid w:val="006535BE"/>
    <w:rsid w:val="00653757"/>
    <w:rsid w:val="0065381A"/>
    <w:rsid w:val="00653B20"/>
    <w:rsid w:val="006540FF"/>
    <w:rsid w:val="00654944"/>
    <w:rsid w:val="00654964"/>
    <w:rsid w:val="0065506E"/>
    <w:rsid w:val="00655168"/>
    <w:rsid w:val="006552D8"/>
    <w:rsid w:val="0065572F"/>
    <w:rsid w:val="00655928"/>
    <w:rsid w:val="00656A31"/>
    <w:rsid w:val="00657055"/>
    <w:rsid w:val="006572E7"/>
    <w:rsid w:val="00657663"/>
    <w:rsid w:val="0065790C"/>
    <w:rsid w:val="00657B4E"/>
    <w:rsid w:val="00657B6F"/>
    <w:rsid w:val="0066143C"/>
    <w:rsid w:val="00661900"/>
    <w:rsid w:val="0066191E"/>
    <w:rsid w:val="00661AAF"/>
    <w:rsid w:val="00662969"/>
    <w:rsid w:val="00662BEB"/>
    <w:rsid w:val="006630CA"/>
    <w:rsid w:val="00663955"/>
    <w:rsid w:val="00663F92"/>
    <w:rsid w:val="006641B3"/>
    <w:rsid w:val="006641DC"/>
    <w:rsid w:val="006645ED"/>
    <w:rsid w:val="00665105"/>
    <w:rsid w:val="00665197"/>
    <w:rsid w:val="00665287"/>
    <w:rsid w:val="006654B0"/>
    <w:rsid w:val="0066568F"/>
    <w:rsid w:val="00665D3E"/>
    <w:rsid w:val="0066618F"/>
    <w:rsid w:val="006667BB"/>
    <w:rsid w:val="006668DE"/>
    <w:rsid w:val="006669ED"/>
    <w:rsid w:val="00666A07"/>
    <w:rsid w:val="00667060"/>
    <w:rsid w:val="0066755E"/>
    <w:rsid w:val="00667672"/>
    <w:rsid w:val="006676BF"/>
    <w:rsid w:val="00667E6B"/>
    <w:rsid w:val="00670205"/>
    <w:rsid w:val="0067040A"/>
    <w:rsid w:val="00670795"/>
    <w:rsid w:val="00670F1F"/>
    <w:rsid w:val="00671170"/>
    <w:rsid w:val="00671A1F"/>
    <w:rsid w:val="00671D24"/>
    <w:rsid w:val="00672293"/>
    <w:rsid w:val="00672346"/>
    <w:rsid w:val="00672368"/>
    <w:rsid w:val="00672F42"/>
    <w:rsid w:val="00673D54"/>
    <w:rsid w:val="00673EB3"/>
    <w:rsid w:val="006743A3"/>
    <w:rsid w:val="00675105"/>
    <w:rsid w:val="0067525D"/>
    <w:rsid w:val="006753D5"/>
    <w:rsid w:val="00675C04"/>
    <w:rsid w:val="00675C6E"/>
    <w:rsid w:val="006766BA"/>
    <w:rsid w:val="00676AE5"/>
    <w:rsid w:val="00676EDF"/>
    <w:rsid w:val="00677B69"/>
    <w:rsid w:val="00677BA6"/>
    <w:rsid w:val="00677E60"/>
    <w:rsid w:val="00677EE8"/>
    <w:rsid w:val="0068001E"/>
    <w:rsid w:val="006803C2"/>
    <w:rsid w:val="006805CD"/>
    <w:rsid w:val="00680DBD"/>
    <w:rsid w:val="006810AB"/>
    <w:rsid w:val="006816A9"/>
    <w:rsid w:val="00681808"/>
    <w:rsid w:val="00681E07"/>
    <w:rsid w:val="00681E39"/>
    <w:rsid w:val="00682633"/>
    <w:rsid w:val="00682864"/>
    <w:rsid w:val="006828FA"/>
    <w:rsid w:val="006831FB"/>
    <w:rsid w:val="0068377F"/>
    <w:rsid w:val="00683A74"/>
    <w:rsid w:val="00683AEB"/>
    <w:rsid w:val="00683CD7"/>
    <w:rsid w:val="00683E93"/>
    <w:rsid w:val="00683FA7"/>
    <w:rsid w:val="0068432B"/>
    <w:rsid w:val="006844F6"/>
    <w:rsid w:val="00684516"/>
    <w:rsid w:val="006845B4"/>
    <w:rsid w:val="00684E25"/>
    <w:rsid w:val="00685DDA"/>
    <w:rsid w:val="00686418"/>
    <w:rsid w:val="00686C68"/>
    <w:rsid w:val="006870A3"/>
    <w:rsid w:val="006875BD"/>
    <w:rsid w:val="00687852"/>
    <w:rsid w:val="00687CD8"/>
    <w:rsid w:val="00687D5A"/>
    <w:rsid w:val="00690440"/>
    <w:rsid w:val="00690508"/>
    <w:rsid w:val="0069088E"/>
    <w:rsid w:val="00690D0F"/>
    <w:rsid w:val="00690F90"/>
    <w:rsid w:val="00691402"/>
    <w:rsid w:val="00691B7F"/>
    <w:rsid w:val="00691FEB"/>
    <w:rsid w:val="00692616"/>
    <w:rsid w:val="00692849"/>
    <w:rsid w:val="00692A32"/>
    <w:rsid w:val="00692DC8"/>
    <w:rsid w:val="006934DC"/>
    <w:rsid w:val="006936A6"/>
    <w:rsid w:val="0069418D"/>
    <w:rsid w:val="00694492"/>
    <w:rsid w:val="006950D2"/>
    <w:rsid w:val="006958A4"/>
    <w:rsid w:val="00695920"/>
    <w:rsid w:val="006959FD"/>
    <w:rsid w:val="006967C8"/>
    <w:rsid w:val="006968D1"/>
    <w:rsid w:val="00696A06"/>
    <w:rsid w:val="006970A0"/>
    <w:rsid w:val="00697628"/>
    <w:rsid w:val="00697CB2"/>
    <w:rsid w:val="006A0020"/>
    <w:rsid w:val="006A0727"/>
    <w:rsid w:val="006A093E"/>
    <w:rsid w:val="006A0D25"/>
    <w:rsid w:val="006A0D68"/>
    <w:rsid w:val="006A0EDA"/>
    <w:rsid w:val="006A10A6"/>
    <w:rsid w:val="006A1181"/>
    <w:rsid w:val="006A1C3F"/>
    <w:rsid w:val="006A2469"/>
    <w:rsid w:val="006A24A0"/>
    <w:rsid w:val="006A2827"/>
    <w:rsid w:val="006A2C2E"/>
    <w:rsid w:val="006A33AA"/>
    <w:rsid w:val="006A40E4"/>
    <w:rsid w:val="006A4531"/>
    <w:rsid w:val="006A4D4D"/>
    <w:rsid w:val="006A4F9C"/>
    <w:rsid w:val="006A5112"/>
    <w:rsid w:val="006A5252"/>
    <w:rsid w:val="006A5806"/>
    <w:rsid w:val="006A5D45"/>
    <w:rsid w:val="006A67BD"/>
    <w:rsid w:val="006A6FE5"/>
    <w:rsid w:val="006A74BD"/>
    <w:rsid w:val="006A7588"/>
    <w:rsid w:val="006A7D2A"/>
    <w:rsid w:val="006B0991"/>
    <w:rsid w:val="006B0EFA"/>
    <w:rsid w:val="006B0F0D"/>
    <w:rsid w:val="006B1587"/>
    <w:rsid w:val="006B1CEB"/>
    <w:rsid w:val="006B1D20"/>
    <w:rsid w:val="006B220F"/>
    <w:rsid w:val="006B2AB8"/>
    <w:rsid w:val="006B2AC2"/>
    <w:rsid w:val="006B2C89"/>
    <w:rsid w:val="006B2D23"/>
    <w:rsid w:val="006B2E2F"/>
    <w:rsid w:val="006B311C"/>
    <w:rsid w:val="006B333E"/>
    <w:rsid w:val="006B37B8"/>
    <w:rsid w:val="006B38A8"/>
    <w:rsid w:val="006B39FB"/>
    <w:rsid w:val="006B3E41"/>
    <w:rsid w:val="006B46B5"/>
    <w:rsid w:val="006B48D3"/>
    <w:rsid w:val="006B495F"/>
    <w:rsid w:val="006B4F91"/>
    <w:rsid w:val="006B51C1"/>
    <w:rsid w:val="006B533D"/>
    <w:rsid w:val="006B5598"/>
    <w:rsid w:val="006B7472"/>
    <w:rsid w:val="006B74A7"/>
    <w:rsid w:val="006B74DC"/>
    <w:rsid w:val="006B7619"/>
    <w:rsid w:val="006B77D2"/>
    <w:rsid w:val="006B7943"/>
    <w:rsid w:val="006C0AEF"/>
    <w:rsid w:val="006C0D30"/>
    <w:rsid w:val="006C0D9E"/>
    <w:rsid w:val="006C1086"/>
    <w:rsid w:val="006C1447"/>
    <w:rsid w:val="006C27C6"/>
    <w:rsid w:val="006C28B6"/>
    <w:rsid w:val="006C2ACF"/>
    <w:rsid w:val="006C324E"/>
    <w:rsid w:val="006C3496"/>
    <w:rsid w:val="006C3584"/>
    <w:rsid w:val="006C4249"/>
    <w:rsid w:val="006C4592"/>
    <w:rsid w:val="006C490B"/>
    <w:rsid w:val="006C4C9A"/>
    <w:rsid w:val="006C533A"/>
    <w:rsid w:val="006C5846"/>
    <w:rsid w:val="006C5948"/>
    <w:rsid w:val="006C5A35"/>
    <w:rsid w:val="006C5C1B"/>
    <w:rsid w:val="006C60E5"/>
    <w:rsid w:val="006C6B4A"/>
    <w:rsid w:val="006C6F0E"/>
    <w:rsid w:val="006C7046"/>
    <w:rsid w:val="006C70F8"/>
    <w:rsid w:val="006C7489"/>
    <w:rsid w:val="006C75C0"/>
    <w:rsid w:val="006C75FF"/>
    <w:rsid w:val="006C7834"/>
    <w:rsid w:val="006C7873"/>
    <w:rsid w:val="006C7EE0"/>
    <w:rsid w:val="006C7FC3"/>
    <w:rsid w:val="006D0CDD"/>
    <w:rsid w:val="006D10F4"/>
    <w:rsid w:val="006D1DB6"/>
    <w:rsid w:val="006D1E75"/>
    <w:rsid w:val="006D1EA6"/>
    <w:rsid w:val="006D2177"/>
    <w:rsid w:val="006D2A8C"/>
    <w:rsid w:val="006D2AEA"/>
    <w:rsid w:val="006D3022"/>
    <w:rsid w:val="006D33EB"/>
    <w:rsid w:val="006D349E"/>
    <w:rsid w:val="006D3A28"/>
    <w:rsid w:val="006D466B"/>
    <w:rsid w:val="006D4AE1"/>
    <w:rsid w:val="006D5700"/>
    <w:rsid w:val="006D58A0"/>
    <w:rsid w:val="006D5D14"/>
    <w:rsid w:val="006D6742"/>
    <w:rsid w:val="006D6A56"/>
    <w:rsid w:val="006D6E79"/>
    <w:rsid w:val="006D702C"/>
    <w:rsid w:val="006D7526"/>
    <w:rsid w:val="006D7575"/>
    <w:rsid w:val="006D7C2A"/>
    <w:rsid w:val="006E0884"/>
    <w:rsid w:val="006E0F37"/>
    <w:rsid w:val="006E1825"/>
    <w:rsid w:val="006E23DF"/>
    <w:rsid w:val="006E2C92"/>
    <w:rsid w:val="006E3531"/>
    <w:rsid w:val="006E3A95"/>
    <w:rsid w:val="006E3CF2"/>
    <w:rsid w:val="006E3D94"/>
    <w:rsid w:val="006E4094"/>
    <w:rsid w:val="006E47D5"/>
    <w:rsid w:val="006E4DC0"/>
    <w:rsid w:val="006E4FAE"/>
    <w:rsid w:val="006E519B"/>
    <w:rsid w:val="006E53CE"/>
    <w:rsid w:val="006E577F"/>
    <w:rsid w:val="006E59C4"/>
    <w:rsid w:val="006E5A7C"/>
    <w:rsid w:val="006E75EF"/>
    <w:rsid w:val="006E79D5"/>
    <w:rsid w:val="006E7EE6"/>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7E8"/>
    <w:rsid w:val="006F3B13"/>
    <w:rsid w:val="006F3D09"/>
    <w:rsid w:val="006F3DCC"/>
    <w:rsid w:val="006F3E14"/>
    <w:rsid w:val="006F4D0A"/>
    <w:rsid w:val="006F4D0D"/>
    <w:rsid w:val="006F5443"/>
    <w:rsid w:val="006F55BD"/>
    <w:rsid w:val="006F5926"/>
    <w:rsid w:val="006F5DF7"/>
    <w:rsid w:val="006F61C3"/>
    <w:rsid w:val="006F6489"/>
    <w:rsid w:val="006F690B"/>
    <w:rsid w:val="006F6C23"/>
    <w:rsid w:val="006F7380"/>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21E"/>
    <w:rsid w:val="007054B3"/>
    <w:rsid w:val="00705631"/>
    <w:rsid w:val="00705B4B"/>
    <w:rsid w:val="00706C8F"/>
    <w:rsid w:val="00706EE5"/>
    <w:rsid w:val="00706F04"/>
    <w:rsid w:val="007070B2"/>
    <w:rsid w:val="00707781"/>
    <w:rsid w:val="007077C5"/>
    <w:rsid w:val="007078EE"/>
    <w:rsid w:val="00707CC2"/>
    <w:rsid w:val="00707F84"/>
    <w:rsid w:val="00710C17"/>
    <w:rsid w:val="00710E3E"/>
    <w:rsid w:val="00711333"/>
    <w:rsid w:val="0071177A"/>
    <w:rsid w:val="00711B92"/>
    <w:rsid w:val="00711F91"/>
    <w:rsid w:val="00712967"/>
    <w:rsid w:val="00712CBF"/>
    <w:rsid w:val="00712EA0"/>
    <w:rsid w:val="007132D3"/>
    <w:rsid w:val="0071415C"/>
    <w:rsid w:val="00714686"/>
    <w:rsid w:val="007146CE"/>
    <w:rsid w:val="0071471F"/>
    <w:rsid w:val="00714865"/>
    <w:rsid w:val="00714E19"/>
    <w:rsid w:val="00715050"/>
    <w:rsid w:val="007150DD"/>
    <w:rsid w:val="007155CF"/>
    <w:rsid w:val="00715A31"/>
    <w:rsid w:val="00715C40"/>
    <w:rsid w:val="00715D51"/>
    <w:rsid w:val="0071615B"/>
    <w:rsid w:val="0071654E"/>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2A21"/>
    <w:rsid w:val="007239E0"/>
    <w:rsid w:val="0072479C"/>
    <w:rsid w:val="00724C46"/>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A06"/>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53D4"/>
    <w:rsid w:val="007362E3"/>
    <w:rsid w:val="007365D6"/>
    <w:rsid w:val="00736B6E"/>
    <w:rsid w:val="00736CDF"/>
    <w:rsid w:val="00736EDD"/>
    <w:rsid w:val="007372C2"/>
    <w:rsid w:val="00737B55"/>
    <w:rsid w:val="0074001E"/>
    <w:rsid w:val="007400ED"/>
    <w:rsid w:val="007405CB"/>
    <w:rsid w:val="0074112C"/>
    <w:rsid w:val="00741866"/>
    <w:rsid w:val="00741D26"/>
    <w:rsid w:val="00741D40"/>
    <w:rsid w:val="0074208D"/>
    <w:rsid w:val="00742895"/>
    <w:rsid w:val="00742D9A"/>
    <w:rsid w:val="007435F0"/>
    <w:rsid w:val="00743E96"/>
    <w:rsid w:val="00744029"/>
    <w:rsid w:val="007440DF"/>
    <w:rsid w:val="00744329"/>
    <w:rsid w:val="007443B4"/>
    <w:rsid w:val="00744F72"/>
    <w:rsid w:val="007458DC"/>
    <w:rsid w:val="00745A27"/>
    <w:rsid w:val="00745F8F"/>
    <w:rsid w:val="0074650A"/>
    <w:rsid w:val="00746785"/>
    <w:rsid w:val="00746958"/>
    <w:rsid w:val="00746CF8"/>
    <w:rsid w:val="00747417"/>
    <w:rsid w:val="0074748F"/>
    <w:rsid w:val="00747A66"/>
    <w:rsid w:val="00747CD7"/>
    <w:rsid w:val="00750154"/>
    <w:rsid w:val="00750FE0"/>
    <w:rsid w:val="007517D9"/>
    <w:rsid w:val="00751868"/>
    <w:rsid w:val="00751B16"/>
    <w:rsid w:val="0075278F"/>
    <w:rsid w:val="00753890"/>
    <w:rsid w:val="00753A8E"/>
    <w:rsid w:val="00753B90"/>
    <w:rsid w:val="00754142"/>
    <w:rsid w:val="00754335"/>
    <w:rsid w:val="00754671"/>
    <w:rsid w:val="0075484F"/>
    <w:rsid w:val="0075573E"/>
    <w:rsid w:val="0075590B"/>
    <w:rsid w:val="00755A1F"/>
    <w:rsid w:val="00755C38"/>
    <w:rsid w:val="00755DE8"/>
    <w:rsid w:val="0075606C"/>
    <w:rsid w:val="007566BB"/>
    <w:rsid w:val="0075674F"/>
    <w:rsid w:val="00756E93"/>
    <w:rsid w:val="00756F1C"/>
    <w:rsid w:val="007578E0"/>
    <w:rsid w:val="00757A80"/>
    <w:rsid w:val="007604BC"/>
    <w:rsid w:val="00760895"/>
    <w:rsid w:val="00760AFB"/>
    <w:rsid w:val="00760EE2"/>
    <w:rsid w:val="00761A45"/>
    <w:rsid w:val="00762335"/>
    <w:rsid w:val="0076283A"/>
    <w:rsid w:val="00762CCA"/>
    <w:rsid w:val="00762E8E"/>
    <w:rsid w:val="00763B3D"/>
    <w:rsid w:val="00763BFD"/>
    <w:rsid w:val="00763DF7"/>
    <w:rsid w:val="007648CD"/>
    <w:rsid w:val="00764A66"/>
    <w:rsid w:val="00765092"/>
    <w:rsid w:val="00765238"/>
    <w:rsid w:val="0076582C"/>
    <w:rsid w:val="00765D40"/>
    <w:rsid w:val="0076661D"/>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76B"/>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1A2"/>
    <w:rsid w:val="007823A8"/>
    <w:rsid w:val="00782818"/>
    <w:rsid w:val="007829C5"/>
    <w:rsid w:val="00782E09"/>
    <w:rsid w:val="007833E9"/>
    <w:rsid w:val="00783EFD"/>
    <w:rsid w:val="00784625"/>
    <w:rsid w:val="00784774"/>
    <w:rsid w:val="0078492A"/>
    <w:rsid w:val="007851A4"/>
    <w:rsid w:val="00785732"/>
    <w:rsid w:val="0078595D"/>
    <w:rsid w:val="00785B6E"/>
    <w:rsid w:val="00785B71"/>
    <w:rsid w:val="00785E62"/>
    <w:rsid w:val="00785FF5"/>
    <w:rsid w:val="00786012"/>
    <w:rsid w:val="00786095"/>
    <w:rsid w:val="00786198"/>
    <w:rsid w:val="007861B8"/>
    <w:rsid w:val="00786C53"/>
    <w:rsid w:val="00786C90"/>
    <w:rsid w:val="007873A4"/>
    <w:rsid w:val="007873DF"/>
    <w:rsid w:val="00787772"/>
    <w:rsid w:val="00787C53"/>
    <w:rsid w:val="00787FC0"/>
    <w:rsid w:val="0079037D"/>
    <w:rsid w:val="0079043D"/>
    <w:rsid w:val="007906AD"/>
    <w:rsid w:val="00790719"/>
    <w:rsid w:val="0079153B"/>
    <w:rsid w:val="00791AA4"/>
    <w:rsid w:val="00792108"/>
    <w:rsid w:val="00792176"/>
    <w:rsid w:val="00792625"/>
    <w:rsid w:val="00792959"/>
    <w:rsid w:val="00792DFE"/>
    <w:rsid w:val="00793831"/>
    <w:rsid w:val="00793B73"/>
    <w:rsid w:val="00793D5B"/>
    <w:rsid w:val="00793EF4"/>
    <w:rsid w:val="007943BF"/>
    <w:rsid w:val="007944CC"/>
    <w:rsid w:val="00795136"/>
    <w:rsid w:val="00795838"/>
    <w:rsid w:val="007959ED"/>
    <w:rsid w:val="007969AA"/>
    <w:rsid w:val="00796A45"/>
    <w:rsid w:val="00797054"/>
    <w:rsid w:val="00797169"/>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479"/>
    <w:rsid w:val="007A2551"/>
    <w:rsid w:val="007A4A59"/>
    <w:rsid w:val="007A53F3"/>
    <w:rsid w:val="007A6820"/>
    <w:rsid w:val="007A6823"/>
    <w:rsid w:val="007A6989"/>
    <w:rsid w:val="007A73D1"/>
    <w:rsid w:val="007A75F8"/>
    <w:rsid w:val="007B027E"/>
    <w:rsid w:val="007B02F5"/>
    <w:rsid w:val="007B0A90"/>
    <w:rsid w:val="007B106B"/>
    <w:rsid w:val="007B1133"/>
    <w:rsid w:val="007B1493"/>
    <w:rsid w:val="007B1F0B"/>
    <w:rsid w:val="007B25B4"/>
    <w:rsid w:val="007B2A34"/>
    <w:rsid w:val="007B2A61"/>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4CF"/>
    <w:rsid w:val="007C1C54"/>
    <w:rsid w:val="007C1E7F"/>
    <w:rsid w:val="007C225D"/>
    <w:rsid w:val="007C2290"/>
    <w:rsid w:val="007C2447"/>
    <w:rsid w:val="007C26CA"/>
    <w:rsid w:val="007C2A95"/>
    <w:rsid w:val="007C2D2F"/>
    <w:rsid w:val="007C2F1E"/>
    <w:rsid w:val="007C340C"/>
    <w:rsid w:val="007C47B6"/>
    <w:rsid w:val="007C4D34"/>
    <w:rsid w:val="007C5A00"/>
    <w:rsid w:val="007C5E18"/>
    <w:rsid w:val="007C6241"/>
    <w:rsid w:val="007C687D"/>
    <w:rsid w:val="007C68BD"/>
    <w:rsid w:val="007C6983"/>
    <w:rsid w:val="007C6B95"/>
    <w:rsid w:val="007C6C85"/>
    <w:rsid w:val="007C76B6"/>
    <w:rsid w:val="007C76EB"/>
    <w:rsid w:val="007C7733"/>
    <w:rsid w:val="007C7E8A"/>
    <w:rsid w:val="007D0307"/>
    <w:rsid w:val="007D0900"/>
    <w:rsid w:val="007D0C05"/>
    <w:rsid w:val="007D0E13"/>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464"/>
    <w:rsid w:val="007D45AA"/>
    <w:rsid w:val="007D4691"/>
    <w:rsid w:val="007D4CCD"/>
    <w:rsid w:val="007D5762"/>
    <w:rsid w:val="007E02E8"/>
    <w:rsid w:val="007E0618"/>
    <w:rsid w:val="007E0689"/>
    <w:rsid w:val="007E0A94"/>
    <w:rsid w:val="007E0BF8"/>
    <w:rsid w:val="007E12E8"/>
    <w:rsid w:val="007E1650"/>
    <w:rsid w:val="007E1B64"/>
    <w:rsid w:val="007E1BBB"/>
    <w:rsid w:val="007E1EC8"/>
    <w:rsid w:val="007E262C"/>
    <w:rsid w:val="007E265A"/>
    <w:rsid w:val="007E2C7A"/>
    <w:rsid w:val="007E353D"/>
    <w:rsid w:val="007E4679"/>
    <w:rsid w:val="007E486A"/>
    <w:rsid w:val="007E4EF4"/>
    <w:rsid w:val="007E4F58"/>
    <w:rsid w:val="007E5101"/>
    <w:rsid w:val="007E5427"/>
    <w:rsid w:val="007E62B1"/>
    <w:rsid w:val="007E62ED"/>
    <w:rsid w:val="007E680E"/>
    <w:rsid w:val="007E6CF7"/>
    <w:rsid w:val="007E71CE"/>
    <w:rsid w:val="007E7993"/>
    <w:rsid w:val="007E7B8A"/>
    <w:rsid w:val="007E7C66"/>
    <w:rsid w:val="007E7F21"/>
    <w:rsid w:val="007F04DD"/>
    <w:rsid w:val="007F06B8"/>
    <w:rsid w:val="007F0B73"/>
    <w:rsid w:val="007F0CDB"/>
    <w:rsid w:val="007F0CEE"/>
    <w:rsid w:val="007F0DF3"/>
    <w:rsid w:val="007F1074"/>
    <w:rsid w:val="007F13D0"/>
    <w:rsid w:val="007F14A5"/>
    <w:rsid w:val="007F1553"/>
    <w:rsid w:val="007F1B5B"/>
    <w:rsid w:val="007F2141"/>
    <w:rsid w:val="007F2984"/>
    <w:rsid w:val="007F2A49"/>
    <w:rsid w:val="007F2B1C"/>
    <w:rsid w:val="007F2EB1"/>
    <w:rsid w:val="007F2FBE"/>
    <w:rsid w:val="007F321E"/>
    <w:rsid w:val="007F3851"/>
    <w:rsid w:val="007F3ACD"/>
    <w:rsid w:val="007F45C5"/>
    <w:rsid w:val="007F5E02"/>
    <w:rsid w:val="007F62AE"/>
    <w:rsid w:val="007F6922"/>
    <w:rsid w:val="007F70FA"/>
    <w:rsid w:val="007F71C9"/>
    <w:rsid w:val="007F7634"/>
    <w:rsid w:val="007F7CAC"/>
    <w:rsid w:val="007F7E8D"/>
    <w:rsid w:val="007F7EAB"/>
    <w:rsid w:val="008000DF"/>
    <w:rsid w:val="00800114"/>
    <w:rsid w:val="008010C5"/>
    <w:rsid w:val="008015A8"/>
    <w:rsid w:val="00801603"/>
    <w:rsid w:val="008017E9"/>
    <w:rsid w:val="00801AC0"/>
    <w:rsid w:val="00801CF0"/>
    <w:rsid w:val="00801D13"/>
    <w:rsid w:val="008021F1"/>
    <w:rsid w:val="00802266"/>
    <w:rsid w:val="00802327"/>
    <w:rsid w:val="00802AAF"/>
    <w:rsid w:val="00802B0D"/>
    <w:rsid w:val="00802DCD"/>
    <w:rsid w:val="00802E02"/>
    <w:rsid w:val="008032D7"/>
    <w:rsid w:val="00803961"/>
    <w:rsid w:val="00803C9F"/>
    <w:rsid w:val="00803CD8"/>
    <w:rsid w:val="00804333"/>
    <w:rsid w:val="00804343"/>
    <w:rsid w:val="008047E8"/>
    <w:rsid w:val="00804E55"/>
    <w:rsid w:val="0080513B"/>
    <w:rsid w:val="0080586A"/>
    <w:rsid w:val="008067C1"/>
    <w:rsid w:val="00806821"/>
    <w:rsid w:val="00806860"/>
    <w:rsid w:val="00806C7B"/>
    <w:rsid w:val="00806CCF"/>
    <w:rsid w:val="00807627"/>
    <w:rsid w:val="00807D2A"/>
    <w:rsid w:val="008103D4"/>
    <w:rsid w:val="008104FB"/>
    <w:rsid w:val="00810C07"/>
    <w:rsid w:val="00811217"/>
    <w:rsid w:val="0081167C"/>
    <w:rsid w:val="00811CCA"/>
    <w:rsid w:val="008122B2"/>
    <w:rsid w:val="008129B2"/>
    <w:rsid w:val="00812D9C"/>
    <w:rsid w:val="00813021"/>
    <w:rsid w:val="00813057"/>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4AD"/>
    <w:rsid w:val="008174C9"/>
    <w:rsid w:val="00817744"/>
    <w:rsid w:val="00820524"/>
    <w:rsid w:val="00820D7A"/>
    <w:rsid w:val="00820E2F"/>
    <w:rsid w:val="00820F7E"/>
    <w:rsid w:val="008215A4"/>
    <w:rsid w:val="0082177C"/>
    <w:rsid w:val="008218A2"/>
    <w:rsid w:val="0082194B"/>
    <w:rsid w:val="0082195A"/>
    <w:rsid w:val="008221FA"/>
    <w:rsid w:val="008226B0"/>
    <w:rsid w:val="00822A82"/>
    <w:rsid w:val="00823009"/>
    <w:rsid w:val="0082315F"/>
    <w:rsid w:val="00823568"/>
    <w:rsid w:val="0082397E"/>
    <w:rsid w:val="00824DD9"/>
    <w:rsid w:val="0082547D"/>
    <w:rsid w:val="00825AC1"/>
    <w:rsid w:val="00825BFA"/>
    <w:rsid w:val="00825C2B"/>
    <w:rsid w:val="00825F2B"/>
    <w:rsid w:val="00826174"/>
    <w:rsid w:val="008261E2"/>
    <w:rsid w:val="0082654E"/>
    <w:rsid w:val="008268F0"/>
    <w:rsid w:val="008269F8"/>
    <w:rsid w:val="00826A21"/>
    <w:rsid w:val="00827270"/>
    <w:rsid w:val="00827322"/>
    <w:rsid w:val="00827BC9"/>
    <w:rsid w:val="008301E5"/>
    <w:rsid w:val="00830299"/>
    <w:rsid w:val="0083033B"/>
    <w:rsid w:val="00831028"/>
    <w:rsid w:val="00831594"/>
    <w:rsid w:val="008318AC"/>
    <w:rsid w:val="00831B2B"/>
    <w:rsid w:val="00831C0C"/>
    <w:rsid w:val="00831C3E"/>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6CD4"/>
    <w:rsid w:val="008375FB"/>
    <w:rsid w:val="00837A44"/>
    <w:rsid w:val="00837BB4"/>
    <w:rsid w:val="00837C40"/>
    <w:rsid w:val="00840F6C"/>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7AD"/>
    <w:rsid w:val="00844B6B"/>
    <w:rsid w:val="00844DBD"/>
    <w:rsid w:val="00844F03"/>
    <w:rsid w:val="0084533F"/>
    <w:rsid w:val="008457EB"/>
    <w:rsid w:val="00845E0C"/>
    <w:rsid w:val="00845F98"/>
    <w:rsid w:val="00845FEE"/>
    <w:rsid w:val="0084675D"/>
    <w:rsid w:val="00846838"/>
    <w:rsid w:val="00846BDC"/>
    <w:rsid w:val="00846CC2"/>
    <w:rsid w:val="008471EB"/>
    <w:rsid w:val="00847A08"/>
    <w:rsid w:val="00847A9E"/>
    <w:rsid w:val="00847B55"/>
    <w:rsid w:val="00847F70"/>
    <w:rsid w:val="008504AA"/>
    <w:rsid w:val="0085066F"/>
    <w:rsid w:val="008508B5"/>
    <w:rsid w:val="00850AB7"/>
    <w:rsid w:val="00850F57"/>
    <w:rsid w:val="00850FF6"/>
    <w:rsid w:val="0085128A"/>
    <w:rsid w:val="00851AA5"/>
    <w:rsid w:val="00851DE0"/>
    <w:rsid w:val="00852071"/>
    <w:rsid w:val="00852280"/>
    <w:rsid w:val="0085229B"/>
    <w:rsid w:val="008525B5"/>
    <w:rsid w:val="00852680"/>
    <w:rsid w:val="00852B62"/>
    <w:rsid w:val="00852D16"/>
    <w:rsid w:val="0085342F"/>
    <w:rsid w:val="00853583"/>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2A7"/>
    <w:rsid w:val="00861A61"/>
    <w:rsid w:val="00861D77"/>
    <w:rsid w:val="00862223"/>
    <w:rsid w:val="0086247F"/>
    <w:rsid w:val="008624A3"/>
    <w:rsid w:val="008628AF"/>
    <w:rsid w:val="008629C6"/>
    <w:rsid w:val="00862B39"/>
    <w:rsid w:val="00862BDD"/>
    <w:rsid w:val="00862C9C"/>
    <w:rsid w:val="00862E5D"/>
    <w:rsid w:val="00864385"/>
    <w:rsid w:val="0086497C"/>
    <w:rsid w:val="008652A5"/>
    <w:rsid w:val="00865344"/>
    <w:rsid w:val="008656D3"/>
    <w:rsid w:val="00865787"/>
    <w:rsid w:val="0086579B"/>
    <w:rsid w:val="0086581E"/>
    <w:rsid w:val="00865ACE"/>
    <w:rsid w:val="00865D31"/>
    <w:rsid w:val="00865E1D"/>
    <w:rsid w:val="0086632C"/>
    <w:rsid w:val="0086653F"/>
    <w:rsid w:val="00866D2C"/>
    <w:rsid w:val="00866DA4"/>
    <w:rsid w:val="00866F49"/>
    <w:rsid w:val="008671FC"/>
    <w:rsid w:val="008673F0"/>
    <w:rsid w:val="00867612"/>
    <w:rsid w:val="00867CEB"/>
    <w:rsid w:val="00867FFA"/>
    <w:rsid w:val="00870218"/>
    <w:rsid w:val="0087087C"/>
    <w:rsid w:val="0087098D"/>
    <w:rsid w:val="00872234"/>
    <w:rsid w:val="00872C36"/>
    <w:rsid w:val="00872D93"/>
    <w:rsid w:val="00872F2D"/>
    <w:rsid w:val="00873431"/>
    <w:rsid w:val="0087350B"/>
    <w:rsid w:val="0087378E"/>
    <w:rsid w:val="00873964"/>
    <w:rsid w:val="00873E0E"/>
    <w:rsid w:val="008746D0"/>
    <w:rsid w:val="00874A48"/>
    <w:rsid w:val="00874C1A"/>
    <w:rsid w:val="008753FF"/>
    <w:rsid w:val="008760F6"/>
    <w:rsid w:val="008761B1"/>
    <w:rsid w:val="00876243"/>
    <w:rsid w:val="0087624D"/>
    <w:rsid w:val="00876527"/>
    <w:rsid w:val="0087668D"/>
    <w:rsid w:val="00876A0E"/>
    <w:rsid w:val="00876DD9"/>
    <w:rsid w:val="00876EA8"/>
    <w:rsid w:val="0087755A"/>
    <w:rsid w:val="0087768C"/>
    <w:rsid w:val="008779E9"/>
    <w:rsid w:val="00877AB4"/>
    <w:rsid w:val="00877B84"/>
    <w:rsid w:val="00880111"/>
    <w:rsid w:val="008802DF"/>
    <w:rsid w:val="008809B4"/>
    <w:rsid w:val="00880D36"/>
    <w:rsid w:val="008810B3"/>
    <w:rsid w:val="008815E0"/>
    <w:rsid w:val="00881E7D"/>
    <w:rsid w:val="0088248D"/>
    <w:rsid w:val="00882B64"/>
    <w:rsid w:val="00882F95"/>
    <w:rsid w:val="008838D6"/>
    <w:rsid w:val="00883E3C"/>
    <w:rsid w:val="0088405E"/>
    <w:rsid w:val="00884C8F"/>
    <w:rsid w:val="00884D3F"/>
    <w:rsid w:val="00885E97"/>
    <w:rsid w:val="00885F5D"/>
    <w:rsid w:val="008861E2"/>
    <w:rsid w:val="00886399"/>
    <w:rsid w:val="00886581"/>
    <w:rsid w:val="00886888"/>
    <w:rsid w:val="00886E83"/>
    <w:rsid w:val="00886F42"/>
    <w:rsid w:val="008906E8"/>
    <w:rsid w:val="00890702"/>
    <w:rsid w:val="00890AEE"/>
    <w:rsid w:val="00890C5C"/>
    <w:rsid w:val="00890D5E"/>
    <w:rsid w:val="00890D7B"/>
    <w:rsid w:val="00891061"/>
    <w:rsid w:val="0089115A"/>
    <w:rsid w:val="008912D5"/>
    <w:rsid w:val="008913BB"/>
    <w:rsid w:val="008917F7"/>
    <w:rsid w:val="008917FC"/>
    <w:rsid w:val="00891DD3"/>
    <w:rsid w:val="00892D0F"/>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5FD5"/>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B3F"/>
    <w:rsid w:val="008A4CDA"/>
    <w:rsid w:val="008A58B9"/>
    <w:rsid w:val="008A59AD"/>
    <w:rsid w:val="008A6033"/>
    <w:rsid w:val="008A6CB4"/>
    <w:rsid w:val="008A6D74"/>
    <w:rsid w:val="008A6EB7"/>
    <w:rsid w:val="008A72A3"/>
    <w:rsid w:val="008A7BCE"/>
    <w:rsid w:val="008B0293"/>
    <w:rsid w:val="008B0424"/>
    <w:rsid w:val="008B085F"/>
    <w:rsid w:val="008B0B45"/>
    <w:rsid w:val="008B116B"/>
    <w:rsid w:val="008B13EA"/>
    <w:rsid w:val="008B1403"/>
    <w:rsid w:val="008B14E4"/>
    <w:rsid w:val="008B1597"/>
    <w:rsid w:val="008B15D0"/>
    <w:rsid w:val="008B1881"/>
    <w:rsid w:val="008B1BC0"/>
    <w:rsid w:val="008B1D1A"/>
    <w:rsid w:val="008B1FFA"/>
    <w:rsid w:val="008B2189"/>
    <w:rsid w:val="008B24A4"/>
    <w:rsid w:val="008B28E9"/>
    <w:rsid w:val="008B2C96"/>
    <w:rsid w:val="008B2DFC"/>
    <w:rsid w:val="008B2FBD"/>
    <w:rsid w:val="008B35B1"/>
    <w:rsid w:val="008B4141"/>
    <w:rsid w:val="008B4182"/>
    <w:rsid w:val="008B4F14"/>
    <w:rsid w:val="008B5903"/>
    <w:rsid w:val="008B5AA6"/>
    <w:rsid w:val="008B5AE0"/>
    <w:rsid w:val="008B5DD4"/>
    <w:rsid w:val="008B5DE5"/>
    <w:rsid w:val="008B6739"/>
    <w:rsid w:val="008B6844"/>
    <w:rsid w:val="008B6CEF"/>
    <w:rsid w:val="008B6DC7"/>
    <w:rsid w:val="008B7971"/>
    <w:rsid w:val="008B7C5C"/>
    <w:rsid w:val="008B7FCD"/>
    <w:rsid w:val="008C0549"/>
    <w:rsid w:val="008C1C44"/>
    <w:rsid w:val="008C1C73"/>
    <w:rsid w:val="008C1FAE"/>
    <w:rsid w:val="008C295E"/>
    <w:rsid w:val="008C3084"/>
    <w:rsid w:val="008C3299"/>
    <w:rsid w:val="008C34A4"/>
    <w:rsid w:val="008C3517"/>
    <w:rsid w:val="008C38DD"/>
    <w:rsid w:val="008C3A1C"/>
    <w:rsid w:val="008C4399"/>
    <w:rsid w:val="008C4417"/>
    <w:rsid w:val="008C4B52"/>
    <w:rsid w:val="008C5453"/>
    <w:rsid w:val="008C5567"/>
    <w:rsid w:val="008C5EAD"/>
    <w:rsid w:val="008C5F4C"/>
    <w:rsid w:val="008C6C1C"/>
    <w:rsid w:val="008C6DEF"/>
    <w:rsid w:val="008C7124"/>
    <w:rsid w:val="008C727B"/>
    <w:rsid w:val="008C756B"/>
    <w:rsid w:val="008C75CD"/>
    <w:rsid w:val="008C7CB3"/>
    <w:rsid w:val="008D0084"/>
    <w:rsid w:val="008D04E5"/>
    <w:rsid w:val="008D05B4"/>
    <w:rsid w:val="008D0796"/>
    <w:rsid w:val="008D15DC"/>
    <w:rsid w:val="008D223D"/>
    <w:rsid w:val="008D2358"/>
    <w:rsid w:val="008D244A"/>
    <w:rsid w:val="008D27A4"/>
    <w:rsid w:val="008D29BD"/>
    <w:rsid w:val="008D314E"/>
    <w:rsid w:val="008D31DD"/>
    <w:rsid w:val="008D34C4"/>
    <w:rsid w:val="008D350D"/>
    <w:rsid w:val="008D3966"/>
    <w:rsid w:val="008D3B07"/>
    <w:rsid w:val="008D3C25"/>
    <w:rsid w:val="008D45A6"/>
    <w:rsid w:val="008D4F05"/>
    <w:rsid w:val="008D4F10"/>
    <w:rsid w:val="008D501E"/>
    <w:rsid w:val="008D5832"/>
    <w:rsid w:val="008D58AA"/>
    <w:rsid w:val="008D6061"/>
    <w:rsid w:val="008D6442"/>
    <w:rsid w:val="008D6AC1"/>
    <w:rsid w:val="008D6E22"/>
    <w:rsid w:val="008D6F74"/>
    <w:rsid w:val="008D7037"/>
    <w:rsid w:val="008D705B"/>
    <w:rsid w:val="008D744C"/>
    <w:rsid w:val="008D74EC"/>
    <w:rsid w:val="008D7C27"/>
    <w:rsid w:val="008D7FCB"/>
    <w:rsid w:val="008E0018"/>
    <w:rsid w:val="008E01F4"/>
    <w:rsid w:val="008E0615"/>
    <w:rsid w:val="008E0694"/>
    <w:rsid w:val="008E0AD8"/>
    <w:rsid w:val="008E0D17"/>
    <w:rsid w:val="008E11E0"/>
    <w:rsid w:val="008E1E55"/>
    <w:rsid w:val="008E20E0"/>
    <w:rsid w:val="008E2238"/>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E6D97"/>
    <w:rsid w:val="008E76EF"/>
    <w:rsid w:val="008F0938"/>
    <w:rsid w:val="008F0BE7"/>
    <w:rsid w:val="008F1320"/>
    <w:rsid w:val="008F14A5"/>
    <w:rsid w:val="008F20B1"/>
    <w:rsid w:val="008F28A9"/>
    <w:rsid w:val="008F2AE9"/>
    <w:rsid w:val="008F2CA6"/>
    <w:rsid w:val="008F2E52"/>
    <w:rsid w:val="008F2E93"/>
    <w:rsid w:val="008F2F1D"/>
    <w:rsid w:val="008F3897"/>
    <w:rsid w:val="008F3A21"/>
    <w:rsid w:val="008F3C70"/>
    <w:rsid w:val="008F3E22"/>
    <w:rsid w:val="008F467D"/>
    <w:rsid w:val="008F4744"/>
    <w:rsid w:val="008F4C99"/>
    <w:rsid w:val="008F5229"/>
    <w:rsid w:val="008F545F"/>
    <w:rsid w:val="008F5BEF"/>
    <w:rsid w:val="008F6843"/>
    <w:rsid w:val="008F68CF"/>
    <w:rsid w:val="008F6EEB"/>
    <w:rsid w:val="009002A1"/>
    <w:rsid w:val="00900414"/>
    <w:rsid w:val="00900634"/>
    <w:rsid w:val="00900756"/>
    <w:rsid w:val="0090101F"/>
    <w:rsid w:val="00901440"/>
    <w:rsid w:val="00901696"/>
    <w:rsid w:val="009017A9"/>
    <w:rsid w:val="009019D8"/>
    <w:rsid w:val="009019F1"/>
    <w:rsid w:val="00902503"/>
    <w:rsid w:val="00902656"/>
    <w:rsid w:val="00902915"/>
    <w:rsid w:val="00902ED5"/>
    <w:rsid w:val="00902F44"/>
    <w:rsid w:val="00902FDE"/>
    <w:rsid w:val="009031AF"/>
    <w:rsid w:val="009032CD"/>
    <w:rsid w:val="009032E9"/>
    <w:rsid w:val="00903396"/>
    <w:rsid w:val="00903EA1"/>
    <w:rsid w:val="00904612"/>
    <w:rsid w:val="0090496B"/>
    <w:rsid w:val="009049F7"/>
    <w:rsid w:val="00904D85"/>
    <w:rsid w:val="00904EE2"/>
    <w:rsid w:val="009050B0"/>
    <w:rsid w:val="00905469"/>
    <w:rsid w:val="009056B3"/>
    <w:rsid w:val="0090669D"/>
    <w:rsid w:val="00906828"/>
    <w:rsid w:val="0090742B"/>
    <w:rsid w:val="00907AC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BE"/>
    <w:rsid w:val="009129E8"/>
    <w:rsid w:val="00912B3D"/>
    <w:rsid w:val="00912DD2"/>
    <w:rsid w:val="00912FE0"/>
    <w:rsid w:val="0091314D"/>
    <w:rsid w:val="009135ED"/>
    <w:rsid w:val="00913748"/>
    <w:rsid w:val="009139BB"/>
    <w:rsid w:val="00913E3C"/>
    <w:rsid w:val="00914013"/>
    <w:rsid w:val="009143B2"/>
    <w:rsid w:val="009149A3"/>
    <w:rsid w:val="00915698"/>
    <w:rsid w:val="00915B11"/>
    <w:rsid w:val="00916372"/>
    <w:rsid w:val="0091687A"/>
    <w:rsid w:val="0091729A"/>
    <w:rsid w:val="009174F6"/>
    <w:rsid w:val="00917826"/>
    <w:rsid w:val="00917913"/>
    <w:rsid w:val="00917A26"/>
    <w:rsid w:val="00917A7D"/>
    <w:rsid w:val="00917C4A"/>
    <w:rsid w:val="00917E93"/>
    <w:rsid w:val="00920477"/>
    <w:rsid w:val="0092053F"/>
    <w:rsid w:val="00920F06"/>
    <w:rsid w:val="0092112C"/>
    <w:rsid w:val="0092188C"/>
    <w:rsid w:val="00922136"/>
    <w:rsid w:val="0092248E"/>
    <w:rsid w:val="009229AF"/>
    <w:rsid w:val="00922B2C"/>
    <w:rsid w:val="00922BB0"/>
    <w:rsid w:val="00922C38"/>
    <w:rsid w:val="00922E91"/>
    <w:rsid w:val="00923891"/>
    <w:rsid w:val="00923BCC"/>
    <w:rsid w:val="00924095"/>
    <w:rsid w:val="0092412C"/>
    <w:rsid w:val="009249F9"/>
    <w:rsid w:val="00924CF7"/>
    <w:rsid w:val="00924E41"/>
    <w:rsid w:val="009250FD"/>
    <w:rsid w:val="0092547A"/>
    <w:rsid w:val="00925F78"/>
    <w:rsid w:val="00926518"/>
    <w:rsid w:val="00926820"/>
    <w:rsid w:val="00926A54"/>
    <w:rsid w:val="00926B33"/>
    <w:rsid w:val="00926C5F"/>
    <w:rsid w:val="00926F44"/>
    <w:rsid w:val="009275EC"/>
    <w:rsid w:val="00927DCD"/>
    <w:rsid w:val="0093024B"/>
    <w:rsid w:val="0093044F"/>
    <w:rsid w:val="0093080E"/>
    <w:rsid w:val="00930A85"/>
    <w:rsid w:val="00930ABD"/>
    <w:rsid w:val="00930B6B"/>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49B"/>
    <w:rsid w:val="009376B2"/>
    <w:rsid w:val="00937880"/>
    <w:rsid w:val="00937BEB"/>
    <w:rsid w:val="00937C5B"/>
    <w:rsid w:val="00937E2C"/>
    <w:rsid w:val="00940111"/>
    <w:rsid w:val="009401A9"/>
    <w:rsid w:val="00940AAA"/>
    <w:rsid w:val="00940C01"/>
    <w:rsid w:val="00940CD5"/>
    <w:rsid w:val="00940F12"/>
    <w:rsid w:val="0094114A"/>
    <w:rsid w:val="00941B66"/>
    <w:rsid w:val="00942392"/>
    <w:rsid w:val="00942524"/>
    <w:rsid w:val="00942732"/>
    <w:rsid w:val="00942AA6"/>
    <w:rsid w:val="0094304F"/>
    <w:rsid w:val="00943466"/>
    <w:rsid w:val="00943C77"/>
    <w:rsid w:val="00943D5B"/>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A6F"/>
    <w:rsid w:val="00951B57"/>
    <w:rsid w:val="00951C06"/>
    <w:rsid w:val="00951EA3"/>
    <w:rsid w:val="0095204E"/>
    <w:rsid w:val="009522F6"/>
    <w:rsid w:val="009528F4"/>
    <w:rsid w:val="00953040"/>
    <w:rsid w:val="00953864"/>
    <w:rsid w:val="00953BF0"/>
    <w:rsid w:val="00953E2B"/>
    <w:rsid w:val="009540DD"/>
    <w:rsid w:val="0095418E"/>
    <w:rsid w:val="009543E8"/>
    <w:rsid w:val="0095519B"/>
    <w:rsid w:val="00955B2B"/>
    <w:rsid w:val="009561C0"/>
    <w:rsid w:val="009567EE"/>
    <w:rsid w:val="009569E7"/>
    <w:rsid w:val="00956E0A"/>
    <w:rsid w:val="00957317"/>
    <w:rsid w:val="009576AF"/>
    <w:rsid w:val="009578A6"/>
    <w:rsid w:val="00957C7F"/>
    <w:rsid w:val="00957CA7"/>
    <w:rsid w:val="00957D83"/>
    <w:rsid w:val="009602CB"/>
    <w:rsid w:val="00960BAD"/>
    <w:rsid w:val="00960E07"/>
    <w:rsid w:val="009611B8"/>
    <w:rsid w:val="00961D8A"/>
    <w:rsid w:val="00961E9B"/>
    <w:rsid w:val="00961FF6"/>
    <w:rsid w:val="00962511"/>
    <w:rsid w:val="00962CDC"/>
    <w:rsid w:val="00962F09"/>
    <w:rsid w:val="009633CD"/>
    <w:rsid w:val="00963FA7"/>
    <w:rsid w:val="0096409E"/>
    <w:rsid w:val="00964169"/>
    <w:rsid w:val="00964188"/>
    <w:rsid w:val="00965353"/>
    <w:rsid w:val="00965DF4"/>
    <w:rsid w:val="00965E5E"/>
    <w:rsid w:val="00965F1B"/>
    <w:rsid w:val="00965F52"/>
    <w:rsid w:val="009660D4"/>
    <w:rsid w:val="00966337"/>
    <w:rsid w:val="009663BF"/>
    <w:rsid w:val="0096653F"/>
    <w:rsid w:val="00966F63"/>
    <w:rsid w:val="00966F83"/>
    <w:rsid w:val="00967152"/>
    <w:rsid w:val="0096728B"/>
    <w:rsid w:val="00967614"/>
    <w:rsid w:val="0096765A"/>
    <w:rsid w:val="009676B9"/>
    <w:rsid w:val="0096771C"/>
    <w:rsid w:val="00967842"/>
    <w:rsid w:val="0096787F"/>
    <w:rsid w:val="00967ABA"/>
    <w:rsid w:val="00967E54"/>
    <w:rsid w:val="0097022C"/>
    <w:rsid w:val="009702B0"/>
    <w:rsid w:val="0097065A"/>
    <w:rsid w:val="0097154A"/>
    <w:rsid w:val="009724CE"/>
    <w:rsid w:val="0097287D"/>
    <w:rsid w:val="00972A23"/>
    <w:rsid w:val="00972DA7"/>
    <w:rsid w:val="0097331A"/>
    <w:rsid w:val="00973755"/>
    <w:rsid w:val="00973CCC"/>
    <w:rsid w:val="00973ED1"/>
    <w:rsid w:val="0097402A"/>
    <w:rsid w:val="00974101"/>
    <w:rsid w:val="009741BE"/>
    <w:rsid w:val="00974B98"/>
    <w:rsid w:val="009750AE"/>
    <w:rsid w:val="0097519E"/>
    <w:rsid w:val="00975374"/>
    <w:rsid w:val="009753DD"/>
    <w:rsid w:val="00975912"/>
    <w:rsid w:val="0097592D"/>
    <w:rsid w:val="00975933"/>
    <w:rsid w:val="00975BD3"/>
    <w:rsid w:val="00975DD2"/>
    <w:rsid w:val="00975EAB"/>
    <w:rsid w:val="00975F21"/>
    <w:rsid w:val="0097617E"/>
    <w:rsid w:val="0097652C"/>
    <w:rsid w:val="00976B65"/>
    <w:rsid w:val="0097757E"/>
    <w:rsid w:val="00977614"/>
    <w:rsid w:val="009777C4"/>
    <w:rsid w:val="00977D95"/>
    <w:rsid w:val="0098004F"/>
    <w:rsid w:val="00980307"/>
    <w:rsid w:val="00980850"/>
    <w:rsid w:val="00981325"/>
    <w:rsid w:val="00981423"/>
    <w:rsid w:val="00981748"/>
    <w:rsid w:val="009819D2"/>
    <w:rsid w:val="00981AE9"/>
    <w:rsid w:val="00981E4C"/>
    <w:rsid w:val="0098216F"/>
    <w:rsid w:val="009821D3"/>
    <w:rsid w:val="00982331"/>
    <w:rsid w:val="00982C36"/>
    <w:rsid w:val="00983411"/>
    <w:rsid w:val="00983824"/>
    <w:rsid w:val="00983945"/>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88"/>
    <w:rsid w:val="009905E6"/>
    <w:rsid w:val="00990609"/>
    <w:rsid w:val="00990841"/>
    <w:rsid w:val="00990ADB"/>
    <w:rsid w:val="00990ECE"/>
    <w:rsid w:val="0099113D"/>
    <w:rsid w:val="00991A10"/>
    <w:rsid w:val="00991B1D"/>
    <w:rsid w:val="00991C7F"/>
    <w:rsid w:val="00992489"/>
    <w:rsid w:val="00992575"/>
    <w:rsid w:val="00993002"/>
    <w:rsid w:val="00993A62"/>
    <w:rsid w:val="00993B13"/>
    <w:rsid w:val="0099439D"/>
    <w:rsid w:val="0099440A"/>
    <w:rsid w:val="00994719"/>
    <w:rsid w:val="00994CF0"/>
    <w:rsid w:val="00995BEB"/>
    <w:rsid w:val="00995C86"/>
    <w:rsid w:val="00995C92"/>
    <w:rsid w:val="00995F05"/>
    <w:rsid w:val="00996C82"/>
    <w:rsid w:val="00997646"/>
    <w:rsid w:val="00997728"/>
    <w:rsid w:val="00997922"/>
    <w:rsid w:val="00997CE6"/>
    <w:rsid w:val="00997CFA"/>
    <w:rsid w:val="009A01C8"/>
    <w:rsid w:val="009A0771"/>
    <w:rsid w:val="009A0817"/>
    <w:rsid w:val="009A096C"/>
    <w:rsid w:val="009A0AB5"/>
    <w:rsid w:val="009A0C5C"/>
    <w:rsid w:val="009A0E6F"/>
    <w:rsid w:val="009A10DA"/>
    <w:rsid w:val="009A1A97"/>
    <w:rsid w:val="009A1F50"/>
    <w:rsid w:val="009A20B6"/>
    <w:rsid w:val="009A22E4"/>
    <w:rsid w:val="009A23C8"/>
    <w:rsid w:val="009A2662"/>
    <w:rsid w:val="009A2922"/>
    <w:rsid w:val="009A2AC9"/>
    <w:rsid w:val="009A3056"/>
    <w:rsid w:val="009A3985"/>
    <w:rsid w:val="009A4AB7"/>
    <w:rsid w:val="009A5125"/>
    <w:rsid w:val="009A5AE8"/>
    <w:rsid w:val="009A5B44"/>
    <w:rsid w:val="009A5C09"/>
    <w:rsid w:val="009A5C2F"/>
    <w:rsid w:val="009A606F"/>
    <w:rsid w:val="009A6B1B"/>
    <w:rsid w:val="009A6FAF"/>
    <w:rsid w:val="009A76C5"/>
    <w:rsid w:val="009A7835"/>
    <w:rsid w:val="009A7E16"/>
    <w:rsid w:val="009B00CD"/>
    <w:rsid w:val="009B06C5"/>
    <w:rsid w:val="009B11AC"/>
    <w:rsid w:val="009B147B"/>
    <w:rsid w:val="009B18C3"/>
    <w:rsid w:val="009B2D01"/>
    <w:rsid w:val="009B3DD5"/>
    <w:rsid w:val="009B42E8"/>
    <w:rsid w:val="009B4401"/>
    <w:rsid w:val="009B4649"/>
    <w:rsid w:val="009B4FC2"/>
    <w:rsid w:val="009B5339"/>
    <w:rsid w:val="009B54AB"/>
    <w:rsid w:val="009B59C7"/>
    <w:rsid w:val="009B5ECA"/>
    <w:rsid w:val="009B66C4"/>
    <w:rsid w:val="009B6709"/>
    <w:rsid w:val="009B673C"/>
    <w:rsid w:val="009B69DB"/>
    <w:rsid w:val="009B6BB1"/>
    <w:rsid w:val="009B6C5A"/>
    <w:rsid w:val="009B6E6E"/>
    <w:rsid w:val="009B7C76"/>
    <w:rsid w:val="009C04A7"/>
    <w:rsid w:val="009C0845"/>
    <w:rsid w:val="009C087B"/>
    <w:rsid w:val="009C13A2"/>
    <w:rsid w:val="009C141D"/>
    <w:rsid w:val="009C1E16"/>
    <w:rsid w:val="009C297B"/>
    <w:rsid w:val="009C2CF6"/>
    <w:rsid w:val="009C30D3"/>
    <w:rsid w:val="009C368C"/>
    <w:rsid w:val="009C3824"/>
    <w:rsid w:val="009C4063"/>
    <w:rsid w:val="009C409F"/>
    <w:rsid w:val="009C49D8"/>
    <w:rsid w:val="009C505F"/>
    <w:rsid w:val="009C5192"/>
    <w:rsid w:val="009C57A6"/>
    <w:rsid w:val="009C57B5"/>
    <w:rsid w:val="009C59DA"/>
    <w:rsid w:val="009C5EA3"/>
    <w:rsid w:val="009C6520"/>
    <w:rsid w:val="009C6CD9"/>
    <w:rsid w:val="009C6E3D"/>
    <w:rsid w:val="009C713C"/>
    <w:rsid w:val="009C7A55"/>
    <w:rsid w:val="009C7C11"/>
    <w:rsid w:val="009C7CB6"/>
    <w:rsid w:val="009C7F51"/>
    <w:rsid w:val="009D0666"/>
    <w:rsid w:val="009D0774"/>
    <w:rsid w:val="009D1896"/>
    <w:rsid w:val="009D1CD7"/>
    <w:rsid w:val="009D23F4"/>
    <w:rsid w:val="009D25C3"/>
    <w:rsid w:val="009D2820"/>
    <w:rsid w:val="009D2862"/>
    <w:rsid w:val="009D2BE0"/>
    <w:rsid w:val="009D3401"/>
    <w:rsid w:val="009D41F4"/>
    <w:rsid w:val="009D423C"/>
    <w:rsid w:val="009D42EB"/>
    <w:rsid w:val="009D484B"/>
    <w:rsid w:val="009D4C13"/>
    <w:rsid w:val="009D51DC"/>
    <w:rsid w:val="009D534F"/>
    <w:rsid w:val="009D57E5"/>
    <w:rsid w:val="009D5FFA"/>
    <w:rsid w:val="009D668A"/>
    <w:rsid w:val="009D66B5"/>
    <w:rsid w:val="009D6DA7"/>
    <w:rsid w:val="009D7411"/>
    <w:rsid w:val="009D7469"/>
    <w:rsid w:val="009D7489"/>
    <w:rsid w:val="009D77CF"/>
    <w:rsid w:val="009E0506"/>
    <w:rsid w:val="009E151D"/>
    <w:rsid w:val="009E1549"/>
    <w:rsid w:val="009E2A7B"/>
    <w:rsid w:val="009E309C"/>
    <w:rsid w:val="009E3184"/>
    <w:rsid w:val="009E3611"/>
    <w:rsid w:val="009E36AA"/>
    <w:rsid w:val="009E38C0"/>
    <w:rsid w:val="009E398C"/>
    <w:rsid w:val="009E4115"/>
    <w:rsid w:val="009E449B"/>
    <w:rsid w:val="009E44BA"/>
    <w:rsid w:val="009E45B0"/>
    <w:rsid w:val="009E47BE"/>
    <w:rsid w:val="009E4F1B"/>
    <w:rsid w:val="009E510E"/>
    <w:rsid w:val="009E6485"/>
    <w:rsid w:val="009E747F"/>
    <w:rsid w:val="009E74A3"/>
    <w:rsid w:val="009E7A07"/>
    <w:rsid w:val="009E7C13"/>
    <w:rsid w:val="009E7E77"/>
    <w:rsid w:val="009F0607"/>
    <w:rsid w:val="009F09A0"/>
    <w:rsid w:val="009F11D7"/>
    <w:rsid w:val="009F1427"/>
    <w:rsid w:val="009F2037"/>
    <w:rsid w:val="009F22FF"/>
    <w:rsid w:val="009F241C"/>
    <w:rsid w:val="009F275E"/>
    <w:rsid w:val="009F2A16"/>
    <w:rsid w:val="009F325D"/>
    <w:rsid w:val="009F3288"/>
    <w:rsid w:val="009F3783"/>
    <w:rsid w:val="009F39F1"/>
    <w:rsid w:val="009F3C20"/>
    <w:rsid w:val="009F3ED9"/>
    <w:rsid w:val="009F3FC5"/>
    <w:rsid w:val="009F40CE"/>
    <w:rsid w:val="009F43E8"/>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2DB"/>
    <w:rsid w:val="00A043A8"/>
    <w:rsid w:val="00A04607"/>
    <w:rsid w:val="00A049EF"/>
    <w:rsid w:val="00A0528C"/>
    <w:rsid w:val="00A05327"/>
    <w:rsid w:val="00A05790"/>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2DA9"/>
    <w:rsid w:val="00A134CC"/>
    <w:rsid w:val="00A13B86"/>
    <w:rsid w:val="00A1449B"/>
    <w:rsid w:val="00A14757"/>
    <w:rsid w:val="00A14F81"/>
    <w:rsid w:val="00A156B6"/>
    <w:rsid w:val="00A15A12"/>
    <w:rsid w:val="00A163B6"/>
    <w:rsid w:val="00A16562"/>
    <w:rsid w:val="00A16B49"/>
    <w:rsid w:val="00A174BB"/>
    <w:rsid w:val="00A175C0"/>
    <w:rsid w:val="00A17898"/>
    <w:rsid w:val="00A17DE4"/>
    <w:rsid w:val="00A17F55"/>
    <w:rsid w:val="00A20056"/>
    <w:rsid w:val="00A204A1"/>
    <w:rsid w:val="00A2053E"/>
    <w:rsid w:val="00A20A16"/>
    <w:rsid w:val="00A214D3"/>
    <w:rsid w:val="00A21606"/>
    <w:rsid w:val="00A21819"/>
    <w:rsid w:val="00A21B7A"/>
    <w:rsid w:val="00A22686"/>
    <w:rsid w:val="00A22C0F"/>
    <w:rsid w:val="00A230D0"/>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57E"/>
    <w:rsid w:val="00A2779D"/>
    <w:rsid w:val="00A27B6D"/>
    <w:rsid w:val="00A27F6F"/>
    <w:rsid w:val="00A308F9"/>
    <w:rsid w:val="00A30D0F"/>
    <w:rsid w:val="00A30D59"/>
    <w:rsid w:val="00A30E71"/>
    <w:rsid w:val="00A310E7"/>
    <w:rsid w:val="00A3110A"/>
    <w:rsid w:val="00A311F9"/>
    <w:rsid w:val="00A313AF"/>
    <w:rsid w:val="00A31B59"/>
    <w:rsid w:val="00A32253"/>
    <w:rsid w:val="00A32657"/>
    <w:rsid w:val="00A32ADF"/>
    <w:rsid w:val="00A32FF7"/>
    <w:rsid w:val="00A33540"/>
    <w:rsid w:val="00A33E0B"/>
    <w:rsid w:val="00A34014"/>
    <w:rsid w:val="00A3404D"/>
    <w:rsid w:val="00A345BB"/>
    <w:rsid w:val="00A3478D"/>
    <w:rsid w:val="00A3497C"/>
    <w:rsid w:val="00A34DA6"/>
    <w:rsid w:val="00A34DE5"/>
    <w:rsid w:val="00A34E61"/>
    <w:rsid w:val="00A35134"/>
    <w:rsid w:val="00A35236"/>
    <w:rsid w:val="00A356FF"/>
    <w:rsid w:val="00A35C45"/>
    <w:rsid w:val="00A36DF6"/>
    <w:rsid w:val="00A370D0"/>
    <w:rsid w:val="00A37809"/>
    <w:rsid w:val="00A37AC1"/>
    <w:rsid w:val="00A37C94"/>
    <w:rsid w:val="00A37CEB"/>
    <w:rsid w:val="00A40523"/>
    <w:rsid w:val="00A4054C"/>
    <w:rsid w:val="00A40569"/>
    <w:rsid w:val="00A40B5F"/>
    <w:rsid w:val="00A40E87"/>
    <w:rsid w:val="00A4171C"/>
    <w:rsid w:val="00A41904"/>
    <w:rsid w:val="00A41A67"/>
    <w:rsid w:val="00A41B8C"/>
    <w:rsid w:val="00A41E41"/>
    <w:rsid w:val="00A4214C"/>
    <w:rsid w:val="00A42328"/>
    <w:rsid w:val="00A4396D"/>
    <w:rsid w:val="00A4434C"/>
    <w:rsid w:val="00A4454B"/>
    <w:rsid w:val="00A44874"/>
    <w:rsid w:val="00A44AC1"/>
    <w:rsid w:val="00A44FA8"/>
    <w:rsid w:val="00A45703"/>
    <w:rsid w:val="00A457DD"/>
    <w:rsid w:val="00A45BEF"/>
    <w:rsid w:val="00A46350"/>
    <w:rsid w:val="00A46577"/>
    <w:rsid w:val="00A46629"/>
    <w:rsid w:val="00A46B49"/>
    <w:rsid w:val="00A473F2"/>
    <w:rsid w:val="00A47415"/>
    <w:rsid w:val="00A47B9B"/>
    <w:rsid w:val="00A505A9"/>
    <w:rsid w:val="00A50895"/>
    <w:rsid w:val="00A5099D"/>
    <w:rsid w:val="00A50EF7"/>
    <w:rsid w:val="00A51219"/>
    <w:rsid w:val="00A52342"/>
    <w:rsid w:val="00A52563"/>
    <w:rsid w:val="00A525B4"/>
    <w:rsid w:val="00A52DAD"/>
    <w:rsid w:val="00A52DDB"/>
    <w:rsid w:val="00A52E32"/>
    <w:rsid w:val="00A53725"/>
    <w:rsid w:val="00A537C1"/>
    <w:rsid w:val="00A53AD4"/>
    <w:rsid w:val="00A53FE7"/>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1C"/>
    <w:rsid w:val="00A62036"/>
    <w:rsid w:val="00A628F1"/>
    <w:rsid w:val="00A62A21"/>
    <w:rsid w:val="00A62FA1"/>
    <w:rsid w:val="00A6320B"/>
    <w:rsid w:val="00A63372"/>
    <w:rsid w:val="00A63685"/>
    <w:rsid w:val="00A6391F"/>
    <w:rsid w:val="00A63AD5"/>
    <w:rsid w:val="00A64CC8"/>
    <w:rsid w:val="00A65045"/>
    <w:rsid w:val="00A65274"/>
    <w:rsid w:val="00A654BD"/>
    <w:rsid w:val="00A6591D"/>
    <w:rsid w:val="00A65CE8"/>
    <w:rsid w:val="00A65F48"/>
    <w:rsid w:val="00A66068"/>
    <w:rsid w:val="00A66E1A"/>
    <w:rsid w:val="00A66EEA"/>
    <w:rsid w:val="00A672A0"/>
    <w:rsid w:val="00A701D8"/>
    <w:rsid w:val="00A7020C"/>
    <w:rsid w:val="00A702DD"/>
    <w:rsid w:val="00A7053C"/>
    <w:rsid w:val="00A71829"/>
    <w:rsid w:val="00A71983"/>
    <w:rsid w:val="00A71B41"/>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37"/>
    <w:rsid w:val="00A77953"/>
    <w:rsid w:val="00A804BB"/>
    <w:rsid w:val="00A807CC"/>
    <w:rsid w:val="00A80EE5"/>
    <w:rsid w:val="00A813AE"/>
    <w:rsid w:val="00A81ADD"/>
    <w:rsid w:val="00A81CE8"/>
    <w:rsid w:val="00A81FC6"/>
    <w:rsid w:val="00A831B0"/>
    <w:rsid w:val="00A83233"/>
    <w:rsid w:val="00A838D7"/>
    <w:rsid w:val="00A83A12"/>
    <w:rsid w:val="00A83AB7"/>
    <w:rsid w:val="00A842FB"/>
    <w:rsid w:val="00A84943"/>
    <w:rsid w:val="00A84BDD"/>
    <w:rsid w:val="00A84F3F"/>
    <w:rsid w:val="00A850BE"/>
    <w:rsid w:val="00A85209"/>
    <w:rsid w:val="00A86035"/>
    <w:rsid w:val="00A86288"/>
    <w:rsid w:val="00A86CBB"/>
    <w:rsid w:val="00A8700E"/>
    <w:rsid w:val="00A87511"/>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7A"/>
    <w:rsid w:val="00A9339E"/>
    <w:rsid w:val="00A93504"/>
    <w:rsid w:val="00A93D64"/>
    <w:rsid w:val="00A944CB"/>
    <w:rsid w:val="00A94652"/>
    <w:rsid w:val="00A946CF"/>
    <w:rsid w:val="00A946D4"/>
    <w:rsid w:val="00A9489A"/>
    <w:rsid w:val="00A948C2"/>
    <w:rsid w:val="00A94A5B"/>
    <w:rsid w:val="00A94D7F"/>
    <w:rsid w:val="00A94EA6"/>
    <w:rsid w:val="00A950A2"/>
    <w:rsid w:val="00A95832"/>
    <w:rsid w:val="00A95EFD"/>
    <w:rsid w:val="00A96435"/>
    <w:rsid w:val="00A966F9"/>
    <w:rsid w:val="00A967F3"/>
    <w:rsid w:val="00A969BA"/>
    <w:rsid w:val="00A96F85"/>
    <w:rsid w:val="00A9799E"/>
    <w:rsid w:val="00A97FDE"/>
    <w:rsid w:val="00AA02B5"/>
    <w:rsid w:val="00AA0689"/>
    <w:rsid w:val="00AA07FA"/>
    <w:rsid w:val="00AA08D3"/>
    <w:rsid w:val="00AA13FE"/>
    <w:rsid w:val="00AA18E4"/>
    <w:rsid w:val="00AA1B8D"/>
    <w:rsid w:val="00AA29C6"/>
    <w:rsid w:val="00AA2FF2"/>
    <w:rsid w:val="00AA3288"/>
    <w:rsid w:val="00AA37A3"/>
    <w:rsid w:val="00AA3B6C"/>
    <w:rsid w:val="00AA3E9A"/>
    <w:rsid w:val="00AA444C"/>
    <w:rsid w:val="00AA46AF"/>
    <w:rsid w:val="00AA4AA7"/>
    <w:rsid w:val="00AA4B5D"/>
    <w:rsid w:val="00AA5729"/>
    <w:rsid w:val="00AA6CA0"/>
    <w:rsid w:val="00AA737C"/>
    <w:rsid w:val="00AA746A"/>
    <w:rsid w:val="00AA7483"/>
    <w:rsid w:val="00AA7CB8"/>
    <w:rsid w:val="00AA7E88"/>
    <w:rsid w:val="00AB151E"/>
    <w:rsid w:val="00AB1799"/>
    <w:rsid w:val="00AB1A4A"/>
    <w:rsid w:val="00AB255D"/>
    <w:rsid w:val="00AB26E0"/>
    <w:rsid w:val="00AB285F"/>
    <w:rsid w:val="00AB2DA8"/>
    <w:rsid w:val="00AB30AB"/>
    <w:rsid w:val="00AB32D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6FF"/>
    <w:rsid w:val="00AB6A73"/>
    <w:rsid w:val="00AB6AB5"/>
    <w:rsid w:val="00AB6F42"/>
    <w:rsid w:val="00AB757E"/>
    <w:rsid w:val="00AB796F"/>
    <w:rsid w:val="00AB79D2"/>
    <w:rsid w:val="00AC060D"/>
    <w:rsid w:val="00AC0708"/>
    <w:rsid w:val="00AC0AF6"/>
    <w:rsid w:val="00AC1596"/>
    <w:rsid w:val="00AC1A41"/>
    <w:rsid w:val="00AC1EAB"/>
    <w:rsid w:val="00AC1FF7"/>
    <w:rsid w:val="00AC256D"/>
    <w:rsid w:val="00AC2B3E"/>
    <w:rsid w:val="00AC2CC0"/>
    <w:rsid w:val="00AC35BC"/>
    <w:rsid w:val="00AC3C76"/>
    <w:rsid w:val="00AC484A"/>
    <w:rsid w:val="00AC49C1"/>
    <w:rsid w:val="00AC4C87"/>
    <w:rsid w:val="00AC5136"/>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A00"/>
    <w:rsid w:val="00AD3DC4"/>
    <w:rsid w:val="00AD4025"/>
    <w:rsid w:val="00AD4216"/>
    <w:rsid w:val="00AD4F66"/>
    <w:rsid w:val="00AD55B9"/>
    <w:rsid w:val="00AD577F"/>
    <w:rsid w:val="00AD5A65"/>
    <w:rsid w:val="00AD5D61"/>
    <w:rsid w:val="00AD5E1A"/>
    <w:rsid w:val="00AD5EA7"/>
    <w:rsid w:val="00AD626B"/>
    <w:rsid w:val="00AD6948"/>
    <w:rsid w:val="00AD703F"/>
    <w:rsid w:val="00AD7377"/>
    <w:rsid w:val="00AE02C7"/>
    <w:rsid w:val="00AE039D"/>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5A9"/>
    <w:rsid w:val="00AE4A57"/>
    <w:rsid w:val="00AE4A86"/>
    <w:rsid w:val="00AE4DA2"/>
    <w:rsid w:val="00AE5493"/>
    <w:rsid w:val="00AE551E"/>
    <w:rsid w:val="00AE58C8"/>
    <w:rsid w:val="00AE5BA5"/>
    <w:rsid w:val="00AE5C90"/>
    <w:rsid w:val="00AE6181"/>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1B"/>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8BC"/>
    <w:rsid w:val="00B03A44"/>
    <w:rsid w:val="00B041EC"/>
    <w:rsid w:val="00B042A5"/>
    <w:rsid w:val="00B04384"/>
    <w:rsid w:val="00B051C4"/>
    <w:rsid w:val="00B05705"/>
    <w:rsid w:val="00B058C0"/>
    <w:rsid w:val="00B06E43"/>
    <w:rsid w:val="00B078E8"/>
    <w:rsid w:val="00B07A35"/>
    <w:rsid w:val="00B07C69"/>
    <w:rsid w:val="00B07D99"/>
    <w:rsid w:val="00B1006D"/>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A1E"/>
    <w:rsid w:val="00B14B56"/>
    <w:rsid w:val="00B14C39"/>
    <w:rsid w:val="00B1524D"/>
    <w:rsid w:val="00B1589A"/>
    <w:rsid w:val="00B15956"/>
    <w:rsid w:val="00B15E83"/>
    <w:rsid w:val="00B165E2"/>
    <w:rsid w:val="00B16800"/>
    <w:rsid w:val="00B16CB0"/>
    <w:rsid w:val="00B16EB5"/>
    <w:rsid w:val="00B17148"/>
    <w:rsid w:val="00B17AC2"/>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22"/>
    <w:rsid w:val="00B25AD2"/>
    <w:rsid w:val="00B2633A"/>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A3B"/>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265"/>
    <w:rsid w:val="00B3739F"/>
    <w:rsid w:val="00B373BF"/>
    <w:rsid w:val="00B37494"/>
    <w:rsid w:val="00B37539"/>
    <w:rsid w:val="00B37E31"/>
    <w:rsid w:val="00B37EA7"/>
    <w:rsid w:val="00B40302"/>
    <w:rsid w:val="00B40307"/>
    <w:rsid w:val="00B4065E"/>
    <w:rsid w:val="00B40981"/>
    <w:rsid w:val="00B409C7"/>
    <w:rsid w:val="00B41261"/>
    <w:rsid w:val="00B414C2"/>
    <w:rsid w:val="00B4174D"/>
    <w:rsid w:val="00B41A43"/>
    <w:rsid w:val="00B42D76"/>
    <w:rsid w:val="00B431EB"/>
    <w:rsid w:val="00B432C9"/>
    <w:rsid w:val="00B433DD"/>
    <w:rsid w:val="00B43AF3"/>
    <w:rsid w:val="00B43BDF"/>
    <w:rsid w:val="00B441B9"/>
    <w:rsid w:val="00B44C63"/>
    <w:rsid w:val="00B4516C"/>
    <w:rsid w:val="00B45A3C"/>
    <w:rsid w:val="00B4601E"/>
    <w:rsid w:val="00B46B56"/>
    <w:rsid w:val="00B46BBD"/>
    <w:rsid w:val="00B471F9"/>
    <w:rsid w:val="00B476E0"/>
    <w:rsid w:val="00B50992"/>
    <w:rsid w:val="00B50DD7"/>
    <w:rsid w:val="00B51142"/>
    <w:rsid w:val="00B51173"/>
    <w:rsid w:val="00B51649"/>
    <w:rsid w:val="00B51849"/>
    <w:rsid w:val="00B52602"/>
    <w:rsid w:val="00B526E6"/>
    <w:rsid w:val="00B52958"/>
    <w:rsid w:val="00B52993"/>
    <w:rsid w:val="00B52B62"/>
    <w:rsid w:val="00B52B86"/>
    <w:rsid w:val="00B52D18"/>
    <w:rsid w:val="00B53204"/>
    <w:rsid w:val="00B53649"/>
    <w:rsid w:val="00B53680"/>
    <w:rsid w:val="00B53BB5"/>
    <w:rsid w:val="00B53CAD"/>
    <w:rsid w:val="00B53D90"/>
    <w:rsid w:val="00B543BF"/>
    <w:rsid w:val="00B545DD"/>
    <w:rsid w:val="00B54727"/>
    <w:rsid w:val="00B54910"/>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3D1"/>
    <w:rsid w:val="00B63E81"/>
    <w:rsid w:val="00B6414F"/>
    <w:rsid w:val="00B643E6"/>
    <w:rsid w:val="00B6443F"/>
    <w:rsid w:val="00B6469C"/>
    <w:rsid w:val="00B6486C"/>
    <w:rsid w:val="00B648B7"/>
    <w:rsid w:val="00B64D60"/>
    <w:rsid w:val="00B64EF2"/>
    <w:rsid w:val="00B65324"/>
    <w:rsid w:val="00B65C17"/>
    <w:rsid w:val="00B65FC5"/>
    <w:rsid w:val="00B66202"/>
    <w:rsid w:val="00B663C8"/>
    <w:rsid w:val="00B66F90"/>
    <w:rsid w:val="00B6736F"/>
    <w:rsid w:val="00B6737E"/>
    <w:rsid w:val="00B6743F"/>
    <w:rsid w:val="00B674D9"/>
    <w:rsid w:val="00B67963"/>
    <w:rsid w:val="00B67E6E"/>
    <w:rsid w:val="00B702BD"/>
    <w:rsid w:val="00B70C02"/>
    <w:rsid w:val="00B7189C"/>
    <w:rsid w:val="00B7196C"/>
    <w:rsid w:val="00B71BBB"/>
    <w:rsid w:val="00B72033"/>
    <w:rsid w:val="00B722F8"/>
    <w:rsid w:val="00B724DA"/>
    <w:rsid w:val="00B72CAD"/>
    <w:rsid w:val="00B72DF7"/>
    <w:rsid w:val="00B72FDF"/>
    <w:rsid w:val="00B731E0"/>
    <w:rsid w:val="00B73838"/>
    <w:rsid w:val="00B73A44"/>
    <w:rsid w:val="00B746FA"/>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1853"/>
    <w:rsid w:val="00B82071"/>
    <w:rsid w:val="00B84A18"/>
    <w:rsid w:val="00B85977"/>
    <w:rsid w:val="00B85EC8"/>
    <w:rsid w:val="00B86DFA"/>
    <w:rsid w:val="00B87267"/>
    <w:rsid w:val="00B873E4"/>
    <w:rsid w:val="00B8774F"/>
    <w:rsid w:val="00B87DD0"/>
    <w:rsid w:val="00B90DF4"/>
    <w:rsid w:val="00B91324"/>
    <w:rsid w:val="00B918D2"/>
    <w:rsid w:val="00B91957"/>
    <w:rsid w:val="00B91BF3"/>
    <w:rsid w:val="00B91F11"/>
    <w:rsid w:val="00B9217F"/>
    <w:rsid w:val="00B92236"/>
    <w:rsid w:val="00B92996"/>
    <w:rsid w:val="00B930BA"/>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A6F"/>
    <w:rsid w:val="00BA0DE8"/>
    <w:rsid w:val="00BA13CA"/>
    <w:rsid w:val="00BA1616"/>
    <w:rsid w:val="00BA173D"/>
    <w:rsid w:val="00BA1D60"/>
    <w:rsid w:val="00BA1F09"/>
    <w:rsid w:val="00BA2650"/>
    <w:rsid w:val="00BA26D3"/>
    <w:rsid w:val="00BA287F"/>
    <w:rsid w:val="00BA2975"/>
    <w:rsid w:val="00BA2A1E"/>
    <w:rsid w:val="00BA2F53"/>
    <w:rsid w:val="00BA4390"/>
    <w:rsid w:val="00BA4619"/>
    <w:rsid w:val="00BA486D"/>
    <w:rsid w:val="00BA559F"/>
    <w:rsid w:val="00BA5763"/>
    <w:rsid w:val="00BA5B17"/>
    <w:rsid w:val="00BA5DD9"/>
    <w:rsid w:val="00BA6C87"/>
    <w:rsid w:val="00BA710A"/>
    <w:rsid w:val="00BA7538"/>
    <w:rsid w:val="00BA7556"/>
    <w:rsid w:val="00BA766E"/>
    <w:rsid w:val="00BA7CBE"/>
    <w:rsid w:val="00BA7EC2"/>
    <w:rsid w:val="00BA7EEB"/>
    <w:rsid w:val="00BA7F8F"/>
    <w:rsid w:val="00BB05CA"/>
    <w:rsid w:val="00BB0798"/>
    <w:rsid w:val="00BB0930"/>
    <w:rsid w:val="00BB0A6B"/>
    <w:rsid w:val="00BB10E1"/>
    <w:rsid w:val="00BB1349"/>
    <w:rsid w:val="00BB135B"/>
    <w:rsid w:val="00BB140D"/>
    <w:rsid w:val="00BB1425"/>
    <w:rsid w:val="00BB1675"/>
    <w:rsid w:val="00BB2208"/>
    <w:rsid w:val="00BB283E"/>
    <w:rsid w:val="00BB2EE5"/>
    <w:rsid w:val="00BB2F5D"/>
    <w:rsid w:val="00BB3173"/>
    <w:rsid w:val="00BB31E0"/>
    <w:rsid w:val="00BB390A"/>
    <w:rsid w:val="00BB3CDA"/>
    <w:rsid w:val="00BB510A"/>
    <w:rsid w:val="00BB5243"/>
    <w:rsid w:val="00BB556C"/>
    <w:rsid w:val="00BB55EE"/>
    <w:rsid w:val="00BB5D24"/>
    <w:rsid w:val="00BB5E58"/>
    <w:rsid w:val="00BB600F"/>
    <w:rsid w:val="00BB6424"/>
    <w:rsid w:val="00BB64B7"/>
    <w:rsid w:val="00BB65D9"/>
    <w:rsid w:val="00BB6D92"/>
    <w:rsid w:val="00BB6ED6"/>
    <w:rsid w:val="00BB70B9"/>
    <w:rsid w:val="00BB75B5"/>
    <w:rsid w:val="00BB7D87"/>
    <w:rsid w:val="00BB7E84"/>
    <w:rsid w:val="00BC06B9"/>
    <w:rsid w:val="00BC0AD0"/>
    <w:rsid w:val="00BC0E35"/>
    <w:rsid w:val="00BC0FC6"/>
    <w:rsid w:val="00BC1BB0"/>
    <w:rsid w:val="00BC1E19"/>
    <w:rsid w:val="00BC2409"/>
    <w:rsid w:val="00BC24C9"/>
    <w:rsid w:val="00BC3556"/>
    <w:rsid w:val="00BC380B"/>
    <w:rsid w:val="00BC39F4"/>
    <w:rsid w:val="00BC3D45"/>
    <w:rsid w:val="00BC3E66"/>
    <w:rsid w:val="00BC3E92"/>
    <w:rsid w:val="00BC4021"/>
    <w:rsid w:val="00BC4066"/>
    <w:rsid w:val="00BC450E"/>
    <w:rsid w:val="00BC4D85"/>
    <w:rsid w:val="00BC4F4D"/>
    <w:rsid w:val="00BC52C1"/>
    <w:rsid w:val="00BC531B"/>
    <w:rsid w:val="00BC548B"/>
    <w:rsid w:val="00BC604C"/>
    <w:rsid w:val="00BC6C96"/>
    <w:rsid w:val="00BC71C9"/>
    <w:rsid w:val="00BC738A"/>
    <w:rsid w:val="00BC7A4E"/>
    <w:rsid w:val="00BD0769"/>
    <w:rsid w:val="00BD0887"/>
    <w:rsid w:val="00BD0AB1"/>
    <w:rsid w:val="00BD0DE7"/>
    <w:rsid w:val="00BD10EC"/>
    <w:rsid w:val="00BD214B"/>
    <w:rsid w:val="00BD21AB"/>
    <w:rsid w:val="00BD3335"/>
    <w:rsid w:val="00BD378A"/>
    <w:rsid w:val="00BD3C52"/>
    <w:rsid w:val="00BD3FEF"/>
    <w:rsid w:val="00BD43D6"/>
    <w:rsid w:val="00BD4538"/>
    <w:rsid w:val="00BD4965"/>
    <w:rsid w:val="00BD4B75"/>
    <w:rsid w:val="00BD4DE8"/>
    <w:rsid w:val="00BD5521"/>
    <w:rsid w:val="00BD5A84"/>
    <w:rsid w:val="00BD68FF"/>
    <w:rsid w:val="00BD6D40"/>
    <w:rsid w:val="00BD7056"/>
    <w:rsid w:val="00BD71D7"/>
    <w:rsid w:val="00BD7214"/>
    <w:rsid w:val="00BD7348"/>
    <w:rsid w:val="00BD7B25"/>
    <w:rsid w:val="00BD7DCB"/>
    <w:rsid w:val="00BE0354"/>
    <w:rsid w:val="00BE052B"/>
    <w:rsid w:val="00BE08A8"/>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84F"/>
    <w:rsid w:val="00BE690B"/>
    <w:rsid w:val="00BE7226"/>
    <w:rsid w:val="00BE739E"/>
    <w:rsid w:val="00BE743B"/>
    <w:rsid w:val="00BE76E4"/>
    <w:rsid w:val="00BE7D09"/>
    <w:rsid w:val="00BE7D4F"/>
    <w:rsid w:val="00BF0725"/>
    <w:rsid w:val="00BF0B88"/>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411"/>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0E8C"/>
    <w:rsid w:val="00C01DFC"/>
    <w:rsid w:val="00C01F56"/>
    <w:rsid w:val="00C023E3"/>
    <w:rsid w:val="00C025CE"/>
    <w:rsid w:val="00C02ADC"/>
    <w:rsid w:val="00C02EA8"/>
    <w:rsid w:val="00C02F48"/>
    <w:rsid w:val="00C02FBA"/>
    <w:rsid w:val="00C034FA"/>
    <w:rsid w:val="00C03877"/>
    <w:rsid w:val="00C038A1"/>
    <w:rsid w:val="00C03A74"/>
    <w:rsid w:val="00C03B25"/>
    <w:rsid w:val="00C03B6D"/>
    <w:rsid w:val="00C03DFD"/>
    <w:rsid w:val="00C04493"/>
    <w:rsid w:val="00C048AD"/>
    <w:rsid w:val="00C04D3F"/>
    <w:rsid w:val="00C04E3E"/>
    <w:rsid w:val="00C0501C"/>
    <w:rsid w:val="00C05047"/>
    <w:rsid w:val="00C055FB"/>
    <w:rsid w:val="00C057CC"/>
    <w:rsid w:val="00C0584B"/>
    <w:rsid w:val="00C059EE"/>
    <w:rsid w:val="00C05A3B"/>
    <w:rsid w:val="00C06025"/>
    <w:rsid w:val="00C0608C"/>
    <w:rsid w:val="00C06333"/>
    <w:rsid w:val="00C0687D"/>
    <w:rsid w:val="00C06A1A"/>
    <w:rsid w:val="00C06DC6"/>
    <w:rsid w:val="00C06FDD"/>
    <w:rsid w:val="00C07DF9"/>
    <w:rsid w:val="00C103CB"/>
    <w:rsid w:val="00C10621"/>
    <w:rsid w:val="00C1091A"/>
    <w:rsid w:val="00C10C3D"/>
    <w:rsid w:val="00C11047"/>
    <w:rsid w:val="00C11197"/>
    <w:rsid w:val="00C11815"/>
    <w:rsid w:val="00C11A34"/>
    <w:rsid w:val="00C11F12"/>
    <w:rsid w:val="00C1213F"/>
    <w:rsid w:val="00C125EC"/>
    <w:rsid w:val="00C12872"/>
    <w:rsid w:val="00C12951"/>
    <w:rsid w:val="00C136F1"/>
    <w:rsid w:val="00C13F79"/>
    <w:rsid w:val="00C14129"/>
    <w:rsid w:val="00C146F2"/>
    <w:rsid w:val="00C14859"/>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4E"/>
    <w:rsid w:val="00C212AE"/>
    <w:rsid w:val="00C214F1"/>
    <w:rsid w:val="00C21B13"/>
    <w:rsid w:val="00C21E89"/>
    <w:rsid w:val="00C221EE"/>
    <w:rsid w:val="00C221FA"/>
    <w:rsid w:val="00C22916"/>
    <w:rsid w:val="00C22DA9"/>
    <w:rsid w:val="00C235FF"/>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D1C"/>
    <w:rsid w:val="00C26FBD"/>
    <w:rsid w:val="00C2736D"/>
    <w:rsid w:val="00C27772"/>
    <w:rsid w:val="00C277BD"/>
    <w:rsid w:val="00C277F0"/>
    <w:rsid w:val="00C3065B"/>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4C3E"/>
    <w:rsid w:val="00C350D7"/>
    <w:rsid w:val="00C35C92"/>
    <w:rsid w:val="00C35D8F"/>
    <w:rsid w:val="00C35E79"/>
    <w:rsid w:val="00C35EDE"/>
    <w:rsid w:val="00C36637"/>
    <w:rsid w:val="00C36845"/>
    <w:rsid w:val="00C36CD2"/>
    <w:rsid w:val="00C371C4"/>
    <w:rsid w:val="00C37691"/>
    <w:rsid w:val="00C37768"/>
    <w:rsid w:val="00C37777"/>
    <w:rsid w:val="00C37CE8"/>
    <w:rsid w:val="00C400F1"/>
    <w:rsid w:val="00C403BB"/>
    <w:rsid w:val="00C408F3"/>
    <w:rsid w:val="00C40C18"/>
    <w:rsid w:val="00C40C23"/>
    <w:rsid w:val="00C40C30"/>
    <w:rsid w:val="00C423B8"/>
    <w:rsid w:val="00C42669"/>
    <w:rsid w:val="00C426AC"/>
    <w:rsid w:val="00C426F8"/>
    <w:rsid w:val="00C4286C"/>
    <w:rsid w:val="00C429D9"/>
    <w:rsid w:val="00C42D69"/>
    <w:rsid w:val="00C4304F"/>
    <w:rsid w:val="00C4375F"/>
    <w:rsid w:val="00C43969"/>
    <w:rsid w:val="00C439A8"/>
    <w:rsid w:val="00C43FA6"/>
    <w:rsid w:val="00C44057"/>
    <w:rsid w:val="00C443B7"/>
    <w:rsid w:val="00C44C83"/>
    <w:rsid w:val="00C44D8F"/>
    <w:rsid w:val="00C4556A"/>
    <w:rsid w:val="00C46320"/>
    <w:rsid w:val="00C463D0"/>
    <w:rsid w:val="00C465B7"/>
    <w:rsid w:val="00C467E5"/>
    <w:rsid w:val="00C4775A"/>
    <w:rsid w:val="00C4781E"/>
    <w:rsid w:val="00C4799C"/>
    <w:rsid w:val="00C47C4F"/>
    <w:rsid w:val="00C50423"/>
    <w:rsid w:val="00C50752"/>
    <w:rsid w:val="00C50958"/>
    <w:rsid w:val="00C50A24"/>
    <w:rsid w:val="00C51068"/>
    <w:rsid w:val="00C511B3"/>
    <w:rsid w:val="00C51637"/>
    <w:rsid w:val="00C51861"/>
    <w:rsid w:val="00C51939"/>
    <w:rsid w:val="00C51A88"/>
    <w:rsid w:val="00C51C0D"/>
    <w:rsid w:val="00C51EFE"/>
    <w:rsid w:val="00C5259E"/>
    <w:rsid w:val="00C525D8"/>
    <w:rsid w:val="00C52DD6"/>
    <w:rsid w:val="00C52FCC"/>
    <w:rsid w:val="00C53302"/>
    <w:rsid w:val="00C53628"/>
    <w:rsid w:val="00C53C6D"/>
    <w:rsid w:val="00C53FBA"/>
    <w:rsid w:val="00C53FD0"/>
    <w:rsid w:val="00C5419D"/>
    <w:rsid w:val="00C5515B"/>
    <w:rsid w:val="00C55559"/>
    <w:rsid w:val="00C558C1"/>
    <w:rsid w:val="00C55AA6"/>
    <w:rsid w:val="00C55C8F"/>
    <w:rsid w:val="00C55DC3"/>
    <w:rsid w:val="00C56D82"/>
    <w:rsid w:val="00C57011"/>
    <w:rsid w:val="00C57943"/>
    <w:rsid w:val="00C57A20"/>
    <w:rsid w:val="00C57BE4"/>
    <w:rsid w:val="00C57D2B"/>
    <w:rsid w:val="00C6002D"/>
    <w:rsid w:val="00C60240"/>
    <w:rsid w:val="00C60BD4"/>
    <w:rsid w:val="00C60D9B"/>
    <w:rsid w:val="00C61014"/>
    <w:rsid w:val="00C6170C"/>
    <w:rsid w:val="00C6179B"/>
    <w:rsid w:val="00C61B25"/>
    <w:rsid w:val="00C61DA7"/>
    <w:rsid w:val="00C61E66"/>
    <w:rsid w:val="00C61E71"/>
    <w:rsid w:val="00C62269"/>
    <w:rsid w:val="00C624F7"/>
    <w:rsid w:val="00C62909"/>
    <w:rsid w:val="00C6296C"/>
    <w:rsid w:val="00C6338D"/>
    <w:rsid w:val="00C635BB"/>
    <w:rsid w:val="00C6368F"/>
    <w:rsid w:val="00C63882"/>
    <w:rsid w:val="00C63B83"/>
    <w:rsid w:val="00C649EE"/>
    <w:rsid w:val="00C64D86"/>
    <w:rsid w:val="00C65700"/>
    <w:rsid w:val="00C65A9B"/>
    <w:rsid w:val="00C663C1"/>
    <w:rsid w:val="00C667DE"/>
    <w:rsid w:val="00C66859"/>
    <w:rsid w:val="00C66969"/>
    <w:rsid w:val="00C66B4C"/>
    <w:rsid w:val="00C66C76"/>
    <w:rsid w:val="00C66DD3"/>
    <w:rsid w:val="00C6734F"/>
    <w:rsid w:val="00C67390"/>
    <w:rsid w:val="00C67D9E"/>
    <w:rsid w:val="00C67EC3"/>
    <w:rsid w:val="00C70460"/>
    <w:rsid w:val="00C7053D"/>
    <w:rsid w:val="00C71146"/>
    <w:rsid w:val="00C71376"/>
    <w:rsid w:val="00C7140C"/>
    <w:rsid w:val="00C71737"/>
    <w:rsid w:val="00C71B1A"/>
    <w:rsid w:val="00C71C6B"/>
    <w:rsid w:val="00C71D6F"/>
    <w:rsid w:val="00C72492"/>
    <w:rsid w:val="00C72801"/>
    <w:rsid w:val="00C72D44"/>
    <w:rsid w:val="00C72DA4"/>
    <w:rsid w:val="00C730F9"/>
    <w:rsid w:val="00C732E5"/>
    <w:rsid w:val="00C73809"/>
    <w:rsid w:val="00C738ED"/>
    <w:rsid w:val="00C73F94"/>
    <w:rsid w:val="00C744D8"/>
    <w:rsid w:val="00C74761"/>
    <w:rsid w:val="00C747C1"/>
    <w:rsid w:val="00C749AE"/>
    <w:rsid w:val="00C7506D"/>
    <w:rsid w:val="00C75AE6"/>
    <w:rsid w:val="00C75BF7"/>
    <w:rsid w:val="00C7641B"/>
    <w:rsid w:val="00C76BAC"/>
    <w:rsid w:val="00C77478"/>
    <w:rsid w:val="00C7762C"/>
    <w:rsid w:val="00C77660"/>
    <w:rsid w:val="00C80000"/>
    <w:rsid w:val="00C8018E"/>
    <w:rsid w:val="00C8019E"/>
    <w:rsid w:val="00C802A4"/>
    <w:rsid w:val="00C80862"/>
    <w:rsid w:val="00C80C99"/>
    <w:rsid w:val="00C81091"/>
    <w:rsid w:val="00C81B49"/>
    <w:rsid w:val="00C81BE9"/>
    <w:rsid w:val="00C82184"/>
    <w:rsid w:val="00C82287"/>
    <w:rsid w:val="00C82489"/>
    <w:rsid w:val="00C8266D"/>
    <w:rsid w:val="00C82C69"/>
    <w:rsid w:val="00C831ED"/>
    <w:rsid w:val="00C83853"/>
    <w:rsid w:val="00C83B52"/>
    <w:rsid w:val="00C83E68"/>
    <w:rsid w:val="00C83FCB"/>
    <w:rsid w:val="00C840A1"/>
    <w:rsid w:val="00C844EA"/>
    <w:rsid w:val="00C84676"/>
    <w:rsid w:val="00C85061"/>
    <w:rsid w:val="00C854C3"/>
    <w:rsid w:val="00C8568D"/>
    <w:rsid w:val="00C859F1"/>
    <w:rsid w:val="00C85C3A"/>
    <w:rsid w:val="00C85CBB"/>
    <w:rsid w:val="00C866EA"/>
    <w:rsid w:val="00C869D9"/>
    <w:rsid w:val="00C86C5F"/>
    <w:rsid w:val="00C873CD"/>
    <w:rsid w:val="00C879B3"/>
    <w:rsid w:val="00C87D9A"/>
    <w:rsid w:val="00C902E0"/>
    <w:rsid w:val="00C909E8"/>
    <w:rsid w:val="00C90A12"/>
    <w:rsid w:val="00C914C8"/>
    <w:rsid w:val="00C9150F"/>
    <w:rsid w:val="00C91A36"/>
    <w:rsid w:val="00C9216D"/>
    <w:rsid w:val="00C926DF"/>
    <w:rsid w:val="00C92F0E"/>
    <w:rsid w:val="00C9311A"/>
    <w:rsid w:val="00C935AB"/>
    <w:rsid w:val="00C93A70"/>
    <w:rsid w:val="00C93AE4"/>
    <w:rsid w:val="00C941EE"/>
    <w:rsid w:val="00C94437"/>
    <w:rsid w:val="00C94892"/>
    <w:rsid w:val="00C94A7C"/>
    <w:rsid w:val="00C952D1"/>
    <w:rsid w:val="00C95528"/>
    <w:rsid w:val="00C95595"/>
    <w:rsid w:val="00C95A36"/>
    <w:rsid w:val="00C95AC1"/>
    <w:rsid w:val="00C95B2A"/>
    <w:rsid w:val="00C96DB2"/>
    <w:rsid w:val="00C97036"/>
    <w:rsid w:val="00C973BA"/>
    <w:rsid w:val="00C97B38"/>
    <w:rsid w:val="00C97ED5"/>
    <w:rsid w:val="00CA0056"/>
    <w:rsid w:val="00CA04CC"/>
    <w:rsid w:val="00CA0599"/>
    <w:rsid w:val="00CA0A47"/>
    <w:rsid w:val="00CA1333"/>
    <w:rsid w:val="00CA1DCB"/>
    <w:rsid w:val="00CA1E51"/>
    <w:rsid w:val="00CA25E2"/>
    <w:rsid w:val="00CA33DC"/>
    <w:rsid w:val="00CA45CD"/>
    <w:rsid w:val="00CA49B2"/>
    <w:rsid w:val="00CA528B"/>
    <w:rsid w:val="00CA5E2B"/>
    <w:rsid w:val="00CA6460"/>
    <w:rsid w:val="00CA65BF"/>
    <w:rsid w:val="00CA6754"/>
    <w:rsid w:val="00CA69BF"/>
    <w:rsid w:val="00CA6AA2"/>
    <w:rsid w:val="00CA6CDE"/>
    <w:rsid w:val="00CA6E93"/>
    <w:rsid w:val="00CA76EC"/>
    <w:rsid w:val="00CA7855"/>
    <w:rsid w:val="00CA7A07"/>
    <w:rsid w:val="00CA7E6C"/>
    <w:rsid w:val="00CB05B1"/>
    <w:rsid w:val="00CB0EAA"/>
    <w:rsid w:val="00CB1012"/>
    <w:rsid w:val="00CB1183"/>
    <w:rsid w:val="00CB148C"/>
    <w:rsid w:val="00CB14B3"/>
    <w:rsid w:val="00CB1550"/>
    <w:rsid w:val="00CB1626"/>
    <w:rsid w:val="00CB1BDF"/>
    <w:rsid w:val="00CB1D08"/>
    <w:rsid w:val="00CB1EB9"/>
    <w:rsid w:val="00CB25F1"/>
    <w:rsid w:val="00CB2739"/>
    <w:rsid w:val="00CB3B64"/>
    <w:rsid w:val="00CB3BBD"/>
    <w:rsid w:val="00CB40B2"/>
    <w:rsid w:val="00CB4192"/>
    <w:rsid w:val="00CB41A9"/>
    <w:rsid w:val="00CB453C"/>
    <w:rsid w:val="00CB54DB"/>
    <w:rsid w:val="00CB582D"/>
    <w:rsid w:val="00CB5E82"/>
    <w:rsid w:val="00CB6027"/>
    <w:rsid w:val="00CB68C1"/>
    <w:rsid w:val="00CB6A63"/>
    <w:rsid w:val="00CB6E42"/>
    <w:rsid w:val="00CB6E49"/>
    <w:rsid w:val="00CC025C"/>
    <w:rsid w:val="00CC0A26"/>
    <w:rsid w:val="00CC135F"/>
    <w:rsid w:val="00CC1CE6"/>
    <w:rsid w:val="00CC1E0F"/>
    <w:rsid w:val="00CC24FA"/>
    <w:rsid w:val="00CC26E8"/>
    <w:rsid w:val="00CC33E1"/>
    <w:rsid w:val="00CC3941"/>
    <w:rsid w:val="00CC3D03"/>
    <w:rsid w:val="00CC3D62"/>
    <w:rsid w:val="00CC41FD"/>
    <w:rsid w:val="00CC51CA"/>
    <w:rsid w:val="00CC565C"/>
    <w:rsid w:val="00CC5770"/>
    <w:rsid w:val="00CC6374"/>
    <w:rsid w:val="00CC6465"/>
    <w:rsid w:val="00CC6697"/>
    <w:rsid w:val="00CC6B80"/>
    <w:rsid w:val="00CC6C60"/>
    <w:rsid w:val="00CC754C"/>
    <w:rsid w:val="00CC7BD1"/>
    <w:rsid w:val="00CC7C53"/>
    <w:rsid w:val="00CD07EA"/>
    <w:rsid w:val="00CD1020"/>
    <w:rsid w:val="00CD1C2F"/>
    <w:rsid w:val="00CD1C47"/>
    <w:rsid w:val="00CD1F21"/>
    <w:rsid w:val="00CD20BA"/>
    <w:rsid w:val="00CD2274"/>
    <w:rsid w:val="00CD227E"/>
    <w:rsid w:val="00CD2283"/>
    <w:rsid w:val="00CD28FF"/>
    <w:rsid w:val="00CD301A"/>
    <w:rsid w:val="00CD34D3"/>
    <w:rsid w:val="00CD3CDC"/>
    <w:rsid w:val="00CD3DCB"/>
    <w:rsid w:val="00CD41CE"/>
    <w:rsid w:val="00CD49B9"/>
    <w:rsid w:val="00CD4DEC"/>
    <w:rsid w:val="00CD4F24"/>
    <w:rsid w:val="00CD4F7C"/>
    <w:rsid w:val="00CD6330"/>
    <w:rsid w:val="00CD6760"/>
    <w:rsid w:val="00CD7A03"/>
    <w:rsid w:val="00CE0D6B"/>
    <w:rsid w:val="00CE1D33"/>
    <w:rsid w:val="00CE22EF"/>
    <w:rsid w:val="00CE24A4"/>
    <w:rsid w:val="00CE31D2"/>
    <w:rsid w:val="00CE33DC"/>
    <w:rsid w:val="00CE3967"/>
    <w:rsid w:val="00CE39DE"/>
    <w:rsid w:val="00CE42D1"/>
    <w:rsid w:val="00CE4428"/>
    <w:rsid w:val="00CE4833"/>
    <w:rsid w:val="00CE5044"/>
    <w:rsid w:val="00CE51C0"/>
    <w:rsid w:val="00CE58A6"/>
    <w:rsid w:val="00CE592D"/>
    <w:rsid w:val="00CE5C93"/>
    <w:rsid w:val="00CE67B6"/>
    <w:rsid w:val="00CE6D68"/>
    <w:rsid w:val="00CE7251"/>
    <w:rsid w:val="00CE733B"/>
    <w:rsid w:val="00CE7CCF"/>
    <w:rsid w:val="00CE7EBD"/>
    <w:rsid w:val="00CF00A2"/>
    <w:rsid w:val="00CF0463"/>
    <w:rsid w:val="00CF08A8"/>
    <w:rsid w:val="00CF0F66"/>
    <w:rsid w:val="00CF1097"/>
    <w:rsid w:val="00CF157D"/>
    <w:rsid w:val="00CF2660"/>
    <w:rsid w:val="00CF31E1"/>
    <w:rsid w:val="00CF3879"/>
    <w:rsid w:val="00CF38C4"/>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CF7F2C"/>
    <w:rsid w:val="00D0000D"/>
    <w:rsid w:val="00D004AB"/>
    <w:rsid w:val="00D01285"/>
    <w:rsid w:val="00D017DC"/>
    <w:rsid w:val="00D018AA"/>
    <w:rsid w:val="00D01B14"/>
    <w:rsid w:val="00D01F21"/>
    <w:rsid w:val="00D02299"/>
    <w:rsid w:val="00D02370"/>
    <w:rsid w:val="00D02462"/>
    <w:rsid w:val="00D03B9F"/>
    <w:rsid w:val="00D04354"/>
    <w:rsid w:val="00D04594"/>
    <w:rsid w:val="00D0474D"/>
    <w:rsid w:val="00D04EAC"/>
    <w:rsid w:val="00D04FBF"/>
    <w:rsid w:val="00D05608"/>
    <w:rsid w:val="00D05E7C"/>
    <w:rsid w:val="00D05EDA"/>
    <w:rsid w:val="00D05F65"/>
    <w:rsid w:val="00D0609F"/>
    <w:rsid w:val="00D06686"/>
    <w:rsid w:val="00D06A47"/>
    <w:rsid w:val="00D06B6C"/>
    <w:rsid w:val="00D0703D"/>
    <w:rsid w:val="00D07794"/>
    <w:rsid w:val="00D07B04"/>
    <w:rsid w:val="00D07EF6"/>
    <w:rsid w:val="00D102D1"/>
    <w:rsid w:val="00D10312"/>
    <w:rsid w:val="00D10676"/>
    <w:rsid w:val="00D107D3"/>
    <w:rsid w:val="00D10AFB"/>
    <w:rsid w:val="00D10B6F"/>
    <w:rsid w:val="00D12C19"/>
    <w:rsid w:val="00D12F06"/>
    <w:rsid w:val="00D130E3"/>
    <w:rsid w:val="00D13588"/>
    <w:rsid w:val="00D13894"/>
    <w:rsid w:val="00D13C85"/>
    <w:rsid w:val="00D13F3D"/>
    <w:rsid w:val="00D14FEE"/>
    <w:rsid w:val="00D150DF"/>
    <w:rsid w:val="00D164B2"/>
    <w:rsid w:val="00D168F4"/>
    <w:rsid w:val="00D16D35"/>
    <w:rsid w:val="00D170E0"/>
    <w:rsid w:val="00D172BA"/>
    <w:rsid w:val="00D179CB"/>
    <w:rsid w:val="00D17B7D"/>
    <w:rsid w:val="00D17DFF"/>
    <w:rsid w:val="00D208D8"/>
    <w:rsid w:val="00D20AA3"/>
    <w:rsid w:val="00D20C8A"/>
    <w:rsid w:val="00D216BE"/>
    <w:rsid w:val="00D21E02"/>
    <w:rsid w:val="00D226BB"/>
    <w:rsid w:val="00D227ED"/>
    <w:rsid w:val="00D22A26"/>
    <w:rsid w:val="00D22EFE"/>
    <w:rsid w:val="00D2322D"/>
    <w:rsid w:val="00D24427"/>
    <w:rsid w:val="00D24C72"/>
    <w:rsid w:val="00D256D7"/>
    <w:rsid w:val="00D26235"/>
    <w:rsid w:val="00D26988"/>
    <w:rsid w:val="00D26C68"/>
    <w:rsid w:val="00D26D82"/>
    <w:rsid w:val="00D27058"/>
    <w:rsid w:val="00D27C49"/>
    <w:rsid w:val="00D27C95"/>
    <w:rsid w:val="00D3092A"/>
    <w:rsid w:val="00D316DF"/>
    <w:rsid w:val="00D31B32"/>
    <w:rsid w:val="00D32286"/>
    <w:rsid w:val="00D32425"/>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BD"/>
    <w:rsid w:val="00D35FCF"/>
    <w:rsid w:val="00D35FD9"/>
    <w:rsid w:val="00D35FED"/>
    <w:rsid w:val="00D3631C"/>
    <w:rsid w:val="00D36390"/>
    <w:rsid w:val="00D36711"/>
    <w:rsid w:val="00D36ABE"/>
    <w:rsid w:val="00D3707F"/>
    <w:rsid w:val="00D3708C"/>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6C6"/>
    <w:rsid w:val="00D42B3B"/>
    <w:rsid w:val="00D42EE0"/>
    <w:rsid w:val="00D43F20"/>
    <w:rsid w:val="00D43F30"/>
    <w:rsid w:val="00D446FF"/>
    <w:rsid w:val="00D449D0"/>
    <w:rsid w:val="00D4503C"/>
    <w:rsid w:val="00D454F9"/>
    <w:rsid w:val="00D45870"/>
    <w:rsid w:val="00D45CC4"/>
    <w:rsid w:val="00D46472"/>
    <w:rsid w:val="00D46BD4"/>
    <w:rsid w:val="00D46DB3"/>
    <w:rsid w:val="00D46E2B"/>
    <w:rsid w:val="00D470DD"/>
    <w:rsid w:val="00D477CA"/>
    <w:rsid w:val="00D47944"/>
    <w:rsid w:val="00D50580"/>
    <w:rsid w:val="00D50827"/>
    <w:rsid w:val="00D509D9"/>
    <w:rsid w:val="00D50B71"/>
    <w:rsid w:val="00D50BF9"/>
    <w:rsid w:val="00D5127E"/>
    <w:rsid w:val="00D5186D"/>
    <w:rsid w:val="00D522A0"/>
    <w:rsid w:val="00D5243F"/>
    <w:rsid w:val="00D525B8"/>
    <w:rsid w:val="00D52D22"/>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57A2F"/>
    <w:rsid w:val="00D6008F"/>
    <w:rsid w:val="00D604E1"/>
    <w:rsid w:val="00D60BCE"/>
    <w:rsid w:val="00D614A0"/>
    <w:rsid w:val="00D61B08"/>
    <w:rsid w:val="00D62968"/>
    <w:rsid w:val="00D62B27"/>
    <w:rsid w:val="00D62B70"/>
    <w:rsid w:val="00D62CE1"/>
    <w:rsid w:val="00D62F29"/>
    <w:rsid w:val="00D63412"/>
    <w:rsid w:val="00D6389C"/>
    <w:rsid w:val="00D63B33"/>
    <w:rsid w:val="00D63CDD"/>
    <w:rsid w:val="00D6439C"/>
    <w:rsid w:val="00D64A05"/>
    <w:rsid w:val="00D64AAF"/>
    <w:rsid w:val="00D64BAF"/>
    <w:rsid w:val="00D661FD"/>
    <w:rsid w:val="00D665D3"/>
    <w:rsid w:val="00D66ACB"/>
    <w:rsid w:val="00D66CBB"/>
    <w:rsid w:val="00D67121"/>
    <w:rsid w:val="00D67550"/>
    <w:rsid w:val="00D7057D"/>
    <w:rsid w:val="00D705B4"/>
    <w:rsid w:val="00D7078C"/>
    <w:rsid w:val="00D7139E"/>
    <w:rsid w:val="00D71CCA"/>
    <w:rsid w:val="00D7232B"/>
    <w:rsid w:val="00D724D3"/>
    <w:rsid w:val="00D731E5"/>
    <w:rsid w:val="00D73720"/>
    <w:rsid w:val="00D73B5B"/>
    <w:rsid w:val="00D73E68"/>
    <w:rsid w:val="00D741B7"/>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0F1"/>
    <w:rsid w:val="00D81662"/>
    <w:rsid w:val="00D81708"/>
    <w:rsid w:val="00D81C01"/>
    <w:rsid w:val="00D81D48"/>
    <w:rsid w:val="00D81E13"/>
    <w:rsid w:val="00D82064"/>
    <w:rsid w:val="00D8343F"/>
    <w:rsid w:val="00D838F2"/>
    <w:rsid w:val="00D844B7"/>
    <w:rsid w:val="00D845E7"/>
    <w:rsid w:val="00D849B9"/>
    <w:rsid w:val="00D84A1B"/>
    <w:rsid w:val="00D84B2E"/>
    <w:rsid w:val="00D84B95"/>
    <w:rsid w:val="00D84CF4"/>
    <w:rsid w:val="00D84D82"/>
    <w:rsid w:val="00D8566E"/>
    <w:rsid w:val="00D860B8"/>
    <w:rsid w:val="00D864F0"/>
    <w:rsid w:val="00D867AB"/>
    <w:rsid w:val="00D86B96"/>
    <w:rsid w:val="00D86F02"/>
    <w:rsid w:val="00D86F5F"/>
    <w:rsid w:val="00D8731E"/>
    <w:rsid w:val="00D878B3"/>
    <w:rsid w:val="00D87DBE"/>
    <w:rsid w:val="00D900E5"/>
    <w:rsid w:val="00D909B2"/>
    <w:rsid w:val="00D90C29"/>
    <w:rsid w:val="00D90DB1"/>
    <w:rsid w:val="00D914E7"/>
    <w:rsid w:val="00D92340"/>
    <w:rsid w:val="00D9257D"/>
    <w:rsid w:val="00D92853"/>
    <w:rsid w:val="00D93626"/>
    <w:rsid w:val="00D93A24"/>
    <w:rsid w:val="00D9432E"/>
    <w:rsid w:val="00D94574"/>
    <w:rsid w:val="00D946DB"/>
    <w:rsid w:val="00D94805"/>
    <w:rsid w:val="00D94C4D"/>
    <w:rsid w:val="00D95160"/>
    <w:rsid w:val="00D95240"/>
    <w:rsid w:val="00D956BC"/>
    <w:rsid w:val="00D95D45"/>
    <w:rsid w:val="00D96282"/>
    <w:rsid w:val="00D964BE"/>
    <w:rsid w:val="00D96781"/>
    <w:rsid w:val="00D97874"/>
    <w:rsid w:val="00D979AE"/>
    <w:rsid w:val="00DA0B11"/>
    <w:rsid w:val="00DA1229"/>
    <w:rsid w:val="00DA1B84"/>
    <w:rsid w:val="00DA2445"/>
    <w:rsid w:val="00DA254C"/>
    <w:rsid w:val="00DA2E7A"/>
    <w:rsid w:val="00DA3127"/>
    <w:rsid w:val="00DA3860"/>
    <w:rsid w:val="00DA393F"/>
    <w:rsid w:val="00DA3DD7"/>
    <w:rsid w:val="00DA3DE7"/>
    <w:rsid w:val="00DA41BE"/>
    <w:rsid w:val="00DA42B9"/>
    <w:rsid w:val="00DA52EE"/>
    <w:rsid w:val="00DA5E70"/>
    <w:rsid w:val="00DA6252"/>
    <w:rsid w:val="00DA6B4F"/>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2A8"/>
    <w:rsid w:val="00DB44F5"/>
    <w:rsid w:val="00DB4EB2"/>
    <w:rsid w:val="00DB4FA3"/>
    <w:rsid w:val="00DB5745"/>
    <w:rsid w:val="00DB5A79"/>
    <w:rsid w:val="00DB5AFA"/>
    <w:rsid w:val="00DB6067"/>
    <w:rsid w:val="00DB63DB"/>
    <w:rsid w:val="00DB6CFD"/>
    <w:rsid w:val="00DB6D3C"/>
    <w:rsid w:val="00DB75EB"/>
    <w:rsid w:val="00DB7657"/>
    <w:rsid w:val="00DB7784"/>
    <w:rsid w:val="00DC06C1"/>
    <w:rsid w:val="00DC08EF"/>
    <w:rsid w:val="00DC095E"/>
    <w:rsid w:val="00DC0D37"/>
    <w:rsid w:val="00DC0F6B"/>
    <w:rsid w:val="00DC0FD3"/>
    <w:rsid w:val="00DC1307"/>
    <w:rsid w:val="00DC190C"/>
    <w:rsid w:val="00DC1912"/>
    <w:rsid w:val="00DC1ADD"/>
    <w:rsid w:val="00DC1D2F"/>
    <w:rsid w:val="00DC20A5"/>
    <w:rsid w:val="00DC21CA"/>
    <w:rsid w:val="00DC2952"/>
    <w:rsid w:val="00DC3C20"/>
    <w:rsid w:val="00DC3CA0"/>
    <w:rsid w:val="00DC4138"/>
    <w:rsid w:val="00DC43BD"/>
    <w:rsid w:val="00DC4AC6"/>
    <w:rsid w:val="00DC4BC5"/>
    <w:rsid w:val="00DC4D53"/>
    <w:rsid w:val="00DC4E77"/>
    <w:rsid w:val="00DC5153"/>
    <w:rsid w:val="00DC521E"/>
    <w:rsid w:val="00DC522C"/>
    <w:rsid w:val="00DC5289"/>
    <w:rsid w:val="00DC52E1"/>
    <w:rsid w:val="00DC56BF"/>
    <w:rsid w:val="00DC5D15"/>
    <w:rsid w:val="00DC61FF"/>
    <w:rsid w:val="00DC6213"/>
    <w:rsid w:val="00DC636A"/>
    <w:rsid w:val="00DC66BB"/>
    <w:rsid w:val="00DC6963"/>
    <w:rsid w:val="00DC7CE8"/>
    <w:rsid w:val="00DD0748"/>
    <w:rsid w:val="00DD0DCD"/>
    <w:rsid w:val="00DD1238"/>
    <w:rsid w:val="00DD1545"/>
    <w:rsid w:val="00DD1848"/>
    <w:rsid w:val="00DD1AFE"/>
    <w:rsid w:val="00DD1B24"/>
    <w:rsid w:val="00DD260B"/>
    <w:rsid w:val="00DD2727"/>
    <w:rsid w:val="00DD27BB"/>
    <w:rsid w:val="00DD2BE3"/>
    <w:rsid w:val="00DD2FCF"/>
    <w:rsid w:val="00DD326E"/>
    <w:rsid w:val="00DD3314"/>
    <w:rsid w:val="00DD34E2"/>
    <w:rsid w:val="00DD3803"/>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1461"/>
    <w:rsid w:val="00DE1FF7"/>
    <w:rsid w:val="00DE2319"/>
    <w:rsid w:val="00DE24FC"/>
    <w:rsid w:val="00DE2596"/>
    <w:rsid w:val="00DE2DA9"/>
    <w:rsid w:val="00DE35EC"/>
    <w:rsid w:val="00DE4AA5"/>
    <w:rsid w:val="00DE4AAF"/>
    <w:rsid w:val="00DE5040"/>
    <w:rsid w:val="00DE5124"/>
    <w:rsid w:val="00DE57B0"/>
    <w:rsid w:val="00DE67AD"/>
    <w:rsid w:val="00DE67FA"/>
    <w:rsid w:val="00DE6863"/>
    <w:rsid w:val="00DE6DD3"/>
    <w:rsid w:val="00DE7A3E"/>
    <w:rsid w:val="00DE7E3E"/>
    <w:rsid w:val="00DF012F"/>
    <w:rsid w:val="00DF0A04"/>
    <w:rsid w:val="00DF1446"/>
    <w:rsid w:val="00DF1452"/>
    <w:rsid w:val="00DF1F5B"/>
    <w:rsid w:val="00DF1F5F"/>
    <w:rsid w:val="00DF2235"/>
    <w:rsid w:val="00DF2701"/>
    <w:rsid w:val="00DF3ABE"/>
    <w:rsid w:val="00DF404D"/>
    <w:rsid w:val="00DF40AC"/>
    <w:rsid w:val="00DF41E3"/>
    <w:rsid w:val="00DF49A4"/>
    <w:rsid w:val="00DF4AF5"/>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55"/>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0C"/>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4CF"/>
    <w:rsid w:val="00E12AB2"/>
    <w:rsid w:val="00E130C3"/>
    <w:rsid w:val="00E1344D"/>
    <w:rsid w:val="00E136D2"/>
    <w:rsid w:val="00E13776"/>
    <w:rsid w:val="00E13AAF"/>
    <w:rsid w:val="00E14713"/>
    <w:rsid w:val="00E15039"/>
    <w:rsid w:val="00E15AF4"/>
    <w:rsid w:val="00E169D3"/>
    <w:rsid w:val="00E17F4D"/>
    <w:rsid w:val="00E2019A"/>
    <w:rsid w:val="00E2095B"/>
    <w:rsid w:val="00E217D3"/>
    <w:rsid w:val="00E21B4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395"/>
    <w:rsid w:val="00E30607"/>
    <w:rsid w:val="00E30851"/>
    <w:rsid w:val="00E30BF0"/>
    <w:rsid w:val="00E31BCD"/>
    <w:rsid w:val="00E31C73"/>
    <w:rsid w:val="00E31ECC"/>
    <w:rsid w:val="00E31ED6"/>
    <w:rsid w:val="00E327DD"/>
    <w:rsid w:val="00E33561"/>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353"/>
    <w:rsid w:val="00E42513"/>
    <w:rsid w:val="00E426E9"/>
    <w:rsid w:val="00E42E06"/>
    <w:rsid w:val="00E43012"/>
    <w:rsid w:val="00E436F1"/>
    <w:rsid w:val="00E43F4D"/>
    <w:rsid w:val="00E44110"/>
    <w:rsid w:val="00E44623"/>
    <w:rsid w:val="00E44CA0"/>
    <w:rsid w:val="00E44EFD"/>
    <w:rsid w:val="00E44FEB"/>
    <w:rsid w:val="00E45174"/>
    <w:rsid w:val="00E452B0"/>
    <w:rsid w:val="00E4586E"/>
    <w:rsid w:val="00E4641C"/>
    <w:rsid w:val="00E46997"/>
    <w:rsid w:val="00E46C39"/>
    <w:rsid w:val="00E47241"/>
    <w:rsid w:val="00E478EB"/>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680"/>
    <w:rsid w:val="00E5379B"/>
    <w:rsid w:val="00E54128"/>
    <w:rsid w:val="00E541C7"/>
    <w:rsid w:val="00E54217"/>
    <w:rsid w:val="00E5433A"/>
    <w:rsid w:val="00E544FE"/>
    <w:rsid w:val="00E5455B"/>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99C"/>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71F"/>
    <w:rsid w:val="00E67811"/>
    <w:rsid w:val="00E6798D"/>
    <w:rsid w:val="00E67D4D"/>
    <w:rsid w:val="00E70345"/>
    <w:rsid w:val="00E7191F"/>
    <w:rsid w:val="00E71DAD"/>
    <w:rsid w:val="00E71E15"/>
    <w:rsid w:val="00E72050"/>
    <w:rsid w:val="00E7216F"/>
    <w:rsid w:val="00E72287"/>
    <w:rsid w:val="00E723C3"/>
    <w:rsid w:val="00E72860"/>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1C1F"/>
    <w:rsid w:val="00E82328"/>
    <w:rsid w:val="00E8265A"/>
    <w:rsid w:val="00E826BE"/>
    <w:rsid w:val="00E828E2"/>
    <w:rsid w:val="00E8305A"/>
    <w:rsid w:val="00E83118"/>
    <w:rsid w:val="00E8313E"/>
    <w:rsid w:val="00E833DE"/>
    <w:rsid w:val="00E8386A"/>
    <w:rsid w:val="00E839EF"/>
    <w:rsid w:val="00E8423B"/>
    <w:rsid w:val="00E845C0"/>
    <w:rsid w:val="00E848E4"/>
    <w:rsid w:val="00E8527A"/>
    <w:rsid w:val="00E8528E"/>
    <w:rsid w:val="00E85976"/>
    <w:rsid w:val="00E85C09"/>
    <w:rsid w:val="00E85D6F"/>
    <w:rsid w:val="00E85F69"/>
    <w:rsid w:val="00E8615F"/>
    <w:rsid w:val="00E861EB"/>
    <w:rsid w:val="00E8629C"/>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4E4B"/>
    <w:rsid w:val="00E95174"/>
    <w:rsid w:val="00E95697"/>
    <w:rsid w:val="00E95A2A"/>
    <w:rsid w:val="00E95E91"/>
    <w:rsid w:val="00E95EA1"/>
    <w:rsid w:val="00E96129"/>
    <w:rsid w:val="00E9649C"/>
    <w:rsid w:val="00E96B2F"/>
    <w:rsid w:val="00E97397"/>
    <w:rsid w:val="00E9796A"/>
    <w:rsid w:val="00E97CC6"/>
    <w:rsid w:val="00E97FAB"/>
    <w:rsid w:val="00EA044A"/>
    <w:rsid w:val="00EA05E9"/>
    <w:rsid w:val="00EA0A0B"/>
    <w:rsid w:val="00EA0B43"/>
    <w:rsid w:val="00EA1CB4"/>
    <w:rsid w:val="00EA1DC0"/>
    <w:rsid w:val="00EA1E4C"/>
    <w:rsid w:val="00EA25B5"/>
    <w:rsid w:val="00EA263E"/>
    <w:rsid w:val="00EA2F2D"/>
    <w:rsid w:val="00EA33B5"/>
    <w:rsid w:val="00EA35B7"/>
    <w:rsid w:val="00EA3CCA"/>
    <w:rsid w:val="00EA3E47"/>
    <w:rsid w:val="00EA3E86"/>
    <w:rsid w:val="00EA4263"/>
    <w:rsid w:val="00EA44EA"/>
    <w:rsid w:val="00EA490D"/>
    <w:rsid w:val="00EA4B96"/>
    <w:rsid w:val="00EA4E5B"/>
    <w:rsid w:val="00EA5266"/>
    <w:rsid w:val="00EA5B8F"/>
    <w:rsid w:val="00EA6977"/>
    <w:rsid w:val="00EA6FA8"/>
    <w:rsid w:val="00EA7037"/>
    <w:rsid w:val="00EA7094"/>
    <w:rsid w:val="00EA7721"/>
    <w:rsid w:val="00EA7AA4"/>
    <w:rsid w:val="00EA7BF2"/>
    <w:rsid w:val="00EA7FD3"/>
    <w:rsid w:val="00EB03B4"/>
    <w:rsid w:val="00EB0583"/>
    <w:rsid w:val="00EB07B1"/>
    <w:rsid w:val="00EB0D14"/>
    <w:rsid w:val="00EB0F5A"/>
    <w:rsid w:val="00EB140F"/>
    <w:rsid w:val="00EB1948"/>
    <w:rsid w:val="00EB1A7F"/>
    <w:rsid w:val="00EB1BD7"/>
    <w:rsid w:val="00EB2566"/>
    <w:rsid w:val="00EB2BF4"/>
    <w:rsid w:val="00EB2F4D"/>
    <w:rsid w:val="00EB3453"/>
    <w:rsid w:val="00EB37BB"/>
    <w:rsid w:val="00EB38B9"/>
    <w:rsid w:val="00EB436C"/>
    <w:rsid w:val="00EB4630"/>
    <w:rsid w:val="00EB5287"/>
    <w:rsid w:val="00EB54AC"/>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4B71"/>
    <w:rsid w:val="00ED557A"/>
    <w:rsid w:val="00ED5658"/>
    <w:rsid w:val="00ED5FE9"/>
    <w:rsid w:val="00ED60BB"/>
    <w:rsid w:val="00ED6145"/>
    <w:rsid w:val="00ED62B3"/>
    <w:rsid w:val="00ED6514"/>
    <w:rsid w:val="00ED6E1E"/>
    <w:rsid w:val="00ED6E77"/>
    <w:rsid w:val="00ED7316"/>
    <w:rsid w:val="00ED7988"/>
    <w:rsid w:val="00EE01F1"/>
    <w:rsid w:val="00EE0D05"/>
    <w:rsid w:val="00EE12B8"/>
    <w:rsid w:val="00EE1AE2"/>
    <w:rsid w:val="00EE21B4"/>
    <w:rsid w:val="00EE3153"/>
    <w:rsid w:val="00EE323B"/>
    <w:rsid w:val="00EE363C"/>
    <w:rsid w:val="00EE414A"/>
    <w:rsid w:val="00EE5096"/>
    <w:rsid w:val="00EE5BBE"/>
    <w:rsid w:val="00EE61C4"/>
    <w:rsid w:val="00EE62B5"/>
    <w:rsid w:val="00EE69A6"/>
    <w:rsid w:val="00EE6E4D"/>
    <w:rsid w:val="00EE7265"/>
    <w:rsid w:val="00EE7A3D"/>
    <w:rsid w:val="00EE7C6E"/>
    <w:rsid w:val="00EE7E25"/>
    <w:rsid w:val="00EF0211"/>
    <w:rsid w:val="00EF02B4"/>
    <w:rsid w:val="00EF0354"/>
    <w:rsid w:val="00EF08BD"/>
    <w:rsid w:val="00EF0D9F"/>
    <w:rsid w:val="00EF135B"/>
    <w:rsid w:val="00EF16CE"/>
    <w:rsid w:val="00EF1C2F"/>
    <w:rsid w:val="00EF1D15"/>
    <w:rsid w:val="00EF2049"/>
    <w:rsid w:val="00EF220A"/>
    <w:rsid w:val="00EF2299"/>
    <w:rsid w:val="00EF2A43"/>
    <w:rsid w:val="00EF2E86"/>
    <w:rsid w:val="00EF3549"/>
    <w:rsid w:val="00EF3577"/>
    <w:rsid w:val="00EF39AA"/>
    <w:rsid w:val="00EF3A0C"/>
    <w:rsid w:val="00EF3C5C"/>
    <w:rsid w:val="00EF4314"/>
    <w:rsid w:val="00EF43B2"/>
    <w:rsid w:val="00EF46CE"/>
    <w:rsid w:val="00EF4B16"/>
    <w:rsid w:val="00EF4B1B"/>
    <w:rsid w:val="00EF4C5A"/>
    <w:rsid w:val="00EF4D6F"/>
    <w:rsid w:val="00EF51BB"/>
    <w:rsid w:val="00EF5441"/>
    <w:rsid w:val="00EF589C"/>
    <w:rsid w:val="00EF5E38"/>
    <w:rsid w:val="00EF5FEC"/>
    <w:rsid w:val="00EF60D3"/>
    <w:rsid w:val="00EF6202"/>
    <w:rsid w:val="00EF6555"/>
    <w:rsid w:val="00EF66AB"/>
    <w:rsid w:val="00EF698C"/>
    <w:rsid w:val="00EF7096"/>
    <w:rsid w:val="00EF73E0"/>
    <w:rsid w:val="00EF7C02"/>
    <w:rsid w:val="00F00387"/>
    <w:rsid w:val="00F006B6"/>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673"/>
    <w:rsid w:val="00F10894"/>
    <w:rsid w:val="00F10D8C"/>
    <w:rsid w:val="00F11224"/>
    <w:rsid w:val="00F116CE"/>
    <w:rsid w:val="00F11DAA"/>
    <w:rsid w:val="00F124F3"/>
    <w:rsid w:val="00F1330A"/>
    <w:rsid w:val="00F133BA"/>
    <w:rsid w:val="00F136BD"/>
    <w:rsid w:val="00F13D21"/>
    <w:rsid w:val="00F1400B"/>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1CB"/>
    <w:rsid w:val="00F223CF"/>
    <w:rsid w:val="00F2265A"/>
    <w:rsid w:val="00F2271A"/>
    <w:rsid w:val="00F22978"/>
    <w:rsid w:val="00F22B94"/>
    <w:rsid w:val="00F22E58"/>
    <w:rsid w:val="00F230C3"/>
    <w:rsid w:val="00F231D7"/>
    <w:rsid w:val="00F23DD5"/>
    <w:rsid w:val="00F240ED"/>
    <w:rsid w:val="00F2428B"/>
    <w:rsid w:val="00F246F0"/>
    <w:rsid w:val="00F25192"/>
    <w:rsid w:val="00F25359"/>
    <w:rsid w:val="00F259A5"/>
    <w:rsid w:val="00F260BD"/>
    <w:rsid w:val="00F263EF"/>
    <w:rsid w:val="00F26455"/>
    <w:rsid w:val="00F265C7"/>
    <w:rsid w:val="00F267D7"/>
    <w:rsid w:val="00F26B3C"/>
    <w:rsid w:val="00F273A9"/>
    <w:rsid w:val="00F27751"/>
    <w:rsid w:val="00F27B49"/>
    <w:rsid w:val="00F27D9B"/>
    <w:rsid w:val="00F27E85"/>
    <w:rsid w:val="00F27EA3"/>
    <w:rsid w:val="00F301ED"/>
    <w:rsid w:val="00F3020E"/>
    <w:rsid w:val="00F3042B"/>
    <w:rsid w:val="00F3047A"/>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A28"/>
    <w:rsid w:val="00F40E9D"/>
    <w:rsid w:val="00F41370"/>
    <w:rsid w:val="00F415BC"/>
    <w:rsid w:val="00F41707"/>
    <w:rsid w:val="00F41E93"/>
    <w:rsid w:val="00F42484"/>
    <w:rsid w:val="00F4276F"/>
    <w:rsid w:val="00F42AFB"/>
    <w:rsid w:val="00F42C0D"/>
    <w:rsid w:val="00F43116"/>
    <w:rsid w:val="00F43A7E"/>
    <w:rsid w:val="00F43C44"/>
    <w:rsid w:val="00F43D4E"/>
    <w:rsid w:val="00F43E01"/>
    <w:rsid w:val="00F43F42"/>
    <w:rsid w:val="00F43FBE"/>
    <w:rsid w:val="00F4452B"/>
    <w:rsid w:val="00F44A88"/>
    <w:rsid w:val="00F4520B"/>
    <w:rsid w:val="00F455E3"/>
    <w:rsid w:val="00F45775"/>
    <w:rsid w:val="00F45838"/>
    <w:rsid w:val="00F461B4"/>
    <w:rsid w:val="00F4625A"/>
    <w:rsid w:val="00F4631B"/>
    <w:rsid w:val="00F469C5"/>
    <w:rsid w:val="00F46D55"/>
    <w:rsid w:val="00F4737A"/>
    <w:rsid w:val="00F47780"/>
    <w:rsid w:val="00F47A33"/>
    <w:rsid w:val="00F47F93"/>
    <w:rsid w:val="00F47FFE"/>
    <w:rsid w:val="00F5025A"/>
    <w:rsid w:val="00F503E1"/>
    <w:rsid w:val="00F50592"/>
    <w:rsid w:val="00F5071A"/>
    <w:rsid w:val="00F507D4"/>
    <w:rsid w:val="00F50C29"/>
    <w:rsid w:val="00F50E35"/>
    <w:rsid w:val="00F513AD"/>
    <w:rsid w:val="00F514D2"/>
    <w:rsid w:val="00F517E1"/>
    <w:rsid w:val="00F519CB"/>
    <w:rsid w:val="00F524A6"/>
    <w:rsid w:val="00F524C7"/>
    <w:rsid w:val="00F525B0"/>
    <w:rsid w:val="00F52943"/>
    <w:rsid w:val="00F52E86"/>
    <w:rsid w:val="00F52F93"/>
    <w:rsid w:val="00F53825"/>
    <w:rsid w:val="00F53CE9"/>
    <w:rsid w:val="00F541E9"/>
    <w:rsid w:val="00F545DB"/>
    <w:rsid w:val="00F54759"/>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56E"/>
    <w:rsid w:val="00F61996"/>
    <w:rsid w:val="00F62208"/>
    <w:rsid w:val="00F62238"/>
    <w:rsid w:val="00F62380"/>
    <w:rsid w:val="00F62A1F"/>
    <w:rsid w:val="00F62AB6"/>
    <w:rsid w:val="00F62C68"/>
    <w:rsid w:val="00F63119"/>
    <w:rsid w:val="00F63720"/>
    <w:rsid w:val="00F63F0A"/>
    <w:rsid w:val="00F6471D"/>
    <w:rsid w:val="00F647D1"/>
    <w:rsid w:val="00F64943"/>
    <w:rsid w:val="00F64E49"/>
    <w:rsid w:val="00F64FB3"/>
    <w:rsid w:val="00F65693"/>
    <w:rsid w:val="00F657B2"/>
    <w:rsid w:val="00F65B35"/>
    <w:rsid w:val="00F660D4"/>
    <w:rsid w:val="00F662FF"/>
    <w:rsid w:val="00F668DE"/>
    <w:rsid w:val="00F66C7C"/>
    <w:rsid w:val="00F66C9E"/>
    <w:rsid w:val="00F67189"/>
    <w:rsid w:val="00F6740A"/>
    <w:rsid w:val="00F674E6"/>
    <w:rsid w:val="00F67656"/>
    <w:rsid w:val="00F67731"/>
    <w:rsid w:val="00F67C20"/>
    <w:rsid w:val="00F707EF"/>
    <w:rsid w:val="00F70B92"/>
    <w:rsid w:val="00F70DA4"/>
    <w:rsid w:val="00F7139F"/>
    <w:rsid w:val="00F7140B"/>
    <w:rsid w:val="00F71D3F"/>
    <w:rsid w:val="00F71EB8"/>
    <w:rsid w:val="00F7263E"/>
    <w:rsid w:val="00F72A4E"/>
    <w:rsid w:val="00F731DD"/>
    <w:rsid w:val="00F73258"/>
    <w:rsid w:val="00F73369"/>
    <w:rsid w:val="00F73A85"/>
    <w:rsid w:val="00F73AA5"/>
    <w:rsid w:val="00F73B11"/>
    <w:rsid w:val="00F73B82"/>
    <w:rsid w:val="00F73F23"/>
    <w:rsid w:val="00F74070"/>
    <w:rsid w:val="00F74830"/>
    <w:rsid w:val="00F74C09"/>
    <w:rsid w:val="00F75642"/>
    <w:rsid w:val="00F7564B"/>
    <w:rsid w:val="00F75820"/>
    <w:rsid w:val="00F7593D"/>
    <w:rsid w:val="00F75977"/>
    <w:rsid w:val="00F75C2B"/>
    <w:rsid w:val="00F75C7F"/>
    <w:rsid w:val="00F75D4E"/>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2DC"/>
    <w:rsid w:val="00F845D1"/>
    <w:rsid w:val="00F8498B"/>
    <w:rsid w:val="00F84DF0"/>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2A22"/>
    <w:rsid w:val="00F93325"/>
    <w:rsid w:val="00F937F4"/>
    <w:rsid w:val="00F93EAD"/>
    <w:rsid w:val="00F93FAE"/>
    <w:rsid w:val="00F941CC"/>
    <w:rsid w:val="00F94BB0"/>
    <w:rsid w:val="00F9572E"/>
    <w:rsid w:val="00F957DA"/>
    <w:rsid w:val="00F96A8B"/>
    <w:rsid w:val="00F96F59"/>
    <w:rsid w:val="00F970BF"/>
    <w:rsid w:val="00F9746A"/>
    <w:rsid w:val="00F97B7E"/>
    <w:rsid w:val="00FA0114"/>
    <w:rsid w:val="00FA0688"/>
    <w:rsid w:val="00FA070E"/>
    <w:rsid w:val="00FA09AD"/>
    <w:rsid w:val="00FA208E"/>
    <w:rsid w:val="00FA20A2"/>
    <w:rsid w:val="00FA2305"/>
    <w:rsid w:val="00FA23AA"/>
    <w:rsid w:val="00FA2D23"/>
    <w:rsid w:val="00FA303A"/>
    <w:rsid w:val="00FA364C"/>
    <w:rsid w:val="00FA37C3"/>
    <w:rsid w:val="00FA3FBE"/>
    <w:rsid w:val="00FA3FCB"/>
    <w:rsid w:val="00FA425D"/>
    <w:rsid w:val="00FA4277"/>
    <w:rsid w:val="00FA4B06"/>
    <w:rsid w:val="00FA4B17"/>
    <w:rsid w:val="00FA58C5"/>
    <w:rsid w:val="00FA596C"/>
    <w:rsid w:val="00FA5F3F"/>
    <w:rsid w:val="00FA6320"/>
    <w:rsid w:val="00FA6721"/>
    <w:rsid w:val="00FA6920"/>
    <w:rsid w:val="00FA6CA3"/>
    <w:rsid w:val="00FA7326"/>
    <w:rsid w:val="00FA7A76"/>
    <w:rsid w:val="00FA7DB6"/>
    <w:rsid w:val="00FA7F2C"/>
    <w:rsid w:val="00FA7FE0"/>
    <w:rsid w:val="00FB02B8"/>
    <w:rsid w:val="00FB035D"/>
    <w:rsid w:val="00FB04E5"/>
    <w:rsid w:val="00FB05EA"/>
    <w:rsid w:val="00FB0701"/>
    <w:rsid w:val="00FB0740"/>
    <w:rsid w:val="00FB0B69"/>
    <w:rsid w:val="00FB0DBB"/>
    <w:rsid w:val="00FB1532"/>
    <w:rsid w:val="00FB17B7"/>
    <w:rsid w:val="00FB222F"/>
    <w:rsid w:val="00FB22C6"/>
    <w:rsid w:val="00FB2918"/>
    <w:rsid w:val="00FB2C82"/>
    <w:rsid w:val="00FB3645"/>
    <w:rsid w:val="00FB387F"/>
    <w:rsid w:val="00FB42E2"/>
    <w:rsid w:val="00FB43F9"/>
    <w:rsid w:val="00FB46D3"/>
    <w:rsid w:val="00FB48C8"/>
    <w:rsid w:val="00FB4911"/>
    <w:rsid w:val="00FB5190"/>
    <w:rsid w:val="00FB5A89"/>
    <w:rsid w:val="00FB5F7C"/>
    <w:rsid w:val="00FB60CB"/>
    <w:rsid w:val="00FB6671"/>
    <w:rsid w:val="00FB6EF6"/>
    <w:rsid w:val="00FB79DF"/>
    <w:rsid w:val="00FB7FE8"/>
    <w:rsid w:val="00FC00AC"/>
    <w:rsid w:val="00FC01CC"/>
    <w:rsid w:val="00FC0225"/>
    <w:rsid w:val="00FC0B2F"/>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53E"/>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CF6"/>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D7A18"/>
    <w:rsid w:val="00FE16B2"/>
    <w:rsid w:val="00FE19E5"/>
    <w:rsid w:val="00FE1B44"/>
    <w:rsid w:val="00FE213F"/>
    <w:rsid w:val="00FE23CB"/>
    <w:rsid w:val="00FE2D36"/>
    <w:rsid w:val="00FE2D92"/>
    <w:rsid w:val="00FE3551"/>
    <w:rsid w:val="00FE364B"/>
    <w:rsid w:val="00FE367F"/>
    <w:rsid w:val="00FE446B"/>
    <w:rsid w:val="00FE50AF"/>
    <w:rsid w:val="00FE5AC5"/>
    <w:rsid w:val="00FE5B28"/>
    <w:rsid w:val="00FE60FA"/>
    <w:rsid w:val="00FE63DD"/>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6FE7"/>
    <w:rsid w:val="00FF70DA"/>
    <w:rsid w:val="00FF7A10"/>
    <w:rsid w:val="00FF7A2B"/>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70475"/>
    <w:pPr>
      <w:keepNext/>
      <w:keepLines/>
      <w:spacing w:before="720" w:after="36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70475"/>
    <w:pPr>
      <w:spacing w:before="640" w:after="20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semiHidden/>
    <w:unhideWhenUsed/>
    <w:rsid w:val="00884C8F"/>
    <w:rPr>
      <w:color w:val="605E5C"/>
      <w:shd w:val="clear" w:color="auto" w:fill="E1DFDD"/>
    </w:rPr>
  </w:style>
  <w:style w:type="character" w:customStyle="1" w:styleId="FootnoteTextChar">
    <w:name w:val="Footnote Text Char"/>
    <w:basedOn w:val="DefaultParagraphFont"/>
    <w:link w:val="FootnoteText"/>
    <w:rsid w:val="00C36637"/>
    <w:rPr>
      <w:rFonts w:ascii="Arial" w:hAnsi="Arial"/>
      <w:sz w:val="18"/>
      <w:lang w:eastAsia="en-GB"/>
    </w:rPr>
  </w:style>
  <w:style w:type="paragraph" w:customStyle="1" w:styleId="Boxbody">
    <w:name w:val="Box body"/>
    <w:basedOn w:val="BodyText"/>
    <w:rsid w:val="00074C9E"/>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908">
      <w:bodyDiv w:val="1"/>
      <w:marLeft w:val="0"/>
      <w:marRight w:val="0"/>
      <w:marTop w:val="0"/>
      <w:marBottom w:val="0"/>
      <w:divBdr>
        <w:top w:val="none" w:sz="0" w:space="0" w:color="auto"/>
        <w:left w:val="none" w:sz="0" w:space="0" w:color="auto"/>
        <w:bottom w:val="none" w:sz="0" w:space="0" w:color="auto"/>
        <w:right w:val="none" w:sz="0" w:space="0" w:color="auto"/>
      </w:divBdr>
    </w:div>
    <w:div w:id="133721902">
      <w:bodyDiv w:val="1"/>
      <w:marLeft w:val="0"/>
      <w:marRight w:val="0"/>
      <w:marTop w:val="0"/>
      <w:marBottom w:val="0"/>
      <w:divBdr>
        <w:top w:val="none" w:sz="0" w:space="0" w:color="auto"/>
        <w:left w:val="none" w:sz="0" w:space="0" w:color="auto"/>
        <w:bottom w:val="none" w:sz="0" w:space="0" w:color="auto"/>
        <w:right w:val="none" w:sz="0" w:space="0" w:color="auto"/>
      </w:divBdr>
    </w:div>
    <w:div w:id="392117541">
      <w:bodyDiv w:val="1"/>
      <w:marLeft w:val="0"/>
      <w:marRight w:val="0"/>
      <w:marTop w:val="0"/>
      <w:marBottom w:val="0"/>
      <w:divBdr>
        <w:top w:val="none" w:sz="0" w:space="0" w:color="auto"/>
        <w:left w:val="none" w:sz="0" w:space="0" w:color="auto"/>
        <w:bottom w:val="none" w:sz="0" w:space="0" w:color="auto"/>
        <w:right w:val="none" w:sz="0" w:space="0" w:color="auto"/>
      </w:divBdr>
    </w:div>
    <w:div w:id="830103451">
      <w:bodyDiv w:val="1"/>
      <w:marLeft w:val="0"/>
      <w:marRight w:val="0"/>
      <w:marTop w:val="0"/>
      <w:marBottom w:val="0"/>
      <w:divBdr>
        <w:top w:val="none" w:sz="0" w:space="0" w:color="auto"/>
        <w:left w:val="none" w:sz="0" w:space="0" w:color="auto"/>
        <w:bottom w:val="none" w:sz="0" w:space="0" w:color="auto"/>
        <w:right w:val="none" w:sz="0" w:space="0" w:color="auto"/>
      </w:divBdr>
    </w:div>
    <w:div w:id="1076560599">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73576696">
      <w:bodyDiv w:val="1"/>
      <w:marLeft w:val="0"/>
      <w:marRight w:val="0"/>
      <w:marTop w:val="0"/>
      <w:marBottom w:val="0"/>
      <w:divBdr>
        <w:top w:val="none" w:sz="0" w:space="0" w:color="auto"/>
        <w:left w:val="none" w:sz="0" w:space="0" w:color="auto"/>
        <w:bottom w:val="none" w:sz="0" w:space="0" w:color="auto"/>
        <w:right w:val="none" w:sz="0" w:space="0" w:color="auto"/>
      </w:divBdr>
    </w:div>
    <w:div w:id="1473138954">
      <w:bodyDiv w:val="1"/>
      <w:marLeft w:val="0"/>
      <w:marRight w:val="0"/>
      <w:marTop w:val="0"/>
      <w:marBottom w:val="0"/>
      <w:divBdr>
        <w:top w:val="none" w:sz="0" w:space="0" w:color="auto"/>
        <w:left w:val="none" w:sz="0" w:space="0" w:color="auto"/>
        <w:bottom w:val="none" w:sz="0" w:space="0" w:color="auto"/>
        <w:right w:val="none" w:sz="0" w:space="0" w:color="auto"/>
      </w:divBdr>
    </w:div>
    <w:div w:id="1515458549">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662196831">
      <w:bodyDiv w:val="1"/>
      <w:marLeft w:val="0"/>
      <w:marRight w:val="0"/>
      <w:marTop w:val="0"/>
      <w:marBottom w:val="0"/>
      <w:divBdr>
        <w:top w:val="none" w:sz="0" w:space="0" w:color="auto"/>
        <w:left w:val="none" w:sz="0" w:space="0" w:color="auto"/>
        <w:bottom w:val="none" w:sz="0" w:space="0" w:color="auto"/>
        <w:right w:val="none" w:sz="0" w:space="0" w:color="auto"/>
      </w:divBdr>
    </w:div>
    <w:div w:id="19318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er.gov.au/retail-markets/performance-reporting/affordability-in-retail-energy-markets-september-2019" TargetMode="External"/><Relationship Id="rId13" Type="http://schemas.openxmlformats.org/officeDocument/2006/relationships/hyperlink" Target="https://www.evoenergy.com.au/about-us/about-our-network/gas-five-year-plan/gas-network-consultation-program" TargetMode="External"/><Relationship Id="rId3" Type="http://schemas.openxmlformats.org/officeDocument/2006/relationships/hyperlink" Target="https://renew.org.au/wp-content/uploads/2018/08/Household_fuel_choice_in_the_NEM_Revised_June_2018.pdf" TargetMode="External"/><Relationship Id="rId7" Type="http://schemas.openxmlformats.org/officeDocument/2006/relationships/hyperlink" Target="https://www.evoenergy.com.au/about-us/about-our-network/gas-five-year-plan/gas-network-consultation-program" TargetMode="External"/><Relationship Id="rId12" Type="http://schemas.openxmlformats.org/officeDocument/2006/relationships/hyperlink" Target="https://renew.org.au/wp-content/uploads/2019/06/HydrogenHelpOrHype02d.pdf" TargetMode="External"/><Relationship Id="rId2" Type="http://schemas.openxmlformats.org/officeDocument/2006/relationships/hyperlink" Target="https://renew.org.au/wp-content/projects/CAP_Gas_Research_Final_Report_251114_v2.0.pdf" TargetMode="External"/><Relationship Id="rId1" Type="http://schemas.openxmlformats.org/officeDocument/2006/relationships/hyperlink" Target="https://www.evoenergy.com.au/gas-network-draft-plan" TargetMode="External"/><Relationship Id="rId6" Type="http://schemas.openxmlformats.org/officeDocument/2006/relationships/hyperlink" Target="https://www.evoenergy.com.au/about-us/about-our-network/gas-five-year-plan/gas-network-consultation-program" TargetMode="External"/><Relationship Id="rId11" Type="http://schemas.openxmlformats.org/officeDocument/2006/relationships/hyperlink" Target="http://www.lowcarbonlivingcrc.com.au/resources/crc-publications/guide-implementing-low-carbon-retrofits-social-housing" TargetMode="External"/><Relationship Id="rId5" Type="http://schemas.openxmlformats.org/officeDocument/2006/relationships/hyperlink" Target="https://www.actcoss.org.au/publications/advocacy-publications/submission-response-act-sustainable-energy-policy-2020-25" TargetMode="External"/><Relationship Id="rId15" Type="http://schemas.openxmlformats.org/officeDocument/2006/relationships/hyperlink" Target="https://www.edf.org/sites/default/files/documents/Managing%20the%20Transition_1.pdf" TargetMode="External"/><Relationship Id="rId10" Type="http://schemas.openxmlformats.org/officeDocument/2006/relationships/hyperlink" Target="https://www.actcoss.org.au/publications/advocacy-publications/act-cost-living-report-2019" TargetMode="External"/><Relationship Id="rId4" Type="http://schemas.openxmlformats.org/officeDocument/2006/relationships/hyperlink" Target="https://www.environment.act.gov.au/cc/act-climate-change-strategy" TargetMode="External"/><Relationship Id="rId9" Type="http://schemas.openxmlformats.org/officeDocument/2006/relationships/hyperlink" Target="https://www.sacoss.org.au/sites/default/files/public/documents/Reports/131120_Relative_Energy_Poverty_in_Australia%20Report.pdf" TargetMode="External"/><Relationship Id="rId14" Type="http://schemas.openxmlformats.org/officeDocument/2006/relationships/hyperlink" Target="https://www.aemc.gov.au/sites/default/files/2019-07/Applying%20the%20energy%20market%20objectives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22B7-250C-44DE-AF10-0ADFC904FF8B}">
  <ds:schemaRef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5A16AA8-6094-435F-A464-9D60D611C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B6A4C11C-0CB7-4DF3-8FF1-CACD1184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1764</TotalTime>
  <Pages>23</Pages>
  <Words>6279</Words>
  <Characters>35890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ACTCOSS submission: Evoenergy Gas Network 2021 Draft Plan</vt:lpstr>
    </vt:vector>
  </TitlesOfParts>
  <Company>ACT Council of Social Service</Company>
  <LinksUpToDate>false</LinksUpToDate>
  <CharactersWithSpaces>42085</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Evoenergy Gas Network 2021 Draft Plan</dc:title>
  <dc:subject/>
  <dc:creator/>
  <cp:keywords/>
  <dc:description/>
  <cp:lastModifiedBy>Suzanne Richardson</cp:lastModifiedBy>
  <cp:revision>1013</cp:revision>
  <cp:lastPrinted>2020-04-14T05:49:00Z</cp:lastPrinted>
  <dcterms:created xsi:type="dcterms:W3CDTF">2020-04-07T22:49:00Z</dcterms:created>
  <dcterms:modified xsi:type="dcterms:W3CDTF">2020-06-05T06:52:00Z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y fmtid="{D5CDD505-2E9C-101B-9397-08002B2CF9AE}" pid="6" name="_MarkAsFinal">
    <vt:bool>true</vt:bool>
  </property>
</Properties>
</file>