
<file path=[Content_Types].xml><?xml version="1.0" encoding="utf-8"?>
<Types xmlns="http://schemas.openxmlformats.org/package/2006/content-types">
  <Default Extension="bin" ContentType="application/vnd.ms-word.attachedToolbar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EDCE44" w14:textId="2B676439" w:rsidR="00EC2A44" w:rsidRDefault="007369B0" w:rsidP="00EC2A44">
      <w:bookmarkStart w:id="0" w:name="Text1"/>
      <w:r>
        <w:rPr>
          <w:noProof/>
          <w:lang w:eastAsia="en-AU"/>
        </w:rPr>
        <mc:AlternateContent>
          <mc:Choice Requires="wpg">
            <w:drawing>
              <wp:anchor distT="0" distB="0" distL="114300" distR="114300" simplePos="0" relativeHeight="251658240" behindDoc="0" locked="0" layoutInCell="1" allowOverlap="1" wp14:anchorId="66EDCE56" wp14:editId="7C0F13DF">
                <wp:simplePos x="0" y="0"/>
                <wp:positionH relativeFrom="column">
                  <wp:posOffset>-2057400</wp:posOffset>
                </wp:positionH>
                <wp:positionV relativeFrom="paragraph">
                  <wp:posOffset>-1800225</wp:posOffset>
                </wp:positionV>
                <wp:extent cx="2945765" cy="10693400"/>
                <wp:effectExtent l="0" t="0" r="0" b="3175"/>
                <wp:wrapNone/>
                <wp:docPr id="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45765" cy="10693400"/>
                          <a:chOff x="-121" y="0"/>
                          <a:chExt cx="4639" cy="16840"/>
                        </a:xfrm>
                      </wpg:grpSpPr>
                      <wps:wsp>
                        <wps:cNvPr id="2" name="Text Box 4"/>
                        <wps:cNvSpPr txBox="1">
                          <a:spLocks noChangeArrowheads="1"/>
                        </wps:cNvSpPr>
                        <wps:spPr bwMode="auto">
                          <a:xfrm>
                            <a:off x="-121" y="0"/>
                            <a:ext cx="2569" cy="16840"/>
                          </a:xfrm>
                          <a:prstGeom prst="rect">
                            <a:avLst/>
                          </a:prstGeom>
                          <a:solidFill>
                            <a:srgbClr val="005984"/>
                          </a:solidFill>
                          <a:ln>
                            <a:noFill/>
                          </a:ln>
                          <a:extLst>
                            <a:ext uri="{91240B29-F687-4F45-9708-019B960494DF}">
                              <a14:hiddenLine xmlns:a14="http://schemas.microsoft.com/office/drawing/2010/main" w="3175">
                                <a:solidFill>
                                  <a:srgbClr val="333399"/>
                                </a:solidFill>
                                <a:miter lim="800000"/>
                                <a:headEnd/>
                                <a:tailEnd/>
                              </a14:hiddenLine>
                            </a:ext>
                          </a:extLst>
                        </wps:spPr>
                        <wps:txbx>
                          <w:txbxContent>
                            <w:p w14:paraId="66EDCE5F" w14:textId="77777777" w:rsidR="00D14762" w:rsidRDefault="00D14762" w:rsidP="00D14762">
                              <w:pPr>
                                <w:jc w:val="right"/>
                                <w:rPr>
                                  <w:rFonts w:ascii="Abadi MT Condensed Light" w:hAnsi="Abadi MT Condensed Light"/>
                                  <w:sz w:val="20"/>
                                </w:rPr>
                              </w:pPr>
                            </w:p>
                            <w:p w14:paraId="66EDCE60" w14:textId="77777777" w:rsidR="00D14762" w:rsidRDefault="00D14762" w:rsidP="00D14762">
                              <w:pPr>
                                <w:jc w:val="right"/>
                                <w:rPr>
                                  <w:rFonts w:ascii="Abadi MT Condensed Light" w:hAnsi="Abadi MT Condensed Light"/>
                                  <w:sz w:val="20"/>
                                </w:rPr>
                              </w:pPr>
                            </w:p>
                            <w:p w14:paraId="66EDCE61" w14:textId="77777777" w:rsidR="00D14762" w:rsidRDefault="00D14762" w:rsidP="00D14762">
                              <w:pPr>
                                <w:jc w:val="right"/>
                                <w:rPr>
                                  <w:rFonts w:ascii="Abadi MT Condensed Light" w:hAnsi="Abadi MT Condensed Light"/>
                                  <w:sz w:val="20"/>
                                </w:rPr>
                              </w:pPr>
                            </w:p>
                            <w:p w14:paraId="66EDCE62" w14:textId="77777777" w:rsidR="00D14762" w:rsidRDefault="00D14762" w:rsidP="00D14762">
                              <w:pPr>
                                <w:jc w:val="right"/>
                                <w:rPr>
                                  <w:rFonts w:ascii="Abadi MT Condensed Light" w:hAnsi="Abadi MT Condensed Light"/>
                                  <w:sz w:val="20"/>
                                </w:rPr>
                              </w:pPr>
                            </w:p>
                            <w:p w14:paraId="66EDCE63" w14:textId="77777777" w:rsidR="00D14762" w:rsidRDefault="00D14762" w:rsidP="00D14762">
                              <w:pPr>
                                <w:jc w:val="right"/>
                                <w:rPr>
                                  <w:rFonts w:ascii="Abadi MT Condensed Light" w:hAnsi="Abadi MT Condensed Light"/>
                                  <w:sz w:val="20"/>
                                </w:rPr>
                              </w:pPr>
                            </w:p>
                            <w:p w14:paraId="66EDCE64" w14:textId="77777777" w:rsidR="00D14762" w:rsidRDefault="00D14762" w:rsidP="00D14762">
                              <w:pPr>
                                <w:jc w:val="right"/>
                                <w:rPr>
                                  <w:rFonts w:ascii="Abadi MT Condensed Light" w:hAnsi="Abadi MT Condensed Light"/>
                                  <w:sz w:val="20"/>
                                </w:rPr>
                              </w:pPr>
                            </w:p>
                            <w:p w14:paraId="66EDCE65" w14:textId="77777777" w:rsidR="00D14762" w:rsidRDefault="00D14762" w:rsidP="00D14762">
                              <w:pPr>
                                <w:jc w:val="right"/>
                                <w:rPr>
                                  <w:rFonts w:ascii="Abadi MT Condensed Light" w:hAnsi="Abadi MT Condensed Light"/>
                                  <w:sz w:val="20"/>
                                </w:rPr>
                              </w:pPr>
                            </w:p>
                            <w:p w14:paraId="66EDCE66" w14:textId="77777777" w:rsidR="00D14762" w:rsidRDefault="00D14762" w:rsidP="00D14762">
                              <w:pPr>
                                <w:pStyle w:val="Letterhead"/>
                              </w:pPr>
                              <w:r>
                                <w:t xml:space="preserve">ABN: 81 818 839 988 </w:t>
                              </w:r>
                            </w:p>
                            <w:p w14:paraId="66EDCE67" w14:textId="77777777" w:rsidR="00D14762" w:rsidRDefault="00D14762" w:rsidP="00D14762">
                              <w:pPr>
                                <w:jc w:val="right"/>
                                <w:rPr>
                                  <w:rFonts w:ascii="Abadi MT Condensed Light" w:hAnsi="Abadi MT Condensed Light"/>
                                  <w:sz w:val="20"/>
                                </w:rPr>
                              </w:pPr>
                            </w:p>
                            <w:p w14:paraId="66EDCE68" w14:textId="77777777" w:rsidR="00D14762" w:rsidRDefault="00D14762" w:rsidP="00D14762">
                              <w:pPr>
                                <w:jc w:val="right"/>
                                <w:rPr>
                                  <w:rFonts w:ascii="Abadi MT Condensed Light" w:hAnsi="Abadi MT Condensed Light"/>
                                  <w:sz w:val="20"/>
                                </w:rPr>
                              </w:pPr>
                            </w:p>
                            <w:p w14:paraId="66EDCE69" w14:textId="77777777" w:rsidR="00D14762" w:rsidRDefault="00D14762" w:rsidP="00D14762">
                              <w:pPr>
                                <w:jc w:val="right"/>
                                <w:rPr>
                                  <w:rFonts w:ascii="Abadi MT Condensed Light" w:hAnsi="Abadi MT Condensed Light"/>
                                  <w:sz w:val="20"/>
                                </w:rPr>
                              </w:pPr>
                            </w:p>
                            <w:p w14:paraId="66EDCE6A" w14:textId="77777777" w:rsidR="00D14762" w:rsidRDefault="00D14762" w:rsidP="00D14762">
                              <w:pPr>
                                <w:jc w:val="right"/>
                                <w:rPr>
                                  <w:rFonts w:ascii="Abadi MT Condensed Light" w:hAnsi="Abadi MT Condensed Light"/>
                                  <w:sz w:val="20"/>
                                </w:rPr>
                              </w:pPr>
                            </w:p>
                            <w:p w14:paraId="66EDCE6B" w14:textId="77777777" w:rsidR="00D14762" w:rsidRDefault="00D14762" w:rsidP="00D14762">
                              <w:pPr>
                                <w:jc w:val="right"/>
                                <w:rPr>
                                  <w:rFonts w:ascii="Abadi MT Condensed Light" w:hAnsi="Abadi MT Condensed Light"/>
                                  <w:sz w:val="20"/>
                                </w:rPr>
                              </w:pPr>
                            </w:p>
                            <w:p w14:paraId="66EDCE6C" w14:textId="77777777" w:rsidR="00D14762" w:rsidRDefault="00D14762" w:rsidP="00D14762">
                              <w:pPr>
                                <w:jc w:val="right"/>
                                <w:rPr>
                                  <w:rFonts w:ascii="Abadi MT Condensed Light" w:hAnsi="Abadi MT Condensed Light"/>
                                  <w:sz w:val="20"/>
                                </w:rPr>
                              </w:pPr>
                            </w:p>
                            <w:p w14:paraId="66EDCE6D" w14:textId="77777777" w:rsidR="00D14762" w:rsidRDefault="00D14762" w:rsidP="00D14762">
                              <w:pPr>
                                <w:jc w:val="right"/>
                                <w:rPr>
                                  <w:rFonts w:ascii="Abadi MT Condensed Light" w:hAnsi="Abadi MT Condensed Light"/>
                                  <w:sz w:val="20"/>
                                </w:rPr>
                              </w:pPr>
                            </w:p>
                            <w:p w14:paraId="66EDCE6E" w14:textId="77777777" w:rsidR="00D14762" w:rsidRDefault="00D14762" w:rsidP="00D14762">
                              <w:pPr>
                                <w:jc w:val="right"/>
                                <w:rPr>
                                  <w:rFonts w:ascii="Abadi MT Condensed Light" w:hAnsi="Abadi MT Condensed Light"/>
                                  <w:sz w:val="20"/>
                                </w:rPr>
                              </w:pPr>
                            </w:p>
                            <w:p w14:paraId="66EDCE6F" w14:textId="77777777" w:rsidR="00D14762" w:rsidRDefault="00D14762" w:rsidP="00D14762">
                              <w:pPr>
                                <w:jc w:val="right"/>
                                <w:rPr>
                                  <w:rFonts w:ascii="Abadi MT Condensed Light" w:hAnsi="Abadi MT Condensed Light"/>
                                  <w:sz w:val="20"/>
                                </w:rPr>
                              </w:pPr>
                            </w:p>
                            <w:p w14:paraId="66EDCE70" w14:textId="77777777" w:rsidR="00D14762" w:rsidRDefault="00D14762" w:rsidP="00D14762">
                              <w:pPr>
                                <w:jc w:val="right"/>
                                <w:rPr>
                                  <w:rFonts w:ascii="Abadi MT Condensed Light" w:hAnsi="Abadi MT Condensed Light"/>
                                  <w:sz w:val="20"/>
                                </w:rPr>
                              </w:pPr>
                            </w:p>
                            <w:p w14:paraId="66EDCE71" w14:textId="77777777" w:rsidR="00D14762" w:rsidRDefault="00D14762" w:rsidP="00D14762">
                              <w:pPr>
                                <w:jc w:val="right"/>
                                <w:rPr>
                                  <w:rFonts w:ascii="Abadi MT Condensed Light" w:hAnsi="Abadi MT Condensed Light"/>
                                  <w:sz w:val="20"/>
                                </w:rPr>
                              </w:pPr>
                            </w:p>
                            <w:p w14:paraId="66EDCE72" w14:textId="77777777" w:rsidR="00D14762" w:rsidRDefault="00D14762" w:rsidP="00D14762">
                              <w:pPr>
                                <w:jc w:val="right"/>
                                <w:rPr>
                                  <w:rFonts w:ascii="Abadi MT Condensed Light" w:hAnsi="Abadi MT Condensed Light"/>
                                  <w:sz w:val="20"/>
                                </w:rPr>
                              </w:pPr>
                            </w:p>
                            <w:p w14:paraId="66EDCE73" w14:textId="77777777" w:rsidR="00D14762" w:rsidRDefault="00D14762" w:rsidP="00D14762">
                              <w:pPr>
                                <w:jc w:val="right"/>
                                <w:rPr>
                                  <w:rFonts w:ascii="Abadi MT Condensed Light" w:hAnsi="Abadi MT Condensed Light"/>
                                  <w:sz w:val="20"/>
                                </w:rPr>
                              </w:pPr>
                            </w:p>
                            <w:p w14:paraId="66EDCE74" w14:textId="77777777" w:rsidR="00D14762" w:rsidRDefault="00D14762" w:rsidP="00D14762">
                              <w:pPr>
                                <w:jc w:val="right"/>
                                <w:rPr>
                                  <w:rFonts w:ascii="Abadi MT Condensed Light" w:hAnsi="Abadi MT Condensed Light"/>
                                  <w:sz w:val="20"/>
                                </w:rPr>
                              </w:pPr>
                            </w:p>
                            <w:p w14:paraId="66EDCE75" w14:textId="77777777" w:rsidR="00D14762" w:rsidRDefault="00D14762" w:rsidP="00D14762">
                              <w:pPr>
                                <w:jc w:val="right"/>
                                <w:rPr>
                                  <w:rFonts w:ascii="Abadi MT Condensed Light" w:hAnsi="Abadi MT Condensed Light"/>
                                  <w:sz w:val="20"/>
                                </w:rPr>
                              </w:pPr>
                            </w:p>
                            <w:p w14:paraId="66EDCE76" w14:textId="77777777" w:rsidR="00D14762" w:rsidRDefault="00D14762" w:rsidP="00D14762">
                              <w:pPr>
                                <w:jc w:val="right"/>
                                <w:rPr>
                                  <w:rFonts w:ascii="Abadi MT Condensed Light" w:hAnsi="Abadi MT Condensed Light"/>
                                  <w:sz w:val="20"/>
                                </w:rPr>
                              </w:pPr>
                            </w:p>
                            <w:p w14:paraId="66EDCE77" w14:textId="77777777" w:rsidR="00D14762" w:rsidRDefault="00D14762" w:rsidP="00D14762">
                              <w:pPr>
                                <w:jc w:val="right"/>
                                <w:rPr>
                                  <w:rFonts w:ascii="Abadi MT Condensed Light" w:hAnsi="Abadi MT Condensed Light"/>
                                  <w:sz w:val="20"/>
                                </w:rPr>
                              </w:pPr>
                            </w:p>
                            <w:p w14:paraId="66EDCE78" w14:textId="77777777" w:rsidR="00D14762" w:rsidRDefault="00D14762" w:rsidP="00D14762">
                              <w:pPr>
                                <w:jc w:val="right"/>
                                <w:rPr>
                                  <w:rFonts w:ascii="Abadi MT Condensed Light" w:hAnsi="Abadi MT Condensed Light"/>
                                  <w:sz w:val="20"/>
                                </w:rPr>
                              </w:pPr>
                            </w:p>
                            <w:p w14:paraId="66EDCE79" w14:textId="77777777" w:rsidR="00D14762" w:rsidRDefault="00D14762" w:rsidP="00D14762">
                              <w:pPr>
                                <w:jc w:val="right"/>
                                <w:rPr>
                                  <w:rFonts w:ascii="Abadi MT Condensed Light" w:hAnsi="Abadi MT Condensed Light"/>
                                  <w:sz w:val="20"/>
                                </w:rPr>
                              </w:pPr>
                            </w:p>
                            <w:p w14:paraId="66EDCE7A" w14:textId="77777777" w:rsidR="00D14762" w:rsidRDefault="00D14762" w:rsidP="00D14762">
                              <w:pPr>
                                <w:jc w:val="right"/>
                                <w:rPr>
                                  <w:rFonts w:ascii="Abadi MT Condensed Light" w:hAnsi="Abadi MT Condensed Light"/>
                                  <w:sz w:val="20"/>
                                </w:rPr>
                              </w:pPr>
                            </w:p>
                            <w:p w14:paraId="66EDCE7B" w14:textId="77777777" w:rsidR="00D14762" w:rsidRDefault="00D14762" w:rsidP="00D14762">
                              <w:pPr>
                                <w:jc w:val="right"/>
                                <w:rPr>
                                  <w:rFonts w:ascii="Abadi MT Condensed Light" w:hAnsi="Abadi MT Condensed Light"/>
                                  <w:sz w:val="20"/>
                                </w:rPr>
                              </w:pPr>
                            </w:p>
                            <w:p w14:paraId="66EDCE7C" w14:textId="77777777" w:rsidR="00D14762" w:rsidRDefault="00D14762" w:rsidP="00D14762">
                              <w:pPr>
                                <w:jc w:val="right"/>
                                <w:rPr>
                                  <w:rFonts w:ascii="Abadi MT Condensed Light" w:hAnsi="Abadi MT Condensed Light"/>
                                  <w:sz w:val="20"/>
                                </w:rPr>
                              </w:pPr>
                            </w:p>
                            <w:p w14:paraId="66EDCE7D" w14:textId="77777777" w:rsidR="00D14762" w:rsidRDefault="00D14762" w:rsidP="00D14762">
                              <w:pPr>
                                <w:jc w:val="right"/>
                                <w:rPr>
                                  <w:rFonts w:ascii="Abadi MT Condensed Light" w:hAnsi="Abadi MT Condensed Light"/>
                                  <w:sz w:val="20"/>
                                </w:rPr>
                              </w:pPr>
                            </w:p>
                            <w:p w14:paraId="66EDCE7E" w14:textId="77777777" w:rsidR="00D14762" w:rsidRDefault="00D14762" w:rsidP="00D14762">
                              <w:pPr>
                                <w:jc w:val="right"/>
                                <w:rPr>
                                  <w:rFonts w:ascii="Abadi MT Condensed Light" w:hAnsi="Abadi MT Condensed Light"/>
                                  <w:sz w:val="20"/>
                                </w:rPr>
                              </w:pPr>
                            </w:p>
                            <w:p w14:paraId="66EDCE7F" w14:textId="77777777" w:rsidR="00D14762" w:rsidRDefault="00D14762" w:rsidP="00D14762">
                              <w:pPr>
                                <w:jc w:val="right"/>
                                <w:rPr>
                                  <w:rFonts w:ascii="Abadi MT Condensed Light" w:hAnsi="Abadi MT Condensed Light"/>
                                  <w:sz w:val="20"/>
                                </w:rPr>
                              </w:pPr>
                            </w:p>
                            <w:p w14:paraId="66EDCE80" w14:textId="77777777" w:rsidR="00D14762" w:rsidRDefault="00D14762" w:rsidP="00D14762">
                              <w:pPr>
                                <w:jc w:val="right"/>
                                <w:rPr>
                                  <w:rFonts w:ascii="Abadi MT Condensed Light" w:hAnsi="Abadi MT Condensed Light"/>
                                  <w:sz w:val="20"/>
                                </w:rPr>
                              </w:pPr>
                            </w:p>
                            <w:p w14:paraId="66EDCE81" w14:textId="77777777" w:rsidR="00D14762" w:rsidRDefault="00D14762" w:rsidP="00D14762">
                              <w:pPr>
                                <w:jc w:val="right"/>
                                <w:rPr>
                                  <w:rFonts w:ascii="Abadi MT Condensed Light" w:hAnsi="Abadi MT Condensed Light"/>
                                  <w:sz w:val="20"/>
                                </w:rPr>
                              </w:pPr>
                            </w:p>
                            <w:p w14:paraId="66EDCE82" w14:textId="77777777" w:rsidR="00D14762" w:rsidRDefault="00D14762" w:rsidP="00D14762">
                              <w:pPr>
                                <w:jc w:val="right"/>
                                <w:rPr>
                                  <w:rFonts w:ascii="Abadi MT Condensed Light" w:hAnsi="Abadi MT Condensed Light"/>
                                  <w:sz w:val="20"/>
                                </w:rPr>
                              </w:pPr>
                            </w:p>
                            <w:p w14:paraId="66EDCE83" w14:textId="77777777" w:rsidR="00D14762" w:rsidRDefault="00D14762" w:rsidP="00D14762">
                              <w:pPr>
                                <w:jc w:val="right"/>
                                <w:rPr>
                                  <w:rFonts w:ascii="Abadi MT Condensed Light" w:hAnsi="Abadi MT Condensed Light"/>
                                  <w:sz w:val="20"/>
                                </w:rPr>
                              </w:pPr>
                            </w:p>
                            <w:p w14:paraId="66EDCE84" w14:textId="77777777" w:rsidR="00D14762" w:rsidRDefault="00D14762" w:rsidP="00D14762">
                              <w:pPr>
                                <w:jc w:val="right"/>
                                <w:rPr>
                                  <w:rFonts w:ascii="Abadi MT Condensed Light" w:hAnsi="Abadi MT Condensed Light"/>
                                  <w:sz w:val="20"/>
                                </w:rPr>
                              </w:pPr>
                            </w:p>
                            <w:p w14:paraId="66EDCE85" w14:textId="77777777" w:rsidR="00D14762" w:rsidRDefault="00D14762" w:rsidP="00D14762">
                              <w:pPr>
                                <w:jc w:val="right"/>
                                <w:rPr>
                                  <w:rFonts w:ascii="Abadi MT Condensed Light" w:hAnsi="Abadi MT Condensed Light"/>
                                  <w:sz w:val="20"/>
                                </w:rPr>
                              </w:pPr>
                            </w:p>
                            <w:p w14:paraId="66EDCE86" w14:textId="77777777" w:rsidR="00D14762" w:rsidRDefault="00D14762" w:rsidP="00D14762">
                              <w:pPr>
                                <w:jc w:val="right"/>
                                <w:rPr>
                                  <w:rFonts w:ascii="Abadi MT Condensed Light" w:hAnsi="Abadi MT Condensed Light"/>
                                  <w:sz w:val="20"/>
                                </w:rPr>
                              </w:pPr>
                            </w:p>
                            <w:p w14:paraId="66EDCE87" w14:textId="77777777" w:rsidR="00D14762" w:rsidRDefault="00D14762" w:rsidP="00D14762">
                              <w:pPr>
                                <w:jc w:val="right"/>
                                <w:rPr>
                                  <w:rFonts w:ascii="Abadi MT Condensed Light" w:hAnsi="Abadi MT Condensed Light"/>
                                  <w:sz w:val="20"/>
                                </w:rPr>
                              </w:pPr>
                            </w:p>
                            <w:p w14:paraId="66EDCE88" w14:textId="77777777" w:rsidR="00D14762" w:rsidRDefault="00D14762" w:rsidP="00D14762">
                              <w:pPr>
                                <w:jc w:val="right"/>
                                <w:rPr>
                                  <w:rFonts w:ascii="Abadi MT Condensed Light" w:hAnsi="Abadi MT Condensed Light"/>
                                  <w:sz w:val="20"/>
                                </w:rPr>
                              </w:pPr>
                            </w:p>
                            <w:p w14:paraId="66EDCE89" w14:textId="77777777" w:rsidR="00D14762" w:rsidRDefault="00D14762" w:rsidP="00D14762">
                              <w:pPr>
                                <w:jc w:val="right"/>
                                <w:rPr>
                                  <w:rFonts w:ascii="Abadi MT Condensed Light" w:hAnsi="Abadi MT Condensed Light"/>
                                  <w:sz w:val="20"/>
                                </w:rPr>
                              </w:pPr>
                            </w:p>
                            <w:p w14:paraId="66EDCE8A" w14:textId="77777777" w:rsidR="00D14762" w:rsidRDefault="00D14762" w:rsidP="00D14762">
                              <w:pPr>
                                <w:jc w:val="right"/>
                                <w:rPr>
                                  <w:rFonts w:ascii="Abadi MT Condensed Light" w:hAnsi="Abadi MT Condensed Light"/>
                                  <w:sz w:val="20"/>
                                </w:rPr>
                              </w:pPr>
                            </w:p>
                            <w:p w14:paraId="66EDCE8B" w14:textId="77777777" w:rsidR="00D14762" w:rsidRDefault="00D14762" w:rsidP="00D14762">
                              <w:pPr>
                                <w:jc w:val="right"/>
                                <w:rPr>
                                  <w:rFonts w:ascii="Abadi MT Condensed Light" w:hAnsi="Abadi MT Condensed Light"/>
                                  <w:sz w:val="20"/>
                                </w:rPr>
                              </w:pPr>
                            </w:p>
                            <w:p w14:paraId="66EDCE8C" w14:textId="77777777" w:rsidR="00D14762" w:rsidRDefault="00D14762" w:rsidP="00D14762">
                              <w:pPr>
                                <w:jc w:val="right"/>
                                <w:rPr>
                                  <w:rFonts w:ascii="Abadi MT Condensed Light" w:hAnsi="Abadi MT Condensed Light"/>
                                  <w:sz w:val="20"/>
                                </w:rPr>
                              </w:pPr>
                            </w:p>
                            <w:p w14:paraId="66EDCE8D" w14:textId="77777777" w:rsidR="00D14762" w:rsidRDefault="00D14762" w:rsidP="00D14762">
                              <w:pPr>
                                <w:jc w:val="right"/>
                                <w:rPr>
                                  <w:rFonts w:ascii="Abadi MT Condensed Light" w:hAnsi="Abadi MT Condensed Light"/>
                                  <w:sz w:val="20"/>
                                </w:rPr>
                              </w:pPr>
                            </w:p>
                            <w:p w14:paraId="66EDCE8E" w14:textId="77777777" w:rsidR="00D14762" w:rsidRDefault="00D14762" w:rsidP="00D14762">
                              <w:pPr>
                                <w:jc w:val="right"/>
                                <w:rPr>
                                  <w:rFonts w:ascii="Abadi MT Condensed Light" w:hAnsi="Abadi MT Condensed Light"/>
                                </w:rPr>
                              </w:pPr>
                            </w:p>
                            <w:p w14:paraId="66EDCE8F" w14:textId="77777777" w:rsidR="00D14762" w:rsidRDefault="00D14762" w:rsidP="00D14762">
                              <w:pPr>
                                <w:jc w:val="right"/>
                                <w:rPr>
                                  <w:rFonts w:ascii="Abadi MT Condensed Light" w:hAnsi="Abadi MT Condensed Light"/>
                                </w:rPr>
                              </w:pPr>
                            </w:p>
                            <w:p w14:paraId="66EDCE90" w14:textId="77777777" w:rsidR="00D14762" w:rsidRDefault="00D14762" w:rsidP="00D14762">
                              <w:pPr>
                                <w:jc w:val="right"/>
                                <w:rPr>
                                  <w:rFonts w:ascii="Abadi MT Condensed Light" w:hAnsi="Abadi MT Condensed Light"/>
                                </w:rPr>
                              </w:pPr>
                            </w:p>
                            <w:p w14:paraId="66EDCE91" w14:textId="77777777" w:rsidR="00D14762" w:rsidRDefault="00D14762" w:rsidP="00D14762">
                              <w:pPr>
                                <w:jc w:val="right"/>
                                <w:rPr>
                                  <w:rFonts w:ascii="Abadi MT Condensed Light" w:hAnsi="Abadi MT Condensed Light"/>
                                </w:rPr>
                              </w:pPr>
                            </w:p>
                            <w:p w14:paraId="66EDCE92" w14:textId="77777777" w:rsidR="00D14762" w:rsidRDefault="00D14762" w:rsidP="00D14762">
                              <w:pPr>
                                <w:jc w:val="right"/>
                                <w:rPr>
                                  <w:rFonts w:ascii="Abadi MT Condensed Light" w:hAnsi="Abadi MT Condensed Light"/>
                                </w:rPr>
                              </w:pPr>
                            </w:p>
                            <w:p w14:paraId="66EDCE93" w14:textId="77777777" w:rsidR="00D14762" w:rsidRPr="00D14762" w:rsidRDefault="00D14762" w:rsidP="00D14762">
                              <w:pPr>
                                <w:pStyle w:val="Letterhead"/>
                                <w:rPr>
                                  <w:sz w:val="20"/>
                                  <w:szCs w:val="20"/>
                                </w:rPr>
                              </w:pPr>
                              <w:r w:rsidRPr="00D14762">
                                <w:rPr>
                                  <w:sz w:val="20"/>
                                  <w:szCs w:val="20"/>
                                </w:rPr>
                                <w:t>Weston Community Hub</w:t>
                              </w:r>
                            </w:p>
                            <w:p w14:paraId="66EDCE94" w14:textId="77777777" w:rsidR="00D14762" w:rsidRPr="00D14762" w:rsidRDefault="00D14762" w:rsidP="00D14762">
                              <w:pPr>
                                <w:pStyle w:val="Letterhead"/>
                                <w:rPr>
                                  <w:sz w:val="20"/>
                                  <w:szCs w:val="20"/>
                                </w:rPr>
                              </w:pPr>
                              <w:smartTag w:uri="urn:schemas-microsoft-com:office:smarttags" w:element="address">
                                <w:smartTag w:uri="urn:schemas-microsoft-com:office:smarttags" w:element="Street">
                                  <w:r w:rsidRPr="00D14762">
                                    <w:rPr>
                                      <w:sz w:val="20"/>
                                      <w:szCs w:val="20"/>
                                    </w:rPr>
                                    <w:t>1/6 Gritten St</w:t>
                                  </w:r>
                                </w:smartTag>
                              </w:smartTag>
                            </w:p>
                            <w:p w14:paraId="66EDCE95" w14:textId="77777777" w:rsidR="00D14762" w:rsidRPr="00D14762" w:rsidRDefault="00D14762" w:rsidP="006050B9">
                              <w:pPr>
                                <w:pStyle w:val="Letterhead"/>
                                <w:rPr>
                                  <w:sz w:val="20"/>
                                  <w:szCs w:val="20"/>
                                </w:rPr>
                              </w:pPr>
                              <w:r w:rsidRPr="00D14762">
                                <w:rPr>
                                  <w:sz w:val="20"/>
                                  <w:szCs w:val="20"/>
                                </w:rPr>
                                <w:t>Weston ACT 2611</w:t>
                              </w:r>
                            </w:p>
                            <w:p w14:paraId="66EDCE96" w14:textId="77777777" w:rsidR="00D14762" w:rsidRPr="00D14762" w:rsidRDefault="00D14762" w:rsidP="00D14762">
                              <w:pPr>
                                <w:pStyle w:val="Letterhead"/>
                                <w:rPr>
                                  <w:sz w:val="20"/>
                                  <w:szCs w:val="20"/>
                                </w:rPr>
                              </w:pPr>
                              <w:r w:rsidRPr="00D14762">
                                <w:rPr>
                                  <w:sz w:val="20"/>
                                  <w:szCs w:val="20"/>
                                </w:rPr>
                                <w:tab/>
                              </w:r>
                              <w:r w:rsidRPr="00D14762">
                                <w:rPr>
                                  <w:sz w:val="20"/>
                                  <w:szCs w:val="20"/>
                                </w:rPr>
                                <w:tab/>
                              </w:r>
                            </w:p>
                            <w:p w14:paraId="66EDCE97" w14:textId="77777777" w:rsidR="00D14762" w:rsidRPr="00D14762" w:rsidRDefault="00D14762" w:rsidP="00D14762">
                              <w:pPr>
                                <w:pStyle w:val="Letterhead"/>
                                <w:rPr>
                                  <w:sz w:val="20"/>
                                  <w:szCs w:val="20"/>
                                </w:rPr>
                              </w:pPr>
                              <w:r w:rsidRPr="00D14762">
                                <w:rPr>
                                  <w:sz w:val="20"/>
                                  <w:szCs w:val="20"/>
                                </w:rPr>
                                <w:t>ph 02 6202 7200</w:t>
                              </w:r>
                            </w:p>
                            <w:p w14:paraId="66EDCE98" w14:textId="77777777" w:rsidR="00D14762" w:rsidRPr="00D14762" w:rsidRDefault="00D14762" w:rsidP="00D14762">
                              <w:pPr>
                                <w:pStyle w:val="Letterhead"/>
                                <w:rPr>
                                  <w:sz w:val="20"/>
                                  <w:szCs w:val="20"/>
                                </w:rPr>
                              </w:pPr>
                            </w:p>
                            <w:p w14:paraId="66EDCE99" w14:textId="77777777" w:rsidR="00D14762" w:rsidRPr="00E0423E" w:rsidRDefault="00F31185" w:rsidP="00E0423E">
                              <w:pPr>
                                <w:pStyle w:val="Letterheadlinks"/>
                              </w:pPr>
                              <w:hyperlink r:id="rId12" w:history="1">
                                <w:r w:rsidR="00D14762" w:rsidRPr="00E0423E">
                                  <w:t>actcoss@actcoss.org.au</w:t>
                                </w:r>
                              </w:hyperlink>
                            </w:p>
                            <w:p w14:paraId="66EDCE9A" w14:textId="77777777" w:rsidR="00D14762" w:rsidRPr="00D14762" w:rsidRDefault="00D14762" w:rsidP="00E0423E">
                              <w:pPr>
                                <w:pStyle w:val="Letterheadlinks"/>
                              </w:pPr>
                              <w:r w:rsidRPr="00D14762">
                                <w:t>www.actcoss.org.au</w:t>
                              </w:r>
                            </w:p>
                          </w:txbxContent>
                        </wps:txbx>
                        <wps:bodyPr rot="0" vert="horz" wrap="square" lIns="91440" tIns="45720" rIns="91440" bIns="45720" anchor="t" anchorCtr="0" upright="1">
                          <a:noAutofit/>
                        </wps:bodyPr>
                      </wps:wsp>
                      <pic:pic xmlns:pic="http://schemas.openxmlformats.org/drawingml/2006/picture">
                        <pic:nvPicPr>
                          <pic:cNvPr id="3" name="Picture 5"/>
                          <pic:cNvPicPr preferRelativeResize="0">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446" y="413"/>
                            <a:ext cx="3072" cy="115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66EDCE56" id="Group 6" o:spid="_x0000_s1026" style="position:absolute;margin-left:-162pt;margin-top:-141.75pt;width:231.95pt;height:842pt;z-index:251658240" coordorigin="-121" coordsize="4639,16840"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">
                <v:shapetype id="_x0000_t202" coordsize="21600,21600" o:spt="202" path="m,l,21600r21600,l21600,xe">
                  <v:stroke joinstyle="miter"/>
                  <v:path gradientshapeok="t" o:connecttype="rect"/>
                </v:shapetype>
                <v:shape id="Text Box 4" o:spid="_x0000_s1027" type="#_x0000_t202" style="position:absolute;left:-121;width:2569;height:16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" fillcolor="#005984" stroked="f" strokecolor="#339" strokeweight=".25pt">
                  <v:textbox>
                    <w:txbxContent>
                      <w:p w14:paraId="66EDCE5F" w14:textId="77777777" w:rsidR="00D14762" w:rsidRDefault="00D14762" w:rsidP="00D14762">
                        <w:pPr>
                          <w:jc w:val="right"/>
                          <w:rPr>
                            <w:rFonts w:ascii="Abadi MT Condensed Light" w:hAnsi="Abadi MT Condensed Light"/>
                            <w:sz w:val="20"/>
                          </w:rPr>
                        </w:pPr>
                      </w:p>
                      <w:p w14:paraId="66EDCE60" w14:textId="77777777" w:rsidR="00D14762" w:rsidRDefault="00D14762" w:rsidP="00D14762">
                        <w:pPr>
                          <w:jc w:val="right"/>
                          <w:rPr>
                            <w:rFonts w:ascii="Abadi MT Condensed Light" w:hAnsi="Abadi MT Condensed Light"/>
                            <w:sz w:val="20"/>
                          </w:rPr>
                        </w:pPr>
                      </w:p>
                      <w:p w14:paraId="66EDCE61" w14:textId="77777777" w:rsidR="00D14762" w:rsidRDefault="00D14762" w:rsidP="00D14762">
                        <w:pPr>
                          <w:jc w:val="right"/>
                          <w:rPr>
                            <w:rFonts w:ascii="Abadi MT Condensed Light" w:hAnsi="Abadi MT Condensed Light"/>
                            <w:sz w:val="20"/>
                          </w:rPr>
                        </w:pPr>
                      </w:p>
                      <w:p w14:paraId="66EDCE62" w14:textId="77777777" w:rsidR="00D14762" w:rsidRDefault="00D14762" w:rsidP="00D14762">
                        <w:pPr>
                          <w:jc w:val="right"/>
                          <w:rPr>
                            <w:rFonts w:ascii="Abadi MT Condensed Light" w:hAnsi="Abadi MT Condensed Light"/>
                            <w:sz w:val="20"/>
                          </w:rPr>
                        </w:pPr>
                      </w:p>
                      <w:p w14:paraId="66EDCE63" w14:textId="77777777" w:rsidR="00D14762" w:rsidRDefault="00D14762" w:rsidP="00D14762">
                        <w:pPr>
                          <w:jc w:val="right"/>
                          <w:rPr>
                            <w:rFonts w:ascii="Abadi MT Condensed Light" w:hAnsi="Abadi MT Condensed Light"/>
                            <w:sz w:val="20"/>
                          </w:rPr>
                        </w:pPr>
                      </w:p>
                      <w:p w14:paraId="66EDCE64" w14:textId="77777777" w:rsidR="00D14762" w:rsidRDefault="00D14762" w:rsidP="00D14762">
                        <w:pPr>
                          <w:jc w:val="right"/>
                          <w:rPr>
                            <w:rFonts w:ascii="Abadi MT Condensed Light" w:hAnsi="Abadi MT Condensed Light"/>
                            <w:sz w:val="20"/>
                          </w:rPr>
                        </w:pPr>
                      </w:p>
                      <w:p w14:paraId="66EDCE65" w14:textId="77777777" w:rsidR="00D14762" w:rsidRDefault="00D14762" w:rsidP="00D14762">
                        <w:pPr>
                          <w:jc w:val="right"/>
                          <w:rPr>
                            <w:rFonts w:ascii="Abadi MT Condensed Light" w:hAnsi="Abadi MT Condensed Light"/>
                            <w:sz w:val="20"/>
                          </w:rPr>
                        </w:pPr>
                      </w:p>
                      <w:p w14:paraId="66EDCE66" w14:textId="77777777" w:rsidR="00D14762" w:rsidRDefault="00D14762" w:rsidP="00D14762">
                        <w:pPr>
                          <w:pStyle w:val="Letterhead"/>
                        </w:pPr>
                        <w:r>
                          <w:t xml:space="preserve">ABN: 81 818 839 988 </w:t>
                        </w:r>
                      </w:p>
                      <w:p w14:paraId="66EDCE67" w14:textId="77777777" w:rsidR="00D14762" w:rsidRDefault="00D14762" w:rsidP="00D14762">
                        <w:pPr>
                          <w:jc w:val="right"/>
                          <w:rPr>
                            <w:rFonts w:ascii="Abadi MT Condensed Light" w:hAnsi="Abadi MT Condensed Light"/>
                            <w:sz w:val="20"/>
                          </w:rPr>
                        </w:pPr>
                      </w:p>
                      <w:p w14:paraId="66EDCE68" w14:textId="77777777" w:rsidR="00D14762" w:rsidRDefault="00D14762" w:rsidP="00D14762">
                        <w:pPr>
                          <w:jc w:val="right"/>
                          <w:rPr>
                            <w:rFonts w:ascii="Abadi MT Condensed Light" w:hAnsi="Abadi MT Condensed Light"/>
                            <w:sz w:val="20"/>
                          </w:rPr>
                        </w:pPr>
                      </w:p>
                      <w:p w14:paraId="66EDCE69" w14:textId="77777777" w:rsidR="00D14762" w:rsidRDefault="00D14762" w:rsidP="00D14762">
                        <w:pPr>
                          <w:jc w:val="right"/>
                          <w:rPr>
                            <w:rFonts w:ascii="Abadi MT Condensed Light" w:hAnsi="Abadi MT Condensed Light"/>
                            <w:sz w:val="20"/>
                          </w:rPr>
                        </w:pPr>
                      </w:p>
                      <w:p w14:paraId="66EDCE6A" w14:textId="77777777" w:rsidR="00D14762" w:rsidRDefault="00D14762" w:rsidP="00D14762">
                        <w:pPr>
                          <w:jc w:val="right"/>
                          <w:rPr>
                            <w:rFonts w:ascii="Abadi MT Condensed Light" w:hAnsi="Abadi MT Condensed Light"/>
                            <w:sz w:val="20"/>
                          </w:rPr>
                        </w:pPr>
                      </w:p>
                      <w:p w14:paraId="66EDCE6B" w14:textId="77777777" w:rsidR="00D14762" w:rsidRDefault="00D14762" w:rsidP="00D14762">
                        <w:pPr>
                          <w:jc w:val="right"/>
                          <w:rPr>
                            <w:rFonts w:ascii="Abadi MT Condensed Light" w:hAnsi="Abadi MT Condensed Light"/>
                            <w:sz w:val="20"/>
                          </w:rPr>
                        </w:pPr>
                      </w:p>
                      <w:p w14:paraId="66EDCE6C" w14:textId="77777777" w:rsidR="00D14762" w:rsidRDefault="00D14762" w:rsidP="00D14762">
                        <w:pPr>
                          <w:jc w:val="right"/>
                          <w:rPr>
                            <w:rFonts w:ascii="Abadi MT Condensed Light" w:hAnsi="Abadi MT Condensed Light"/>
                            <w:sz w:val="20"/>
                          </w:rPr>
                        </w:pPr>
                      </w:p>
                      <w:p w14:paraId="66EDCE6D" w14:textId="77777777" w:rsidR="00D14762" w:rsidRDefault="00D14762" w:rsidP="00D14762">
                        <w:pPr>
                          <w:jc w:val="right"/>
                          <w:rPr>
                            <w:rFonts w:ascii="Abadi MT Condensed Light" w:hAnsi="Abadi MT Condensed Light"/>
                            <w:sz w:val="20"/>
                          </w:rPr>
                        </w:pPr>
                      </w:p>
                      <w:p w14:paraId="66EDCE6E" w14:textId="77777777" w:rsidR="00D14762" w:rsidRDefault="00D14762" w:rsidP="00D14762">
                        <w:pPr>
                          <w:jc w:val="right"/>
                          <w:rPr>
                            <w:rFonts w:ascii="Abadi MT Condensed Light" w:hAnsi="Abadi MT Condensed Light"/>
                            <w:sz w:val="20"/>
                          </w:rPr>
                        </w:pPr>
                      </w:p>
                      <w:p w14:paraId="66EDCE6F" w14:textId="77777777" w:rsidR="00D14762" w:rsidRDefault="00D14762" w:rsidP="00D14762">
                        <w:pPr>
                          <w:jc w:val="right"/>
                          <w:rPr>
                            <w:rFonts w:ascii="Abadi MT Condensed Light" w:hAnsi="Abadi MT Condensed Light"/>
                            <w:sz w:val="20"/>
                          </w:rPr>
                        </w:pPr>
                      </w:p>
                      <w:p w14:paraId="66EDCE70" w14:textId="77777777" w:rsidR="00D14762" w:rsidRDefault="00D14762" w:rsidP="00D14762">
                        <w:pPr>
                          <w:jc w:val="right"/>
                          <w:rPr>
                            <w:rFonts w:ascii="Abadi MT Condensed Light" w:hAnsi="Abadi MT Condensed Light"/>
                            <w:sz w:val="20"/>
                          </w:rPr>
                        </w:pPr>
                      </w:p>
                      <w:p w14:paraId="66EDCE71" w14:textId="77777777" w:rsidR="00D14762" w:rsidRDefault="00D14762" w:rsidP="00D14762">
                        <w:pPr>
                          <w:jc w:val="right"/>
                          <w:rPr>
                            <w:rFonts w:ascii="Abadi MT Condensed Light" w:hAnsi="Abadi MT Condensed Light"/>
                            <w:sz w:val="20"/>
                          </w:rPr>
                        </w:pPr>
                      </w:p>
                      <w:p w14:paraId="66EDCE72" w14:textId="77777777" w:rsidR="00D14762" w:rsidRDefault="00D14762" w:rsidP="00D14762">
                        <w:pPr>
                          <w:jc w:val="right"/>
                          <w:rPr>
                            <w:rFonts w:ascii="Abadi MT Condensed Light" w:hAnsi="Abadi MT Condensed Light"/>
                            <w:sz w:val="20"/>
                          </w:rPr>
                        </w:pPr>
                      </w:p>
                      <w:p w14:paraId="66EDCE73" w14:textId="77777777" w:rsidR="00D14762" w:rsidRDefault="00D14762" w:rsidP="00D14762">
                        <w:pPr>
                          <w:jc w:val="right"/>
                          <w:rPr>
                            <w:rFonts w:ascii="Abadi MT Condensed Light" w:hAnsi="Abadi MT Condensed Light"/>
                            <w:sz w:val="20"/>
                          </w:rPr>
                        </w:pPr>
                      </w:p>
                      <w:p w14:paraId="66EDCE74" w14:textId="77777777" w:rsidR="00D14762" w:rsidRDefault="00D14762" w:rsidP="00D14762">
                        <w:pPr>
                          <w:jc w:val="right"/>
                          <w:rPr>
                            <w:rFonts w:ascii="Abadi MT Condensed Light" w:hAnsi="Abadi MT Condensed Light"/>
                            <w:sz w:val="20"/>
                          </w:rPr>
                        </w:pPr>
                      </w:p>
                      <w:p w14:paraId="66EDCE75" w14:textId="77777777" w:rsidR="00D14762" w:rsidRDefault="00D14762" w:rsidP="00D14762">
                        <w:pPr>
                          <w:jc w:val="right"/>
                          <w:rPr>
                            <w:rFonts w:ascii="Abadi MT Condensed Light" w:hAnsi="Abadi MT Condensed Light"/>
                            <w:sz w:val="20"/>
                          </w:rPr>
                        </w:pPr>
                      </w:p>
                      <w:p w14:paraId="66EDCE76" w14:textId="77777777" w:rsidR="00D14762" w:rsidRDefault="00D14762" w:rsidP="00D14762">
                        <w:pPr>
                          <w:jc w:val="right"/>
                          <w:rPr>
                            <w:rFonts w:ascii="Abadi MT Condensed Light" w:hAnsi="Abadi MT Condensed Light"/>
                            <w:sz w:val="20"/>
                          </w:rPr>
                        </w:pPr>
                      </w:p>
                      <w:p w14:paraId="66EDCE77" w14:textId="77777777" w:rsidR="00D14762" w:rsidRDefault="00D14762" w:rsidP="00D14762">
                        <w:pPr>
                          <w:jc w:val="right"/>
                          <w:rPr>
                            <w:rFonts w:ascii="Abadi MT Condensed Light" w:hAnsi="Abadi MT Condensed Light"/>
                            <w:sz w:val="20"/>
                          </w:rPr>
                        </w:pPr>
                      </w:p>
                      <w:p w14:paraId="66EDCE78" w14:textId="77777777" w:rsidR="00D14762" w:rsidRDefault="00D14762" w:rsidP="00D14762">
                        <w:pPr>
                          <w:jc w:val="right"/>
                          <w:rPr>
                            <w:rFonts w:ascii="Abadi MT Condensed Light" w:hAnsi="Abadi MT Condensed Light"/>
                            <w:sz w:val="20"/>
                          </w:rPr>
                        </w:pPr>
                      </w:p>
                      <w:p w14:paraId="66EDCE79" w14:textId="77777777" w:rsidR="00D14762" w:rsidRDefault="00D14762" w:rsidP="00D14762">
                        <w:pPr>
                          <w:jc w:val="right"/>
                          <w:rPr>
                            <w:rFonts w:ascii="Abadi MT Condensed Light" w:hAnsi="Abadi MT Condensed Light"/>
                            <w:sz w:val="20"/>
                          </w:rPr>
                        </w:pPr>
                      </w:p>
                      <w:p w14:paraId="66EDCE7A" w14:textId="77777777" w:rsidR="00D14762" w:rsidRDefault="00D14762" w:rsidP="00D14762">
                        <w:pPr>
                          <w:jc w:val="right"/>
                          <w:rPr>
                            <w:rFonts w:ascii="Abadi MT Condensed Light" w:hAnsi="Abadi MT Condensed Light"/>
                            <w:sz w:val="20"/>
                          </w:rPr>
                        </w:pPr>
                      </w:p>
                      <w:p w14:paraId="66EDCE7B" w14:textId="77777777" w:rsidR="00D14762" w:rsidRDefault="00D14762" w:rsidP="00D14762">
                        <w:pPr>
                          <w:jc w:val="right"/>
                          <w:rPr>
                            <w:rFonts w:ascii="Abadi MT Condensed Light" w:hAnsi="Abadi MT Condensed Light"/>
                            <w:sz w:val="20"/>
                          </w:rPr>
                        </w:pPr>
                      </w:p>
                      <w:p w14:paraId="66EDCE7C" w14:textId="77777777" w:rsidR="00D14762" w:rsidRDefault="00D14762" w:rsidP="00D14762">
                        <w:pPr>
                          <w:jc w:val="right"/>
                          <w:rPr>
                            <w:rFonts w:ascii="Abadi MT Condensed Light" w:hAnsi="Abadi MT Condensed Light"/>
                            <w:sz w:val="20"/>
                          </w:rPr>
                        </w:pPr>
                      </w:p>
                      <w:p w14:paraId="66EDCE7D" w14:textId="77777777" w:rsidR="00D14762" w:rsidRDefault="00D14762" w:rsidP="00D14762">
                        <w:pPr>
                          <w:jc w:val="right"/>
                          <w:rPr>
                            <w:rFonts w:ascii="Abadi MT Condensed Light" w:hAnsi="Abadi MT Condensed Light"/>
                            <w:sz w:val="20"/>
                          </w:rPr>
                        </w:pPr>
                      </w:p>
                      <w:p w14:paraId="66EDCE7E" w14:textId="77777777" w:rsidR="00D14762" w:rsidRDefault="00D14762" w:rsidP="00D14762">
                        <w:pPr>
                          <w:jc w:val="right"/>
                          <w:rPr>
                            <w:rFonts w:ascii="Abadi MT Condensed Light" w:hAnsi="Abadi MT Condensed Light"/>
                            <w:sz w:val="20"/>
                          </w:rPr>
                        </w:pPr>
                      </w:p>
                      <w:p w14:paraId="66EDCE7F" w14:textId="77777777" w:rsidR="00D14762" w:rsidRDefault="00D14762" w:rsidP="00D14762">
                        <w:pPr>
                          <w:jc w:val="right"/>
                          <w:rPr>
                            <w:rFonts w:ascii="Abadi MT Condensed Light" w:hAnsi="Abadi MT Condensed Light"/>
                            <w:sz w:val="20"/>
                          </w:rPr>
                        </w:pPr>
                      </w:p>
                      <w:p w14:paraId="66EDCE80" w14:textId="77777777" w:rsidR="00D14762" w:rsidRDefault="00D14762" w:rsidP="00D14762">
                        <w:pPr>
                          <w:jc w:val="right"/>
                          <w:rPr>
                            <w:rFonts w:ascii="Abadi MT Condensed Light" w:hAnsi="Abadi MT Condensed Light"/>
                            <w:sz w:val="20"/>
                          </w:rPr>
                        </w:pPr>
                      </w:p>
                      <w:p w14:paraId="66EDCE81" w14:textId="77777777" w:rsidR="00D14762" w:rsidRDefault="00D14762" w:rsidP="00D14762">
                        <w:pPr>
                          <w:jc w:val="right"/>
                          <w:rPr>
                            <w:rFonts w:ascii="Abadi MT Condensed Light" w:hAnsi="Abadi MT Condensed Light"/>
                            <w:sz w:val="20"/>
                          </w:rPr>
                        </w:pPr>
                      </w:p>
                      <w:p w14:paraId="66EDCE82" w14:textId="77777777" w:rsidR="00D14762" w:rsidRDefault="00D14762" w:rsidP="00D14762">
                        <w:pPr>
                          <w:jc w:val="right"/>
                          <w:rPr>
                            <w:rFonts w:ascii="Abadi MT Condensed Light" w:hAnsi="Abadi MT Condensed Light"/>
                            <w:sz w:val="20"/>
                          </w:rPr>
                        </w:pPr>
                      </w:p>
                      <w:p w14:paraId="66EDCE83" w14:textId="77777777" w:rsidR="00D14762" w:rsidRDefault="00D14762" w:rsidP="00D14762">
                        <w:pPr>
                          <w:jc w:val="right"/>
                          <w:rPr>
                            <w:rFonts w:ascii="Abadi MT Condensed Light" w:hAnsi="Abadi MT Condensed Light"/>
                            <w:sz w:val="20"/>
                          </w:rPr>
                        </w:pPr>
                      </w:p>
                      <w:p w14:paraId="66EDCE84" w14:textId="77777777" w:rsidR="00D14762" w:rsidRDefault="00D14762" w:rsidP="00D14762">
                        <w:pPr>
                          <w:jc w:val="right"/>
                          <w:rPr>
                            <w:rFonts w:ascii="Abadi MT Condensed Light" w:hAnsi="Abadi MT Condensed Light"/>
                            <w:sz w:val="20"/>
                          </w:rPr>
                        </w:pPr>
                      </w:p>
                      <w:p w14:paraId="66EDCE85" w14:textId="77777777" w:rsidR="00D14762" w:rsidRDefault="00D14762" w:rsidP="00D14762">
                        <w:pPr>
                          <w:jc w:val="right"/>
                          <w:rPr>
                            <w:rFonts w:ascii="Abadi MT Condensed Light" w:hAnsi="Abadi MT Condensed Light"/>
                            <w:sz w:val="20"/>
                          </w:rPr>
                        </w:pPr>
                      </w:p>
                      <w:p w14:paraId="66EDCE86" w14:textId="77777777" w:rsidR="00D14762" w:rsidRDefault="00D14762" w:rsidP="00D14762">
                        <w:pPr>
                          <w:jc w:val="right"/>
                          <w:rPr>
                            <w:rFonts w:ascii="Abadi MT Condensed Light" w:hAnsi="Abadi MT Condensed Light"/>
                            <w:sz w:val="20"/>
                          </w:rPr>
                        </w:pPr>
                      </w:p>
                      <w:p w14:paraId="66EDCE87" w14:textId="77777777" w:rsidR="00D14762" w:rsidRDefault="00D14762" w:rsidP="00D14762">
                        <w:pPr>
                          <w:jc w:val="right"/>
                          <w:rPr>
                            <w:rFonts w:ascii="Abadi MT Condensed Light" w:hAnsi="Abadi MT Condensed Light"/>
                            <w:sz w:val="20"/>
                          </w:rPr>
                        </w:pPr>
                      </w:p>
                      <w:p w14:paraId="66EDCE88" w14:textId="77777777" w:rsidR="00D14762" w:rsidRDefault="00D14762" w:rsidP="00D14762">
                        <w:pPr>
                          <w:jc w:val="right"/>
                          <w:rPr>
                            <w:rFonts w:ascii="Abadi MT Condensed Light" w:hAnsi="Abadi MT Condensed Light"/>
                            <w:sz w:val="20"/>
                          </w:rPr>
                        </w:pPr>
                      </w:p>
                      <w:p w14:paraId="66EDCE89" w14:textId="77777777" w:rsidR="00D14762" w:rsidRDefault="00D14762" w:rsidP="00D14762">
                        <w:pPr>
                          <w:jc w:val="right"/>
                          <w:rPr>
                            <w:rFonts w:ascii="Abadi MT Condensed Light" w:hAnsi="Abadi MT Condensed Light"/>
                            <w:sz w:val="20"/>
                          </w:rPr>
                        </w:pPr>
                      </w:p>
                      <w:p w14:paraId="66EDCE8A" w14:textId="77777777" w:rsidR="00D14762" w:rsidRDefault="00D14762" w:rsidP="00D14762">
                        <w:pPr>
                          <w:jc w:val="right"/>
                          <w:rPr>
                            <w:rFonts w:ascii="Abadi MT Condensed Light" w:hAnsi="Abadi MT Condensed Light"/>
                            <w:sz w:val="20"/>
                          </w:rPr>
                        </w:pPr>
                      </w:p>
                      <w:p w14:paraId="66EDCE8B" w14:textId="77777777" w:rsidR="00D14762" w:rsidRDefault="00D14762" w:rsidP="00D14762">
                        <w:pPr>
                          <w:jc w:val="right"/>
                          <w:rPr>
                            <w:rFonts w:ascii="Abadi MT Condensed Light" w:hAnsi="Abadi MT Condensed Light"/>
                            <w:sz w:val="20"/>
                          </w:rPr>
                        </w:pPr>
                      </w:p>
                      <w:p w14:paraId="66EDCE8C" w14:textId="77777777" w:rsidR="00D14762" w:rsidRDefault="00D14762" w:rsidP="00D14762">
                        <w:pPr>
                          <w:jc w:val="right"/>
                          <w:rPr>
                            <w:rFonts w:ascii="Abadi MT Condensed Light" w:hAnsi="Abadi MT Condensed Light"/>
                            <w:sz w:val="20"/>
                          </w:rPr>
                        </w:pPr>
                      </w:p>
                      <w:p w14:paraId="66EDCE8D" w14:textId="77777777" w:rsidR="00D14762" w:rsidRDefault="00D14762" w:rsidP="00D14762">
                        <w:pPr>
                          <w:jc w:val="right"/>
                          <w:rPr>
                            <w:rFonts w:ascii="Abadi MT Condensed Light" w:hAnsi="Abadi MT Condensed Light"/>
                            <w:sz w:val="20"/>
                          </w:rPr>
                        </w:pPr>
                      </w:p>
                      <w:p w14:paraId="66EDCE8E" w14:textId="77777777" w:rsidR="00D14762" w:rsidRDefault="00D14762" w:rsidP="00D14762">
                        <w:pPr>
                          <w:jc w:val="right"/>
                          <w:rPr>
                            <w:rFonts w:ascii="Abadi MT Condensed Light" w:hAnsi="Abadi MT Condensed Light"/>
                          </w:rPr>
                        </w:pPr>
                      </w:p>
                      <w:p w14:paraId="66EDCE8F" w14:textId="77777777" w:rsidR="00D14762" w:rsidRDefault="00D14762" w:rsidP="00D14762">
                        <w:pPr>
                          <w:jc w:val="right"/>
                          <w:rPr>
                            <w:rFonts w:ascii="Abadi MT Condensed Light" w:hAnsi="Abadi MT Condensed Light"/>
                          </w:rPr>
                        </w:pPr>
                      </w:p>
                      <w:p w14:paraId="66EDCE90" w14:textId="77777777" w:rsidR="00D14762" w:rsidRDefault="00D14762" w:rsidP="00D14762">
                        <w:pPr>
                          <w:jc w:val="right"/>
                          <w:rPr>
                            <w:rFonts w:ascii="Abadi MT Condensed Light" w:hAnsi="Abadi MT Condensed Light"/>
                          </w:rPr>
                        </w:pPr>
                      </w:p>
                      <w:p w14:paraId="66EDCE91" w14:textId="77777777" w:rsidR="00D14762" w:rsidRDefault="00D14762" w:rsidP="00D14762">
                        <w:pPr>
                          <w:jc w:val="right"/>
                          <w:rPr>
                            <w:rFonts w:ascii="Abadi MT Condensed Light" w:hAnsi="Abadi MT Condensed Light"/>
                          </w:rPr>
                        </w:pPr>
                      </w:p>
                      <w:p w14:paraId="66EDCE92" w14:textId="77777777" w:rsidR="00D14762" w:rsidRDefault="00D14762" w:rsidP="00D14762">
                        <w:pPr>
                          <w:jc w:val="right"/>
                          <w:rPr>
                            <w:rFonts w:ascii="Abadi MT Condensed Light" w:hAnsi="Abadi MT Condensed Light"/>
                          </w:rPr>
                        </w:pPr>
                      </w:p>
                      <w:p w14:paraId="66EDCE93" w14:textId="77777777" w:rsidR="00D14762" w:rsidRPr="00D14762" w:rsidRDefault="00D14762" w:rsidP="00D14762">
                        <w:pPr>
                          <w:pStyle w:val="Letterhead"/>
                          <w:rPr>
                            <w:sz w:val="20"/>
                            <w:szCs w:val="20"/>
                          </w:rPr>
                        </w:pPr>
                        <w:r w:rsidRPr="00D14762">
                          <w:rPr>
                            <w:sz w:val="20"/>
                            <w:szCs w:val="20"/>
                          </w:rPr>
                          <w:t>Weston Community Hub</w:t>
                        </w:r>
                      </w:p>
                      <w:p w14:paraId="66EDCE94" w14:textId="77777777" w:rsidR="00D14762" w:rsidRPr="00D14762" w:rsidRDefault="00D14762" w:rsidP="00D14762">
                        <w:pPr>
                          <w:pStyle w:val="Letterhead"/>
                          <w:rPr>
                            <w:sz w:val="20"/>
                            <w:szCs w:val="20"/>
                          </w:rPr>
                        </w:pPr>
                        <w:smartTag w:uri="urn:schemas-microsoft-com:office:smarttags" w:element="address">
                          <w:smartTag w:uri="urn:schemas-microsoft-com:office:smarttags" w:element="Street">
                            <w:r w:rsidRPr="00D14762">
                              <w:rPr>
                                <w:sz w:val="20"/>
                                <w:szCs w:val="20"/>
                              </w:rPr>
                              <w:t>1/6 Gritten St</w:t>
                            </w:r>
                          </w:smartTag>
                        </w:smartTag>
                      </w:p>
                      <w:p w14:paraId="66EDCE95" w14:textId="77777777" w:rsidR="00D14762" w:rsidRPr="00D14762" w:rsidRDefault="00D14762" w:rsidP="006050B9">
                        <w:pPr>
                          <w:pStyle w:val="Letterhead"/>
                          <w:rPr>
                            <w:sz w:val="20"/>
                            <w:szCs w:val="20"/>
                          </w:rPr>
                        </w:pPr>
                        <w:r w:rsidRPr="00D14762">
                          <w:rPr>
                            <w:sz w:val="20"/>
                            <w:szCs w:val="20"/>
                          </w:rPr>
                          <w:t>Weston ACT 2611</w:t>
                        </w:r>
                      </w:p>
                      <w:p w14:paraId="66EDCE96" w14:textId="77777777" w:rsidR="00D14762" w:rsidRPr="00D14762" w:rsidRDefault="00D14762" w:rsidP="00D14762">
                        <w:pPr>
                          <w:pStyle w:val="Letterhead"/>
                          <w:rPr>
                            <w:sz w:val="20"/>
                            <w:szCs w:val="20"/>
                          </w:rPr>
                        </w:pPr>
                        <w:r w:rsidRPr="00D14762">
                          <w:rPr>
                            <w:sz w:val="20"/>
                            <w:szCs w:val="20"/>
                          </w:rPr>
                          <w:tab/>
                        </w:r>
                        <w:r w:rsidRPr="00D14762">
                          <w:rPr>
                            <w:sz w:val="20"/>
                            <w:szCs w:val="20"/>
                          </w:rPr>
                          <w:tab/>
                        </w:r>
                      </w:p>
                      <w:p w14:paraId="66EDCE97" w14:textId="77777777" w:rsidR="00D14762" w:rsidRPr="00D14762" w:rsidRDefault="00D14762" w:rsidP="00D14762">
                        <w:pPr>
                          <w:pStyle w:val="Letterhead"/>
                          <w:rPr>
                            <w:sz w:val="20"/>
                            <w:szCs w:val="20"/>
                          </w:rPr>
                        </w:pPr>
                        <w:r w:rsidRPr="00D14762">
                          <w:rPr>
                            <w:sz w:val="20"/>
                            <w:szCs w:val="20"/>
                          </w:rPr>
                          <w:t>ph 02 6202 7200</w:t>
                        </w:r>
                      </w:p>
                      <w:p w14:paraId="66EDCE98" w14:textId="77777777" w:rsidR="00D14762" w:rsidRPr="00D14762" w:rsidRDefault="00D14762" w:rsidP="00D14762">
                        <w:pPr>
                          <w:pStyle w:val="Letterhead"/>
                          <w:rPr>
                            <w:sz w:val="20"/>
                            <w:szCs w:val="20"/>
                          </w:rPr>
                        </w:pPr>
                      </w:p>
                      <w:p w14:paraId="66EDCE99" w14:textId="77777777" w:rsidR="00D14762" w:rsidRPr="00E0423E" w:rsidRDefault="00F31185" w:rsidP="00E0423E">
                        <w:pPr>
                          <w:pStyle w:val="Letterheadlinks"/>
                        </w:pPr>
                        <w:hyperlink r:id="rId14" w:history="1">
                          <w:r w:rsidR="00D14762" w:rsidRPr="00E0423E">
                            <w:t>actcoss@actcoss.org.au</w:t>
                          </w:r>
                        </w:hyperlink>
                      </w:p>
                      <w:p w14:paraId="66EDCE9A" w14:textId="77777777" w:rsidR="00D14762" w:rsidRPr="00D14762" w:rsidRDefault="00D14762" w:rsidP="00E0423E">
                        <w:pPr>
                          <w:pStyle w:val="Letterheadlinks"/>
                        </w:pPr>
                        <w:r w:rsidRPr="00D14762">
                          <w:t>www.actcoss.org.au</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8" type="#_x0000_t75" style="position:absolute;left:1446;top:413;width:3072;height:1153;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">
                  <v:imagedata r:id="rId15" o:title=""/>
                </v:shape>
              </v:group>
            </w:pict>
          </mc:Fallback>
        </mc:AlternateContent>
      </w:r>
      <w:bookmarkStart w:id="1" w:name="Text2"/>
      <w:bookmarkEnd w:id="0"/>
      <w:r w:rsidR="00E74235">
        <w:t>Mr Joe Dimasi</w:t>
      </w:r>
    </w:p>
    <w:p w14:paraId="1F5B9D59" w14:textId="58984F6C" w:rsidR="001778B5" w:rsidRDefault="00973EA1" w:rsidP="001778B5">
      <w:bookmarkStart w:id="2" w:name="Text3"/>
      <w:bookmarkEnd w:id="1"/>
      <w:r>
        <w:t>Senior Commissioner</w:t>
      </w:r>
    </w:p>
    <w:p w14:paraId="65254E1C" w14:textId="64154742" w:rsidR="001778B5" w:rsidRDefault="001778B5" w:rsidP="001778B5">
      <w:r>
        <w:t>Independent Competition and Regulatory Commission</w:t>
      </w:r>
    </w:p>
    <w:p w14:paraId="63327F75" w14:textId="77777777" w:rsidR="001778B5" w:rsidRDefault="001778B5" w:rsidP="001778B5">
      <w:r>
        <w:t>PO Box 161</w:t>
      </w:r>
    </w:p>
    <w:p w14:paraId="66EDCE47" w14:textId="1F6E79E3" w:rsidR="00E0423E" w:rsidRDefault="001778B5" w:rsidP="005E2DD5">
      <w:r>
        <w:t>CIVIC SQUARE ACT 2608</w:t>
      </w:r>
      <w:bookmarkEnd w:id="2"/>
    </w:p>
    <w:p w14:paraId="66EDCE48" w14:textId="77777777" w:rsidR="00E0423E" w:rsidRDefault="00E0423E" w:rsidP="00EC2A44"/>
    <w:p w14:paraId="66EDCE4A" w14:textId="1A3BE5AD" w:rsidR="00E0423E" w:rsidRDefault="00E0423E" w:rsidP="00C12F9E">
      <w:pPr>
        <w:pStyle w:val="BodyText"/>
      </w:pPr>
      <w:r>
        <w:t xml:space="preserve">Via email: </w:t>
      </w:r>
      <w:hyperlink r:id="rId16" w:history="1">
        <w:r w:rsidR="00D4380E" w:rsidRPr="00A35DD4">
          <w:rPr>
            <w:rStyle w:val="Hyperlink"/>
          </w:rPr>
          <w:t>icrc@act.gov.au</w:t>
        </w:r>
      </w:hyperlink>
      <w:r w:rsidR="00D4380E">
        <w:t xml:space="preserve"> </w:t>
      </w:r>
    </w:p>
    <w:p w14:paraId="66EDCE4B" w14:textId="77777777" w:rsidR="00E0423E" w:rsidRDefault="00E0423E" w:rsidP="00C12F9E">
      <w:pPr>
        <w:pStyle w:val="BodyText"/>
      </w:pPr>
    </w:p>
    <w:p w14:paraId="66EDCE4C" w14:textId="7099C71B" w:rsidR="00E0423E" w:rsidRDefault="00E0423E" w:rsidP="00C12F9E">
      <w:pPr>
        <w:pStyle w:val="BodyText"/>
      </w:pPr>
      <w:r>
        <w:t xml:space="preserve">Dear </w:t>
      </w:r>
      <w:r w:rsidR="002A15C7">
        <w:t xml:space="preserve">Commissioner </w:t>
      </w:r>
      <w:r w:rsidR="00935718">
        <w:t>Dimasi</w:t>
      </w:r>
    </w:p>
    <w:p w14:paraId="66EDCE4D" w14:textId="05484E69" w:rsidR="00E0423E" w:rsidRPr="00E0423E" w:rsidRDefault="00C115BA" w:rsidP="00C12F9E">
      <w:pPr>
        <w:pStyle w:val="BodyText"/>
        <w:rPr>
          <w:rStyle w:val="Bold"/>
        </w:rPr>
      </w:pPr>
      <w:r>
        <w:rPr>
          <w:rStyle w:val="Bold"/>
        </w:rPr>
        <w:t xml:space="preserve">Submission to Issues Paper </w:t>
      </w:r>
      <w:r w:rsidR="002E66CE">
        <w:rPr>
          <w:rStyle w:val="Bold"/>
        </w:rPr>
        <w:t>on</w:t>
      </w:r>
      <w:r w:rsidR="00903A7E">
        <w:rPr>
          <w:rStyle w:val="Bold"/>
        </w:rPr>
        <w:t xml:space="preserve"> the</w:t>
      </w:r>
      <w:r w:rsidR="002E66CE">
        <w:rPr>
          <w:rStyle w:val="Bold"/>
        </w:rPr>
        <w:t xml:space="preserve"> </w:t>
      </w:r>
      <w:r w:rsidR="002E66CE" w:rsidRPr="002E66CE">
        <w:rPr>
          <w:rStyle w:val="Bold"/>
        </w:rPr>
        <w:t>Review of the Retail Electricity Form of Price Control</w:t>
      </w:r>
    </w:p>
    <w:p w14:paraId="66EDCE4E" w14:textId="46F8A972" w:rsidR="00E0423E" w:rsidRDefault="001841FB" w:rsidP="00C12F9E">
      <w:pPr>
        <w:pStyle w:val="BodyText"/>
      </w:pPr>
      <w:r>
        <w:t>The ACT Council of Social Service (ACTCOSS) welcomes the opportunity to respond to the Independent Competition and Regulatory Commission</w:t>
      </w:r>
      <w:r w:rsidR="00903A7E">
        <w:t xml:space="preserve">’s (ICRC) </w:t>
      </w:r>
      <w:r w:rsidR="002A15C7">
        <w:t>Issues Paper</w:t>
      </w:r>
      <w:r w:rsidR="00903A7E">
        <w:t xml:space="preserve"> </w:t>
      </w:r>
      <w:r w:rsidR="00EA2ECF">
        <w:t>on the Review of the Retail Electricity Form of Price Control (the Issues Paper)</w:t>
      </w:r>
      <w:r w:rsidR="00903A7E">
        <w:t>.</w:t>
      </w:r>
    </w:p>
    <w:p w14:paraId="525C0C09" w14:textId="00BB17EF" w:rsidR="007B41AB" w:rsidRDefault="00903A7E" w:rsidP="00C12F9E">
      <w:pPr>
        <w:pStyle w:val="BodyText"/>
      </w:pPr>
      <w:r>
        <w:t xml:space="preserve">ACTCOSS </w:t>
      </w:r>
      <w:r w:rsidR="00397CEF">
        <w:t xml:space="preserve">represents not-for-profit community organisations and advocates for social justice in the ACT. </w:t>
      </w:r>
      <w:r w:rsidR="007B41AB" w:rsidRPr="007B41AB">
        <w:t xml:space="preserve">In partnership with Care Financial Counselling Service, ACTCOSS leads the ACT Energised Consumers Project which is co-funded by Energy Consumers Australia (ECA) and the ACT Government. Through this project ACTCOSS advocates for residential, not-for-profit, and small business energy consumers in the ACT. </w:t>
      </w:r>
    </w:p>
    <w:p w14:paraId="2491D9D5" w14:textId="784776F9" w:rsidR="0045112B" w:rsidRDefault="00770E0C" w:rsidP="00C12F9E">
      <w:pPr>
        <w:pStyle w:val="BodyText"/>
      </w:pPr>
      <w:r>
        <w:t>As stated in the Issues Paper, the ICRC ‘</w:t>
      </w:r>
      <w:r w:rsidR="00F04547" w:rsidRPr="00F04547">
        <w:t>is responsible for regulating retail electricity prices faced by small customers on ActewAGL’s standing offer tariffs</w:t>
      </w:r>
      <w:r w:rsidR="00F04547">
        <w:t>’</w:t>
      </w:r>
      <w:r w:rsidR="003419CE">
        <w:t>.</w:t>
      </w:r>
      <w:r w:rsidR="00D96ADF">
        <w:rPr>
          <w:rStyle w:val="FootnoteReference"/>
        </w:rPr>
        <w:footnoteReference w:id="2"/>
      </w:r>
      <w:r w:rsidR="003419CE">
        <w:t xml:space="preserve"> Importantly, it notes that</w:t>
      </w:r>
      <w:r w:rsidR="00F04547">
        <w:t xml:space="preserve"> </w:t>
      </w:r>
      <w:r w:rsidR="00DD7702">
        <w:t xml:space="preserve">these </w:t>
      </w:r>
      <w:r w:rsidR="00F04547">
        <w:t>‘</w:t>
      </w:r>
      <w:r w:rsidR="009227E7" w:rsidRPr="009227E7">
        <w:t>standing offers are default offers that provide a safety net for those customers who do not shop around for unregulated market offers</w:t>
      </w:r>
      <w:r w:rsidR="008E7730">
        <w:t>’</w:t>
      </w:r>
      <w:r w:rsidR="00C57F04">
        <w:t>.</w:t>
      </w:r>
      <w:r w:rsidR="00AF1224">
        <w:rPr>
          <w:rStyle w:val="FootnoteReference"/>
        </w:rPr>
        <w:footnoteReference w:id="3"/>
      </w:r>
      <w:r w:rsidR="00C57F04">
        <w:t xml:space="preserve"> </w:t>
      </w:r>
    </w:p>
    <w:p w14:paraId="7F97D0D3" w14:textId="1C0D9147" w:rsidR="00C57F04" w:rsidRDefault="00C57F04" w:rsidP="00C12F9E">
      <w:pPr>
        <w:pStyle w:val="BodyText"/>
      </w:pPr>
      <w:r>
        <w:t>ACTCOSS</w:t>
      </w:r>
      <w:r w:rsidRPr="00C57F04">
        <w:t xml:space="preserve"> believe</w:t>
      </w:r>
      <w:r>
        <w:t>s</w:t>
      </w:r>
      <w:r w:rsidRPr="00C57F04">
        <w:t xml:space="preserve"> that </w:t>
      </w:r>
      <w:r w:rsidR="003419CE">
        <w:t>electricity</w:t>
      </w:r>
      <w:r w:rsidRPr="00C57F04">
        <w:t xml:space="preserve"> price regulation</w:t>
      </w:r>
      <w:r w:rsidR="004506C6">
        <w:t xml:space="preserve"> </w:t>
      </w:r>
      <w:r w:rsidR="001D62A2">
        <w:t xml:space="preserve">in the ACT </w:t>
      </w:r>
      <w:r w:rsidR="0015538E">
        <w:t xml:space="preserve">is </w:t>
      </w:r>
      <w:r w:rsidR="004506C6">
        <w:t>critical to ensuring</w:t>
      </w:r>
      <w:r w:rsidR="00CB5D2D">
        <w:t xml:space="preserve"> </w:t>
      </w:r>
      <w:r w:rsidR="00D33DAE">
        <w:t>energy consumers</w:t>
      </w:r>
      <w:r w:rsidR="001324AB">
        <w:t xml:space="preserve"> – especially</w:t>
      </w:r>
      <w:r w:rsidR="00294ED2">
        <w:t xml:space="preserve"> </w:t>
      </w:r>
      <w:r w:rsidR="00D33DAE">
        <w:t>those</w:t>
      </w:r>
      <w:r w:rsidR="001324AB">
        <w:t xml:space="preserve"> on </w:t>
      </w:r>
      <w:r w:rsidRPr="00C57F04">
        <w:t>low-income and</w:t>
      </w:r>
      <w:r w:rsidR="001324AB">
        <w:t xml:space="preserve">/or experiencing vulnerable circumstances </w:t>
      </w:r>
      <w:r w:rsidR="00542241">
        <w:t>–</w:t>
      </w:r>
      <w:r w:rsidR="006D48FB">
        <w:t xml:space="preserve"> </w:t>
      </w:r>
      <w:r w:rsidR="00825306">
        <w:t>can</w:t>
      </w:r>
      <w:r w:rsidR="006D48FB">
        <w:t xml:space="preserve"> </w:t>
      </w:r>
      <w:r w:rsidR="00CA27BD">
        <w:t xml:space="preserve">easily </w:t>
      </w:r>
      <w:r w:rsidR="00542241">
        <w:t>access affordable</w:t>
      </w:r>
      <w:r w:rsidR="00CA27BD">
        <w:t xml:space="preserve">, </w:t>
      </w:r>
      <w:r w:rsidR="00391458">
        <w:t>dependable,</w:t>
      </w:r>
      <w:r w:rsidR="00CA27BD">
        <w:t xml:space="preserve"> and clean</w:t>
      </w:r>
      <w:r w:rsidR="00542241">
        <w:t xml:space="preserve"> energy</w:t>
      </w:r>
      <w:r w:rsidR="000821EF">
        <w:t xml:space="preserve"> as an essential service</w:t>
      </w:r>
      <w:r w:rsidRPr="00C57F04">
        <w:t>.</w:t>
      </w:r>
      <w:r w:rsidR="00F30BFE">
        <w:t xml:space="preserve"> </w:t>
      </w:r>
      <w:r w:rsidR="00734951">
        <w:t>ACTCOSS</w:t>
      </w:r>
      <w:r w:rsidR="00CA27BD">
        <w:t xml:space="preserve"> </w:t>
      </w:r>
      <w:r w:rsidR="006D48FB">
        <w:t xml:space="preserve">is keen </w:t>
      </w:r>
      <w:r w:rsidR="00F30BFE">
        <w:t xml:space="preserve">to ensure that </w:t>
      </w:r>
      <w:r w:rsidR="00F2281D">
        <w:t xml:space="preserve">regulation – including the retail electricity form of price control – </w:t>
      </w:r>
      <w:r w:rsidR="0090236B">
        <w:t>delivers</w:t>
      </w:r>
      <w:r w:rsidR="00587BED">
        <w:t xml:space="preserve"> an effective</w:t>
      </w:r>
      <w:r w:rsidR="00202A0E">
        <w:t xml:space="preserve"> safety net for </w:t>
      </w:r>
      <w:r w:rsidR="005F1213">
        <w:t xml:space="preserve">all </w:t>
      </w:r>
      <w:r w:rsidR="00B4341D">
        <w:t xml:space="preserve">ACT residential and small business </w:t>
      </w:r>
      <w:r w:rsidR="00BE7517">
        <w:t xml:space="preserve">electricity </w:t>
      </w:r>
      <w:r w:rsidR="00202A0E">
        <w:lastRenderedPageBreak/>
        <w:t>customers</w:t>
      </w:r>
      <w:r w:rsidR="00BE7517">
        <w:t xml:space="preserve"> – regardless of their retailer – </w:t>
      </w:r>
      <w:r w:rsidR="000E7E58">
        <w:t>as the</w:t>
      </w:r>
      <w:r w:rsidR="005C3475">
        <w:t xml:space="preserve"> electricity market </w:t>
      </w:r>
      <w:r w:rsidR="000E7E58">
        <w:t>undergoes significant change</w:t>
      </w:r>
      <w:r w:rsidR="00B84938">
        <w:t xml:space="preserve"> both locally and nationally</w:t>
      </w:r>
      <w:r w:rsidR="005C3475">
        <w:t>.</w:t>
      </w:r>
    </w:p>
    <w:p w14:paraId="59C27F62" w14:textId="5B2F3B30" w:rsidR="00E46F9E" w:rsidRDefault="00E46F9E" w:rsidP="00C12F9E">
      <w:pPr>
        <w:pStyle w:val="BodyText"/>
      </w:pPr>
      <w:r>
        <w:t>Please find below responses to each of the questions raised in the Issues Paper.</w:t>
      </w:r>
    </w:p>
    <w:p w14:paraId="3368818A" w14:textId="32E51910" w:rsidR="001471C7" w:rsidRDefault="005B332D" w:rsidP="005B332D">
      <w:pPr>
        <w:pStyle w:val="Heading3"/>
      </w:pPr>
      <w:r w:rsidRPr="005B332D">
        <w:rPr>
          <w:b w:val="0"/>
          <w:bCs w:val="0"/>
          <w:iCs w:val="0"/>
        </w:rPr>
        <w:t>1.</w:t>
      </w:r>
      <w:r>
        <w:t xml:space="preserve"> </w:t>
      </w:r>
      <w:r w:rsidR="001471C7">
        <w:t>Do stakeholders have any comments on the trends in the wholesale market discussed above, including whether they are expected to continue?</w:t>
      </w:r>
    </w:p>
    <w:p w14:paraId="52ED7D97" w14:textId="138C59A5" w:rsidR="00A25A2A" w:rsidRDefault="00120D5D" w:rsidP="005B332D">
      <w:pPr>
        <w:pStyle w:val="BodyText"/>
      </w:pPr>
      <w:r>
        <w:t xml:space="preserve">The Issues Paper and the </w:t>
      </w:r>
      <w:r w:rsidR="00A519E8">
        <w:t xml:space="preserve">ICRC’s companion </w:t>
      </w:r>
      <w:r w:rsidR="008004AE">
        <w:t>B</w:t>
      </w:r>
      <w:r w:rsidR="00A519E8">
        <w:t xml:space="preserve">ackground </w:t>
      </w:r>
      <w:r w:rsidR="008004AE">
        <w:t>P</w:t>
      </w:r>
      <w:r w:rsidR="00A519E8">
        <w:t xml:space="preserve">aper on </w:t>
      </w:r>
      <w:r w:rsidR="008004AE">
        <w:t>D</w:t>
      </w:r>
      <w:r w:rsidR="00A519E8">
        <w:t xml:space="preserve">evelopments in the </w:t>
      </w:r>
      <w:r w:rsidR="008004AE">
        <w:t>E</w:t>
      </w:r>
      <w:r w:rsidR="00A519E8">
        <w:t xml:space="preserve">lectricity </w:t>
      </w:r>
      <w:r w:rsidR="008004AE">
        <w:t>M</w:t>
      </w:r>
      <w:r w:rsidR="00A519E8">
        <w:t>arket</w:t>
      </w:r>
      <w:r w:rsidR="008004AE">
        <w:t xml:space="preserve"> (the Background Paper)</w:t>
      </w:r>
      <w:r w:rsidR="00DE1B1E">
        <w:t xml:space="preserve"> provide a useful overview</w:t>
      </w:r>
      <w:r w:rsidR="006A549A">
        <w:t>. They note</w:t>
      </w:r>
      <w:r w:rsidR="000232B7">
        <w:t xml:space="preserve"> </w:t>
      </w:r>
      <w:r w:rsidR="002060B1">
        <w:t xml:space="preserve">decreases in wholesale electricity prices </w:t>
      </w:r>
      <w:r w:rsidR="00E45723">
        <w:t xml:space="preserve">over the past few years due to the increased supply of renewable </w:t>
      </w:r>
      <w:r w:rsidR="00F00F86">
        <w:t>energy.</w:t>
      </w:r>
      <w:r w:rsidR="00E92CFC">
        <w:rPr>
          <w:rStyle w:val="FootnoteReference"/>
        </w:rPr>
        <w:footnoteReference w:id="4"/>
      </w:r>
      <w:r w:rsidR="00193178">
        <w:t xml:space="preserve"> While it is hoped that this </w:t>
      </w:r>
      <w:r w:rsidR="0070151E">
        <w:t xml:space="preserve">trend continues, we understand that significant challenges remain in transitioning </w:t>
      </w:r>
      <w:r w:rsidR="00690D6A">
        <w:t>to 100% renewable electricity across the National Electricity Market (NEM).</w:t>
      </w:r>
    </w:p>
    <w:p w14:paraId="398BB308" w14:textId="555669B9" w:rsidR="00690D6A" w:rsidRDefault="00690D6A" w:rsidP="005B332D">
      <w:pPr>
        <w:pStyle w:val="BodyText"/>
      </w:pPr>
      <w:r>
        <w:t xml:space="preserve">The </w:t>
      </w:r>
      <w:r w:rsidR="00E45E1E">
        <w:t>Background Paper</w:t>
      </w:r>
      <w:r w:rsidR="00E56B7F">
        <w:t xml:space="preserve"> </w:t>
      </w:r>
      <w:r w:rsidR="00E45E1E">
        <w:t>highlights</w:t>
      </w:r>
      <w:r w:rsidR="00E56B7F">
        <w:t xml:space="preserve"> </w:t>
      </w:r>
      <w:r w:rsidR="007C5C86">
        <w:t xml:space="preserve">reliability, integration, and security </w:t>
      </w:r>
      <w:r w:rsidR="00D2578D">
        <w:t>challenges and</w:t>
      </w:r>
      <w:r w:rsidR="00141BFA">
        <w:t xml:space="preserve"> the</w:t>
      </w:r>
      <w:r w:rsidR="00D2578D">
        <w:t xml:space="preserve"> longer-term strategies are </w:t>
      </w:r>
      <w:r w:rsidR="00141BFA">
        <w:t xml:space="preserve">aimed at addressing </w:t>
      </w:r>
      <w:r w:rsidR="003F62BD">
        <w:t>them as part of a</w:t>
      </w:r>
      <w:r w:rsidR="00567984">
        <w:t xml:space="preserve"> </w:t>
      </w:r>
      <w:r w:rsidR="00E45E1E">
        <w:t xml:space="preserve">smooth energy market transition. As </w:t>
      </w:r>
      <w:r w:rsidR="0031310C">
        <w:t xml:space="preserve">a member </w:t>
      </w:r>
      <w:r w:rsidR="00E45E1E">
        <w:t>of the National Consumer Roundtable on Energy</w:t>
      </w:r>
      <w:r w:rsidR="0031310C">
        <w:t xml:space="preserve">, ACTCOSS has engaged </w:t>
      </w:r>
      <w:r w:rsidR="00662677">
        <w:t xml:space="preserve">in consultations on </w:t>
      </w:r>
      <w:r w:rsidR="0031310C">
        <w:t xml:space="preserve">the </w:t>
      </w:r>
      <w:r w:rsidR="00D76307">
        <w:t>Australian Energy Market Operator’s (</w:t>
      </w:r>
      <w:r w:rsidR="00C97709">
        <w:t>AEMO</w:t>
      </w:r>
      <w:r w:rsidR="00D76307">
        <w:t>)</w:t>
      </w:r>
      <w:r w:rsidR="00C97709">
        <w:t xml:space="preserve"> </w:t>
      </w:r>
      <w:r w:rsidR="0031310C">
        <w:t xml:space="preserve">Integrated System Plan, </w:t>
      </w:r>
      <w:r w:rsidR="00D76307">
        <w:t>the Energy Security Board’s (ESB) Post-2025</w:t>
      </w:r>
      <w:r w:rsidR="00F01145">
        <w:t xml:space="preserve"> Market Design Project, and the </w:t>
      </w:r>
      <w:r w:rsidR="00A7684D">
        <w:t>Coordination of Generation and Transmission Investment (COGATI)</w:t>
      </w:r>
      <w:r w:rsidR="00A83D4B">
        <w:t xml:space="preserve"> review being undertaken by the Australian Energy Market Commission (AEMC).</w:t>
      </w:r>
    </w:p>
    <w:p w14:paraId="625425AC" w14:textId="611C295C" w:rsidR="00706D8C" w:rsidRPr="005B332D" w:rsidRDefault="001A79CB" w:rsidP="001A79C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pPr>
      <w:r w:rsidRPr="001A79CB">
        <w:t xml:space="preserve">As part of a national collective of energy consumer advocates, ACTCOSS is keen to ensure that everyone has the right to access </w:t>
      </w:r>
      <w:r w:rsidR="00AB063F">
        <w:t>affordable, dependable, and clean</w:t>
      </w:r>
      <w:r w:rsidRPr="001A79CB">
        <w:t xml:space="preserve"> energy </w:t>
      </w:r>
      <w:r w:rsidR="00AB063F">
        <w:t>in</w:t>
      </w:r>
      <w:r w:rsidRPr="001A79CB">
        <w:t xml:space="preserve"> any future market design.</w:t>
      </w:r>
      <w:r w:rsidRPr="001A79CB">
        <w:rPr>
          <w:vertAlign w:val="superscript"/>
        </w:rPr>
        <w:footnoteReference w:id="5"/>
      </w:r>
      <w:r>
        <w:t xml:space="preserve"> </w:t>
      </w:r>
      <w:r w:rsidR="008E2EAE">
        <w:t>This is especially the case in regards to</w:t>
      </w:r>
      <w:r w:rsidR="00971476">
        <w:t xml:space="preserve"> managing</w:t>
      </w:r>
      <w:r w:rsidR="008E2EAE">
        <w:t xml:space="preserve"> </w:t>
      </w:r>
      <w:r w:rsidR="00D212F0">
        <w:t>the</w:t>
      </w:r>
      <w:r w:rsidR="009B194F">
        <w:t xml:space="preserve"> </w:t>
      </w:r>
      <w:r w:rsidR="00D212F0">
        <w:t xml:space="preserve">overlap between wholesale and retail markets </w:t>
      </w:r>
      <w:r w:rsidR="00C06736">
        <w:t>through the integration</w:t>
      </w:r>
      <w:r w:rsidR="00D212F0">
        <w:t xml:space="preserve"> </w:t>
      </w:r>
      <w:r w:rsidR="002A53D5">
        <w:t xml:space="preserve">distributed energy resources (DER) </w:t>
      </w:r>
      <w:r w:rsidR="00EA3453">
        <w:t xml:space="preserve">(e.g. </w:t>
      </w:r>
      <w:r w:rsidR="00DB0B7F">
        <w:t xml:space="preserve">rooftop </w:t>
      </w:r>
      <w:r w:rsidR="00EA3453">
        <w:t xml:space="preserve">solar panels) </w:t>
      </w:r>
      <w:r w:rsidR="002A53D5">
        <w:t>and the</w:t>
      </w:r>
      <w:r w:rsidR="00E51556">
        <w:t xml:space="preserve"> po</w:t>
      </w:r>
      <w:r w:rsidR="00EA3453">
        <w:t>tential</w:t>
      </w:r>
      <w:r w:rsidR="002A53D5">
        <w:t xml:space="preserve"> development of </w:t>
      </w:r>
      <w:r w:rsidR="0066431D">
        <w:t>‘</w:t>
      </w:r>
      <w:r w:rsidR="002A53D5">
        <w:t>two-sided markets</w:t>
      </w:r>
      <w:r w:rsidR="0066431D">
        <w:t>’</w:t>
      </w:r>
      <w:r w:rsidR="00B55BCC">
        <w:t xml:space="preserve"> – </w:t>
      </w:r>
      <w:r w:rsidR="00782C69">
        <w:t xml:space="preserve">that is, </w:t>
      </w:r>
      <w:r w:rsidR="00B55BCC">
        <w:t xml:space="preserve">‘where </w:t>
      </w:r>
      <w:r w:rsidR="00B55BCC" w:rsidRPr="00B55BCC">
        <w:t xml:space="preserve">households and businesses would be both the consumers and producers of electricity, able to sell the electricity </w:t>
      </w:r>
      <w:r w:rsidR="00B55BCC" w:rsidRPr="00B55BCC">
        <w:lastRenderedPageBreak/>
        <w:t>they generate or the demand they reduce to lower their energy costs</w:t>
      </w:r>
      <w:r w:rsidR="00B55BCC">
        <w:t>’</w:t>
      </w:r>
      <w:r w:rsidR="00B55BCC" w:rsidRPr="00B55BCC">
        <w:t>.</w:t>
      </w:r>
      <w:r w:rsidR="00B55BCC">
        <w:rPr>
          <w:rStyle w:val="FootnoteReference"/>
        </w:rPr>
        <w:footnoteReference w:id="6"/>
      </w:r>
      <w:r w:rsidR="0050506A">
        <w:t xml:space="preserve"> </w:t>
      </w:r>
    </w:p>
    <w:p w14:paraId="4B3E6678" w14:textId="70938450" w:rsidR="001471C7" w:rsidRDefault="001471C7" w:rsidP="00E31C68">
      <w:pPr>
        <w:pStyle w:val="Heading3"/>
      </w:pPr>
      <w:r>
        <w:t>2. Do stakeholders have any comments on the compositional changes in the retail market? In particular, do stakeholders expect to continue seeing consumers move from standing offers to market offers, and from flat rate tariffs to time of use and demand tariffs?</w:t>
      </w:r>
    </w:p>
    <w:p w14:paraId="1AC78979" w14:textId="5E80006E" w:rsidR="004557CE" w:rsidRDefault="00152007" w:rsidP="004E5F2F">
      <w:pPr>
        <w:pStyle w:val="BodyText"/>
      </w:pPr>
      <w:r>
        <w:t>ACTCOSS expects to see an increasing number of ACT energy consumers mo</w:t>
      </w:r>
      <w:r w:rsidR="00451F17">
        <w:t>v</w:t>
      </w:r>
      <w:r>
        <w:t>e from standing offers to market offers, and from flat tariffs to time-of-use and demand tariffs</w:t>
      </w:r>
      <w:r w:rsidR="004F0128">
        <w:t xml:space="preserve">. </w:t>
      </w:r>
      <w:r w:rsidR="00486936">
        <w:t>This trend is already under</w:t>
      </w:r>
      <w:r w:rsidR="004A53B9">
        <w:t xml:space="preserve"> </w:t>
      </w:r>
      <w:r w:rsidR="00486936">
        <w:t>way</w:t>
      </w:r>
      <w:r w:rsidR="00590410">
        <w:t xml:space="preserve"> and we believe </w:t>
      </w:r>
      <w:r w:rsidR="004A53B9">
        <w:t>it</w:t>
      </w:r>
      <w:r w:rsidR="00590410">
        <w:t xml:space="preserve"> will continue and possibly accelerate over coming year</w:t>
      </w:r>
      <w:r w:rsidR="0055331E">
        <w:t xml:space="preserve">s due to </w:t>
      </w:r>
      <w:r w:rsidR="00626BF4">
        <w:t>three</w:t>
      </w:r>
      <w:r w:rsidR="004F0128">
        <w:t xml:space="preserve"> key drivers</w:t>
      </w:r>
      <w:r w:rsidR="00A74C4A">
        <w:t xml:space="preserve">. </w:t>
      </w:r>
    </w:p>
    <w:p w14:paraId="1DACCDC7" w14:textId="3CC1DEE4" w:rsidR="000A593A" w:rsidRDefault="00A74C4A" w:rsidP="004E5F2F">
      <w:pPr>
        <w:pStyle w:val="BodyText"/>
      </w:pPr>
      <w:r>
        <w:t xml:space="preserve">First, we expect more customers to move </w:t>
      </w:r>
      <w:r w:rsidR="004E5F2F">
        <w:t>from standing offers to market offers</w:t>
      </w:r>
      <w:r w:rsidR="004A53B9">
        <w:t xml:space="preserve"> </w:t>
      </w:r>
      <w:r w:rsidR="004E5F2F">
        <w:t xml:space="preserve">due </w:t>
      </w:r>
      <w:r w:rsidR="004A53B9">
        <w:t xml:space="preserve">in part </w:t>
      </w:r>
      <w:r w:rsidR="004E5F2F">
        <w:t xml:space="preserve">to the </w:t>
      </w:r>
      <w:r w:rsidR="00084A1D">
        <w:t xml:space="preserve">ACT Government’s </w:t>
      </w:r>
      <w:r w:rsidR="0055331E">
        <w:t xml:space="preserve">commitment </w:t>
      </w:r>
      <w:r w:rsidR="004B32D1">
        <w:t xml:space="preserve">to </w:t>
      </w:r>
      <w:r w:rsidR="004B32D1" w:rsidRPr="004B32D1">
        <w:t>implement recommendations</w:t>
      </w:r>
      <w:r w:rsidR="00C00BCE">
        <w:t xml:space="preserve"> </w:t>
      </w:r>
      <w:r w:rsidR="002F16BA">
        <w:t xml:space="preserve">made </w:t>
      </w:r>
      <w:r w:rsidR="00235811">
        <w:t>by the</w:t>
      </w:r>
      <w:r w:rsidR="00A96AFE">
        <w:t xml:space="preserve"> ICRC</w:t>
      </w:r>
      <w:r w:rsidR="00235811">
        <w:t xml:space="preserve"> in</w:t>
      </w:r>
      <w:r w:rsidR="00E872FE">
        <w:t xml:space="preserve"> its</w:t>
      </w:r>
      <w:r w:rsidR="00A96AFE">
        <w:t xml:space="preserve"> </w:t>
      </w:r>
      <w:r w:rsidR="00C00BCE" w:rsidRPr="00737688">
        <w:rPr>
          <w:i/>
          <w:iCs/>
        </w:rPr>
        <w:t>Retail electricity price investigation 2020–24</w:t>
      </w:r>
      <w:r w:rsidR="002F16BA">
        <w:t xml:space="preserve"> </w:t>
      </w:r>
      <w:r w:rsidR="000A593A">
        <w:t>that:</w:t>
      </w:r>
    </w:p>
    <w:p w14:paraId="1ED431B7" w14:textId="74441B7E" w:rsidR="000A593A" w:rsidRDefault="000A593A" w:rsidP="000A593A">
      <w:pPr>
        <w:pStyle w:val="ListNumber"/>
      </w:pPr>
      <w:r>
        <w:t>A reference bill amount should be developed to provide ACT consumers with a common point of comparison for assessing electricity offers. The reference bill should be based on existing regulated standing offer prices.</w:t>
      </w:r>
    </w:p>
    <w:p w14:paraId="2131D7CF" w14:textId="20BE39F3" w:rsidR="000A593A" w:rsidRDefault="000A593A" w:rsidP="000A593A">
      <w:pPr>
        <w:pStyle w:val="ListNumber"/>
      </w:pPr>
      <w:r>
        <w:t>The ACT Government should consider imposing a new regulatory obligation on retailers to regularly notify their customers if they have a better offer and ask customers to call them for information. This new regulatory obligation should be implemented with a new regulatory obligation establishing a Clear Advice Entitlement to help ensure that consumers have information they need to make an informed decision.</w:t>
      </w:r>
      <w:r w:rsidRPr="000A593A">
        <w:rPr>
          <w:rStyle w:val="FootnoteReference"/>
        </w:rPr>
        <w:t xml:space="preserve"> </w:t>
      </w:r>
      <w:r>
        <w:rPr>
          <w:rStyle w:val="FootnoteReference"/>
        </w:rPr>
        <w:footnoteReference w:id="7"/>
      </w:r>
    </w:p>
    <w:p w14:paraId="0140EDEA" w14:textId="77777777" w:rsidR="001F6109" w:rsidRDefault="000A593A" w:rsidP="004E5F2F">
      <w:pPr>
        <w:pStyle w:val="BodyText"/>
      </w:pPr>
      <w:r>
        <w:lastRenderedPageBreak/>
        <w:t xml:space="preserve">Under the </w:t>
      </w:r>
      <w:r w:rsidRPr="00F81F25">
        <w:rPr>
          <w:i/>
          <w:iCs/>
        </w:rPr>
        <w:t>Parliamentary and Governing Agreement</w:t>
      </w:r>
      <w:r w:rsidR="009B406B" w:rsidRPr="00F81F25">
        <w:rPr>
          <w:i/>
          <w:iCs/>
        </w:rPr>
        <w:t xml:space="preserve"> for the 10</w:t>
      </w:r>
      <w:r w:rsidR="009B406B" w:rsidRPr="00F81F25">
        <w:rPr>
          <w:i/>
          <w:iCs/>
          <w:vertAlign w:val="superscript"/>
        </w:rPr>
        <w:t>th</w:t>
      </w:r>
      <w:r w:rsidR="009B406B" w:rsidRPr="00F81F25">
        <w:rPr>
          <w:i/>
          <w:iCs/>
        </w:rPr>
        <w:t xml:space="preserve"> ACT Legislative Assembly</w:t>
      </w:r>
      <w:r w:rsidR="009B406B">
        <w:t>, t</w:t>
      </w:r>
      <w:r w:rsidR="00A96AFE">
        <w:t>he ACT Government has committed</w:t>
      </w:r>
      <w:r w:rsidR="00737688">
        <w:t xml:space="preserve"> </w:t>
      </w:r>
      <w:r w:rsidR="004B32D1" w:rsidRPr="004B32D1">
        <w:t xml:space="preserve">to </w:t>
      </w:r>
      <w:r w:rsidR="009B406B">
        <w:t xml:space="preserve">implement these recommendations </w:t>
      </w:r>
      <w:r w:rsidR="004B32D1">
        <w:t>by 2021</w:t>
      </w:r>
      <w:r w:rsidR="003C29DD">
        <w:t>.</w:t>
      </w:r>
      <w:r w:rsidR="003C29DD">
        <w:rPr>
          <w:rStyle w:val="FootnoteReference"/>
        </w:rPr>
        <w:footnoteReference w:id="8"/>
      </w:r>
      <w:r w:rsidR="004557CE">
        <w:t xml:space="preserve"> </w:t>
      </w:r>
    </w:p>
    <w:p w14:paraId="4C9E613E" w14:textId="11F864D5" w:rsidR="00071247" w:rsidRDefault="00626BF4" w:rsidP="004E5F2F">
      <w:pPr>
        <w:pStyle w:val="BodyText"/>
      </w:pPr>
      <w:r>
        <w:t xml:space="preserve">Second, we expect to see more customers move to market offers </w:t>
      </w:r>
      <w:r w:rsidR="00802EFA">
        <w:t>as more customers switch</w:t>
      </w:r>
      <w:r>
        <w:t xml:space="preserve"> </w:t>
      </w:r>
      <w:r w:rsidR="00802EFA">
        <w:t>electricity retailer – primarily from ActewAGL to another retailer.</w:t>
      </w:r>
      <w:r w:rsidR="007464D4">
        <w:t xml:space="preserve"> </w:t>
      </w:r>
      <w:r w:rsidR="004F4675">
        <w:t xml:space="preserve">We expect that switching retailers </w:t>
      </w:r>
      <w:r w:rsidR="00D471DB">
        <w:t xml:space="preserve">will be further supported and encouraged through the </w:t>
      </w:r>
      <w:r w:rsidR="00E224D0">
        <w:t>ACT Government</w:t>
      </w:r>
      <w:r w:rsidR="001E43D1">
        <w:t xml:space="preserve">’s </w:t>
      </w:r>
      <w:r w:rsidR="00D471DB">
        <w:t xml:space="preserve">implementation of the ICRC’s recommendations </w:t>
      </w:r>
      <w:r w:rsidR="001E43D1">
        <w:t xml:space="preserve">which are aimed at </w:t>
      </w:r>
      <w:r w:rsidR="00C73380">
        <w:t xml:space="preserve">improving the transparency and comparability of </w:t>
      </w:r>
      <w:r w:rsidR="00BC5445">
        <w:t>electricity offers</w:t>
      </w:r>
      <w:r w:rsidR="00BD4B19">
        <w:t xml:space="preserve"> in the ACT</w:t>
      </w:r>
      <w:r w:rsidR="00224353">
        <w:t>. Increased use</w:t>
      </w:r>
      <w:r w:rsidR="003E5AF9">
        <w:t xml:space="preserve"> – </w:t>
      </w:r>
      <w:r w:rsidR="00224353">
        <w:t>and usefulness</w:t>
      </w:r>
      <w:r w:rsidR="003E5AF9">
        <w:t xml:space="preserve"> </w:t>
      </w:r>
      <w:r w:rsidR="00921FFA">
        <w:t xml:space="preserve">– </w:t>
      </w:r>
      <w:r w:rsidR="00224353">
        <w:t xml:space="preserve">of the Australian Government’s </w:t>
      </w:r>
      <w:r w:rsidR="00224353" w:rsidRPr="00730C87">
        <w:rPr>
          <w:i/>
          <w:iCs/>
        </w:rPr>
        <w:t>En</w:t>
      </w:r>
      <w:r w:rsidR="008166A7" w:rsidRPr="00730C87">
        <w:rPr>
          <w:i/>
          <w:iCs/>
        </w:rPr>
        <w:t>ergy Made Easy</w:t>
      </w:r>
      <w:r w:rsidR="008166A7">
        <w:t xml:space="preserve"> </w:t>
      </w:r>
      <w:r w:rsidR="00BF5246">
        <w:t xml:space="preserve">energy market comparison </w:t>
      </w:r>
      <w:r w:rsidR="008166A7">
        <w:t xml:space="preserve">website </w:t>
      </w:r>
      <w:r w:rsidR="00730C87">
        <w:t>should</w:t>
      </w:r>
      <w:r w:rsidR="008166A7">
        <w:t xml:space="preserve"> also support </w:t>
      </w:r>
      <w:r w:rsidR="001E43D1">
        <w:t xml:space="preserve">more </w:t>
      </w:r>
      <w:r w:rsidR="009D0546">
        <w:t>customers to switch</w:t>
      </w:r>
      <w:r w:rsidR="008166A7">
        <w:t xml:space="preserve"> between </w:t>
      </w:r>
      <w:r w:rsidR="00730C87">
        <w:t>retailers and/or offers.</w:t>
      </w:r>
    </w:p>
    <w:p w14:paraId="47484D50" w14:textId="68F79203" w:rsidR="00731851" w:rsidRDefault="00004FE8" w:rsidP="004E5F2F">
      <w:pPr>
        <w:pStyle w:val="BodyText"/>
      </w:pPr>
      <w:r>
        <w:t>The tables below show that</w:t>
      </w:r>
      <w:r w:rsidR="00724F37">
        <w:t xml:space="preserve"> </w:t>
      </w:r>
      <w:r w:rsidR="00DC077A">
        <w:t>over the past five years ActewAGL’s market</w:t>
      </w:r>
      <w:r w:rsidR="00845061">
        <w:t xml:space="preserve"> share of residential electricity customers has decreased from 92.7% to 79.2%</w:t>
      </w:r>
      <w:r w:rsidR="00C932AC">
        <w:t xml:space="preserve">. </w:t>
      </w:r>
      <w:r w:rsidR="00A72AD3">
        <w:t>The</w:t>
      </w:r>
      <w:r w:rsidR="00C932AC">
        <w:t xml:space="preserve"> number of </w:t>
      </w:r>
      <w:r w:rsidR="00E8242D">
        <w:t>ActewAGL</w:t>
      </w:r>
      <w:r w:rsidR="00C932AC">
        <w:t xml:space="preserve"> customers on </w:t>
      </w:r>
      <w:r w:rsidR="00AF4C93">
        <w:t>market contracts increased from 18.6% to 57.1%</w:t>
      </w:r>
      <w:r w:rsidR="006866F0">
        <w:t xml:space="preserve"> for residential customers and from 13.8% to 25.6% for small business customers.</w:t>
      </w:r>
      <w:r w:rsidR="00E33B15">
        <w:t xml:space="preserve"> Among other electricity retailers</w:t>
      </w:r>
      <w:r w:rsidR="00E80378">
        <w:t xml:space="preserve"> in the ACT</w:t>
      </w:r>
      <w:r w:rsidR="00074EC4">
        <w:t xml:space="preserve">, </w:t>
      </w:r>
      <w:r w:rsidR="006332E6">
        <w:t>almost all</w:t>
      </w:r>
      <w:r w:rsidR="00E33B15">
        <w:t xml:space="preserve"> residential customers </w:t>
      </w:r>
      <w:r w:rsidR="004C46AB">
        <w:t xml:space="preserve">are </w:t>
      </w:r>
      <w:r w:rsidR="00E33B15">
        <w:t>on market</w:t>
      </w:r>
      <w:r w:rsidR="00E8242D">
        <w:t xml:space="preserve"> </w:t>
      </w:r>
      <w:r w:rsidR="00E33B15">
        <w:t>offers</w:t>
      </w:r>
      <w:r w:rsidR="004C46AB">
        <w:t xml:space="preserve"> – ranging </w:t>
      </w:r>
      <w:r w:rsidR="00E33B15">
        <w:t xml:space="preserve">from </w:t>
      </w:r>
      <w:r w:rsidR="00B76FAB">
        <w:t>96.3% to 100.0% in 2019-20</w:t>
      </w:r>
      <w:r w:rsidR="001D0A31">
        <w:t>.</w:t>
      </w:r>
      <w:r w:rsidR="00334FFD">
        <w:t xml:space="preserve"> </w:t>
      </w:r>
      <w:r w:rsidR="009D74EA">
        <w:t>A</w:t>
      </w:r>
      <w:r w:rsidR="0098318D">
        <w:t xml:space="preserve"> continuing trend of</w:t>
      </w:r>
      <w:r w:rsidR="00084E5C">
        <w:t xml:space="preserve"> ActewAGL customers</w:t>
      </w:r>
      <w:r w:rsidR="00A1405E">
        <w:t xml:space="preserve"> switching </w:t>
      </w:r>
      <w:r w:rsidR="00084E5C">
        <w:t xml:space="preserve">to other retailers </w:t>
      </w:r>
      <w:r w:rsidR="009D74EA">
        <w:t>is expected to</w:t>
      </w:r>
      <w:r w:rsidR="00E10971">
        <w:t xml:space="preserve"> </w:t>
      </w:r>
      <w:r w:rsidR="0098318D">
        <w:t>see</w:t>
      </w:r>
      <w:r w:rsidR="00A1405E">
        <w:t xml:space="preserve"> an increase in customers on market offers.</w:t>
      </w:r>
    </w:p>
    <w:p w14:paraId="50C47385" w14:textId="3A71C3B3" w:rsidR="00737745" w:rsidRDefault="00737745" w:rsidP="004E5F2F">
      <w:pPr>
        <w:pStyle w:val="BodyText"/>
      </w:pPr>
      <w:r w:rsidRPr="00737745">
        <w:t>In 2019</w:t>
      </w:r>
      <w:r w:rsidR="00B3235D">
        <w:t>-</w:t>
      </w:r>
      <w:r w:rsidRPr="00737745">
        <w:t>20, the ACT continued to have the lowest rate of switching between retailers in electricity</w:t>
      </w:r>
      <w:r w:rsidR="00362D2A">
        <w:t>, but</w:t>
      </w:r>
      <w:r w:rsidRPr="00737745">
        <w:t xml:space="preserve"> the highest rate of switching within retailers from standing to market contracts.</w:t>
      </w:r>
      <w:r w:rsidR="00D430E9">
        <w:rPr>
          <w:rStyle w:val="FootnoteReference"/>
        </w:rPr>
        <w:footnoteReference w:id="9"/>
      </w:r>
    </w:p>
    <w:p w14:paraId="396D8A76" w14:textId="2B1004E6" w:rsidR="00C61718" w:rsidRDefault="00C61718" w:rsidP="00BF3310">
      <w:pPr>
        <w:pStyle w:val="Caption"/>
      </w:pPr>
      <w:r>
        <w:t xml:space="preserve">Table 1 ActewAGL’s market share and </w:t>
      </w:r>
      <w:r w:rsidR="00A650B7">
        <w:t xml:space="preserve">customers on market contracts, </w:t>
      </w:r>
      <w:r w:rsidR="00E84EB6">
        <w:t>Residential</w:t>
      </w:r>
      <w:r w:rsidR="00446A2F">
        <w:t xml:space="preserve"> and Small business</w:t>
      </w:r>
      <w:r w:rsidR="00E84EB6">
        <w:t xml:space="preserve"> electricity customers, </w:t>
      </w:r>
      <w:r w:rsidR="00A650B7">
        <w:t>2015-16 to 2019-20</w:t>
      </w:r>
      <w:r w:rsidR="00943654">
        <w:rPr>
          <w:rStyle w:val="FootnoteReference"/>
        </w:rPr>
        <w:footnoteReference w:id="10"/>
      </w:r>
    </w:p>
    <w:tbl>
      <w:tblPr>
        <w:tblStyle w:val="TableGrid"/>
        <w:tblW w:w="0" w:type="auto"/>
        <w:tblLook w:val="04A0" w:firstRow="1" w:lastRow="0" w:firstColumn="1" w:lastColumn="0" w:noHBand="0" w:noVBand="1"/>
      </w:tblPr>
      <w:tblGrid>
        <w:gridCol w:w="1129"/>
        <w:gridCol w:w="1301"/>
        <w:gridCol w:w="1563"/>
        <w:gridCol w:w="1525"/>
        <w:gridCol w:w="1558"/>
      </w:tblGrid>
      <w:tr w:rsidR="00907CDF" w14:paraId="1E0521E9" w14:textId="0A2B88BA" w:rsidTr="0059576E">
        <w:trPr>
          <w:tblHeader/>
        </w:trPr>
        <w:tc>
          <w:tcPr>
            <w:tcW w:w="1129" w:type="dxa"/>
          </w:tcPr>
          <w:p w14:paraId="34ACD18C" w14:textId="3F405AE2" w:rsidR="00907CDF" w:rsidRPr="00782C69" w:rsidRDefault="00907CDF" w:rsidP="004E5F2F">
            <w:pPr>
              <w:pStyle w:val="BodyText"/>
              <w:rPr>
                <w:b/>
                <w:bCs/>
                <w:sz w:val="18"/>
                <w:szCs w:val="18"/>
              </w:rPr>
            </w:pPr>
            <w:r w:rsidRPr="00782C69">
              <w:rPr>
                <w:b/>
                <w:bCs/>
                <w:sz w:val="18"/>
                <w:szCs w:val="18"/>
              </w:rPr>
              <w:lastRenderedPageBreak/>
              <w:t>Year</w:t>
            </w:r>
          </w:p>
        </w:tc>
        <w:tc>
          <w:tcPr>
            <w:tcW w:w="1241" w:type="dxa"/>
          </w:tcPr>
          <w:p w14:paraId="64EFB0EA" w14:textId="7110E279" w:rsidR="00907CDF" w:rsidRPr="00782C69" w:rsidRDefault="00907CDF" w:rsidP="004E5F2F">
            <w:pPr>
              <w:pStyle w:val="BodyText"/>
              <w:rPr>
                <w:b/>
                <w:bCs/>
                <w:sz w:val="18"/>
                <w:szCs w:val="18"/>
              </w:rPr>
            </w:pPr>
            <w:r w:rsidRPr="00782C69">
              <w:rPr>
                <w:b/>
                <w:bCs/>
                <w:sz w:val="18"/>
                <w:szCs w:val="18"/>
              </w:rPr>
              <w:t>ActewAGL market share</w:t>
            </w:r>
            <w:r>
              <w:rPr>
                <w:b/>
                <w:bCs/>
                <w:sz w:val="18"/>
                <w:szCs w:val="18"/>
              </w:rPr>
              <w:t xml:space="preserve"> - Residential</w:t>
            </w:r>
          </w:p>
        </w:tc>
        <w:tc>
          <w:tcPr>
            <w:tcW w:w="0" w:type="auto"/>
          </w:tcPr>
          <w:p w14:paraId="5A62DEAB" w14:textId="7B61E4F0" w:rsidR="00907CDF" w:rsidRPr="00782C69" w:rsidRDefault="00907CDF" w:rsidP="004E5F2F">
            <w:pPr>
              <w:pStyle w:val="BodyText"/>
              <w:rPr>
                <w:b/>
                <w:bCs/>
                <w:sz w:val="18"/>
                <w:szCs w:val="18"/>
              </w:rPr>
            </w:pPr>
            <w:r w:rsidRPr="00782C69">
              <w:rPr>
                <w:b/>
                <w:bCs/>
                <w:sz w:val="18"/>
                <w:szCs w:val="18"/>
              </w:rPr>
              <w:t xml:space="preserve">ActewAGL </w:t>
            </w:r>
            <w:r w:rsidR="00F30772">
              <w:rPr>
                <w:b/>
                <w:bCs/>
                <w:sz w:val="18"/>
                <w:szCs w:val="18"/>
              </w:rPr>
              <w:t>m</w:t>
            </w:r>
            <w:r w:rsidRPr="00782C69">
              <w:rPr>
                <w:b/>
                <w:bCs/>
                <w:sz w:val="18"/>
                <w:szCs w:val="18"/>
              </w:rPr>
              <w:t>arket contracts</w:t>
            </w:r>
            <w:r>
              <w:rPr>
                <w:b/>
                <w:bCs/>
                <w:sz w:val="18"/>
                <w:szCs w:val="18"/>
              </w:rPr>
              <w:t xml:space="preserve"> - Residential</w:t>
            </w:r>
          </w:p>
        </w:tc>
        <w:tc>
          <w:tcPr>
            <w:tcW w:w="0" w:type="auto"/>
          </w:tcPr>
          <w:p w14:paraId="0052EC51" w14:textId="7CCCCBE2" w:rsidR="00907CDF" w:rsidRPr="00782C69" w:rsidRDefault="00907CDF" w:rsidP="004E5F2F">
            <w:pPr>
              <w:pStyle w:val="BodyText"/>
              <w:rPr>
                <w:b/>
                <w:bCs/>
                <w:sz w:val="18"/>
                <w:szCs w:val="18"/>
              </w:rPr>
            </w:pPr>
            <w:r>
              <w:rPr>
                <w:b/>
                <w:bCs/>
                <w:sz w:val="18"/>
                <w:szCs w:val="18"/>
              </w:rPr>
              <w:t>ActewAGL market share – Small business</w:t>
            </w:r>
          </w:p>
        </w:tc>
        <w:tc>
          <w:tcPr>
            <w:tcW w:w="0" w:type="auto"/>
          </w:tcPr>
          <w:p w14:paraId="4329089C" w14:textId="7598D4E7" w:rsidR="00907CDF" w:rsidRDefault="00907CDF" w:rsidP="004E5F2F">
            <w:pPr>
              <w:pStyle w:val="BodyText"/>
              <w:rPr>
                <w:b/>
                <w:bCs/>
                <w:sz w:val="18"/>
                <w:szCs w:val="18"/>
              </w:rPr>
            </w:pPr>
            <w:r>
              <w:rPr>
                <w:b/>
                <w:bCs/>
                <w:sz w:val="18"/>
                <w:szCs w:val="18"/>
              </w:rPr>
              <w:t>ActewAGL market contracts – Small business</w:t>
            </w:r>
          </w:p>
        </w:tc>
      </w:tr>
      <w:tr w:rsidR="00907CDF" w14:paraId="68754020" w14:textId="79F43788" w:rsidTr="00D848EA">
        <w:tc>
          <w:tcPr>
            <w:tcW w:w="1129" w:type="dxa"/>
          </w:tcPr>
          <w:p w14:paraId="45F2AEAD" w14:textId="48E44ADF" w:rsidR="00907CDF" w:rsidRPr="00782C69" w:rsidRDefault="00907CDF" w:rsidP="002028CE">
            <w:pPr>
              <w:pStyle w:val="BodyText"/>
              <w:rPr>
                <w:sz w:val="18"/>
                <w:szCs w:val="18"/>
              </w:rPr>
            </w:pPr>
            <w:r w:rsidRPr="00782C69">
              <w:rPr>
                <w:sz w:val="18"/>
                <w:szCs w:val="18"/>
              </w:rPr>
              <w:t>2015-16</w:t>
            </w:r>
          </w:p>
        </w:tc>
        <w:tc>
          <w:tcPr>
            <w:tcW w:w="1241" w:type="dxa"/>
          </w:tcPr>
          <w:p w14:paraId="0A24042F" w14:textId="38ED1EBD" w:rsidR="00907CDF" w:rsidRPr="00782C69" w:rsidRDefault="00907CDF" w:rsidP="00374987">
            <w:pPr>
              <w:pStyle w:val="BodyText"/>
              <w:jc w:val="right"/>
              <w:rPr>
                <w:sz w:val="18"/>
                <w:szCs w:val="18"/>
              </w:rPr>
            </w:pPr>
            <w:r w:rsidRPr="00782C69">
              <w:rPr>
                <w:sz w:val="18"/>
                <w:szCs w:val="18"/>
              </w:rPr>
              <w:t>92.7%</w:t>
            </w:r>
          </w:p>
        </w:tc>
        <w:tc>
          <w:tcPr>
            <w:tcW w:w="0" w:type="auto"/>
          </w:tcPr>
          <w:p w14:paraId="22C130AE" w14:textId="7B2EA9A7" w:rsidR="00907CDF" w:rsidRPr="00782C69" w:rsidRDefault="00907CDF" w:rsidP="00374987">
            <w:pPr>
              <w:pStyle w:val="BodyText"/>
              <w:jc w:val="right"/>
              <w:rPr>
                <w:sz w:val="18"/>
                <w:szCs w:val="18"/>
              </w:rPr>
            </w:pPr>
            <w:r w:rsidRPr="00782C69">
              <w:rPr>
                <w:sz w:val="18"/>
                <w:szCs w:val="18"/>
              </w:rPr>
              <w:t>18.6%</w:t>
            </w:r>
          </w:p>
        </w:tc>
        <w:tc>
          <w:tcPr>
            <w:tcW w:w="0" w:type="auto"/>
          </w:tcPr>
          <w:p w14:paraId="0CF96089" w14:textId="2AF0DEC2" w:rsidR="00907CDF" w:rsidRPr="00782C69" w:rsidRDefault="00907CDF" w:rsidP="00374987">
            <w:pPr>
              <w:pStyle w:val="BodyText"/>
              <w:jc w:val="right"/>
              <w:rPr>
                <w:sz w:val="18"/>
                <w:szCs w:val="18"/>
              </w:rPr>
            </w:pPr>
            <w:r w:rsidRPr="0053645A">
              <w:rPr>
                <w:sz w:val="18"/>
                <w:szCs w:val="18"/>
              </w:rPr>
              <w:t>84.9%</w:t>
            </w:r>
          </w:p>
        </w:tc>
        <w:tc>
          <w:tcPr>
            <w:tcW w:w="0" w:type="auto"/>
          </w:tcPr>
          <w:p w14:paraId="29035D49" w14:textId="2284CC6D" w:rsidR="00907CDF" w:rsidRPr="0053645A" w:rsidRDefault="009D3C7D" w:rsidP="00A92ED3">
            <w:pPr>
              <w:pStyle w:val="BodyText"/>
              <w:jc w:val="right"/>
              <w:rPr>
                <w:sz w:val="18"/>
                <w:szCs w:val="18"/>
              </w:rPr>
            </w:pPr>
            <w:r w:rsidRPr="009D3C7D">
              <w:rPr>
                <w:sz w:val="18"/>
                <w:szCs w:val="18"/>
              </w:rPr>
              <w:t>13.8%</w:t>
            </w:r>
          </w:p>
        </w:tc>
      </w:tr>
      <w:tr w:rsidR="00907CDF" w14:paraId="0233A4C1" w14:textId="05DABC7A" w:rsidTr="00D848EA">
        <w:tc>
          <w:tcPr>
            <w:tcW w:w="1129" w:type="dxa"/>
          </w:tcPr>
          <w:p w14:paraId="7529FF50" w14:textId="3CF9FE18" w:rsidR="00907CDF" w:rsidRPr="00782C69" w:rsidRDefault="00907CDF" w:rsidP="002028CE">
            <w:pPr>
              <w:pStyle w:val="BodyText"/>
              <w:rPr>
                <w:sz w:val="18"/>
                <w:szCs w:val="18"/>
              </w:rPr>
            </w:pPr>
            <w:r w:rsidRPr="00782C69">
              <w:rPr>
                <w:sz w:val="18"/>
                <w:szCs w:val="18"/>
              </w:rPr>
              <w:t>2016-17</w:t>
            </w:r>
          </w:p>
        </w:tc>
        <w:tc>
          <w:tcPr>
            <w:tcW w:w="1241" w:type="dxa"/>
          </w:tcPr>
          <w:p w14:paraId="67348B48" w14:textId="306A3E0E" w:rsidR="00907CDF" w:rsidRPr="00782C69" w:rsidRDefault="00907CDF" w:rsidP="00374987">
            <w:pPr>
              <w:pStyle w:val="BodyText"/>
              <w:jc w:val="right"/>
              <w:rPr>
                <w:sz w:val="18"/>
                <w:szCs w:val="18"/>
              </w:rPr>
            </w:pPr>
            <w:r w:rsidRPr="00782C69">
              <w:rPr>
                <w:sz w:val="18"/>
                <w:szCs w:val="18"/>
              </w:rPr>
              <w:t>90.7%</w:t>
            </w:r>
          </w:p>
        </w:tc>
        <w:tc>
          <w:tcPr>
            <w:tcW w:w="0" w:type="auto"/>
          </w:tcPr>
          <w:p w14:paraId="65D046A9" w14:textId="782BAFF7" w:rsidR="00907CDF" w:rsidRPr="00782C69" w:rsidRDefault="00907CDF" w:rsidP="00374987">
            <w:pPr>
              <w:pStyle w:val="BodyText"/>
              <w:jc w:val="right"/>
              <w:rPr>
                <w:sz w:val="18"/>
                <w:szCs w:val="18"/>
              </w:rPr>
            </w:pPr>
            <w:r w:rsidRPr="00782C69">
              <w:rPr>
                <w:sz w:val="18"/>
                <w:szCs w:val="18"/>
              </w:rPr>
              <w:t>13.0%</w:t>
            </w:r>
          </w:p>
        </w:tc>
        <w:tc>
          <w:tcPr>
            <w:tcW w:w="0" w:type="auto"/>
          </w:tcPr>
          <w:p w14:paraId="34559DE5" w14:textId="17A53E93" w:rsidR="00907CDF" w:rsidRPr="00782C69" w:rsidRDefault="00907CDF" w:rsidP="00374987">
            <w:pPr>
              <w:pStyle w:val="BodyText"/>
              <w:jc w:val="right"/>
              <w:rPr>
                <w:sz w:val="18"/>
                <w:szCs w:val="18"/>
              </w:rPr>
            </w:pPr>
            <w:r w:rsidRPr="00374987">
              <w:rPr>
                <w:sz w:val="18"/>
                <w:szCs w:val="18"/>
              </w:rPr>
              <w:t>84.0%</w:t>
            </w:r>
          </w:p>
        </w:tc>
        <w:tc>
          <w:tcPr>
            <w:tcW w:w="0" w:type="auto"/>
          </w:tcPr>
          <w:p w14:paraId="337D4BE1" w14:textId="4F62F43D" w:rsidR="00907CDF" w:rsidRPr="00374987" w:rsidRDefault="009D3C7D" w:rsidP="00A92ED3">
            <w:pPr>
              <w:pStyle w:val="BodyText"/>
              <w:jc w:val="right"/>
              <w:rPr>
                <w:sz w:val="18"/>
                <w:szCs w:val="18"/>
              </w:rPr>
            </w:pPr>
            <w:r w:rsidRPr="009D3C7D">
              <w:rPr>
                <w:sz w:val="18"/>
                <w:szCs w:val="18"/>
              </w:rPr>
              <w:t>15.9%</w:t>
            </w:r>
          </w:p>
        </w:tc>
      </w:tr>
      <w:tr w:rsidR="00907CDF" w14:paraId="22A87ED8" w14:textId="689A1598" w:rsidTr="00D848EA">
        <w:tc>
          <w:tcPr>
            <w:tcW w:w="1129" w:type="dxa"/>
          </w:tcPr>
          <w:p w14:paraId="12442E0C" w14:textId="0D1D678A" w:rsidR="00907CDF" w:rsidRPr="00782C69" w:rsidRDefault="00907CDF" w:rsidP="002028CE">
            <w:pPr>
              <w:pStyle w:val="BodyText"/>
              <w:rPr>
                <w:sz w:val="18"/>
                <w:szCs w:val="18"/>
              </w:rPr>
            </w:pPr>
            <w:r w:rsidRPr="00782C69">
              <w:rPr>
                <w:sz w:val="18"/>
                <w:szCs w:val="18"/>
              </w:rPr>
              <w:t>2017-18</w:t>
            </w:r>
          </w:p>
        </w:tc>
        <w:tc>
          <w:tcPr>
            <w:tcW w:w="1241" w:type="dxa"/>
          </w:tcPr>
          <w:p w14:paraId="5CA74319" w14:textId="623805F8" w:rsidR="00907CDF" w:rsidRPr="00782C69" w:rsidRDefault="00907CDF" w:rsidP="00374987">
            <w:pPr>
              <w:pStyle w:val="BodyText"/>
              <w:jc w:val="right"/>
              <w:rPr>
                <w:sz w:val="18"/>
                <w:szCs w:val="18"/>
              </w:rPr>
            </w:pPr>
            <w:r w:rsidRPr="00782C69">
              <w:rPr>
                <w:sz w:val="18"/>
                <w:szCs w:val="18"/>
              </w:rPr>
              <w:t>88.3%</w:t>
            </w:r>
          </w:p>
        </w:tc>
        <w:tc>
          <w:tcPr>
            <w:tcW w:w="0" w:type="auto"/>
          </w:tcPr>
          <w:p w14:paraId="17C60487" w14:textId="0A836C07" w:rsidR="00907CDF" w:rsidRPr="00782C69" w:rsidRDefault="00907CDF" w:rsidP="00374987">
            <w:pPr>
              <w:pStyle w:val="BodyText"/>
              <w:jc w:val="right"/>
              <w:rPr>
                <w:sz w:val="18"/>
                <w:szCs w:val="18"/>
              </w:rPr>
            </w:pPr>
            <w:r w:rsidRPr="00782C69">
              <w:rPr>
                <w:sz w:val="18"/>
                <w:szCs w:val="18"/>
              </w:rPr>
              <w:t>31.6%</w:t>
            </w:r>
          </w:p>
        </w:tc>
        <w:tc>
          <w:tcPr>
            <w:tcW w:w="0" w:type="auto"/>
          </w:tcPr>
          <w:p w14:paraId="3F9155BB" w14:textId="2EB79CB0" w:rsidR="00907CDF" w:rsidRPr="00782C69" w:rsidRDefault="00907CDF" w:rsidP="00374987">
            <w:pPr>
              <w:pStyle w:val="BodyText"/>
              <w:jc w:val="right"/>
              <w:rPr>
                <w:sz w:val="18"/>
                <w:szCs w:val="18"/>
              </w:rPr>
            </w:pPr>
            <w:r w:rsidRPr="00374987">
              <w:rPr>
                <w:sz w:val="18"/>
                <w:szCs w:val="18"/>
              </w:rPr>
              <w:t>82.6%</w:t>
            </w:r>
          </w:p>
        </w:tc>
        <w:tc>
          <w:tcPr>
            <w:tcW w:w="0" w:type="auto"/>
          </w:tcPr>
          <w:p w14:paraId="7A3B69EB" w14:textId="005D882B" w:rsidR="00907CDF" w:rsidRPr="00374987" w:rsidRDefault="00A92ED3" w:rsidP="00A92ED3">
            <w:pPr>
              <w:pStyle w:val="BodyText"/>
              <w:jc w:val="right"/>
              <w:rPr>
                <w:sz w:val="18"/>
                <w:szCs w:val="18"/>
              </w:rPr>
            </w:pPr>
            <w:r w:rsidRPr="00A92ED3">
              <w:rPr>
                <w:sz w:val="18"/>
                <w:szCs w:val="18"/>
              </w:rPr>
              <w:t>15.4%</w:t>
            </w:r>
          </w:p>
        </w:tc>
      </w:tr>
      <w:tr w:rsidR="00907CDF" w14:paraId="000E41C4" w14:textId="05EAA983" w:rsidTr="00D848EA">
        <w:tc>
          <w:tcPr>
            <w:tcW w:w="1129" w:type="dxa"/>
          </w:tcPr>
          <w:p w14:paraId="3516E91B" w14:textId="4544349A" w:rsidR="00907CDF" w:rsidRPr="00782C69" w:rsidRDefault="00907CDF" w:rsidP="002028CE">
            <w:pPr>
              <w:pStyle w:val="BodyText"/>
              <w:rPr>
                <w:sz w:val="18"/>
                <w:szCs w:val="18"/>
              </w:rPr>
            </w:pPr>
            <w:r w:rsidRPr="00782C69">
              <w:rPr>
                <w:sz w:val="18"/>
                <w:szCs w:val="18"/>
              </w:rPr>
              <w:t>2018-19</w:t>
            </w:r>
          </w:p>
        </w:tc>
        <w:tc>
          <w:tcPr>
            <w:tcW w:w="1241" w:type="dxa"/>
          </w:tcPr>
          <w:p w14:paraId="4AF972F8" w14:textId="20C99AAF" w:rsidR="00907CDF" w:rsidRPr="00782C69" w:rsidRDefault="00907CDF" w:rsidP="00374987">
            <w:pPr>
              <w:pStyle w:val="BodyText"/>
              <w:jc w:val="right"/>
              <w:rPr>
                <w:sz w:val="18"/>
                <w:szCs w:val="18"/>
              </w:rPr>
            </w:pPr>
            <w:r w:rsidRPr="00782C69">
              <w:rPr>
                <w:sz w:val="18"/>
                <w:szCs w:val="18"/>
              </w:rPr>
              <w:t>81.9%</w:t>
            </w:r>
          </w:p>
        </w:tc>
        <w:tc>
          <w:tcPr>
            <w:tcW w:w="0" w:type="auto"/>
          </w:tcPr>
          <w:p w14:paraId="5EBC7CD8" w14:textId="75D92BA4" w:rsidR="00907CDF" w:rsidRPr="00782C69" w:rsidRDefault="00907CDF" w:rsidP="00374987">
            <w:pPr>
              <w:pStyle w:val="BodyText"/>
              <w:jc w:val="right"/>
              <w:rPr>
                <w:sz w:val="18"/>
                <w:szCs w:val="18"/>
              </w:rPr>
            </w:pPr>
            <w:r w:rsidRPr="00782C69">
              <w:rPr>
                <w:sz w:val="18"/>
                <w:szCs w:val="18"/>
              </w:rPr>
              <w:t>40.7%</w:t>
            </w:r>
          </w:p>
        </w:tc>
        <w:tc>
          <w:tcPr>
            <w:tcW w:w="0" w:type="auto"/>
          </w:tcPr>
          <w:p w14:paraId="5BA3B520" w14:textId="52915C10" w:rsidR="00907CDF" w:rsidRPr="00782C69" w:rsidRDefault="00907CDF" w:rsidP="00374987">
            <w:pPr>
              <w:pStyle w:val="BodyText"/>
              <w:jc w:val="right"/>
              <w:rPr>
                <w:sz w:val="18"/>
                <w:szCs w:val="18"/>
              </w:rPr>
            </w:pPr>
            <w:r w:rsidRPr="00374987">
              <w:rPr>
                <w:sz w:val="18"/>
                <w:szCs w:val="18"/>
              </w:rPr>
              <w:t>81.0%</w:t>
            </w:r>
          </w:p>
        </w:tc>
        <w:tc>
          <w:tcPr>
            <w:tcW w:w="0" w:type="auto"/>
          </w:tcPr>
          <w:p w14:paraId="1675AA09" w14:textId="15C5A418" w:rsidR="00907CDF" w:rsidRPr="00374987" w:rsidRDefault="00A92ED3" w:rsidP="00A92ED3">
            <w:pPr>
              <w:pStyle w:val="BodyText"/>
              <w:jc w:val="right"/>
              <w:rPr>
                <w:sz w:val="18"/>
                <w:szCs w:val="18"/>
              </w:rPr>
            </w:pPr>
            <w:r w:rsidRPr="00A92ED3">
              <w:rPr>
                <w:sz w:val="18"/>
                <w:szCs w:val="18"/>
              </w:rPr>
              <w:t>19.5%</w:t>
            </w:r>
          </w:p>
        </w:tc>
      </w:tr>
      <w:tr w:rsidR="00907CDF" w14:paraId="3DEC8585" w14:textId="260F1A8B" w:rsidTr="00D848EA">
        <w:tc>
          <w:tcPr>
            <w:tcW w:w="1129" w:type="dxa"/>
          </w:tcPr>
          <w:p w14:paraId="376BCAC6" w14:textId="3396F8A8" w:rsidR="00907CDF" w:rsidRPr="00782C69" w:rsidRDefault="00907CDF" w:rsidP="002028CE">
            <w:pPr>
              <w:pStyle w:val="BodyText"/>
              <w:rPr>
                <w:sz w:val="18"/>
                <w:szCs w:val="18"/>
              </w:rPr>
            </w:pPr>
            <w:r w:rsidRPr="00782C69">
              <w:rPr>
                <w:sz w:val="18"/>
                <w:szCs w:val="18"/>
              </w:rPr>
              <w:t>2019-20</w:t>
            </w:r>
          </w:p>
        </w:tc>
        <w:tc>
          <w:tcPr>
            <w:tcW w:w="1241" w:type="dxa"/>
          </w:tcPr>
          <w:p w14:paraId="3D4EE66C" w14:textId="17605168" w:rsidR="00907CDF" w:rsidRPr="00782C69" w:rsidRDefault="00907CDF" w:rsidP="00374987">
            <w:pPr>
              <w:pStyle w:val="BodyText"/>
              <w:jc w:val="right"/>
              <w:rPr>
                <w:sz w:val="18"/>
                <w:szCs w:val="18"/>
              </w:rPr>
            </w:pPr>
            <w:r w:rsidRPr="00782C69">
              <w:rPr>
                <w:sz w:val="18"/>
                <w:szCs w:val="18"/>
              </w:rPr>
              <w:t>79.2%</w:t>
            </w:r>
          </w:p>
        </w:tc>
        <w:tc>
          <w:tcPr>
            <w:tcW w:w="0" w:type="auto"/>
          </w:tcPr>
          <w:p w14:paraId="16EA8492" w14:textId="414FD5E5" w:rsidR="00907CDF" w:rsidRPr="00782C69" w:rsidRDefault="00907CDF" w:rsidP="00374987">
            <w:pPr>
              <w:pStyle w:val="BodyText"/>
              <w:jc w:val="right"/>
              <w:rPr>
                <w:sz w:val="18"/>
                <w:szCs w:val="18"/>
              </w:rPr>
            </w:pPr>
            <w:r w:rsidRPr="00782C69">
              <w:rPr>
                <w:sz w:val="18"/>
                <w:szCs w:val="18"/>
              </w:rPr>
              <w:t>57.1%</w:t>
            </w:r>
          </w:p>
        </w:tc>
        <w:tc>
          <w:tcPr>
            <w:tcW w:w="0" w:type="auto"/>
          </w:tcPr>
          <w:p w14:paraId="7D57A4B7" w14:textId="58BB953E" w:rsidR="00907CDF" w:rsidRPr="00782C69" w:rsidRDefault="00907CDF" w:rsidP="00374987">
            <w:pPr>
              <w:pStyle w:val="BodyText"/>
              <w:jc w:val="right"/>
              <w:rPr>
                <w:sz w:val="18"/>
                <w:szCs w:val="18"/>
              </w:rPr>
            </w:pPr>
            <w:r w:rsidRPr="00907CDF">
              <w:rPr>
                <w:sz w:val="18"/>
                <w:szCs w:val="18"/>
              </w:rPr>
              <w:t>80.1%</w:t>
            </w:r>
          </w:p>
        </w:tc>
        <w:tc>
          <w:tcPr>
            <w:tcW w:w="0" w:type="auto"/>
          </w:tcPr>
          <w:p w14:paraId="2C7A049D" w14:textId="2FD221A9" w:rsidR="00907CDF" w:rsidRPr="00907CDF" w:rsidRDefault="00A92ED3" w:rsidP="00A92ED3">
            <w:pPr>
              <w:pStyle w:val="BodyText"/>
              <w:jc w:val="right"/>
              <w:rPr>
                <w:sz w:val="18"/>
                <w:szCs w:val="18"/>
              </w:rPr>
            </w:pPr>
            <w:r w:rsidRPr="00A92ED3">
              <w:rPr>
                <w:sz w:val="18"/>
                <w:szCs w:val="18"/>
              </w:rPr>
              <w:t>25.6%</w:t>
            </w:r>
          </w:p>
        </w:tc>
      </w:tr>
    </w:tbl>
    <w:p w14:paraId="51E5A394" w14:textId="70D1FEDD" w:rsidR="00626BF4" w:rsidRDefault="00784B9E" w:rsidP="004E5F2F">
      <w:pPr>
        <w:pStyle w:val="BodyText"/>
      </w:pPr>
      <w:r>
        <w:t xml:space="preserve"> </w:t>
      </w:r>
    </w:p>
    <w:p w14:paraId="7C1E362A" w14:textId="1C362C25" w:rsidR="00D61652" w:rsidRDefault="00BF3310" w:rsidP="00453093">
      <w:pPr>
        <w:pStyle w:val="Caption"/>
      </w:pPr>
      <w:r>
        <w:t xml:space="preserve">Table 2 </w:t>
      </w:r>
      <w:r w:rsidR="00453093">
        <w:t xml:space="preserve">ACT electricity retailers’ market share and customers on market contracts, Residential </w:t>
      </w:r>
      <w:r w:rsidR="00360BC5">
        <w:t xml:space="preserve">and Small business </w:t>
      </w:r>
      <w:r w:rsidR="00453093">
        <w:t>electricity customers, 2019-20</w:t>
      </w:r>
      <w:r w:rsidR="00714187">
        <w:rPr>
          <w:rStyle w:val="FootnoteReference"/>
        </w:rPr>
        <w:footnoteReference w:id="11"/>
      </w:r>
    </w:p>
    <w:tbl>
      <w:tblPr>
        <w:tblStyle w:val="TableGrid"/>
        <w:tblW w:w="0" w:type="auto"/>
        <w:tblLook w:val="04A0" w:firstRow="1" w:lastRow="0" w:firstColumn="1" w:lastColumn="0" w:noHBand="0" w:noVBand="1"/>
      </w:tblPr>
      <w:tblGrid>
        <w:gridCol w:w="1388"/>
        <w:gridCol w:w="1452"/>
        <w:gridCol w:w="1491"/>
        <w:gridCol w:w="1340"/>
        <w:gridCol w:w="1405"/>
      </w:tblGrid>
      <w:tr w:rsidR="0067054B" w14:paraId="7F827056" w14:textId="0AD7D207" w:rsidTr="00360BC5">
        <w:trPr>
          <w:tblHeader/>
        </w:trPr>
        <w:tc>
          <w:tcPr>
            <w:tcW w:w="0" w:type="auto"/>
          </w:tcPr>
          <w:p w14:paraId="6616FD19" w14:textId="77777777" w:rsidR="0067054B" w:rsidRPr="00782C69" w:rsidRDefault="0067054B" w:rsidP="0023260A">
            <w:pPr>
              <w:pStyle w:val="BodyText"/>
              <w:rPr>
                <w:b/>
                <w:bCs/>
                <w:sz w:val="18"/>
                <w:szCs w:val="18"/>
              </w:rPr>
            </w:pPr>
            <w:r w:rsidRPr="00782C69">
              <w:rPr>
                <w:b/>
                <w:bCs/>
                <w:sz w:val="18"/>
                <w:szCs w:val="18"/>
              </w:rPr>
              <w:t>Electricity retailer</w:t>
            </w:r>
          </w:p>
        </w:tc>
        <w:tc>
          <w:tcPr>
            <w:tcW w:w="0" w:type="auto"/>
          </w:tcPr>
          <w:p w14:paraId="1AF8970E" w14:textId="3EC73F89" w:rsidR="0067054B" w:rsidRPr="00782C69" w:rsidRDefault="0067054B" w:rsidP="0023260A">
            <w:pPr>
              <w:pStyle w:val="BodyText"/>
              <w:rPr>
                <w:b/>
                <w:bCs/>
                <w:sz w:val="18"/>
                <w:szCs w:val="18"/>
              </w:rPr>
            </w:pPr>
            <w:r w:rsidRPr="00782C69">
              <w:rPr>
                <w:b/>
                <w:bCs/>
                <w:sz w:val="18"/>
                <w:szCs w:val="18"/>
              </w:rPr>
              <w:t>Market share</w:t>
            </w:r>
            <w:r>
              <w:rPr>
                <w:b/>
                <w:bCs/>
                <w:sz w:val="18"/>
                <w:szCs w:val="18"/>
              </w:rPr>
              <w:t xml:space="preserve"> - Residential</w:t>
            </w:r>
          </w:p>
        </w:tc>
        <w:tc>
          <w:tcPr>
            <w:tcW w:w="0" w:type="auto"/>
          </w:tcPr>
          <w:p w14:paraId="4DC7A7F0" w14:textId="7BBADF29" w:rsidR="0067054B" w:rsidRPr="00782C69" w:rsidRDefault="0067054B" w:rsidP="0023260A">
            <w:pPr>
              <w:pStyle w:val="BodyText"/>
              <w:rPr>
                <w:b/>
                <w:bCs/>
                <w:sz w:val="18"/>
                <w:szCs w:val="18"/>
              </w:rPr>
            </w:pPr>
            <w:r>
              <w:rPr>
                <w:b/>
                <w:bCs/>
                <w:sz w:val="18"/>
                <w:szCs w:val="18"/>
              </w:rPr>
              <w:t>M</w:t>
            </w:r>
            <w:r w:rsidRPr="00782C69">
              <w:rPr>
                <w:b/>
                <w:bCs/>
                <w:sz w:val="18"/>
                <w:szCs w:val="18"/>
              </w:rPr>
              <w:t>arket contracts</w:t>
            </w:r>
            <w:r>
              <w:rPr>
                <w:b/>
                <w:bCs/>
                <w:sz w:val="18"/>
                <w:szCs w:val="18"/>
              </w:rPr>
              <w:t xml:space="preserve"> - Residential</w:t>
            </w:r>
          </w:p>
        </w:tc>
        <w:tc>
          <w:tcPr>
            <w:tcW w:w="0" w:type="auto"/>
          </w:tcPr>
          <w:p w14:paraId="5CFB3269" w14:textId="17D271E1" w:rsidR="0067054B" w:rsidRPr="00782C69" w:rsidRDefault="0067054B" w:rsidP="0023260A">
            <w:pPr>
              <w:pStyle w:val="BodyText"/>
              <w:rPr>
                <w:b/>
                <w:bCs/>
                <w:sz w:val="18"/>
                <w:szCs w:val="18"/>
              </w:rPr>
            </w:pPr>
            <w:r>
              <w:rPr>
                <w:b/>
                <w:bCs/>
                <w:sz w:val="18"/>
                <w:szCs w:val="18"/>
              </w:rPr>
              <w:t>Market share – Small business</w:t>
            </w:r>
          </w:p>
        </w:tc>
        <w:tc>
          <w:tcPr>
            <w:tcW w:w="0" w:type="auto"/>
          </w:tcPr>
          <w:p w14:paraId="14A10227" w14:textId="1D04FB6F" w:rsidR="0067054B" w:rsidRPr="00782C69" w:rsidRDefault="0067054B" w:rsidP="0023260A">
            <w:pPr>
              <w:pStyle w:val="BodyText"/>
              <w:rPr>
                <w:b/>
                <w:bCs/>
                <w:sz w:val="18"/>
                <w:szCs w:val="18"/>
              </w:rPr>
            </w:pPr>
            <w:r>
              <w:rPr>
                <w:b/>
                <w:bCs/>
                <w:sz w:val="18"/>
                <w:szCs w:val="18"/>
              </w:rPr>
              <w:t>Market contracts – Small business</w:t>
            </w:r>
          </w:p>
        </w:tc>
      </w:tr>
      <w:tr w:rsidR="0067054B" w14:paraId="38ABF7A2" w14:textId="30F87069" w:rsidTr="00360BC5">
        <w:tc>
          <w:tcPr>
            <w:tcW w:w="0" w:type="auto"/>
          </w:tcPr>
          <w:p w14:paraId="4A1C7E64" w14:textId="77777777" w:rsidR="0067054B" w:rsidRPr="00782C69" w:rsidRDefault="0067054B" w:rsidP="00071247">
            <w:pPr>
              <w:pStyle w:val="BodyText"/>
              <w:rPr>
                <w:sz w:val="18"/>
                <w:szCs w:val="18"/>
              </w:rPr>
            </w:pPr>
            <w:r w:rsidRPr="00782C69">
              <w:rPr>
                <w:sz w:val="18"/>
                <w:szCs w:val="18"/>
              </w:rPr>
              <w:t>ActewAGL</w:t>
            </w:r>
          </w:p>
        </w:tc>
        <w:tc>
          <w:tcPr>
            <w:tcW w:w="0" w:type="auto"/>
          </w:tcPr>
          <w:p w14:paraId="42299294" w14:textId="71A64C9A" w:rsidR="0067054B" w:rsidRPr="00782C69" w:rsidRDefault="0067054B" w:rsidP="00071247">
            <w:pPr>
              <w:pStyle w:val="BodyText"/>
              <w:jc w:val="right"/>
              <w:rPr>
                <w:sz w:val="18"/>
                <w:szCs w:val="18"/>
              </w:rPr>
            </w:pPr>
            <w:r w:rsidRPr="00782C69">
              <w:rPr>
                <w:sz w:val="18"/>
                <w:szCs w:val="18"/>
              </w:rPr>
              <w:t>79.2%</w:t>
            </w:r>
          </w:p>
        </w:tc>
        <w:tc>
          <w:tcPr>
            <w:tcW w:w="0" w:type="auto"/>
          </w:tcPr>
          <w:p w14:paraId="4FE8FFD9" w14:textId="66C03ABF" w:rsidR="0067054B" w:rsidRPr="00782C69" w:rsidRDefault="0067054B" w:rsidP="00071247">
            <w:pPr>
              <w:pStyle w:val="BodyText"/>
              <w:jc w:val="right"/>
              <w:rPr>
                <w:sz w:val="18"/>
                <w:szCs w:val="18"/>
              </w:rPr>
            </w:pPr>
            <w:r w:rsidRPr="00782C69">
              <w:rPr>
                <w:sz w:val="18"/>
                <w:szCs w:val="18"/>
              </w:rPr>
              <w:t>57.1%</w:t>
            </w:r>
          </w:p>
        </w:tc>
        <w:tc>
          <w:tcPr>
            <w:tcW w:w="0" w:type="auto"/>
          </w:tcPr>
          <w:p w14:paraId="41E1594B" w14:textId="7D60DE46" w:rsidR="0067054B" w:rsidRPr="00782C69" w:rsidRDefault="00886473" w:rsidP="00071247">
            <w:pPr>
              <w:pStyle w:val="BodyText"/>
              <w:jc w:val="right"/>
              <w:rPr>
                <w:sz w:val="18"/>
                <w:szCs w:val="18"/>
              </w:rPr>
            </w:pPr>
            <w:r w:rsidRPr="00886473">
              <w:rPr>
                <w:sz w:val="18"/>
                <w:szCs w:val="18"/>
              </w:rPr>
              <w:t>80.1%</w:t>
            </w:r>
          </w:p>
        </w:tc>
        <w:tc>
          <w:tcPr>
            <w:tcW w:w="0" w:type="auto"/>
          </w:tcPr>
          <w:p w14:paraId="45FD2A09" w14:textId="51F31D06" w:rsidR="0067054B" w:rsidRPr="00782C69" w:rsidRDefault="006A4A68" w:rsidP="00071247">
            <w:pPr>
              <w:pStyle w:val="BodyText"/>
              <w:jc w:val="right"/>
              <w:rPr>
                <w:sz w:val="18"/>
                <w:szCs w:val="18"/>
              </w:rPr>
            </w:pPr>
            <w:r w:rsidRPr="006A4A68">
              <w:rPr>
                <w:sz w:val="18"/>
                <w:szCs w:val="18"/>
              </w:rPr>
              <w:t>25.6%</w:t>
            </w:r>
          </w:p>
        </w:tc>
      </w:tr>
      <w:tr w:rsidR="0067054B" w14:paraId="4CBD24AC" w14:textId="434F9DE4" w:rsidTr="00360BC5">
        <w:tc>
          <w:tcPr>
            <w:tcW w:w="0" w:type="auto"/>
          </w:tcPr>
          <w:p w14:paraId="3847C67D" w14:textId="77777777" w:rsidR="0067054B" w:rsidRPr="00782C69" w:rsidRDefault="0067054B" w:rsidP="00071247">
            <w:pPr>
              <w:pStyle w:val="BodyText"/>
              <w:rPr>
                <w:sz w:val="18"/>
                <w:szCs w:val="18"/>
              </w:rPr>
            </w:pPr>
            <w:r w:rsidRPr="00782C69">
              <w:rPr>
                <w:sz w:val="18"/>
                <w:szCs w:val="18"/>
              </w:rPr>
              <w:t>Energy Locals</w:t>
            </w:r>
          </w:p>
        </w:tc>
        <w:tc>
          <w:tcPr>
            <w:tcW w:w="0" w:type="auto"/>
          </w:tcPr>
          <w:p w14:paraId="34966B93" w14:textId="05FEE88F" w:rsidR="0067054B" w:rsidRPr="00782C69" w:rsidRDefault="0067054B" w:rsidP="00071247">
            <w:pPr>
              <w:pStyle w:val="BodyText"/>
              <w:jc w:val="right"/>
              <w:rPr>
                <w:sz w:val="18"/>
                <w:szCs w:val="18"/>
              </w:rPr>
            </w:pPr>
            <w:r w:rsidRPr="00782C69">
              <w:rPr>
                <w:sz w:val="18"/>
                <w:szCs w:val="18"/>
              </w:rPr>
              <w:t>0.5%</w:t>
            </w:r>
          </w:p>
        </w:tc>
        <w:tc>
          <w:tcPr>
            <w:tcW w:w="0" w:type="auto"/>
          </w:tcPr>
          <w:p w14:paraId="09A9A8CB" w14:textId="04931FEB" w:rsidR="0067054B" w:rsidRPr="00782C69" w:rsidRDefault="0067054B" w:rsidP="00071247">
            <w:pPr>
              <w:pStyle w:val="BodyText"/>
              <w:jc w:val="right"/>
              <w:rPr>
                <w:sz w:val="18"/>
                <w:szCs w:val="18"/>
              </w:rPr>
            </w:pPr>
            <w:r w:rsidRPr="00782C69">
              <w:rPr>
                <w:sz w:val="18"/>
                <w:szCs w:val="18"/>
              </w:rPr>
              <w:t>99.5%</w:t>
            </w:r>
          </w:p>
        </w:tc>
        <w:tc>
          <w:tcPr>
            <w:tcW w:w="0" w:type="auto"/>
          </w:tcPr>
          <w:p w14:paraId="13C73B63" w14:textId="104C3057" w:rsidR="0067054B" w:rsidRPr="00782C69" w:rsidRDefault="00886473" w:rsidP="00071247">
            <w:pPr>
              <w:pStyle w:val="BodyText"/>
              <w:jc w:val="right"/>
              <w:rPr>
                <w:sz w:val="18"/>
                <w:szCs w:val="18"/>
              </w:rPr>
            </w:pPr>
            <w:r w:rsidRPr="00886473">
              <w:rPr>
                <w:sz w:val="18"/>
                <w:szCs w:val="18"/>
              </w:rPr>
              <w:t>0.0%</w:t>
            </w:r>
          </w:p>
        </w:tc>
        <w:tc>
          <w:tcPr>
            <w:tcW w:w="0" w:type="auto"/>
          </w:tcPr>
          <w:p w14:paraId="606908CC" w14:textId="5C6D8F42" w:rsidR="0067054B" w:rsidRPr="00782C69" w:rsidRDefault="00D95853" w:rsidP="00071247">
            <w:pPr>
              <w:pStyle w:val="BodyText"/>
              <w:jc w:val="right"/>
              <w:rPr>
                <w:sz w:val="18"/>
                <w:szCs w:val="18"/>
              </w:rPr>
            </w:pPr>
            <w:r w:rsidRPr="00D95853">
              <w:rPr>
                <w:sz w:val="18"/>
                <w:szCs w:val="18"/>
              </w:rPr>
              <w:t>100.0%</w:t>
            </w:r>
          </w:p>
        </w:tc>
      </w:tr>
      <w:tr w:rsidR="0067054B" w14:paraId="5BCCA8D6" w14:textId="3C78BAC3" w:rsidTr="00360BC5">
        <w:tc>
          <w:tcPr>
            <w:tcW w:w="0" w:type="auto"/>
          </w:tcPr>
          <w:p w14:paraId="0F34CBC7" w14:textId="02AE144E" w:rsidR="0067054B" w:rsidRPr="00782C69" w:rsidRDefault="0067054B" w:rsidP="00071247">
            <w:pPr>
              <w:pStyle w:val="BodyText"/>
              <w:rPr>
                <w:sz w:val="18"/>
                <w:szCs w:val="18"/>
              </w:rPr>
            </w:pPr>
            <w:r w:rsidRPr="00782C69">
              <w:rPr>
                <w:sz w:val="18"/>
                <w:szCs w:val="18"/>
              </w:rPr>
              <w:t>Energy</w:t>
            </w:r>
            <w:r>
              <w:rPr>
                <w:sz w:val="18"/>
                <w:szCs w:val="18"/>
              </w:rPr>
              <w:t xml:space="preserve"> </w:t>
            </w:r>
            <w:r w:rsidRPr="00782C69">
              <w:rPr>
                <w:sz w:val="18"/>
                <w:szCs w:val="18"/>
              </w:rPr>
              <w:t>Australia</w:t>
            </w:r>
          </w:p>
        </w:tc>
        <w:tc>
          <w:tcPr>
            <w:tcW w:w="0" w:type="auto"/>
          </w:tcPr>
          <w:p w14:paraId="777A5D58" w14:textId="08B24B4C" w:rsidR="0067054B" w:rsidRPr="00782C69" w:rsidRDefault="0067054B" w:rsidP="00071247">
            <w:pPr>
              <w:pStyle w:val="BodyText"/>
              <w:jc w:val="right"/>
              <w:rPr>
                <w:sz w:val="18"/>
                <w:szCs w:val="18"/>
              </w:rPr>
            </w:pPr>
            <w:r w:rsidRPr="00782C69">
              <w:rPr>
                <w:sz w:val="18"/>
                <w:szCs w:val="18"/>
              </w:rPr>
              <w:t>4.3%</w:t>
            </w:r>
          </w:p>
        </w:tc>
        <w:tc>
          <w:tcPr>
            <w:tcW w:w="0" w:type="auto"/>
          </w:tcPr>
          <w:p w14:paraId="2C5BE0D2" w14:textId="70839ACF" w:rsidR="0067054B" w:rsidRPr="00782C69" w:rsidRDefault="0067054B" w:rsidP="00071247">
            <w:pPr>
              <w:pStyle w:val="BodyText"/>
              <w:jc w:val="right"/>
              <w:rPr>
                <w:sz w:val="18"/>
                <w:szCs w:val="18"/>
              </w:rPr>
            </w:pPr>
            <w:r w:rsidRPr="00782C69">
              <w:rPr>
                <w:sz w:val="18"/>
                <w:szCs w:val="18"/>
              </w:rPr>
              <w:t>96.7%</w:t>
            </w:r>
          </w:p>
        </w:tc>
        <w:tc>
          <w:tcPr>
            <w:tcW w:w="0" w:type="auto"/>
          </w:tcPr>
          <w:p w14:paraId="2DF84DA9" w14:textId="423A9A73" w:rsidR="0067054B" w:rsidRPr="00782C69" w:rsidRDefault="002B1903" w:rsidP="00071247">
            <w:pPr>
              <w:pStyle w:val="BodyText"/>
              <w:jc w:val="right"/>
              <w:rPr>
                <w:sz w:val="18"/>
                <w:szCs w:val="18"/>
              </w:rPr>
            </w:pPr>
            <w:r w:rsidRPr="002B1903">
              <w:rPr>
                <w:sz w:val="18"/>
                <w:szCs w:val="18"/>
              </w:rPr>
              <w:t>2.9%</w:t>
            </w:r>
          </w:p>
        </w:tc>
        <w:tc>
          <w:tcPr>
            <w:tcW w:w="0" w:type="auto"/>
          </w:tcPr>
          <w:p w14:paraId="7EA19551" w14:textId="057C18D4" w:rsidR="0067054B" w:rsidRPr="00782C69" w:rsidRDefault="00D95853" w:rsidP="00071247">
            <w:pPr>
              <w:pStyle w:val="BodyText"/>
              <w:jc w:val="right"/>
              <w:rPr>
                <w:sz w:val="18"/>
                <w:szCs w:val="18"/>
              </w:rPr>
            </w:pPr>
            <w:r w:rsidRPr="00D95853">
              <w:rPr>
                <w:sz w:val="18"/>
                <w:szCs w:val="18"/>
              </w:rPr>
              <w:t>93.9%</w:t>
            </w:r>
          </w:p>
        </w:tc>
      </w:tr>
      <w:tr w:rsidR="006F6A62" w14:paraId="0230A9E8" w14:textId="77777777" w:rsidTr="00360BC5">
        <w:tc>
          <w:tcPr>
            <w:tcW w:w="0" w:type="auto"/>
          </w:tcPr>
          <w:p w14:paraId="4AED4A52" w14:textId="01D07FC1" w:rsidR="006F6A62" w:rsidRPr="00782C69" w:rsidRDefault="006F6A62" w:rsidP="00071247">
            <w:pPr>
              <w:pStyle w:val="BodyText"/>
              <w:rPr>
                <w:sz w:val="18"/>
                <w:szCs w:val="18"/>
              </w:rPr>
            </w:pPr>
            <w:r>
              <w:rPr>
                <w:sz w:val="18"/>
                <w:szCs w:val="18"/>
              </w:rPr>
              <w:t>ERM Power</w:t>
            </w:r>
          </w:p>
        </w:tc>
        <w:tc>
          <w:tcPr>
            <w:tcW w:w="0" w:type="auto"/>
          </w:tcPr>
          <w:p w14:paraId="0C490256" w14:textId="591DEE8B" w:rsidR="006F6A62" w:rsidRPr="00782C69" w:rsidRDefault="004E6A32" w:rsidP="00071247">
            <w:pPr>
              <w:pStyle w:val="BodyText"/>
              <w:jc w:val="right"/>
              <w:rPr>
                <w:sz w:val="18"/>
                <w:szCs w:val="18"/>
              </w:rPr>
            </w:pPr>
            <w:r>
              <w:rPr>
                <w:sz w:val="18"/>
                <w:szCs w:val="18"/>
              </w:rPr>
              <w:t>-</w:t>
            </w:r>
          </w:p>
        </w:tc>
        <w:tc>
          <w:tcPr>
            <w:tcW w:w="0" w:type="auto"/>
          </w:tcPr>
          <w:p w14:paraId="67EB48D9" w14:textId="6C552203" w:rsidR="006F6A62" w:rsidRPr="00782C69" w:rsidRDefault="004E6A32" w:rsidP="00071247">
            <w:pPr>
              <w:pStyle w:val="BodyText"/>
              <w:jc w:val="right"/>
              <w:rPr>
                <w:sz w:val="18"/>
                <w:szCs w:val="18"/>
              </w:rPr>
            </w:pPr>
            <w:r>
              <w:rPr>
                <w:sz w:val="18"/>
                <w:szCs w:val="18"/>
              </w:rPr>
              <w:t>-</w:t>
            </w:r>
          </w:p>
        </w:tc>
        <w:tc>
          <w:tcPr>
            <w:tcW w:w="0" w:type="auto"/>
          </w:tcPr>
          <w:p w14:paraId="4856A218" w14:textId="6C7241E6" w:rsidR="006F6A62" w:rsidRPr="00782C69" w:rsidRDefault="002B1903" w:rsidP="00071247">
            <w:pPr>
              <w:pStyle w:val="BodyText"/>
              <w:jc w:val="right"/>
              <w:rPr>
                <w:sz w:val="18"/>
                <w:szCs w:val="18"/>
              </w:rPr>
            </w:pPr>
            <w:r w:rsidRPr="002B1903">
              <w:rPr>
                <w:sz w:val="18"/>
                <w:szCs w:val="18"/>
              </w:rPr>
              <w:t>0.4%</w:t>
            </w:r>
          </w:p>
        </w:tc>
        <w:tc>
          <w:tcPr>
            <w:tcW w:w="0" w:type="auto"/>
          </w:tcPr>
          <w:p w14:paraId="3E9556D3" w14:textId="7931569D" w:rsidR="006F6A62" w:rsidRPr="00782C69" w:rsidRDefault="004E6A32" w:rsidP="00071247">
            <w:pPr>
              <w:pStyle w:val="BodyText"/>
              <w:jc w:val="right"/>
              <w:rPr>
                <w:sz w:val="18"/>
                <w:szCs w:val="18"/>
              </w:rPr>
            </w:pPr>
            <w:r w:rsidRPr="004E6A32">
              <w:rPr>
                <w:sz w:val="18"/>
                <w:szCs w:val="18"/>
              </w:rPr>
              <w:t>86.0%</w:t>
            </w:r>
          </w:p>
        </w:tc>
      </w:tr>
      <w:tr w:rsidR="0067054B" w14:paraId="24D4B0E3" w14:textId="574E094D" w:rsidTr="00360BC5">
        <w:tc>
          <w:tcPr>
            <w:tcW w:w="0" w:type="auto"/>
          </w:tcPr>
          <w:p w14:paraId="5575FDB2" w14:textId="77777777" w:rsidR="0067054B" w:rsidRPr="00782C69" w:rsidRDefault="0067054B" w:rsidP="00071247">
            <w:pPr>
              <w:pStyle w:val="BodyText"/>
              <w:rPr>
                <w:sz w:val="18"/>
                <w:szCs w:val="18"/>
              </w:rPr>
            </w:pPr>
            <w:r w:rsidRPr="00782C69">
              <w:rPr>
                <w:sz w:val="18"/>
                <w:szCs w:val="18"/>
              </w:rPr>
              <w:t>Momentum Energy</w:t>
            </w:r>
          </w:p>
        </w:tc>
        <w:tc>
          <w:tcPr>
            <w:tcW w:w="0" w:type="auto"/>
          </w:tcPr>
          <w:p w14:paraId="2A927B58" w14:textId="6E43566F" w:rsidR="0067054B" w:rsidRPr="00782C69" w:rsidRDefault="0067054B" w:rsidP="00071247">
            <w:pPr>
              <w:pStyle w:val="BodyText"/>
              <w:jc w:val="right"/>
              <w:rPr>
                <w:sz w:val="18"/>
                <w:szCs w:val="18"/>
              </w:rPr>
            </w:pPr>
            <w:r w:rsidRPr="00782C69">
              <w:rPr>
                <w:sz w:val="18"/>
                <w:szCs w:val="18"/>
              </w:rPr>
              <w:t>0.0%</w:t>
            </w:r>
          </w:p>
        </w:tc>
        <w:tc>
          <w:tcPr>
            <w:tcW w:w="0" w:type="auto"/>
          </w:tcPr>
          <w:p w14:paraId="5092A51A" w14:textId="67B8C95B" w:rsidR="0067054B" w:rsidRPr="00782C69" w:rsidRDefault="0067054B" w:rsidP="00071247">
            <w:pPr>
              <w:pStyle w:val="BodyText"/>
              <w:jc w:val="right"/>
              <w:rPr>
                <w:sz w:val="18"/>
                <w:szCs w:val="18"/>
              </w:rPr>
            </w:pPr>
            <w:r w:rsidRPr="00782C69">
              <w:rPr>
                <w:sz w:val="18"/>
                <w:szCs w:val="18"/>
              </w:rPr>
              <w:t>0.0%</w:t>
            </w:r>
          </w:p>
        </w:tc>
        <w:tc>
          <w:tcPr>
            <w:tcW w:w="0" w:type="auto"/>
          </w:tcPr>
          <w:p w14:paraId="23A3D79B" w14:textId="7FE06E9C" w:rsidR="0067054B" w:rsidRPr="00782C69" w:rsidRDefault="002B1903" w:rsidP="00071247">
            <w:pPr>
              <w:pStyle w:val="BodyText"/>
              <w:jc w:val="right"/>
              <w:rPr>
                <w:sz w:val="18"/>
                <w:szCs w:val="18"/>
              </w:rPr>
            </w:pPr>
            <w:r w:rsidRPr="002B1903">
              <w:rPr>
                <w:sz w:val="18"/>
                <w:szCs w:val="18"/>
              </w:rPr>
              <w:t>0.0%</w:t>
            </w:r>
          </w:p>
        </w:tc>
        <w:tc>
          <w:tcPr>
            <w:tcW w:w="0" w:type="auto"/>
          </w:tcPr>
          <w:p w14:paraId="67C7B5FF" w14:textId="614E8D1B" w:rsidR="0067054B" w:rsidRPr="00782C69" w:rsidRDefault="004E6A32" w:rsidP="00071247">
            <w:pPr>
              <w:pStyle w:val="BodyText"/>
              <w:jc w:val="right"/>
              <w:rPr>
                <w:sz w:val="18"/>
                <w:szCs w:val="18"/>
              </w:rPr>
            </w:pPr>
            <w:r w:rsidRPr="004E6A32">
              <w:rPr>
                <w:sz w:val="18"/>
                <w:szCs w:val="18"/>
              </w:rPr>
              <w:t>0.0%</w:t>
            </w:r>
          </w:p>
        </w:tc>
      </w:tr>
      <w:tr w:rsidR="005E39F6" w14:paraId="7C7E65F7" w14:textId="77777777" w:rsidTr="00360BC5">
        <w:tc>
          <w:tcPr>
            <w:tcW w:w="0" w:type="auto"/>
          </w:tcPr>
          <w:p w14:paraId="1948580F" w14:textId="652D024C" w:rsidR="005E39F6" w:rsidRPr="00782C69" w:rsidRDefault="005E39F6" w:rsidP="00071247">
            <w:pPr>
              <w:pStyle w:val="BodyText"/>
              <w:rPr>
                <w:sz w:val="18"/>
                <w:szCs w:val="18"/>
              </w:rPr>
            </w:pPr>
            <w:r w:rsidRPr="005E39F6">
              <w:rPr>
                <w:sz w:val="18"/>
                <w:szCs w:val="18"/>
              </w:rPr>
              <w:t>Next Business Energy</w:t>
            </w:r>
          </w:p>
        </w:tc>
        <w:tc>
          <w:tcPr>
            <w:tcW w:w="0" w:type="auto"/>
          </w:tcPr>
          <w:p w14:paraId="0766FEC9" w14:textId="0ABE16C6" w:rsidR="005E39F6" w:rsidRPr="00782C69" w:rsidRDefault="005E39F6" w:rsidP="00071247">
            <w:pPr>
              <w:pStyle w:val="BodyText"/>
              <w:jc w:val="right"/>
              <w:rPr>
                <w:sz w:val="18"/>
                <w:szCs w:val="18"/>
              </w:rPr>
            </w:pPr>
            <w:r>
              <w:rPr>
                <w:sz w:val="18"/>
                <w:szCs w:val="18"/>
              </w:rPr>
              <w:t>-</w:t>
            </w:r>
          </w:p>
        </w:tc>
        <w:tc>
          <w:tcPr>
            <w:tcW w:w="0" w:type="auto"/>
          </w:tcPr>
          <w:p w14:paraId="15491580" w14:textId="397C5264" w:rsidR="005E39F6" w:rsidRPr="00782C69" w:rsidRDefault="005E39F6" w:rsidP="00071247">
            <w:pPr>
              <w:pStyle w:val="BodyText"/>
              <w:jc w:val="right"/>
              <w:rPr>
                <w:sz w:val="18"/>
                <w:szCs w:val="18"/>
              </w:rPr>
            </w:pPr>
            <w:r>
              <w:rPr>
                <w:sz w:val="18"/>
                <w:szCs w:val="18"/>
              </w:rPr>
              <w:t>-</w:t>
            </w:r>
          </w:p>
        </w:tc>
        <w:tc>
          <w:tcPr>
            <w:tcW w:w="0" w:type="auto"/>
          </w:tcPr>
          <w:p w14:paraId="2FCA96FC" w14:textId="7BC1D953" w:rsidR="005E39F6" w:rsidRPr="00782C69" w:rsidRDefault="002F06C1" w:rsidP="00071247">
            <w:pPr>
              <w:pStyle w:val="BodyText"/>
              <w:jc w:val="right"/>
              <w:rPr>
                <w:sz w:val="18"/>
                <w:szCs w:val="18"/>
              </w:rPr>
            </w:pPr>
            <w:r w:rsidRPr="002F06C1">
              <w:rPr>
                <w:sz w:val="18"/>
                <w:szCs w:val="18"/>
              </w:rPr>
              <w:t>0.9%</w:t>
            </w:r>
          </w:p>
        </w:tc>
        <w:tc>
          <w:tcPr>
            <w:tcW w:w="0" w:type="auto"/>
          </w:tcPr>
          <w:p w14:paraId="0A0EFFF7" w14:textId="1B42EC32" w:rsidR="005E39F6" w:rsidRPr="00782C69" w:rsidRDefault="005E39F6" w:rsidP="00071247">
            <w:pPr>
              <w:pStyle w:val="BodyText"/>
              <w:jc w:val="right"/>
              <w:rPr>
                <w:sz w:val="18"/>
                <w:szCs w:val="18"/>
              </w:rPr>
            </w:pPr>
            <w:r w:rsidRPr="005E39F6">
              <w:rPr>
                <w:sz w:val="18"/>
                <w:szCs w:val="18"/>
              </w:rPr>
              <w:t>93.0%</w:t>
            </w:r>
          </w:p>
        </w:tc>
      </w:tr>
      <w:tr w:rsidR="0067054B" w14:paraId="7F8C543E" w14:textId="00DD2B6E" w:rsidTr="00360BC5">
        <w:tc>
          <w:tcPr>
            <w:tcW w:w="0" w:type="auto"/>
          </w:tcPr>
          <w:p w14:paraId="0E92B129" w14:textId="77777777" w:rsidR="0067054B" w:rsidRPr="00782C69" w:rsidRDefault="0067054B" w:rsidP="00071247">
            <w:pPr>
              <w:pStyle w:val="BodyText"/>
              <w:rPr>
                <w:sz w:val="18"/>
                <w:szCs w:val="18"/>
              </w:rPr>
            </w:pPr>
            <w:r w:rsidRPr="00782C69">
              <w:rPr>
                <w:sz w:val="18"/>
                <w:szCs w:val="18"/>
              </w:rPr>
              <w:t>Origin Energy</w:t>
            </w:r>
          </w:p>
        </w:tc>
        <w:tc>
          <w:tcPr>
            <w:tcW w:w="0" w:type="auto"/>
          </w:tcPr>
          <w:p w14:paraId="2CA32A51" w14:textId="49D84035" w:rsidR="0067054B" w:rsidRPr="00782C69" w:rsidRDefault="0067054B" w:rsidP="00071247">
            <w:pPr>
              <w:pStyle w:val="BodyText"/>
              <w:jc w:val="right"/>
              <w:rPr>
                <w:sz w:val="18"/>
                <w:szCs w:val="18"/>
              </w:rPr>
            </w:pPr>
            <w:r w:rsidRPr="00782C69">
              <w:rPr>
                <w:sz w:val="18"/>
                <w:szCs w:val="18"/>
              </w:rPr>
              <w:t>15.8%</w:t>
            </w:r>
          </w:p>
        </w:tc>
        <w:tc>
          <w:tcPr>
            <w:tcW w:w="0" w:type="auto"/>
          </w:tcPr>
          <w:p w14:paraId="0A9B36A7" w14:textId="366BFDD2" w:rsidR="0067054B" w:rsidRPr="00782C69" w:rsidRDefault="0067054B" w:rsidP="00071247">
            <w:pPr>
              <w:pStyle w:val="BodyText"/>
              <w:jc w:val="right"/>
              <w:rPr>
                <w:sz w:val="18"/>
                <w:szCs w:val="18"/>
              </w:rPr>
            </w:pPr>
            <w:r w:rsidRPr="00782C69">
              <w:rPr>
                <w:sz w:val="18"/>
                <w:szCs w:val="18"/>
              </w:rPr>
              <w:t>96.3%</w:t>
            </w:r>
          </w:p>
        </w:tc>
        <w:tc>
          <w:tcPr>
            <w:tcW w:w="0" w:type="auto"/>
          </w:tcPr>
          <w:p w14:paraId="1ACDDCEE" w14:textId="37D0C6A8" w:rsidR="0067054B" w:rsidRPr="00782C69" w:rsidRDefault="002F06C1" w:rsidP="00071247">
            <w:pPr>
              <w:pStyle w:val="BodyText"/>
              <w:jc w:val="right"/>
              <w:rPr>
                <w:sz w:val="18"/>
                <w:szCs w:val="18"/>
              </w:rPr>
            </w:pPr>
            <w:r w:rsidRPr="002F06C1">
              <w:rPr>
                <w:sz w:val="18"/>
                <w:szCs w:val="18"/>
              </w:rPr>
              <w:t>15.1%</w:t>
            </w:r>
          </w:p>
        </w:tc>
        <w:tc>
          <w:tcPr>
            <w:tcW w:w="0" w:type="auto"/>
          </w:tcPr>
          <w:p w14:paraId="3FD7C153" w14:textId="23AF88C9" w:rsidR="0067054B" w:rsidRPr="00782C69" w:rsidRDefault="00D3558C" w:rsidP="00071247">
            <w:pPr>
              <w:pStyle w:val="BodyText"/>
              <w:jc w:val="right"/>
              <w:rPr>
                <w:sz w:val="18"/>
                <w:szCs w:val="18"/>
              </w:rPr>
            </w:pPr>
            <w:r w:rsidRPr="00D3558C">
              <w:rPr>
                <w:sz w:val="18"/>
                <w:szCs w:val="18"/>
              </w:rPr>
              <w:t>89.9%</w:t>
            </w:r>
          </w:p>
        </w:tc>
      </w:tr>
      <w:tr w:rsidR="0067054B" w14:paraId="4C603C7F" w14:textId="5588BC84" w:rsidTr="00360BC5">
        <w:tc>
          <w:tcPr>
            <w:tcW w:w="0" w:type="auto"/>
          </w:tcPr>
          <w:p w14:paraId="4588DBD7" w14:textId="77777777" w:rsidR="0067054B" w:rsidRPr="00782C69" w:rsidRDefault="0067054B" w:rsidP="00071247">
            <w:pPr>
              <w:pStyle w:val="BodyText"/>
              <w:rPr>
                <w:sz w:val="18"/>
                <w:szCs w:val="18"/>
              </w:rPr>
            </w:pPr>
            <w:r w:rsidRPr="00782C69">
              <w:rPr>
                <w:sz w:val="18"/>
                <w:szCs w:val="18"/>
              </w:rPr>
              <w:t>Power Club</w:t>
            </w:r>
          </w:p>
        </w:tc>
        <w:tc>
          <w:tcPr>
            <w:tcW w:w="0" w:type="auto"/>
          </w:tcPr>
          <w:p w14:paraId="2E6690C3" w14:textId="69C78985" w:rsidR="0067054B" w:rsidRPr="00782C69" w:rsidRDefault="0067054B" w:rsidP="00071247">
            <w:pPr>
              <w:pStyle w:val="BodyText"/>
              <w:jc w:val="right"/>
              <w:rPr>
                <w:sz w:val="18"/>
                <w:szCs w:val="18"/>
              </w:rPr>
            </w:pPr>
            <w:r w:rsidRPr="00782C69">
              <w:rPr>
                <w:sz w:val="18"/>
                <w:szCs w:val="18"/>
              </w:rPr>
              <w:t>0.0%</w:t>
            </w:r>
          </w:p>
        </w:tc>
        <w:tc>
          <w:tcPr>
            <w:tcW w:w="0" w:type="auto"/>
          </w:tcPr>
          <w:p w14:paraId="2FCC5186" w14:textId="45F2D246" w:rsidR="0067054B" w:rsidRPr="00782C69" w:rsidRDefault="0067054B" w:rsidP="00071247">
            <w:pPr>
              <w:pStyle w:val="BodyText"/>
              <w:jc w:val="right"/>
              <w:rPr>
                <w:sz w:val="18"/>
                <w:szCs w:val="18"/>
              </w:rPr>
            </w:pPr>
            <w:r w:rsidRPr="00782C69">
              <w:rPr>
                <w:sz w:val="18"/>
                <w:szCs w:val="18"/>
              </w:rPr>
              <w:t>100.0%</w:t>
            </w:r>
          </w:p>
        </w:tc>
        <w:tc>
          <w:tcPr>
            <w:tcW w:w="0" w:type="auto"/>
          </w:tcPr>
          <w:p w14:paraId="2A16DEBF" w14:textId="6A95FD21" w:rsidR="0067054B" w:rsidRPr="00782C69" w:rsidRDefault="002F06C1" w:rsidP="00071247">
            <w:pPr>
              <w:pStyle w:val="BodyText"/>
              <w:jc w:val="right"/>
              <w:rPr>
                <w:sz w:val="18"/>
                <w:szCs w:val="18"/>
              </w:rPr>
            </w:pPr>
            <w:r w:rsidRPr="002F06C1">
              <w:rPr>
                <w:sz w:val="18"/>
                <w:szCs w:val="18"/>
              </w:rPr>
              <w:t>0.0%</w:t>
            </w:r>
          </w:p>
        </w:tc>
        <w:tc>
          <w:tcPr>
            <w:tcW w:w="0" w:type="auto"/>
          </w:tcPr>
          <w:p w14:paraId="79B4F7D4" w14:textId="7B036099" w:rsidR="0067054B" w:rsidRPr="00782C69" w:rsidRDefault="00D3558C" w:rsidP="00071247">
            <w:pPr>
              <w:pStyle w:val="BodyText"/>
              <w:jc w:val="right"/>
              <w:rPr>
                <w:sz w:val="18"/>
                <w:szCs w:val="18"/>
              </w:rPr>
            </w:pPr>
            <w:r w:rsidRPr="00D3558C">
              <w:rPr>
                <w:sz w:val="18"/>
                <w:szCs w:val="18"/>
              </w:rPr>
              <w:t>0.0%</w:t>
            </w:r>
          </w:p>
        </w:tc>
      </w:tr>
      <w:tr w:rsidR="002825D6" w14:paraId="5C05F6FB" w14:textId="77777777" w:rsidTr="00360BC5">
        <w:tc>
          <w:tcPr>
            <w:tcW w:w="0" w:type="auto"/>
          </w:tcPr>
          <w:p w14:paraId="4291237C" w14:textId="2DF22F7F" w:rsidR="002825D6" w:rsidRPr="00782C69" w:rsidRDefault="002825D6" w:rsidP="00071247">
            <w:pPr>
              <w:pStyle w:val="BodyText"/>
              <w:rPr>
                <w:sz w:val="18"/>
                <w:szCs w:val="18"/>
              </w:rPr>
            </w:pPr>
            <w:r w:rsidRPr="002825D6">
              <w:rPr>
                <w:sz w:val="18"/>
                <w:szCs w:val="18"/>
              </w:rPr>
              <w:lastRenderedPageBreak/>
              <w:t>Powerdirect</w:t>
            </w:r>
          </w:p>
        </w:tc>
        <w:tc>
          <w:tcPr>
            <w:tcW w:w="0" w:type="auto"/>
          </w:tcPr>
          <w:p w14:paraId="550B19E5" w14:textId="3F14D62E" w:rsidR="002825D6" w:rsidRPr="00782C69" w:rsidRDefault="002825D6" w:rsidP="00071247">
            <w:pPr>
              <w:pStyle w:val="BodyText"/>
              <w:jc w:val="right"/>
              <w:rPr>
                <w:sz w:val="18"/>
                <w:szCs w:val="18"/>
              </w:rPr>
            </w:pPr>
            <w:r>
              <w:rPr>
                <w:sz w:val="18"/>
                <w:szCs w:val="18"/>
              </w:rPr>
              <w:t>-</w:t>
            </w:r>
          </w:p>
        </w:tc>
        <w:tc>
          <w:tcPr>
            <w:tcW w:w="0" w:type="auto"/>
          </w:tcPr>
          <w:p w14:paraId="25ED5BD5" w14:textId="1D6981A6" w:rsidR="002825D6" w:rsidRPr="00782C69" w:rsidRDefault="002825D6" w:rsidP="00071247">
            <w:pPr>
              <w:pStyle w:val="BodyText"/>
              <w:jc w:val="right"/>
              <w:rPr>
                <w:sz w:val="18"/>
                <w:szCs w:val="18"/>
              </w:rPr>
            </w:pPr>
            <w:r>
              <w:rPr>
                <w:sz w:val="18"/>
                <w:szCs w:val="18"/>
              </w:rPr>
              <w:t>-</w:t>
            </w:r>
          </w:p>
        </w:tc>
        <w:tc>
          <w:tcPr>
            <w:tcW w:w="0" w:type="auto"/>
          </w:tcPr>
          <w:p w14:paraId="1DE8B49A" w14:textId="47235428" w:rsidR="002825D6" w:rsidRPr="00782C69" w:rsidRDefault="00400DFB" w:rsidP="00071247">
            <w:pPr>
              <w:pStyle w:val="BodyText"/>
              <w:jc w:val="right"/>
              <w:rPr>
                <w:sz w:val="18"/>
                <w:szCs w:val="18"/>
              </w:rPr>
            </w:pPr>
            <w:r w:rsidRPr="00400DFB">
              <w:rPr>
                <w:sz w:val="18"/>
                <w:szCs w:val="18"/>
              </w:rPr>
              <w:t>0.3%</w:t>
            </w:r>
          </w:p>
        </w:tc>
        <w:tc>
          <w:tcPr>
            <w:tcW w:w="0" w:type="auto"/>
          </w:tcPr>
          <w:p w14:paraId="03653098" w14:textId="488CC462" w:rsidR="002825D6" w:rsidRPr="00782C69" w:rsidRDefault="00A97B13" w:rsidP="00071247">
            <w:pPr>
              <w:pStyle w:val="BodyText"/>
              <w:jc w:val="right"/>
              <w:rPr>
                <w:sz w:val="18"/>
                <w:szCs w:val="18"/>
              </w:rPr>
            </w:pPr>
            <w:r w:rsidRPr="00A97B13">
              <w:rPr>
                <w:sz w:val="18"/>
                <w:szCs w:val="18"/>
              </w:rPr>
              <w:t>92.7%</w:t>
            </w:r>
          </w:p>
        </w:tc>
      </w:tr>
      <w:tr w:rsidR="0067054B" w14:paraId="32D53EAB" w14:textId="4CBF73BC" w:rsidTr="00360BC5">
        <w:tc>
          <w:tcPr>
            <w:tcW w:w="0" w:type="auto"/>
          </w:tcPr>
          <w:p w14:paraId="22FDC488" w14:textId="77777777" w:rsidR="0067054B" w:rsidRPr="00782C69" w:rsidRDefault="0067054B" w:rsidP="00071247">
            <w:pPr>
              <w:pStyle w:val="BodyText"/>
              <w:rPr>
                <w:sz w:val="18"/>
                <w:szCs w:val="18"/>
              </w:rPr>
            </w:pPr>
            <w:r w:rsidRPr="00782C69">
              <w:rPr>
                <w:sz w:val="18"/>
                <w:szCs w:val="18"/>
              </w:rPr>
              <w:t>Red Energy</w:t>
            </w:r>
          </w:p>
        </w:tc>
        <w:tc>
          <w:tcPr>
            <w:tcW w:w="0" w:type="auto"/>
          </w:tcPr>
          <w:p w14:paraId="7C695A90" w14:textId="6907E2DD" w:rsidR="0067054B" w:rsidRPr="00782C69" w:rsidRDefault="0067054B" w:rsidP="00071247">
            <w:pPr>
              <w:pStyle w:val="BodyText"/>
              <w:jc w:val="right"/>
              <w:rPr>
                <w:sz w:val="18"/>
                <w:szCs w:val="18"/>
              </w:rPr>
            </w:pPr>
            <w:r w:rsidRPr="00782C69">
              <w:rPr>
                <w:sz w:val="18"/>
                <w:szCs w:val="18"/>
              </w:rPr>
              <w:t>0.2%</w:t>
            </w:r>
          </w:p>
        </w:tc>
        <w:tc>
          <w:tcPr>
            <w:tcW w:w="0" w:type="auto"/>
          </w:tcPr>
          <w:p w14:paraId="70C43940" w14:textId="46411BDA" w:rsidR="0067054B" w:rsidRPr="00782C69" w:rsidRDefault="0067054B" w:rsidP="00071247">
            <w:pPr>
              <w:pStyle w:val="BodyText"/>
              <w:jc w:val="right"/>
              <w:rPr>
                <w:sz w:val="18"/>
                <w:szCs w:val="18"/>
              </w:rPr>
            </w:pPr>
            <w:r w:rsidRPr="00782C69">
              <w:rPr>
                <w:sz w:val="18"/>
                <w:szCs w:val="18"/>
              </w:rPr>
              <w:t>99.7%</w:t>
            </w:r>
          </w:p>
        </w:tc>
        <w:tc>
          <w:tcPr>
            <w:tcW w:w="0" w:type="auto"/>
          </w:tcPr>
          <w:p w14:paraId="5763129B" w14:textId="6290893C" w:rsidR="0067054B" w:rsidRPr="00782C69" w:rsidRDefault="00400DFB" w:rsidP="00071247">
            <w:pPr>
              <w:pStyle w:val="BodyText"/>
              <w:jc w:val="right"/>
              <w:rPr>
                <w:sz w:val="18"/>
                <w:szCs w:val="18"/>
              </w:rPr>
            </w:pPr>
            <w:r w:rsidRPr="00400DFB">
              <w:rPr>
                <w:sz w:val="18"/>
                <w:szCs w:val="18"/>
              </w:rPr>
              <w:t>0.2%</w:t>
            </w:r>
          </w:p>
        </w:tc>
        <w:tc>
          <w:tcPr>
            <w:tcW w:w="0" w:type="auto"/>
          </w:tcPr>
          <w:p w14:paraId="67C7D9DF" w14:textId="142D245A" w:rsidR="0067054B" w:rsidRPr="00782C69" w:rsidRDefault="00A97B13" w:rsidP="00071247">
            <w:pPr>
              <w:pStyle w:val="BodyText"/>
              <w:jc w:val="right"/>
              <w:rPr>
                <w:sz w:val="18"/>
                <w:szCs w:val="18"/>
              </w:rPr>
            </w:pPr>
            <w:r w:rsidRPr="00A97B13">
              <w:rPr>
                <w:sz w:val="18"/>
                <w:szCs w:val="18"/>
              </w:rPr>
              <w:t>100.0%</w:t>
            </w:r>
          </w:p>
        </w:tc>
      </w:tr>
      <w:tr w:rsidR="0067054B" w14:paraId="5A6BE9B5" w14:textId="5DDDD7D4" w:rsidTr="00360BC5">
        <w:tc>
          <w:tcPr>
            <w:tcW w:w="0" w:type="auto"/>
          </w:tcPr>
          <w:p w14:paraId="39D1E7AF" w14:textId="77777777" w:rsidR="0067054B" w:rsidRPr="00782C69" w:rsidRDefault="0067054B" w:rsidP="00071247">
            <w:pPr>
              <w:pStyle w:val="BodyText"/>
              <w:rPr>
                <w:sz w:val="18"/>
                <w:szCs w:val="18"/>
              </w:rPr>
            </w:pPr>
            <w:r w:rsidRPr="00782C69">
              <w:rPr>
                <w:sz w:val="18"/>
                <w:szCs w:val="18"/>
              </w:rPr>
              <w:t>Simply Energy</w:t>
            </w:r>
          </w:p>
        </w:tc>
        <w:tc>
          <w:tcPr>
            <w:tcW w:w="0" w:type="auto"/>
          </w:tcPr>
          <w:p w14:paraId="44B1FBF1" w14:textId="38C99751" w:rsidR="0067054B" w:rsidRPr="00782C69" w:rsidRDefault="0067054B" w:rsidP="00071247">
            <w:pPr>
              <w:pStyle w:val="BodyText"/>
              <w:jc w:val="right"/>
              <w:rPr>
                <w:sz w:val="18"/>
                <w:szCs w:val="18"/>
              </w:rPr>
            </w:pPr>
            <w:r w:rsidRPr="00782C69">
              <w:rPr>
                <w:sz w:val="18"/>
                <w:szCs w:val="18"/>
              </w:rPr>
              <w:t>0.0%</w:t>
            </w:r>
          </w:p>
        </w:tc>
        <w:tc>
          <w:tcPr>
            <w:tcW w:w="0" w:type="auto"/>
          </w:tcPr>
          <w:p w14:paraId="7B1B1E72" w14:textId="1D70B747" w:rsidR="0067054B" w:rsidRPr="00782C69" w:rsidRDefault="0067054B" w:rsidP="00071247">
            <w:pPr>
              <w:pStyle w:val="BodyText"/>
              <w:jc w:val="right"/>
              <w:rPr>
                <w:sz w:val="18"/>
                <w:szCs w:val="18"/>
              </w:rPr>
            </w:pPr>
            <w:r w:rsidRPr="00782C69">
              <w:rPr>
                <w:sz w:val="18"/>
                <w:szCs w:val="18"/>
              </w:rPr>
              <w:t>100.0%</w:t>
            </w:r>
          </w:p>
        </w:tc>
        <w:tc>
          <w:tcPr>
            <w:tcW w:w="0" w:type="auto"/>
          </w:tcPr>
          <w:p w14:paraId="6766A94F" w14:textId="2F92F98D" w:rsidR="0067054B" w:rsidRPr="00782C69" w:rsidRDefault="00400DFB" w:rsidP="00071247">
            <w:pPr>
              <w:pStyle w:val="BodyText"/>
              <w:jc w:val="right"/>
              <w:rPr>
                <w:sz w:val="18"/>
                <w:szCs w:val="18"/>
              </w:rPr>
            </w:pPr>
            <w:r w:rsidRPr="00400DFB">
              <w:rPr>
                <w:sz w:val="18"/>
                <w:szCs w:val="18"/>
              </w:rPr>
              <w:t>0.1%</w:t>
            </w:r>
          </w:p>
        </w:tc>
        <w:tc>
          <w:tcPr>
            <w:tcW w:w="0" w:type="auto"/>
          </w:tcPr>
          <w:p w14:paraId="22ADC1E0" w14:textId="01222736" w:rsidR="0067054B" w:rsidRPr="00782C69" w:rsidRDefault="00A97B13" w:rsidP="00071247">
            <w:pPr>
              <w:pStyle w:val="BodyText"/>
              <w:jc w:val="right"/>
              <w:rPr>
                <w:sz w:val="18"/>
                <w:szCs w:val="18"/>
              </w:rPr>
            </w:pPr>
            <w:r w:rsidRPr="00A97B13">
              <w:rPr>
                <w:sz w:val="18"/>
                <w:szCs w:val="18"/>
              </w:rPr>
              <w:t>100.0%</w:t>
            </w:r>
          </w:p>
        </w:tc>
      </w:tr>
      <w:tr w:rsidR="0067054B" w14:paraId="4755FB3E" w14:textId="112B7A94" w:rsidTr="00360BC5">
        <w:tc>
          <w:tcPr>
            <w:tcW w:w="0" w:type="auto"/>
          </w:tcPr>
          <w:p w14:paraId="78F1ACFA" w14:textId="77777777" w:rsidR="0067054B" w:rsidRPr="00782C69" w:rsidRDefault="0067054B" w:rsidP="00071247">
            <w:pPr>
              <w:pStyle w:val="BodyText"/>
              <w:rPr>
                <w:sz w:val="18"/>
                <w:szCs w:val="18"/>
              </w:rPr>
            </w:pPr>
            <w:r w:rsidRPr="00782C69">
              <w:rPr>
                <w:sz w:val="18"/>
                <w:szCs w:val="18"/>
              </w:rPr>
              <w:t>ACT Total</w:t>
            </w:r>
          </w:p>
        </w:tc>
        <w:tc>
          <w:tcPr>
            <w:tcW w:w="0" w:type="auto"/>
          </w:tcPr>
          <w:p w14:paraId="6A85E60F" w14:textId="3D44B153" w:rsidR="0067054B" w:rsidRPr="00782C69" w:rsidRDefault="0067054B" w:rsidP="00071247">
            <w:pPr>
              <w:pStyle w:val="BodyText"/>
              <w:jc w:val="right"/>
              <w:rPr>
                <w:sz w:val="18"/>
                <w:szCs w:val="18"/>
              </w:rPr>
            </w:pPr>
            <w:r w:rsidRPr="00782C69">
              <w:rPr>
                <w:sz w:val="18"/>
                <w:szCs w:val="18"/>
              </w:rPr>
              <w:t>100.0%</w:t>
            </w:r>
          </w:p>
        </w:tc>
        <w:tc>
          <w:tcPr>
            <w:tcW w:w="0" w:type="auto"/>
          </w:tcPr>
          <w:p w14:paraId="2DD7B560" w14:textId="48FC3CE2" w:rsidR="0067054B" w:rsidRPr="00782C69" w:rsidRDefault="0067054B" w:rsidP="00071247">
            <w:pPr>
              <w:pStyle w:val="BodyText"/>
              <w:jc w:val="right"/>
              <w:rPr>
                <w:sz w:val="18"/>
                <w:szCs w:val="18"/>
              </w:rPr>
            </w:pPr>
            <w:r w:rsidRPr="00782C69">
              <w:rPr>
                <w:sz w:val="18"/>
                <w:szCs w:val="18"/>
              </w:rPr>
              <w:t>65.3%</w:t>
            </w:r>
          </w:p>
        </w:tc>
        <w:tc>
          <w:tcPr>
            <w:tcW w:w="0" w:type="auto"/>
          </w:tcPr>
          <w:p w14:paraId="4D0A4B9C" w14:textId="67A2B841" w:rsidR="0067054B" w:rsidRPr="00782C69" w:rsidRDefault="00360BC5" w:rsidP="00071247">
            <w:pPr>
              <w:pStyle w:val="BodyText"/>
              <w:jc w:val="right"/>
              <w:rPr>
                <w:sz w:val="18"/>
                <w:szCs w:val="18"/>
              </w:rPr>
            </w:pPr>
            <w:r w:rsidRPr="00360BC5">
              <w:rPr>
                <w:sz w:val="18"/>
                <w:szCs w:val="18"/>
              </w:rPr>
              <w:t>100.0%</w:t>
            </w:r>
          </w:p>
        </w:tc>
        <w:tc>
          <w:tcPr>
            <w:tcW w:w="0" w:type="auto"/>
          </w:tcPr>
          <w:p w14:paraId="4C0A2BF9" w14:textId="56CD0AC7" w:rsidR="0067054B" w:rsidRPr="00782C69" w:rsidRDefault="00886473" w:rsidP="00071247">
            <w:pPr>
              <w:pStyle w:val="BodyText"/>
              <w:jc w:val="right"/>
              <w:rPr>
                <w:sz w:val="18"/>
                <w:szCs w:val="18"/>
              </w:rPr>
            </w:pPr>
            <w:r w:rsidRPr="00886473">
              <w:rPr>
                <w:sz w:val="18"/>
                <w:szCs w:val="18"/>
              </w:rPr>
              <w:t>38.5%</w:t>
            </w:r>
          </w:p>
        </w:tc>
      </w:tr>
    </w:tbl>
    <w:p w14:paraId="64BD73CB" w14:textId="77777777" w:rsidR="00D61652" w:rsidRDefault="00D61652" w:rsidP="004E5F2F">
      <w:pPr>
        <w:pStyle w:val="BodyText"/>
      </w:pPr>
    </w:p>
    <w:p w14:paraId="1B92A60C" w14:textId="19E076F8" w:rsidR="00DF72D7" w:rsidRDefault="00DF72D7" w:rsidP="00DF72D7">
      <w:pPr>
        <w:pStyle w:val="BodyText"/>
      </w:pPr>
      <w:r>
        <w:t>The Issues Paper describes how the ICRC uses a ‘tariff basket’ form of price control:</w:t>
      </w:r>
    </w:p>
    <w:p w14:paraId="63F8E523" w14:textId="77777777" w:rsidR="00DF72D7" w:rsidRDefault="00DF72D7" w:rsidP="00DF72D7">
      <w:pPr>
        <w:pStyle w:val="Quote"/>
        <w:jc w:val="left"/>
      </w:pPr>
      <w:r w:rsidRPr="00543762">
        <w:t>ActewAGL’s basket of standing offer tariffs (regulated tariffs) contains different standing offers available to residential and small business customers</w:t>
      </w:r>
      <w:r w:rsidRPr="00E310CF">
        <w:t xml:space="preserve"> … </w:t>
      </w:r>
      <w:r w:rsidRPr="00332602">
        <w:t>In the 2020-21 financial year, ActewAGL’s basket of regulated tariff has 16 such tariffs (in total for residential and business customers), each with a different set of charges and/or pricing structure</w:t>
      </w:r>
      <w:r w:rsidRPr="00E310CF">
        <w:t xml:space="preserve"> … The Commission regulates ActewAGL’s standing offer prices by determining the maximum allowable percentage price change that ActewAGL can apply across its ‘basket’ of standing offer tariffs from one year to the next.</w:t>
      </w:r>
      <w:r>
        <w:rPr>
          <w:rStyle w:val="FootnoteReference"/>
        </w:rPr>
        <w:footnoteReference w:id="12"/>
      </w:r>
    </w:p>
    <w:p w14:paraId="56EEEBB9" w14:textId="77777777" w:rsidR="00DF72D7" w:rsidRDefault="00DF72D7" w:rsidP="00DF72D7">
      <w:r>
        <w:t xml:space="preserve">This is contrasted with </w:t>
      </w:r>
      <w:r w:rsidRPr="00204A77">
        <w:t xml:space="preserve">an individual price cap form of price control, </w:t>
      </w:r>
      <w:r>
        <w:t xml:space="preserve">where </w:t>
      </w:r>
      <w:r w:rsidRPr="00204A77">
        <w:t>the regulator sets the maximum level of individual prices</w:t>
      </w:r>
      <w:r>
        <w:t xml:space="preserve"> or tariffs</w:t>
      </w:r>
      <w:r w:rsidRPr="00204A77">
        <w:t>.</w:t>
      </w:r>
      <w:r>
        <w:t xml:space="preserve"> The ICRC’s tariff basket </w:t>
      </w:r>
      <w:r w:rsidRPr="00FF31C6">
        <w:t xml:space="preserve">form of price control </w:t>
      </w:r>
      <w:r>
        <w:t>does, however, include</w:t>
      </w:r>
      <w:r w:rsidRPr="00FF31C6">
        <w:t xml:space="preserve"> </w:t>
      </w:r>
      <w:r>
        <w:t>‘</w:t>
      </w:r>
      <w:r w:rsidRPr="00FF31C6">
        <w:t>a side constraint to ensure that the weighted average price increase of any single tariff does not differ too much from the maximum allowed percentage change</w:t>
      </w:r>
      <w:r>
        <w:t>’.</w:t>
      </w:r>
      <w:r>
        <w:rPr>
          <w:rStyle w:val="FootnoteReference"/>
        </w:rPr>
        <w:footnoteReference w:id="13"/>
      </w:r>
      <w:r>
        <w:t xml:space="preserve"> </w:t>
      </w:r>
    </w:p>
    <w:p w14:paraId="76B11263" w14:textId="77777777" w:rsidR="00DF72D7" w:rsidRDefault="00DF72D7" w:rsidP="0051584D"/>
    <w:p w14:paraId="1378D682" w14:textId="2D50253B" w:rsidR="00C27F33" w:rsidRDefault="00FF7738" w:rsidP="0051584D">
      <w:r>
        <w:t xml:space="preserve">In the final report of its </w:t>
      </w:r>
      <w:r w:rsidRPr="0012003C">
        <w:rPr>
          <w:i/>
          <w:iCs/>
        </w:rPr>
        <w:t>Electricity Price Investigation 2020-24</w:t>
      </w:r>
      <w:r>
        <w:t xml:space="preserve">, the ICRC noted that </w:t>
      </w:r>
      <w:r w:rsidR="00903E98">
        <w:t>while ‘</w:t>
      </w:r>
      <w:r w:rsidR="00903E98" w:rsidRPr="00903E98">
        <w:t>the regulated standing offer rates only apply to ActewAGL customers</w:t>
      </w:r>
      <w:r w:rsidR="00903E98">
        <w:t xml:space="preserve"> [they]</w:t>
      </w:r>
      <w:r w:rsidRPr="00FF7738">
        <w:t xml:space="preserve"> influence the prices of other market rates due to the dominance of ActewAGL’s regulated tariffs </w:t>
      </w:r>
      <w:r w:rsidRPr="00FF7738">
        <w:lastRenderedPageBreak/>
        <w:t>in the retail electricity market</w:t>
      </w:r>
      <w:r>
        <w:t>’</w:t>
      </w:r>
      <w:r w:rsidRPr="00FF7738">
        <w:t>.</w:t>
      </w:r>
      <w:r w:rsidR="0012003C">
        <w:rPr>
          <w:rStyle w:val="FootnoteReference"/>
        </w:rPr>
        <w:footnoteReference w:id="14"/>
      </w:r>
      <w:r w:rsidR="00C31158">
        <w:t xml:space="preserve"> </w:t>
      </w:r>
      <w:r w:rsidR="00F30A05">
        <w:t xml:space="preserve">It follows that </w:t>
      </w:r>
      <w:r w:rsidR="00B87B5A">
        <w:t>as</w:t>
      </w:r>
      <w:r w:rsidR="00683B7F">
        <w:t xml:space="preserve"> </w:t>
      </w:r>
      <w:r w:rsidR="00614381">
        <w:t xml:space="preserve">ActewAGL’s </w:t>
      </w:r>
      <w:r w:rsidR="002F6DEC">
        <w:t xml:space="preserve">dominance </w:t>
      </w:r>
      <w:r w:rsidR="00E82E4E">
        <w:t>decline</w:t>
      </w:r>
      <w:r w:rsidR="00E94C2B">
        <w:t>s</w:t>
      </w:r>
      <w:r w:rsidR="00F30A05">
        <w:t>,</w:t>
      </w:r>
      <w:r w:rsidR="00BD2074">
        <w:t xml:space="preserve"> </w:t>
      </w:r>
      <w:r w:rsidR="00F96AC5">
        <w:t xml:space="preserve">the influence of </w:t>
      </w:r>
      <w:r w:rsidR="00EE51BB">
        <w:t>A</w:t>
      </w:r>
      <w:r w:rsidR="0010769E">
        <w:t xml:space="preserve">ctewAGL’s </w:t>
      </w:r>
      <w:r w:rsidR="00E82E4E">
        <w:t xml:space="preserve">regulated </w:t>
      </w:r>
      <w:r w:rsidR="00445931">
        <w:t xml:space="preserve">standing offer </w:t>
      </w:r>
      <w:r w:rsidR="00E82E4E">
        <w:t>tariffs</w:t>
      </w:r>
      <w:r w:rsidR="007467B7">
        <w:t xml:space="preserve"> on the prices of other market rates</w:t>
      </w:r>
      <w:r w:rsidR="00082E59">
        <w:t xml:space="preserve"> will be diminished</w:t>
      </w:r>
      <w:r w:rsidR="00F96AC5">
        <w:t>.</w:t>
      </w:r>
      <w:r w:rsidR="00380E46">
        <w:t xml:space="preserve"> </w:t>
      </w:r>
      <w:r w:rsidR="007467B7">
        <w:t xml:space="preserve"> </w:t>
      </w:r>
      <w:r w:rsidR="002B3E76">
        <w:t xml:space="preserve">As a result, they would also fail to </w:t>
      </w:r>
      <w:r w:rsidR="00560192" w:rsidRPr="00560192">
        <w:t>provide a</w:t>
      </w:r>
      <w:r w:rsidR="00C20078">
        <w:t>n effective</w:t>
      </w:r>
      <w:r w:rsidR="00560192" w:rsidRPr="00560192">
        <w:t xml:space="preserve"> safety net </w:t>
      </w:r>
      <w:r w:rsidR="002B3E76">
        <w:t xml:space="preserve">– directly or indirectly – </w:t>
      </w:r>
      <w:r w:rsidR="000279C4">
        <w:t xml:space="preserve">for </w:t>
      </w:r>
      <w:r w:rsidR="00445931">
        <w:t xml:space="preserve">all </w:t>
      </w:r>
      <w:r w:rsidR="000279C4">
        <w:t>ACT residential and small business customers</w:t>
      </w:r>
      <w:r w:rsidR="00D96B22">
        <w:t xml:space="preserve"> regardless of their electricity retailer.</w:t>
      </w:r>
    </w:p>
    <w:p w14:paraId="1D84B8BF" w14:textId="07B04431" w:rsidR="001F48F8" w:rsidRDefault="001F48F8" w:rsidP="0051584D"/>
    <w:p w14:paraId="7FF5CE40" w14:textId="394F9D0E" w:rsidR="00944B96" w:rsidRDefault="001F48F8" w:rsidP="0051584D">
      <w:r w:rsidRPr="001F48F8">
        <w:t>Fundamentally, the onus should not be on consumers to regularly switch offers and/or retailers to get an affordable, fair price</w:t>
      </w:r>
      <w:r w:rsidR="0002335A">
        <w:t xml:space="preserve"> for an essential service like electricity</w:t>
      </w:r>
      <w:r w:rsidRPr="001F48F8">
        <w:t xml:space="preserve">. </w:t>
      </w:r>
      <w:r w:rsidR="00065BDB">
        <w:t xml:space="preserve">It is </w:t>
      </w:r>
      <w:r w:rsidR="00745104">
        <w:t xml:space="preserve">critical to ensure that </w:t>
      </w:r>
      <w:r w:rsidR="00851739">
        <w:t>default offers provide</w:t>
      </w:r>
      <w:r w:rsidR="00DF2F2A">
        <w:t xml:space="preserve"> a safety net for all </w:t>
      </w:r>
      <w:r w:rsidR="005163D5">
        <w:t xml:space="preserve">residential and small business </w:t>
      </w:r>
      <w:r w:rsidR="00DF2F2A">
        <w:t>customers</w:t>
      </w:r>
      <w:r w:rsidR="00936983">
        <w:t xml:space="preserve"> in the ACT</w:t>
      </w:r>
      <w:r w:rsidR="00DF2F2A">
        <w:t xml:space="preserve"> regardless of their </w:t>
      </w:r>
      <w:r w:rsidR="0029492C">
        <w:t xml:space="preserve">retailer. </w:t>
      </w:r>
      <w:r w:rsidR="00126CD6">
        <w:t xml:space="preserve">As part of the ACT Energised Consumers Project, </w:t>
      </w:r>
      <w:r w:rsidR="00FC3CFC">
        <w:t>ACTCOSS has previously</w:t>
      </w:r>
      <w:r w:rsidR="00E46C69">
        <w:t xml:space="preserve"> </w:t>
      </w:r>
      <w:r w:rsidR="00A46E13">
        <w:t>recommended that the ACT Government consider the development of a Basic Service Offer</w:t>
      </w:r>
      <w:r w:rsidR="00944B96">
        <w:t xml:space="preserve"> (BSO</w:t>
      </w:r>
      <w:r w:rsidR="00D95EE6">
        <w:t>)</w:t>
      </w:r>
      <w:r w:rsidR="004D0A31">
        <w:t xml:space="preserve"> that would </w:t>
      </w:r>
      <w:r w:rsidR="00A862BF" w:rsidRPr="00A862BF">
        <w:t>determine a fair</w:t>
      </w:r>
      <w:r w:rsidR="00D95EE6">
        <w:t xml:space="preserve"> and affordable</w:t>
      </w:r>
      <w:r w:rsidR="00A862BF" w:rsidRPr="00A862BF">
        <w:t xml:space="preserve"> price for </w:t>
      </w:r>
      <w:r w:rsidR="00A862BF">
        <w:t>electricity which</w:t>
      </w:r>
      <w:r w:rsidR="00A862BF" w:rsidRPr="00A862BF">
        <w:t xml:space="preserve"> all </w:t>
      </w:r>
      <w:r w:rsidR="00A862BF">
        <w:t>retailers</w:t>
      </w:r>
      <w:r w:rsidR="00A862BF" w:rsidRPr="00A862BF">
        <w:t xml:space="preserve"> would be required to offer</w:t>
      </w:r>
      <w:r w:rsidR="00574F49">
        <w:t xml:space="preserve"> to customers as a default.</w:t>
      </w:r>
      <w:r w:rsidR="0002335A">
        <w:rPr>
          <w:rStyle w:val="FootnoteReference"/>
        </w:rPr>
        <w:footnoteReference w:id="15"/>
      </w:r>
      <w:r w:rsidR="00055FBF">
        <w:t xml:space="preserve"> </w:t>
      </w:r>
      <w:r w:rsidR="004049E5">
        <w:t>A BSO would play a similar role to that played by the AER’s Default Market Offer (DMO)</w:t>
      </w:r>
      <w:r w:rsidR="0006535A">
        <w:t xml:space="preserve"> in </w:t>
      </w:r>
      <w:r w:rsidR="005C5E13">
        <w:t>NSW, south-east Queensland and South Australia,</w:t>
      </w:r>
      <w:r w:rsidR="004049E5">
        <w:t xml:space="preserve"> and the Victorian Government’s Victorian Default Offer</w:t>
      </w:r>
      <w:r w:rsidR="0006535A">
        <w:t xml:space="preserve"> (VDO)</w:t>
      </w:r>
      <w:r w:rsidR="005C5E13">
        <w:t>.</w:t>
      </w:r>
    </w:p>
    <w:p w14:paraId="71169E32" w14:textId="77777777" w:rsidR="00944B96" w:rsidRDefault="00944B96" w:rsidP="0051584D"/>
    <w:p w14:paraId="21BE3FE0" w14:textId="05426556" w:rsidR="003D7758" w:rsidRDefault="00373994" w:rsidP="0051584D">
      <w:r>
        <w:t>We value</w:t>
      </w:r>
      <w:r w:rsidR="00CA2518">
        <w:t xml:space="preserve"> the ICRC’s </w:t>
      </w:r>
      <w:r w:rsidR="00055FBF">
        <w:t xml:space="preserve">active </w:t>
      </w:r>
      <w:r w:rsidR="00CA2518">
        <w:t>engagement with</w:t>
      </w:r>
      <w:r>
        <w:t xml:space="preserve"> ACTCOSS</w:t>
      </w:r>
      <w:r w:rsidR="00CA2518">
        <w:t xml:space="preserve"> on </w:t>
      </w:r>
      <w:r w:rsidR="005E3754">
        <w:t>these</w:t>
      </w:r>
      <w:r w:rsidR="00055FBF">
        <w:t xml:space="preserve"> issues</w:t>
      </w:r>
      <w:r w:rsidR="00944B96">
        <w:t xml:space="preserve"> to date</w:t>
      </w:r>
      <w:r w:rsidR="00C530B0">
        <w:t xml:space="preserve">, and we are keen to </w:t>
      </w:r>
      <w:r w:rsidR="000F71FC">
        <w:t xml:space="preserve">continue to engage with the ICRC to ensure that </w:t>
      </w:r>
      <w:r w:rsidR="00EE2D0B">
        <w:t xml:space="preserve">ACT energy consumers </w:t>
      </w:r>
      <w:r w:rsidR="0031136A">
        <w:t xml:space="preserve">– especially those </w:t>
      </w:r>
      <w:r w:rsidR="00944B96">
        <w:t xml:space="preserve">on low incomes and/or </w:t>
      </w:r>
      <w:r w:rsidR="0031136A">
        <w:t xml:space="preserve">in vulnerable circumstances – are guaranteed </w:t>
      </w:r>
      <w:r w:rsidR="00FC3495">
        <w:t xml:space="preserve">access to </w:t>
      </w:r>
      <w:r w:rsidR="00944B96">
        <w:t>affordable, dependable, and clean energy</w:t>
      </w:r>
      <w:r w:rsidR="00FC3495">
        <w:t>.</w:t>
      </w:r>
      <w:r w:rsidR="00C530B0">
        <w:t xml:space="preserve"> </w:t>
      </w:r>
      <w:r w:rsidR="005A33AA">
        <w:t xml:space="preserve"> </w:t>
      </w:r>
    </w:p>
    <w:p w14:paraId="0658139A" w14:textId="7BF4B34A" w:rsidR="000279C4" w:rsidRDefault="000279C4" w:rsidP="0051584D"/>
    <w:p w14:paraId="02C48ADA" w14:textId="4C4AA4AF" w:rsidR="00F30044" w:rsidRDefault="000279C4" w:rsidP="0051584D">
      <w:pPr>
        <w:rPr>
          <w:rStyle w:val="IntenseEmphasis"/>
        </w:rPr>
      </w:pPr>
      <w:r w:rsidRPr="00024F48">
        <w:rPr>
          <w:rStyle w:val="IntenseEmphasis"/>
        </w:rPr>
        <w:t xml:space="preserve">ACTCOSS recommends that the ICRC </w:t>
      </w:r>
      <w:r w:rsidR="003B29E8">
        <w:rPr>
          <w:rStyle w:val="IntenseEmphasis"/>
        </w:rPr>
        <w:t>review</w:t>
      </w:r>
      <w:r w:rsidRPr="00024F48">
        <w:rPr>
          <w:rStyle w:val="IntenseEmphasis"/>
        </w:rPr>
        <w:t xml:space="preserve"> the </w:t>
      </w:r>
      <w:r w:rsidR="00237886" w:rsidRPr="00024F48">
        <w:rPr>
          <w:rStyle w:val="IntenseEmphasis"/>
        </w:rPr>
        <w:t xml:space="preserve">impact of </w:t>
      </w:r>
      <w:r w:rsidR="002320E5" w:rsidRPr="00024F48">
        <w:rPr>
          <w:rStyle w:val="IntenseEmphasis"/>
        </w:rPr>
        <w:t xml:space="preserve">ActewAGL’s declining market share </w:t>
      </w:r>
      <w:r w:rsidR="008F7EB9">
        <w:rPr>
          <w:rStyle w:val="IntenseEmphasis"/>
        </w:rPr>
        <w:t xml:space="preserve">and the </w:t>
      </w:r>
      <w:r w:rsidR="002320E5" w:rsidRPr="00024F48">
        <w:rPr>
          <w:rStyle w:val="IntenseEmphasis"/>
        </w:rPr>
        <w:t xml:space="preserve">declining </w:t>
      </w:r>
      <w:r w:rsidR="002B1500" w:rsidRPr="00024F48">
        <w:rPr>
          <w:rStyle w:val="IntenseEmphasis"/>
        </w:rPr>
        <w:t xml:space="preserve">proportion of </w:t>
      </w:r>
      <w:r w:rsidR="00675BE2">
        <w:rPr>
          <w:rStyle w:val="IntenseEmphasis"/>
        </w:rPr>
        <w:t xml:space="preserve">ActewAGL </w:t>
      </w:r>
      <w:r w:rsidR="002320E5" w:rsidRPr="00024F48">
        <w:rPr>
          <w:rStyle w:val="IntenseEmphasis"/>
        </w:rPr>
        <w:t xml:space="preserve">standing offer customers </w:t>
      </w:r>
      <w:r w:rsidR="001A6061" w:rsidRPr="00024F48">
        <w:rPr>
          <w:rStyle w:val="IntenseEmphasis"/>
        </w:rPr>
        <w:t xml:space="preserve">on the effectiveness of </w:t>
      </w:r>
      <w:r w:rsidR="00D97ECB">
        <w:rPr>
          <w:rStyle w:val="IntenseEmphasis"/>
        </w:rPr>
        <w:t xml:space="preserve">regulated </w:t>
      </w:r>
      <w:r w:rsidR="001A6061" w:rsidRPr="00024F48">
        <w:rPr>
          <w:rStyle w:val="IntenseEmphasis"/>
        </w:rPr>
        <w:t>ActewAG</w:t>
      </w:r>
      <w:r w:rsidR="00D97ECB">
        <w:rPr>
          <w:rStyle w:val="IntenseEmphasis"/>
        </w:rPr>
        <w:t>L</w:t>
      </w:r>
      <w:r w:rsidR="001A6061" w:rsidRPr="00024F48">
        <w:rPr>
          <w:rStyle w:val="IntenseEmphasis"/>
        </w:rPr>
        <w:t xml:space="preserve"> standing offers as default offers that provide a safety net for </w:t>
      </w:r>
      <w:r w:rsidR="002B1500" w:rsidRPr="00024F48">
        <w:rPr>
          <w:rStyle w:val="IntenseEmphasis"/>
        </w:rPr>
        <w:t xml:space="preserve">all </w:t>
      </w:r>
      <w:r w:rsidR="001A6061" w:rsidRPr="00024F48">
        <w:rPr>
          <w:rStyle w:val="IntenseEmphasis"/>
        </w:rPr>
        <w:t>residential and small business electricity customers in the ACT</w:t>
      </w:r>
      <w:r w:rsidR="002B1500" w:rsidRPr="00024F48">
        <w:rPr>
          <w:rStyle w:val="IntenseEmphasis"/>
        </w:rPr>
        <w:t>.</w:t>
      </w:r>
    </w:p>
    <w:p w14:paraId="669C9A39" w14:textId="20D575F1" w:rsidR="003B29E8" w:rsidRDefault="003B29E8" w:rsidP="0051584D">
      <w:pPr>
        <w:rPr>
          <w:rStyle w:val="IntenseEmphasis"/>
        </w:rPr>
      </w:pPr>
    </w:p>
    <w:p w14:paraId="381A7458" w14:textId="0D64A485" w:rsidR="003B29E8" w:rsidRDefault="003B29E8" w:rsidP="0051584D">
      <w:pPr>
        <w:rPr>
          <w:rStyle w:val="IntenseEmphasis"/>
        </w:rPr>
      </w:pPr>
      <w:r>
        <w:rPr>
          <w:rStyle w:val="IntenseEmphasis"/>
        </w:rPr>
        <w:t>ACTCOSS recommends that</w:t>
      </w:r>
      <w:r w:rsidR="00BB03AD">
        <w:rPr>
          <w:rStyle w:val="IntenseEmphasis"/>
        </w:rPr>
        <w:t>, in consultation with stakeholders,</w:t>
      </w:r>
      <w:r>
        <w:rPr>
          <w:rStyle w:val="IntenseEmphasis"/>
        </w:rPr>
        <w:t xml:space="preserve"> the ICRC and ACT Government </w:t>
      </w:r>
      <w:r w:rsidR="00B146B7">
        <w:rPr>
          <w:rStyle w:val="IntenseEmphasis"/>
        </w:rPr>
        <w:t xml:space="preserve">determine </w:t>
      </w:r>
      <w:r w:rsidR="000F2E32">
        <w:rPr>
          <w:rStyle w:val="IntenseEmphasis"/>
        </w:rPr>
        <w:t>what</w:t>
      </w:r>
      <w:r w:rsidR="004F66DE">
        <w:rPr>
          <w:rStyle w:val="IntenseEmphasis"/>
        </w:rPr>
        <w:t xml:space="preserve"> </w:t>
      </w:r>
      <w:r w:rsidR="00115794">
        <w:rPr>
          <w:rStyle w:val="IntenseEmphasis"/>
        </w:rPr>
        <w:t xml:space="preserve">alternative </w:t>
      </w:r>
      <w:r w:rsidR="004F66DE">
        <w:rPr>
          <w:rStyle w:val="IntenseEmphasis"/>
        </w:rPr>
        <w:t xml:space="preserve">approach </w:t>
      </w:r>
      <w:r w:rsidR="00E1767C">
        <w:rPr>
          <w:rStyle w:val="IntenseEmphasis"/>
        </w:rPr>
        <w:t xml:space="preserve">would provide the best </w:t>
      </w:r>
      <w:r w:rsidR="00641BE9">
        <w:rPr>
          <w:rStyle w:val="IntenseEmphasis"/>
        </w:rPr>
        <w:t>price protection</w:t>
      </w:r>
      <w:r w:rsidR="00FE0CF2">
        <w:rPr>
          <w:rStyle w:val="IntenseEmphasis"/>
        </w:rPr>
        <w:t xml:space="preserve"> for ACT</w:t>
      </w:r>
      <w:r w:rsidR="00641BE9">
        <w:rPr>
          <w:rStyle w:val="IntenseEmphasis"/>
        </w:rPr>
        <w:t xml:space="preserve"> electricity customers</w:t>
      </w:r>
      <w:r w:rsidR="00E2664E">
        <w:rPr>
          <w:rStyle w:val="IntenseEmphasis"/>
        </w:rPr>
        <w:t>. This should include consideration of:</w:t>
      </w:r>
    </w:p>
    <w:p w14:paraId="65B66608" w14:textId="117E24CF" w:rsidR="008C063A" w:rsidRDefault="00BB03AD" w:rsidP="00BB03AD">
      <w:pPr>
        <w:pStyle w:val="ListParagraph"/>
        <w:numPr>
          <w:ilvl w:val="0"/>
          <w:numId w:val="29"/>
        </w:numPr>
        <w:rPr>
          <w:rStyle w:val="IntenseEmphasis"/>
        </w:rPr>
      </w:pPr>
      <w:r>
        <w:rPr>
          <w:rStyle w:val="IntenseEmphasis"/>
        </w:rPr>
        <w:lastRenderedPageBreak/>
        <w:t>developing</w:t>
      </w:r>
      <w:r w:rsidR="008C063A" w:rsidRPr="008C063A">
        <w:rPr>
          <w:rStyle w:val="IntenseEmphasis"/>
        </w:rPr>
        <w:t xml:space="preserve"> a Basic Service Offer (BSO) for ACT electricity c</w:t>
      </w:r>
      <w:r w:rsidR="00FE0CF2">
        <w:rPr>
          <w:rStyle w:val="IntenseEmphasis"/>
        </w:rPr>
        <w:t>ustomers</w:t>
      </w:r>
      <w:r w:rsidR="008C063A" w:rsidRPr="008C063A">
        <w:rPr>
          <w:rStyle w:val="IntenseEmphasis"/>
        </w:rPr>
        <w:t xml:space="preserve"> whereby the ICRC would determine what is a fair </w:t>
      </w:r>
      <w:r w:rsidR="00D95EE6">
        <w:rPr>
          <w:rStyle w:val="IntenseEmphasis"/>
        </w:rPr>
        <w:t xml:space="preserve">and affordable </w:t>
      </w:r>
      <w:r w:rsidR="008C063A" w:rsidRPr="008C063A">
        <w:rPr>
          <w:rStyle w:val="IntenseEmphasis"/>
        </w:rPr>
        <w:t>price for electricity, and all electricity retailers would be required to offer the BSO to everyone</w:t>
      </w:r>
    </w:p>
    <w:p w14:paraId="440A6060" w14:textId="08E4CEB1" w:rsidR="00E2664E" w:rsidRPr="00024F48" w:rsidRDefault="00BB03AD" w:rsidP="00BB03AD">
      <w:pPr>
        <w:pStyle w:val="ListParagraph"/>
        <w:numPr>
          <w:ilvl w:val="0"/>
          <w:numId w:val="29"/>
        </w:numPr>
        <w:rPr>
          <w:rStyle w:val="IntenseEmphasis"/>
        </w:rPr>
      </w:pPr>
      <w:r>
        <w:rPr>
          <w:rStyle w:val="IntenseEmphasis"/>
        </w:rPr>
        <w:t>developing</w:t>
      </w:r>
      <w:r w:rsidRPr="00BB03AD">
        <w:rPr>
          <w:rStyle w:val="IntenseEmphasis"/>
        </w:rPr>
        <w:t xml:space="preserve"> a social tariff for households </w:t>
      </w:r>
      <w:r w:rsidR="00525436">
        <w:rPr>
          <w:rStyle w:val="IntenseEmphasis"/>
        </w:rPr>
        <w:t xml:space="preserve">at risk of energy hardship </w:t>
      </w:r>
      <w:r w:rsidRPr="00BB03AD">
        <w:rPr>
          <w:rStyle w:val="IntenseEmphasis"/>
        </w:rPr>
        <w:t xml:space="preserve">that would ensure </w:t>
      </w:r>
      <w:r w:rsidR="00525436">
        <w:rPr>
          <w:rStyle w:val="IntenseEmphasis"/>
        </w:rPr>
        <w:t>they</w:t>
      </w:r>
      <w:r w:rsidRPr="00BB03AD">
        <w:rPr>
          <w:rStyle w:val="IntenseEmphasis"/>
        </w:rPr>
        <w:t xml:space="preserve"> had</w:t>
      </w:r>
      <w:r w:rsidR="00FD2FE1">
        <w:rPr>
          <w:rStyle w:val="IntenseEmphasis"/>
        </w:rPr>
        <w:t xml:space="preserve"> equitable</w:t>
      </w:r>
      <w:r w:rsidRPr="00BB03AD">
        <w:rPr>
          <w:rStyle w:val="IntenseEmphasis"/>
        </w:rPr>
        <w:t xml:space="preserve"> access to electricity at an affordable price in relation to their level of income.</w:t>
      </w:r>
    </w:p>
    <w:p w14:paraId="479A8714" w14:textId="77777777" w:rsidR="001A6061" w:rsidRDefault="001A6061" w:rsidP="0051584D"/>
    <w:p w14:paraId="67B3FB4E" w14:textId="0B58FC34" w:rsidR="00E46F9E" w:rsidRDefault="00DA0FB0" w:rsidP="0051584D">
      <w:r>
        <w:t>Third</w:t>
      </w:r>
      <w:r w:rsidR="004E5F2F">
        <w:t xml:space="preserve">, we expect </w:t>
      </w:r>
      <w:r w:rsidR="009E10FF">
        <w:t>more customers to move</w:t>
      </w:r>
      <w:r w:rsidR="005E7ED1">
        <w:t xml:space="preserve"> – or to be moved –</w:t>
      </w:r>
      <w:r w:rsidR="009E10FF">
        <w:t xml:space="preserve"> from flat-rate</w:t>
      </w:r>
      <w:r w:rsidR="00F90592">
        <w:t xml:space="preserve"> (or single</w:t>
      </w:r>
      <w:r w:rsidR="00944043">
        <w:t xml:space="preserve"> rate)</w:t>
      </w:r>
      <w:r w:rsidR="009E10FF">
        <w:t xml:space="preserve"> tariffs</w:t>
      </w:r>
      <w:r w:rsidR="00F90592">
        <w:rPr>
          <w:rStyle w:val="FootnoteReference"/>
        </w:rPr>
        <w:footnoteReference w:id="16"/>
      </w:r>
      <w:r w:rsidR="009E10FF">
        <w:t xml:space="preserve"> to time-of-use</w:t>
      </w:r>
      <w:r w:rsidR="000F4C12">
        <w:rPr>
          <w:rStyle w:val="FootnoteReference"/>
        </w:rPr>
        <w:footnoteReference w:id="17"/>
      </w:r>
      <w:r w:rsidR="009E10FF">
        <w:t xml:space="preserve"> and demand tariffs</w:t>
      </w:r>
      <w:r w:rsidR="008405BA">
        <w:rPr>
          <w:rStyle w:val="FootnoteReference"/>
        </w:rPr>
        <w:footnoteReference w:id="18"/>
      </w:r>
      <w:r w:rsidR="009E10FF">
        <w:t xml:space="preserve"> due to the o</w:t>
      </w:r>
      <w:r w:rsidR="004B32D1">
        <w:t>ngoing rollout of smart meters under the</w:t>
      </w:r>
      <w:r w:rsidR="00CC0370">
        <w:t xml:space="preserve"> national</w:t>
      </w:r>
      <w:r w:rsidR="004B32D1">
        <w:t xml:space="preserve"> </w:t>
      </w:r>
      <w:r w:rsidR="004B32D1" w:rsidRPr="00817A7D">
        <w:rPr>
          <w:i/>
          <w:iCs/>
        </w:rPr>
        <w:t>Power of Choice</w:t>
      </w:r>
      <w:r w:rsidR="004B32D1">
        <w:t xml:space="preserve"> reforms</w:t>
      </w:r>
      <w:r w:rsidR="00CC0370">
        <w:rPr>
          <w:rStyle w:val="FootnoteReference"/>
        </w:rPr>
        <w:footnoteReference w:id="19"/>
      </w:r>
      <w:r w:rsidR="004B32D1">
        <w:t xml:space="preserve"> </w:t>
      </w:r>
      <w:r w:rsidR="005E7ED1">
        <w:t xml:space="preserve">as well as </w:t>
      </w:r>
      <w:r w:rsidR="004B32D1">
        <w:t xml:space="preserve">the increasing installation of </w:t>
      </w:r>
      <w:r w:rsidR="0085373C">
        <w:t xml:space="preserve">rooftop </w:t>
      </w:r>
      <w:r w:rsidR="004B32D1">
        <w:t>solar panels</w:t>
      </w:r>
      <w:r w:rsidR="007463EC">
        <w:t xml:space="preserve"> and other </w:t>
      </w:r>
      <w:r w:rsidR="00D822B3">
        <w:t>DER (</w:t>
      </w:r>
      <w:r w:rsidR="000D5CD8">
        <w:t>e.g.,</w:t>
      </w:r>
      <w:r w:rsidR="00D822B3">
        <w:t xml:space="preserve"> batteries and electric vehicles)</w:t>
      </w:r>
      <w:r w:rsidR="007463EC">
        <w:t>.</w:t>
      </w:r>
      <w:r w:rsidR="001D0A31">
        <w:t xml:space="preserve"> </w:t>
      </w:r>
    </w:p>
    <w:p w14:paraId="2FE9D76E" w14:textId="77777777" w:rsidR="00977FD3" w:rsidRDefault="00977FD3" w:rsidP="0051584D"/>
    <w:p w14:paraId="2D3E20C6" w14:textId="4948EA05" w:rsidR="0051584D" w:rsidRDefault="00B008E6" w:rsidP="0051584D">
      <w:r>
        <w:t>Under</w:t>
      </w:r>
      <w:r w:rsidR="0008560D">
        <w:t xml:space="preserve"> the </w:t>
      </w:r>
      <w:r w:rsidR="0008560D" w:rsidRPr="002B6F8B">
        <w:rPr>
          <w:i/>
          <w:iCs/>
        </w:rPr>
        <w:t>Power of Choice</w:t>
      </w:r>
      <w:r w:rsidR="0008560D">
        <w:t xml:space="preserve"> reforms all </w:t>
      </w:r>
      <w:r w:rsidR="000420B3">
        <w:t xml:space="preserve">new electricity meters </w:t>
      </w:r>
      <w:r w:rsidR="0051584D">
        <w:t>will be smart meters</w:t>
      </w:r>
      <w:r w:rsidR="005433C5">
        <w:t>, while the</w:t>
      </w:r>
      <w:r w:rsidR="005433C5" w:rsidRPr="005433C5">
        <w:t xml:space="preserve"> installation of solar panels also requires installation of a smart meter</w:t>
      </w:r>
      <w:r w:rsidR="005433C5">
        <w:t>.</w:t>
      </w:r>
      <w:r w:rsidR="00977FD3">
        <w:t xml:space="preserve"> </w:t>
      </w:r>
      <w:r w:rsidR="000323EA">
        <w:t>In 2019-20</w:t>
      </w:r>
      <w:r w:rsidR="00927FD1">
        <w:t xml:space="preserve">, </w:t>
      </w:r>
      <w:r w:rsidR="00E622E6">
        <w:t>17,302</w:t>
      </w:r>
      <w:r w:rsidR="005E6369">
        <w:t xml:space="preserve"> smart meter</w:t>
      </w:r>
      <w:r w:rsidR="00927FD1">
        <w:t>s</w:t>
      </w:r>
      <w:r w:rsidR="005E6369">
        <w:t xml:space="preserve"> </w:t>
      </w:r>
      <w:r w:rsidR="00FA2816">
        <w:t>(Type 4</w:t>
      </w:r>
      <w:r w:rsidR="004D21AE">
        <w:t xml:space="preserve"> or 4A)</w:t>
      </w:r>
      <w:r w:rsidR="00927FD1">
        <w:t xml:space="preserve"> were installed</w:t>
      </w:r>
      <w:r w:rsidR="005E6369">
        <w:t xml:space="preserve"> in the ACT</w:t>
      </w:r>
      <w:r w:rsidR="00FA2816">
        <w:t>.</w:t>
      </w:r>
      <w:r w:rsidR="00E622E6">
        <w:rPr>
          <w:rStyle w:val="FootnoteReference"/>
        </w:rPr>
        <w:footnoteReference w:id="20"/>
      </w:r>
      <w:r w:rsidR="00FA2816">
        <w:t xml:space="preserve"> </w:t>
      </w:r>
      <w:r w:rsidR="0051584D">
        <w:t>In the</w:t>
      </w:r>
      <w:r w:rsidR="003C21E7">
        <w:t xml:space="preserve"> two-year</w:t>
      </w:r>
      <w:r w:rsidR="0051584D">
        <w:t xml:space="preserve"> period from November 2018 to October 2020, the number </w:t>
      </w:r>
      <w:r w:rsidR="006A15D2">
        <w:t xml:space="preserve">of </w:t>
      </w:r>
      <w:r w:rsidR="0051584D">
        <w:t>smart meter</w:t>
      </w:r>
      <w:r w:rsidR="006A15D2">
        <w:t>s</w:t>
      </w:r>
      <w:r w:rsidR="0051584D">
        <w:t xml:space="preserve"> (Type 4</w:t>
      </w:r>
      <w:r w:rsidR="00E1340E">
        <w:t xml:space="preserve"> and 4A</w:t>
      </w:r>
      <w:r w:rsidR="0051584D">
        <w:t xml:space="preserve">) installations in the ACT increased by </w:t>
      </w:r>
      <w:r w:rsidR="0051584D">
        <w:lastRenderedPageBreak/>
        <w:t>33,0</w:t>
      </w:r>
      <w:r w:rsidR="001A0D6C">
        <w:t>94</w:t>
      </w:r>
      <w:r w:rsidR="0051584D">
        <w:t xml:space="preserve"> </w:t>
      </w:r>
      <w:r w:rsidR="002C10D9">
        <w:t>(</w:t>
      </w:r>
      <w:r w:rsidR="005A0FBC">
        <w:t xml:space="preserve">305%) </w:t>
      </w:r>
      <w:r w:rsidR="0051584D">
        <w:t>– from 10,8</w:t>
      </w:r>
      <w:r w:rsidR="00E1340E">
        <w:t>33</w:t>
      </w:r>
      <w:r w:rsidR="0051584D">
        <w:t xml:space="preserve"> to 43,9</w:t>
      </w:r>
      <w:r w:rsidR="002318D5">
        <w:t>27</w:t>
      </w:r>
      <w:r w:rsidR="0051584D">
        <w:t>.</w:t>
      </w:r>
      <w:r w:rsidR="0051584D">
        <w:rPr>
          <w:rStyle w:val="FootnoteReference"/>
        </w:rPr>
        <w:footnoteReference w:id="21"/>
      </w:r>
      <w:r w:rsidR="00AF785B">
        <w:t xml:space="preserve"> From 2018-19 to 2019-20 the total number of </w:t>
      </w:r>
      <w:r w:rsidR="00E075ED">
        <w:t xml:space="preserve">solar customers receiving tariffs </w:t>
      </w:r>
      <w:r w:rsidR="001514AA">
        <w:t xml:space="preserve">in the ACT </w:t>
      </w:r>
      <w:r w:rsidR="00E075ED">
        <w:t xml:space="preserve">increased </w:t>
      </w:r>
      <w:r w:rsidR="00F65123">
        <w:t xml:space="preserve">by </w:t>
      </w:r>
      <w:r w:rsidR="00AE5EDC">
        <w:t xml:space="preserve">26% </w:t>
      </w:r>
      <w:r w:rsidR="00E075ED">
        <w:t xml:space="preserve">from </w:t>
      </w:r>
      <w:r w:rsidR="001514AA">
        <w:t>24,964 (13.6%) to 31,422 (16.0%).</w:t>
      </w:r>
      <w:r w:rsidR="001514AA">
        <w:rPr>
          <w:rStyle w:val="FootnoteReference"/>
        </w:rPr>
        <w:footnoteReference w:id="22"/>
      </w:r>
    </w:p>
    <w:p w14:paraId="074539F7" w14:textId="77777777" w:rsidR="00D5191B" w:rsidRPr="0037553F" w:rsidRDefault="00D5191B" w:rsidP="0051584D"/>
    <w:p w14:paraId="4B6D9D73" w14:textId="6834B7E8" w:rsidR="0012118D" w:rsidRDefault="00253190" w:rsidP="00325156">
      <w:r>
        <w:t>Evoenergy operates and maintains the electricity network</w:t>
      </w:r>
      <w:r w:rsidR="00806395">
        <w:t xml:space="preserve"> in the ACT</w:t>
      </w:r>
      <w:r w:rsidR="00F12F05">
        <w:t xml:space="preserve"> – it is a </w:t>
      </w:r>
      <w:r w:rsidR="00A00F81">
        <w:t>distribution network service provider</w:t>
      </w:r>
      <w:r w:rsidR="00F12F05">
        <w:t xml:space="preserve">, </w:t>
      </w:r>
      <w:r w:rsidR="00EE69EC">
        <w:t>in contrast to ActewAGL which is a</w:t>
      </w:r>
      <w:r w:rsidR="00A00F81">
        <w:t xml:space="preserve">n </w:t>
      </w:r>
      <w:r w:rsidR="001F2157">
        <w:t>electricity</w:t>
      </w:r>
      <w:r w:rsidR="00EE69EC">
        <w:t xml:space="preserve"> retailer for customers on </w:t>
      </w:r>
      <w:r w:rsidR="00A00F81">
        <w:t xml:space="preserve">Evoenergy’s </w:t>
      </w:r>
      <w:r w:rsidR="001F2157">
        <w:t xml:space="preserve">electricity </w:t>
      </w:r>
      <w:r w:rsidR="00A00F81">
        <w:t>network</w:t>
      </w:r>
      <w:r w:rsidR="0012118D">
        <w:t>.</w:t>
      </w:r>
      <w:r w:rsidR="00F12F05">
        <w:t xml:space="preserve"> </w:t>
      </w:r>
      <w:r>
        <w:t xml:space="preserve"> </w:t>
      </w:r>
    </w:p>
    <w:p w14:paraId="35998007" w14:textId="77777777" w:rsidR="0012118D" w:rsidRDefault="0012118D" w:rsidP="00325156"/>
    <w:p w14:paraId="2ACA49B1" w14:textId="77777777" w:rsidR="0012118D" w:rsidRDefault="0012118D" w:rsidP="00325156">
      <w:r>
        <w:t>The ICRC notes that:</w:t>
      </w:r>
    </w:p>
    <w:p w14:paraId="6C83C6C6" w14:textId="175EE60E" w:rsidR="0012118D" w:rsidRDefault="00BE4320" w:rsidP="0012118D">
      <w:pPr>
        <w:pStyle w:val="Quote"/>
        <w:jc w:val="left"/>
      </w:pPr>
      <w:r w:rsidRPr="00BE4320">
        <w:t>Evoenergy automatically assigns consumers to network demand tariffs if they have a smart meter (irrespective of their retailer or retail tariff)</w:t>
      </w:r>
      <w:r w:rsidR="0012118D">
        <w:t xml:space="preserve"> …</w:t>
      </w:r>
      <w:r>
        <w:t xml:space="preserve"> </w:t>
      </w:r>
      <w:r w:rsidR="00C60503">
        <w:t>T</w:t>
      </w:r>
      <w:r w:rsidR="00C60503" w:rsidRPr="00C60503">
        <w:t xml:space="preserve">he demand network tariff and time-of-use network tariff imposed by Evoenergy have higher network charges during peak periods to send a signal to </w:t>
      </w:r>
      <w:r w:rsidR="00503B10">
        <w:t>retailers</w:t>
      </w:r>
      <w:r w:rsidR="00C60503" w:rsidRPr="00C60503">
        <w:t xml:space="preserve"> that </w:t>
      </w:r>
      <w:r w:rsidR="00503B10">
        <w:t>they</w:t>
      </w:r>
      <w:r w:rsidR="00C60503" w:rsidRPr="00C60503">
        <w:t xml:space="preserve"> should encourage its customers to be mindful of their electricity usage in that period.</w:t>
      </w:r>
      <w:r w:rsidR="00C75F69">
        <w:rPr>
          <w:rStyle w:val="FootnoteReference"/>
        </w:rPr>
        <w:footnoteReference w:id="23"/>
      </w:r>
      <w:r w:rsidR="00503B10">
        <w:t xml:space="preserve"> </w:t>
      </w:r>
    </w:p>
    <w:p w14:paraId="6378B948" w14:textId="1D5052B4" w:rsidR="00EA7BA6" w:rsidRDefault="00576565" w:rsidP="0012118D">
      <w:r>
        <w:t xml:space="preserve">Electricity retailers can choose </w:t>
      </w:r>
      <w:r w:rsidR="001F2157">
        <w:t>whether</w:t>
      </w:r>
      <w:r>
        <w:t xml:space="preserve"> </w:t>
      </w:r>
      <w:r w:rsidR="0011165C">
        <w:t>the</w:t>
      </w:r>
      <w:r w:rsidR="000A273E">
        <w:t>y</w:t>
      </w:r>
      <w:r w:rsidR="0011165C">
        <w:t xml:space="preserve"> apply </w:t>
      </w:r>
      <w:r w:rsidR="004D0C97">
        <w:t>Evoenergy’s</w:t>
      </w:r>
      <w:r w:rsidR="008C2DCC">
        <w:t xml:space="preserve"> network</w:t>
      </w:r>
      <w:r w:rsidR="001F2157">
        <w:t xml:space="preserve"> demand</w:t>
      </w:r>
      <w:r w:rsidR="0011165C">
        <w:t xml:space="preserve"> tariffs to their customers</w:t>
      </w:r>
      <w:r w:rsidR="008C2DCC">
        <w:t xml:space="preserve"> through their retail tariffs</w:t>
      </w:r>
      <w:r w:rsidR="0011165C">
        <w:t xml:space="preserve">. </w:t>
      </w:r>
    </w:p>
    <w:p w14:paraId="0F7B9AC7" w14:textId="77777777" w:rsidR="00EA7BA6" w:rsidRDefault="00EA7BA6" w:rsidP="00325156"/>
    <w:p w14:paraId="54D323C4" w14:textId="438CE6B6" w:rsidR="00991D3D" w:rsidRDefault="00B61292" w:rsidP="00325156">
      <w:r>
        <w:t xml:space="preserve">The ICRC </w:t>
      </w:r>
      <w:r w:rsidR="0059576E">
        <w:t>notes</w:t>
      </w:r>
      <w:r>
        <w:t xml:space="preserve"> that</w:t>
      </w:r>
      <w:r w:rsidR="00F000EB">
        <w:t>:</w:t>
      </w:r>
      <w:r>
        <w:t xml:space="preserve"> </w:t>
      </w:r>
    </w:p>
    <w:p w14:paraId="7B970B39" w14:textId="3B1A23D9" w:rsidR="004F0128" w:rsidRDefault="00991D3D" w:rsidP="00A47BFA">
      <w:pPr>
        <w:pStyle w:val="Quote"/>
        <w:jc w:val="left"/>
      </w:pPr>
      <w:r>
        <w:t xml:space="preserve">… </w:t>
      </w:r>
      <w:r w:rsidRPr="00991D3D">
        <w:t>until recently, ActewAGL customers with a smart meter were automatically placed on a retail demand tariff and had an option to switch to a time-of-use tariff; they were not able to access flat rate tariffs</w:t>
      </w:r>
      <w:r>
        <w:t xml:space="preserve"> … </w:t>
      </w:r>
      <w:r w:rsidRPr="00991D3D">
        <w:t>ActewAGL changed its tariff assignment policy from 1 July 2020, and customers with smart meters are now automatically placed on time-of-use tariffs and can opt to move to a retail demand tariff</w:t>
      </w:r>
      <w:r>
        <w:t>.</w:t>
      </w:r>
      <w:r w:rsidR="0013275C">
        <w:rPr>
          <w:rStyle w:val="FootnoteReference"/>
        </w:rPr>
        <w:footnoteReference w:id="24"/>
      </w:r>
    </w:p>
    <w:p w14:paraId="2995F170" w14:textId="27A407B0" w:rsidR="00F127F0" w:rsidRDefault="00F000EB" w:rsidP="00F127F0">
      <w:r>
        <w:lastRenderedPageBreak/>
        <w:t xml:space="preserve">The ICRC notes that </w:t>
      </w:r>
      <w:r w:rsidR="00CD0A68">
        <w:t xml:space="preserve">other ACT </w:t>
      </w:r>
      <w:r w:rsidR="001145D1">
        <w:t xml:space="preserve">electricity </w:t>
      </w:r>
      <w:r w:rsidR="00CD0A68">
        <w:t xml:space="preserve">retailers – </w:t>
      </w:r>
      <w:r w:rsidR="00F127F0" w:rsidRPr="00B61292">
        <w:t xml:space="preserve">Origin Energy and Energy Australia </w:t>
      </w:r>
      <w:r w:rsidR="00CD0A68">
        <w:t>– ‘</w:t>
      </w:r>
      <w:r w:rsidR="00F127F0" w:rsidRPr="00B61292">
        <w:t xml:space="preserve">offer flat rate retail tariffs to smart meter customers despite customers’ underlying network tariffs being demand or time-of-use network </w:t>
      </w:r>
      <w:r w:rsidR="00806AC3" w:rsidRPr="00B61292">
        <w:t>tariffs</w:t>
      </w:r>
      <w:r w:rsidR="00806AC3">
        <w:t>’</w:t>
      </w:r>
      <w:r w:rsidR="00F127F0" w:rsidRPr="00B61292">
        <w:t>.</w:t>
      </w:r>
      <w:r w:rsidR="00DD56C8">
        <w:rPr>
          <w:rStyle w:val="FootnoteReference"/>
        </w:rPr>
        <w:footnoteReference w:id="25"/>
      </w:r>
      <w:r w:rsidR="00F127F0" w:rsidRPr="00B61292">
        <w:t xml:space="preserve"> </w:t>
      </w:r>
    </w:p>
    <w:p w14:paraId="6CC3AB77" w14:textId="77777777" w:rsidR="00F127F0" w:rsidRDefault="00F127F0" w:rsidP="00C71C3A"/>
    <w:p w14:paraId="238130A7" w14:textId="0CAF2826" w:rsidR="0019575C" w:rsidRDefault="00DD6124" w:rsidP="00C71C3A">
      <w:r>
        <w:t>ACTCOSS</w:t>
      </w:r>
      <w:r w:rsidR="00354CAF">
        <w:t xml:space="preserve"> </w:t>
      </w:r>
      <w:r w:rsidR="003F2D6A">
        <w:t>is concerned that</w:t>
      </w:r>
      <w:r w:rsidR="00354CAF" w:rsidRPr="00354CAF">
        <w:t xml:space="preserve"> </w:t>
      </w:r>
      <w:r w:rsidR="00E84856">
        <w:t xml:space="preserve">ActewAGL’s tariff assignment policy </w:t>
      </w:r>
      <w:r w:rsidR="00165BE5">
        <w:t xml:space="preserve">may put some </w:t>
      </w:r>
      <w:r w:rsidR="006B5609">
        <w:t xml:space="preserve">smart meter </w:t>
      </w:r>
      <w:r w:rsidR="00165BE5">
        <w:t xml:space="preserve">customers at risk of higher energy </w:t>
      </w:r>
      <w:r w:rsidR="000C6F98">
        <w:t>costs</w:t>
      </w:r>
      <w:r w:rsidR="006B5609">
        <w:t xml:space="preserve"> – </w:t>
      </w:r>
      <w:r w:rsidR="003A51E9">
        <w:t xml:space="preserve">especially </w:t>
      </w:r>
      <w:r w:rsidR="006B5609">
        <w:t>those</w:t>
      </w:r>
      <w:r w:rsidR="003A51E9">
        <w:t xml:space="preserve"> </w:t>
      </w:r>
      <w:r w:rsidR="00591EBB">
        <w:t>on low income and/or experiencing barriers to shifting their energy usage</w:t>
      </w:r>
      <w:r w:rsidR="001C4F0D">
        <w:t xml:space="preserve">. </w:t>
      </w:r>
      <w:r w:rsidR="00C87002">
        <w:t xml:space="preserve">Our concern is that </w:t>
      </w:r>
      <w:r w:rsidR="0019575C">
        <w:t>demand</w:t>
      </w:r>
      <w:r w:rsidR="0007523E">
        <w:t xml:space="preserve"> tariffs</w:t>
      </w:r>
      <w:r w:rsidR="0019575C">
        <w:t xml:space="preserve"> and time-of-use tariffs may not be the most appropriate or most affordable option for some </w:t>
      </w:r>
      <w:r w:rsidR="006B5609">
        <w:t xml:space="preserve">customers </w:t>
      </w:r>
      <w:r w:rsidR="0052378E">
        <w:t>who</w:t>
      </w:r>
      <w:r w:rsidR="008131EA">
        <w:t xml:space="preserve"> may be better off on a flat</w:t>
      </w:r>
      <w:r w:rsidR="00CA2D76">
        <w:t>-</w:t>
      </w:r>
      <w:r w:rsidR="008131EA">
        <w:t>rate tariff</w:t>
      </w:r>
      <w:r w:rsidR="006B5609">
        <w:t>. U</w:t>
      </w:r>
      <w:r w:rsidR="00CA2D76">
        <w:t xml:space="preserve">nder ActewAGL’s tariff assignment policy </w:t>
      </w:r>
      <w:r w:rsidR="006B5609">
        <w:t>they do not have this</w:t>
      </w:r>
      <w:r w:rsidR="00AB51D0">
        <w:t xml:space="preserve"> option.</w:t>
      </w:r>
    </w:p>
    <w:p w14:paraId="26E7A993" w14:textId="77777777" w:rsidR="0019575C" w:rsidRDefault="0019575C" w:rsidP="00C71C3A"/>
    <w:p w14:paraId="001667B4" w14:textId="4B6CEF50" w:rsidR="00904594" w:rsidRDefault="00E64302" w:rsidP="00C71C3A">
      <w:r w:rsidRPr="00E64302">
        <w:t xml:space="preserve">Recent observations by the regulator, ombudsman, and dominant retailer in the ACT suggest a need for much greater attention to the impacts of </w:t>
      </w:r>
      <w:r w:rsidR="001E137B">
        <w:t xml:space="preserve">demand and time-of-use </w:t>
      </w:r>
      <w:r w:rsidRPr="00E64302">
        <w:t xml:space="preserve">tariffs on </w:t>
      </w:r>
      <w:r w:rsidR="00772B56">
        <w:t>electricity customers</w:t>
      </w:r>
      <w:r w:rsidRPr="00E64302">
        <w:t xml:space="preserve"> as smart meters continue to be rolled out in the ACT.</w:t>
      </w:r>
      <w:r w:rsidR="00772B56">
        <w:t xml:space="preserve"> </w:t>
      </w:r>
      <w:r w:rsidR="009F138E">
        <w:t xml:space="preserve">A survey conducted as part of the </w:t>
      </w:r>
      <w:r w:rsidR="00F86239">
        <w:t xml:space="preserve">ICRC’s </w:t>
      </w:r>
      <w:r w:rsidR="00F86239" w:rsidRPr="0096591A">
        <w:rPr>
          <w:i/>
          <w:iCs/>
        </w:rPr>
        <w:t>Retail Electricity Price Investigation 2020-24</w:t>
      </w:r>
      <w:r w:rsidR="00F86239">
        <w:t xml:space="preserve"> </w:t>
      </w:r>
      <w:r w:rsidR="009F138E">
        <w:t>suggested that</w:t>
      </w:r>
      <w:r w:rsidR="00904594">
        <w:t xml:space="preserve"> ‘</w:t>
      </w:r>
      <w:r w:rsidR="00904594" w:rsidRPr="00904594">
        <w:t>customers on ActewAGL’s demand tariff do not understand how the demand tariff works and are unaware that they can ask to change to a different tariff type</w:t>
      </w:r>
      <w:r w:rsidR="00904594">
        <w:t>’.</w:t>
      </w:r>
      <w:r w:rsidR="00904594">
        <w:rPr>
          <w:rStyle w:val="FootnoteReference"/>
        </w:rPr>
        <w:footnoteReference w:id="26"/>
      </w:r>
      <w:r w:rsidR="009F138E">
        <w:t xml:space="preserve"> </w:t>
      </w:r>
      <w:r w:rsidR="005A7551">
        <w:t>The</w:t>
      </w:r>
      <w:r w:rsidR="005D63E6">
        <w:t xml:space="preserve"> ACT </w:t>
      </w:r>
      <w:r w:rsidR="002E31DF">
        <w:t>Civil and Administrative Tribunal (ACAT)</w:t>
      </w:r>
      <w:r w:rsidR="00D726C7">
        <w:t xml:space="preserve"> noted ‘</w:t>
      </w:r>
      <w:r w:rsidR="00D726C7" w:rsidRPr="00D726C7">
        <w:t>difficulties in understanding different tariff structures available to customers with different meter types, including customers with roof-top solar panels</w:t>
      </w:r>
      <w:r w:rsidR="00D726C7">
        <w:t>’.</w:t>
      </w:r>
      <w:r w:rsidR="00D726C7">
        <w:rPr>
          <w:rStyle w:val="FootnoteReference"/>
        </w:rPr>
        <w:footnoteReference w:id="27"/>
      </w:r>
      <w:r w:rsidR="00D726C7">
        <w:t xml:space="preserve"> </w:t>
      </w:r>
      <w:r w:rsidR="00144139">
        <w:t xml:space="preserve">ActewAGL </w:t>
      </w:r>
      <w:r w:rsidR="00C145E9">
        <w:t>noted that ‘</w:t>
      </w:r>
      <w:r w:rsidR="00C145E9" w:rsidRPr="00C145E9">
        <w:t>the AER’s Energy Made Easy website does not incorporate cost reflective tariffs, such as demand tariffs, for electricity offer comparison purposes</w:t>
      </w:r>
      <w:r w:rsidR="00C145E9">
        <w:t>’</w:t>
      </w:r>
      <w:r w:rsidR="00C145E9" w:rsidRPr="00C145E9">
        <w:t>.</w:t>
      </w:r>
      <w:r w:rsidR="00C145E9">
        <w:rPr>
          <w:rStyle w:val="FootnoteReference"/>
        </w:rPr>
        <w:footnoteReference w:id="28"/>
      </w:r>
    </w:p>
    <w:p w14:paraId="76506980" w14:textId="05EC54E8" w:rsidR="007E0AEE" w:rsidRDefault="007E0AEE" w:rsidP="00C71C3A"/>
    <w:p w14:paraId="581C64D3" w14:textId="383B4B1B" w:rsidR="007C7E07" w:rsidRDefault="007C7E07" w:rsidP="00C71C3A">
      <w:r>
        <w:t xml:space="preserve">It is critical that </w:t>
      </w:r>
      <w:r w:rsidR="003C62CE">
        <w:t>customers</w:t>
      </w:r>
      <w:r w:rsidR="00B86359">
        <w:t xml:space="preserve"> on demand </w:t>
      </w:r>
      <w:r w:rsidR="00716A02">
        <w:t xml:space="preserve">tariffs and </w:t>
      </w:r>
      <w:r w:rsidR="00B86359">
        <w:t xml:space="preserve">time-of-use tariffs </w:t>
      </w:r>
      <w:r w:rsidR="008A7EDE">
        <w:t xml:space="preserve">can easily compare retailer offers, </w:t>
      </w:r>
      <w:r w:rsidR="00BB1D4E">
        <w:t>understand</w:t>
      </w:r>
      <w:r w:rsidR="00B86359">
        <w:t xml:space="preserve"> how they are being charged for their electricity usage</w:t>
      </w:r>
      <w:r w:rsidR="008A7EDE">
        <w:t xml:space="preserve">, </w:t>
      </w:r>
      <w:r w:rsidR="006E0E75">
        <w:t xml:space="preserve">and </w:t>
      </w:r>
      <w:r w:rsidR="00E64302">
        <w:t xml:space="preserve">reasonably </w:t>
      </w:r>
      <w:r w:rsidR="00D76BB1">
        <w:t>adjust</w:t>
      </w:r>
      <w:r w:rsidR="006E0E75">
        <w:t xml:space="preserve"> their energy usage</w:t>
      </w:r>
      <w:r w:rsidR="008A3918">
        <w:t xml:space="preserve"> patterns</w:t>
      </w:r>
      <w:r w:rsidR="00B86359">
        <w:t>.</w:t>
      </w:r>
      <w:r w:rsidR="002A163F">
        <w:t xml:space="preserve"> </w:t>
      </w:r>
      <w:r w:rsidR="00D31704">
        <w:t>These</w:t>
      </w:r>
      <w:r w:rsidR="002A163F">
        <w:t xml:space="preserve"> tariffs </w:t>
      </w:r>
      <w:r w:rsidR="00ED1A8D">
        <w:t xml:space="preserve">may require behavioural change by </w:t>
      </w:r>
      <w:r w:rsidR="00B22326">
        <w:t>households</w:t>
      </w:r>
      <w:r w:rsidR="00ED1A8D">
        <w:t xml:space="preserve"> </w:t>
      </w:r>
      <w:r w:rsidR="00EB638B">
        <w:t>to shift</w:t>
      </w:r>
      <w:r w:rsidR="00101080">
        <w:t xml:space="preserve"> the time</w:t>
      </w:r>
      <w:r w:rsidR="00B23565">
        <w:t>(s)</w:t>
      </w:r>
      <w:r w:rsidR="00101080">
        <w:t xml:space="preserve"> of </w:t>
      </w:r>
      <w:r w:rsidR="00B22326">
        <w:t xml:space="preserve">the </w:t>
      </w:r>
      <w:r w:rsidR="00101080">
        <w:t>day</w:t>
      </w:r>
      <w:r w:rsidR="00B22326">
        <w:t xml:space="preserve"> </w:t>
      </w:r>
      <w:r w:rsidR="006B39EA">
        <w:t>and/</w:t>
      </w:r>
      <w:r w:rsidR="00B22326">
        <w:t xml:space="preserve">or week </w:t>
      </w:r>
      <w:r w:rsidR="00101080">
        <w:t xml:space="preserve">they </w:t>
      </w:r>
      <w:r w:rsidR="00B23565">
        <w:t>consume</w:t>
      </w:r>
      <w:r w:rsidR="00101080">
        <w:t xml:space="preserve"> electricity </w:t>
      </w:r>
      <w:r w:rsidR="00BE52EF">
        <w:t>so they can</w:t>
      </w:r>
      <w:r w:rsidR="00101080">
        <w:t xml:space="preserve"> </w:t>
      </w:r>
      <w:r w:rsidR="00151BF1">
        <w:t>avoid higher charges</w:t>
      </w:r>
      <w:r w:rsidR="006545E9">
        <w:t>.</w:t>
      </w:r>
      <w:r w:rsidR="009D3725">
        <w:t xml:space="preserve"> </w:t>
      </w:r>
      <w:r w:rsidR="00BE5D31">
        <w:t>This</w:t>
      </w:r>
      <w:r w:rsidR="009D3725">
        <w:t xml:space="preserve"> </w:t>
      </w:r>
      <w:r w:rsidR="00BE14AF">
        <w:t>can</w:t>
      </w:r>
      <w:r w:rsidR="009D3725">
        <w:t xml:space="preserve"> be challenging</w:t>
      </w:r>
      <w:r w:rsidR="0097784D">
        <w:t xml:space="preserve"> </w:t>
      </w:r>
      <w:r w:rsidR="00BE14AF">
        <w:t xml:space="preserve">for </w:t>
      </w:r>
      <w:r w:rsidR="00464F6B">
        <w:t xml:space="preserve">some </w:t>
      </w:r>
      <w:r w:rsidR="00BE14AF">
        <w:t>households</w:t>
      </w:r>
      <w:r w:rsidR="00464F6B">
        <w:t xml:space="preserve"> due to a range of factors</w:t>
      </w:r>
      <w:r w:rsidR="000E65DF">
        <w:t xml:space="preserve">. For </w:t>
      </w:r>
      <w:r w:rsidR="00464F6B">
        <w:t xml:space="preserve">households experiencing such </w:t>
      </w:r>
      <w:r w:rsidR="00A973CE">
        <w:t>challenges</w:t>
      </w:r>
      <w:r w:rsidR="000E65DF">
        <w:t xml:space="preserve">, </w:t>
      </w:r>
      <w:r w:rsidR="009163F4">
        <w:t>demand</w:t>
      </w:r>
      <w:r w:rsidR="00623DC5">
        <w:t xml:space="preserve"> tariffs</w:t>
      </w:r>
      <w:r w:rsidR="009163F4">
        <w:t xml:space="preserve"> or time-of-use tariffs might</w:t>
      </w:r>
      <w:r w:rsidR="002E6AAD">
        <w:t xml:space="preserve"> </w:t>
      </w:r>
      <w:r w:rsidR="009163F4">
        <w:t xml:space="preserve">increase </w:t>
      </w:r>
      <w:r w:rsidR="00EE01FF">
        <w:t>the</w:t>
      </w:r>
      <w:r w:rsidR="007E4A7A">
        <w:t xml:space="preserve"> cost </w:t>
      </w:r>
      <w:r w:rsidR="006F3452">
        <w:t xml:space="preserve">and/or reduce the </w:t>
      </w:r>
      <w:r w:rsidR="00B44C01">
        <w:lastRenderedPageBreak/>
        <w:t>predictability of</w:t>
      </w:r>
      <w:r w:rsidR="00384451">
        <w:t xml:space="preserve"> </w:t>
      </w:r>
      <w:r w:rsidR="00662EDE">
        <w:t>their electricity bills</w:t>
      </w:r>
      <w:r w:rsidR="00A60B26">
        <w:t xml:space="preserve">, </w:t>
      </w:r>
      <w:r w:rsidR="007E4A7A">
        <w:t>meaning</w:t>
      </w:r>
      <w:r w:rsidR="00BB4A6C">
        <w:t xml:space="preserve"> a flat-rate tariff might </w:t>
      </w:r>
      <w:r w:rsidR="00A60B26">
        <w:t>be more suitable.</w:t>
      </w:r>
    </w:p>
    <w:p w14:paraId="665AE7F0" w14:textId="77777777" w:rsidR="00A60B26" w:rsidRDefault="00A60B26" w:rsidP="00C71C3A"/>
    <w:p w14:paraId="701291F5" w14:textId="47469B2B" w:rsidR="00A60B26" w:rsidRDefault="00A60B26" w:rsidP="00A60B26">
      <w:r w:rsidRPr="00627E92">
        <w:t>Fundamentally, the onus should not be on consumers to</w:t>
      </w:r>
      <w:r>
        <w:t xml:space="preserve"> comprehend and</w:t>
      </w:r>
      <w:r w:rsidRPr="00627E92">
        <w:t xml:space="preserve"> </w:t>
      </w:r>
      <w:r>
        <w:t xml:space="preserve">compare different tariff structures – some of which require behavioural change – </w:t>
      </w:r>
      <w:r w:rsidR="005C1F86">
        <w:t xml:space="preserve">to </w:t>
      </w:r>
      <w:r>
        <w:t xml:space="preserve">access electricity at </w:t>
      </w:r>
      <w:r w:rsidRPr="00627E92">
        <w:t xml:space="preserve">a </w:t>
      </w:r>
      <w:r>
        <w:t xml:space="preserve">fair and affordable </w:t>
      </w:r>
      <w:r w:rsidRPr="00627E92">
        <w:t>price</w:t>
      </w:r>
      <w:r>
        <w:t xml:space="preserve">. This is another reason why it is critical to ensure that </w:t>
      </w:r>
      <w:r w:rsidR="00C93B21">
        <w:t>the regulation of the retail electricity market</w:t>
      </w:r>
      <w:r>
        <w:t xml:space="preserve"> in the ACT</w:t>
      </w:r>
      <w:r w:rsidRPr="00D42D1E">
        <w:t xml:space="preserve"> is fit-for-purpose </w:t>
      </w:r>
      <w:r>
        <w:t>and provides</w:t>
      </w:r>
      <w:r w:rsidRPr="00D42D1E">
        <w:t xml:space="preserve"> an effective safety net for all residential and small business customers</w:t>
      </w:r>
      <w:r>
        <w:t xml:space="preserve">. </w:t>
      </w:r>
    </w:p>
    <w:p w14:paraId="38832CC3" w14:textId="1B5914E7" w:rsidR="005A7551" w:rsidRDefault="005A7551" w:rsidP="00C71C3A"/>
    <w:p w14:paraId="3AC8B12D" w14:textId="1B88CD96" w:rsidR="00C71C3A" w:rsidRDefault="00E25922" w:rsidP="00C71C3A">
      <w:r>
        <w:t xml:space="preserve">ACTCOSS has </w:t>
      </w:r>
      <w:r w:rsidR="00E61C33">
        <w:t xml:space="preserve">recently supported a call for the </w:t>
      </w:r>
      <w:r w:rsidR="00B0282E">
        <w:t>Australian Energy Market Commission (AEMC) to</w:t>
      </w:r>
      <w:r w:rsidR="00E61C33" w:rsidRPr="00E61C33">
        <w:t xml:space="preserve"> initiate a review (</w:t>
      </w:r>
      <w:r w:rsidR="00E61C33">
        <w:t>i</w:t>
      </w:r>
      <w:r w:rsidR="00E61C33" w:rsidRPr="00E61C33">
        <w:t>n collaboration with consumer groups, networks, retailers</w:t>
      </w:r>
      <w:r w:rsidR="00780161">
        <w:t>,</w:t>
      </w:r>
      <w:r w:rsidR="00E61C33" w:rsidRPr="00E61C33">
        <w:t xml:space="preserve"> and the </w:t>
      </w:r>
      <w:r w:rsidR="00110A68">
        <w:t>Australian Energy Regulator</w:t>
      </w:r>
      <w:r w:rsidR="008C32D4">
        <w:t xml:space="preserve"> (AER)</w:t>
      </w:r>
      <w:r w:rsidR="00E61C33" w:rsidRPr="00E61C33">
        <w:t xml:space="preserve">) of the impact of consumption tariff reform on customers, in particular vulnerable consumers within the next 12 months. </w:t>
      </w:r>
      <w:r w:rsidR="00EC7350">
        <w:t xml:space="preserve">This review </w:t>
      </w:r>
      <w:r w:rsidR="00E61C33" w:rsidRPr="00E61C33">
        <w:t>would identify additional actions needed to be undertaken by retailers, improve consumer protections</w:t>
      </w:r>
      <w:r w:rsidR="00B0282E">
        <w:t>,</w:t>
      </w:r>
      <w:r w:rsidR="00E61C33" w:rsidRPr="00E61C33">
        <w:t xml:space="preserve"> and support improving choice and control via complementary measures.</w:t>
      </w:r>
      <w:r w:rsidR="00935265">
        <w:t xml:space="preserve"> </w:t>
      </w:r>
    </w:p>
    <w:p w14:paraId="6A43ACA9" w14:textId="7D010DDA" w:rsidR="000F3557" w:rsidRDefault="000F3557" w:rsidP="00C71C3A"/>
    <w:p w14:paraId="2C7D5736" w14:textId="40B0CEB7" w:rsidR="000F3557" w:rsidRDefault="00890255" w:rsidP="00C71C3A">
      <w:pPr>
        <w:rPr>
          <w:rStyle w:val="IntenseEmphasis"/>
        </w:rPr>
      </w:pPr>
      <w:r w:rsidRPr="00024F48">
        <w:rPr>
          <w:rStyle w:val="IntenseEmphasis"/>
        </w:rPr>
        <w:t xml:space="preserve">ACTCOSS recommends that the ICRC </w:t>
      </w:r>
      <w:r w:rsidR="00602D0A">
        <w:rPr>
          <w:rStyle w:val="IntenseEmphasis"/>
        </w:rPr>
        <w:t>reviews</w:t>
      </w:r>
      <w:r w:rsidR="00D55AD0" w:rsidRPr="00024F48">
        <w:rPr>
          <w:rStyle w:val="IntenseEmphasis"/>
        </w:rPr>
        <w:t xml:space="preserve"> the impact of </w:t>
      </w:r>
      <w:r w:rsidR="005B3D7B">
        <w:rPr>
          <w:rStyle w:val="IntenseEmphasis"/>
        </w:rPr>
        <w:t>tariff reforms</w:t>
      </w:r>
      <w:r w:rsidR="00D55AD0" w:rsidRPr="00024F48">
        <w:rPr>
          <w:rStyle w:val="IntenseEmphasis"/>
        </w:rPr>
        <w:t xml:space="preserve"> on the effectiveness of </w:t>
      </w:r>
      <w:r w:rsidR="00574868">
        <w:rPr>
          <w:rStyle w:val="IntenseEmphasis"/>
        </w:rPr>
        <w:t xml:space="preserve">regulated </w:t>
      </w:r>
      <w:r w:rsidR="00D55AD0" w:rsidRPr="00024F48">
        <w:rPr>
          <w:rStyle w:val="IntenseEmphasis"/>
        </w:rPr>
        <w:t>ActewAG</w:t>
      </w:r>
      <w:r w:rsidR="00574868">
        <w:rPr>
          <w:rStyle w:val="IntenseEmphasis"/>
        </w:rPr>
        <w:t>L</w:t>
      </w:r>
      <w:r w:rsidR="00D55AD0" w:rsidRPr="00024F48">
        <w:rPr>
          <w:rStyle w:val="IntenseEmphasis"/>
        </w:rPr>
        <w:t xml:space="preserve"> standing offers</w:t>
      </w:r>
      <w:r w:rsidR="00006772" w:rsidRPr="00024F48">
        <w:rPr>
          <w:rStyle w:val="IntenseEmphasis"/>
        </w:rPr>
        <w:t xml:space="preserve"> as default offers that provide a safety net for </w:t>
      </w:r>
      <w:r w:rsidR="00CD3AFF" w:rsidRPr="00024F48">
        <w:rPr>
          <w:rStyle w:val="IntenseEmphasis"/>
        </w:rPr>
        <w:t xml:space="preserve">residential and small business </w:t>
      </w:r>
      <w:r w:rsidR="00006772" w:rsidRPr="00024F48">
        <w:rPr>
          <w:rStyle w:val="IntenseEmphasis"/>
        </w:rPr>
        <w:t>electricity cus</w:t>
      </w:r>
      <w:r w:rsidR="00CD3AFF" w:rsidRPr="00024F48">
        <w:rPr>
          <w:rStyle w:val="IntenseEmphasis"/>
        </w:rPr>
        <w:t>tomers</w:t>
      </w:r>
      <w:r w:rsidR="00D81828" w:rsidRPr="00024F48">
        <w:rPr>
          <w:rStyle w:val="IntenseEmphasis"/>
        </w:rPr>
        <w:t xml:space="preserve"> in the ACT</w:t>
      </w:r>
      <w:r w:rsidR="009336BA">
        <w:rPr>
          <w:rStyle w:val="IntenseEmphasis"/>
        </w:rPr>
        <w:t>, especially those on low income and/or experiencing vulnerable circumstances</w:t>
      </w:r>
      <w:r w:rsidR="00D81828" w:rsidRPr="00024F48">
        <w:rPr>
          <w:rStyle w:val="IntenseEmphasis"/>
        </w:rPr>
        <w:t>.</w:t>
      </w:r>
    </w:p>
    <w:p w14:paraId="136377F8" w14:textId="69FE0F0D" w:rsidR="00602D0A" w:rsidRDefault="00602D0A" w:rsidP="00C71C3A">
      <w:pPr>
        <w:rPr>
          <w:rStyle w:val="IntenseEmphasis"/>
        </w:rPr>
      </w:pPr>
    </w:p>
    <w:p w14:paraId="52945B22" w14:textId="0760EA01" w:rsidR="00602D0A" w:rsidRPr="00024F48" w:rsidRDefault="00602D0A" w:rsidP="00C71C3A">
      <w:pPr>
        <w:rPr>
          <w:rStyle w:val="IntenseEmphasis"/>
        </w:rPr>
      </w:pPr>
      <w:r>
        <w:rPr>
          <w:rStyle w:val="IntenseEmphasis"/>
        </w:rPr>
        <w:t xml:space="preserve">ACTCOSS recommends </w:t>
      </w:r>
      <w:r w:rsidR="00032D7F">
        <w:rPr>
          <w:rStyle w:val="IntenseEmphasis"/>
        </w:rPr>
        <w:t>the introduction of protections for</w:t>
      </w:r>
      <w:r w:rsidR="00EC450A">
        <w:rPr>
          <w:rStyle w:val="IntenseEmphasis"/>
        </w:rPr>
        <w:t xml:space="preserve"> vulnerable smart meter customers</w:t>
      </w:r>
      <w:r w:rsidR="009972B4">
        <w:rPr>
          <w:rStyle w:val="IntenseEmphasis"/>
        </w:rPr>
        <w:t xml:space="preserve"> </w:t>
      </w:r>
      <w:r w:rsidR="008C03A3">
        <w:rPr>
          <w:rStyle w:val="IntenseEmphasis"/>
        </w:rPr>
        <w:t xml:space="preserve">in the ACT </w:t>
      </w:r>
      <w:r w:rsidR="003A0347">
        <w:rPr>
          <w:rStyle w:val="IntenseEmphasis"/>
        </w:rPr>
        <w:t xml:space="preserve">for whom demand tariffs or time-of-use tariffs may not be appropriate and </w:t>
      </w:r>
      <w:r w:rsidR="00EC450A">
        <w:rPr>
          <w:rStyle w:val="IntenseEmphasis"/>
        </w:rPr>
        <w:t>who do not have access to a flat</w:t>
      </w:r>
      <w:r w:rsidR="00B67FD0">
        <w:rPr>
          <w:rStyle w:val="IntenseEmphasis"/>
        </w:rPr>
        <w:t xml:space="preserve">-rate </w:t>
      </w:r>
      <w:r w:rsidR="00EC450A">
        <w:rPr>
          <w:rStyle w:val="IntenseEmphasis"/>
        </w:rPr>
        <w:t>tariff</w:t>
      </w:r>
      <w:r w:rsidR="009972B4">
        <w:rPr>
          <w:rStyle w:val="IntenseEmphasis"/>
        </w:rPr>
        <w:t xml:space="preserve"> under ActewAGL’s tariff assignment policy.</w:t>
      </w:r>
    </w:p>
    <w:p w14:paraId="33EDF38B" w14:textId="5783A511" w:rsidR="001471C7" w:rsidRDefault="00A378F4" w:rsidP="00345071">
      <w:pPr>
        <w:pStyle w:val="Heading3"/>
      </w:pPr>
      <w:r>
        <w:t xml:space="preserve"> </w:t>
      </w:r>
      <w:r w:rsidR="001471C7">
        <w:t>3. Are there any other changes in Australian energy markets that are likely to have implications for the current review?</w:t>
      </w:r>
    </w:p>
    <w:p w14:paraId="77448643" w14:textId="66BE946E" w:rsidR="00300638" w:rsidRDefault="00542921" w:rsidP="003E13C8">
      <w:pPr>
        <w:pStyle w:val="BodyText"/>
      </w:pPr>
      <w:r>
        <w:t xml:space="preserve">The scope of </w:t>
      </w:r>
      <w:r w:rsidR="00D34525">
        <w:t>this ICRC review is</w:t>
      </w:r>
      <w:r w:rsidR="00671DE1">
        <w:t xml:space="preserve">: </w:t>
      </w:r>
    </w:p>
    <w:p w14:paraId="28E47536" w14:textId="705CB491" w:rsidR="00542921" w:rsidRDefault="00300638" w:rsidP="00300638">
      <w:pPr>
        <w:pStyle w:val="Quote"/>
        <w:jc w:val="left"/>
      </w:pPr>
      <w:r>
        <w:t>t</w:t>
      </w:r>
      <w:r w:rsidR="00D34525">
        <w:t xml:space="preserve">o </w:t>
      </w:r>
      <w:r w:rsidR="00D34525" w:rsidRPr="00D34525">
        <w:t xml:space="preserve">examine the causes of compositional changes in ActewAGL’s customer base, how compositional changes are dealt with in the Commission’s approach, and implications of compositional </w:t>
      </w:r>
      <w:r w:rsidR="00D34525" w:rsidRPr="00D34525">
        <w:lastRenderedPageBreak/>
        <w:t>changes for the ongoing effectiveness of the form of price contro</w:t>
      </w:r>
      <w:r>
        <w:t>l</w:t>
      </w:r>
      <w:r w:rsidR="00D34525" w:rsidRPr="00D34525">
        <w:t>.</w:t>
      </w:r>
      <w:r>
        <w:rPr>
          <w:rStyle w:val="FootnoteReference"/>
        </w:rPr>
        <w:footnoteReference w:id="29"/>
      </w:r>
    </w:p>
    <w:p w14:paraId="6FC05917" w14:textId="436CE619" w:rsidR="00551537" w:rsidRDefault="007B737D" w:rsidP="003E13C8">
      <w:pPr>
        <w:pStyle w:val="BodyText"/>
      </w:pPr>
      <w:r>
        <w:t>A</w:t>
      </w:r>
      <w:r w:rsidR="009D64C2">
        <w:t xml:space="preserve"> specific focus of this review is to ‘</w:t>
      </w:r>
      <w:r w:rsidR="009D64C2" w:rsidRPr="009D64C2">
        <w:t>consider whether changes are needed to how the network cost pass-through is calculated to make sure the form of price control remains effective</w:t>
      </w:r>
      <w:r w:rsidR="009D64C2">
        <w:t>’</w:t>
      </w:r>
      <w:r w:rsidR="009D64C2" w:rsidRPr="009D64C2">
        <w:t>.</w:t>
      </w:r>
      <w:r w:rsidR="009D64C2">
        <w:rPr>
          <w:rStyle w:val="FootnoteReference"/>
        </w:rPr>
        <w:footnoteReference w:id="30"/>
      </w:r>
      <w:r w:rsidR="00C26191">
        <w:t xml:space="preserve"> However, as indicated above, </w:t>
      </w:r>
      <w:r w:rsidR="006B72B4">
        <w:t xml:space="preserve">we </w:t>
      </w:r>
      <w:r w:rsidR="00B67FD0">
        <w:t>see the need for</w:t>
      </w:r>
      <w:r w:rsidR="006B473C">
        <w:t xml:space="preserve"> a broader examination of </w:t>
      </w:r>
      <w:r w:rsidR="00C852B1">
        <w:t xml:space="preserve">the </w:t>
      </w:r>
      <w:r w:rsidR="00C852B1" w:rsidRPr="00C852B1">
        <w:t xml:space="preserve">implications of compositional changes for the ongoing effectiveness of </w:t>
      </w:r>
      <w:r w:rsidR="00B97E2C">
        <w:t>the regulation of retail electricity prices in the ACT – especially as this relates to providing an effective safety net</w:t>
      </w:r>
      <w:r w:rsidR="00A05CC5">
        <w:t xml:space="preserve"> through regulated default offers</w:t>
      </w:r>
      <w:r w:rsidR="00C852B1" w:rsidRPr="00C852B1">
        <w:t>.</w:t>
      </w:r>
    </w:p>
    <w:p w14:paraId="282D42BA" w14:textId="7B4349CB" w:rsidR="006F70EE" w:rsidRDefault="00F85B88" w:rsidP="003E13C8">
      <w:pPr>
        <w:pStyle w:val="BodyText"/>
      </w:pPr>
      <w:r w:rsidRPr="00F85B88">
        <w:t xml:space="preserve">ACTCOSS values the attention that the ICRC pays to changes in the electricity market (locally and nationally) and to regulatory developments in other jurisdictions. </w:t>
      </w:r>
      <w:r w:rsidR="00BC2E77">
        <w:t>The</w:t>
      </w:r>
      <w:r w:rsidR="008674ED">
        <w:t xml:space="preserve"> ICRC’s </w:t>
      </w:r>
      <w:r w:rsidR="00D1654A" w:rsidRPr="00095769">
        <w:rPr>
          <w:i/>
          <w:iCs/>
        </w:rPr>
        <w:t>Electricity Price Investigation 2020-24</w:t>
      </w:r>
      <w:r w:rsidR="00CD4A6F">
        <w:t xml:space="preserve"> </w:t>
      </w:r>
      <w:r w:rsidR="00954A67">
        <w:t xml:space="preserve">included a valuable and timely opportunity to </w:t>
      </w:r>
      <w:r w:rsidR="00892392">
        <w:t xml:space="preserve">examine </w:t>
      </w:r>
      <w:r w:rsidR="002C4148">
        <w:t xml:space="preserve">relevant </w:t>
      </w:r>
      <w:r w:rsidR="00704308">
        <w:t xml:space="preserve">regulatory </w:t>
      </w:r>
      <w:r w:rsidR="00892392">
        <w:t xml:space="preserve">developments </w:t>
      </w:r>
      <w:r w:rsidR="00704308">
        <w:t>in other jurisdictions – namely the AER’s Default Market Offer</w:t>
      </w:r>
      <w:r w:rsidR="00D02AEC">
        <w:t xml:space="preserve"> (DMO) and the Victorian Government’s </w:t>
      </w:r>
      <w:r w:rsidR="001D1FD6">
        <w:t xml:space="preserve">Victorian Default Offer (VDO). </w:t>
      </w:r>
    </w:p>
    <w:p w14:paraId="5F72F8D0" w14:textId="638EFB63" w:rsidR="00B15145" w:rsidRDefault="00B15145" w:rsidP="003E13C8">
      <w:pPr>
        <w:pStyle w:val="BodyText"/>
      </w:pPr>
      <w:r w:rsidRPr="00B15145">
        <w:t xml:space="preserve">The transition from fossil gas in the ACT as part of achieving the legislated target of net zero emissions in the ACT by 2045 is likely to have significant implications for the local electricity network. We expect that </w:t>
      </w:r>
      <w:r>
        <w:t>the</w:t>
      </w:r>
      <w:r w:rsidRPr="00B15145">
        <w:t xml:space="preserve"> capacity </w:t>
      </w:r>
      <w:r>
        <w:t>of</w:t>
      </w:r>
      <w:r w:rsidRPr="00B15145">
        <w:t xml:space="preserve"> the electricity network will </w:t>
      </w:r>
      <w:r>
        <w:t>need to be increased significantly</w:t>
      </w:r>
      <w:r w:rsidRPr="00B15145">
        <w:t xml:space="preserve"> as fossil gas is phased out. Alongside the integration of DER into the electricity network, this is likely to require significant capital expenditure, thus adding to future network costs.</w:t>
      </w:r>
    </w:p>
    <w:p w14:paraId="2601AD1A" w14:textId="4F492538" w:rsidR="00F85B88" w:rsidRDefault="00071BAA" w:rsidP="003E13C8">
      <w:pPr>
        <w:pStyle w:val="BodyText"/>
      </w:pPr>
      <w:r>
        <w:t xml:space="preserve">As </w:t>
      </w:r>
      <w:r w:rsidR="00C44DC3">
        <w:t>the electricity market undergoes significant change both locally and nationally,</w:t>
      </w:r>
      <w:r w:rsidR="00111FB7">
        <w:t xml:space="preserve"> </w:t>
      </w:r>
      <w:r w:rsidR="0002202B">
        <w:t xml:space="preserve">ACTCOSS </w:t>
      </w:r>
      <w:r w:rsidR="005C68EA">
        <w:t xml:space="preserve">is keen to remain engaged with the ICRC and the ACT Government </w:t>
      </w:r>
      <w:r w:rsidR="009B6FCD">
        <w:t xml:space="preserve">on how best to regulate </w:t>
      </w:r>
      <w:r w:rsidR="00407F4A">
        <w:t>the</w:t>
      </w:r>
      <w:r w:rsidR="009B6FCD">
        <w:t xml:space="preserve"> retail electricity market</w:t>
      </w:r>
      <w:r w:rsidR="00407F4A">
        <w:t xml:space="preserve"> in the long-term interests of consumers in the ACT.</w:t>
      </w:r>
      <w:r w:rsidR="006A5C09">
        <w:t xml:space="preserve"> We are especially interested in exploring </w:t>
      </w:r>
      <w:r w:rsidR="00160A58" w:rsidRPr="00160A58">
        <w:t>regulatory approaches to consumer vulnerability</w:t>
      </w:r>
      <w:r w:rsidR="00773D15">
        <w:t xml:space="preserve"> in the ACT</w:t>
      </w:r>
      <w:r w:rsidR="00160A58">
        <w:t>.</w:t>
      </w:r>
      <w:r w:rsidR="00160A58">
        <w:rPr>
          <w:rStyle w:val="FootnoteReference"/>
        </w:rPr>
        <w:footnoteReference w:id="31"/>
      </w:r>
      <w:r w:rsidR="00160A58">
        <w:t xml:space="preserve"> </w:t>
      </w:r>
    </w:p>
    <w:p w14:paraId="4255E05C" w14:textId="6DC8DB8C" w:rsidR="00B42E92" w:rsidRDefault="00B10304" w:rsidP="00B42E92">
      <w:pPr>
        <w:rPr>
          <w:rStyle w:val="IntenseEmphasis"/>
        </w:rPr>
      </w:pPr>
      <w:r w:rsidRPr="00046717">
        <w:rPr>
          <w:rStyle w:val="IntenseEmphasis"/>
        </w:rPr>
        <w:t xml:space="preserve">ACTCOSS would welcome further discussion with the ICRC about </w:t>
      </w:r>
      <w:r w:rsidR="004005B8" w:rsidRPr="00046717">
        <w:rPr>
          <w:rStyle w:val="IntenseEmphasis"/>
        </w:rPr>
        <w:t xml:space="preserve">processes, timeframes, and thresholds for </w:t>
      </w:r>
      <w:r w:rsidR="0046161C" w:rsidRPr="00046717">
        <w:rPr>
          <w:rStyle w:val="IntenseEmphasis"/>
        </w:rPr>
        <w:t xml:space="preserve">determining if and/or when </w:t>
      </w:r>
      <w:r w:rsidR="004556C8" w:rsidRPr="00046717">
        <w:rPr>
          <w:rStyle w:val="IntenseEmphasis"/>
        </w:rPr>
        <w:t xml:space="preserve">the regulation of ActewAGL’s </w:t>
      </w:r>
      <w:r w:rsidR="0085281E" w:rsidRPr="00046717">
        <w:rPr>
          <w:rStyle w:val="IntenseEmphasis"/>
        </w:rPr>
        <w:t xml:space="preserve">standing offer tariffs </w:t>
      </w:r>
      <w:r w:rsidR="003E6669" w:rsidRPr="00046717">
        <w:rPr>
          <w:rStyle w:val="IntenseEmphasis"/>
        </w:rPr>
        <w:t xml:space="preserve">is no longer </w:t>
      </w:r>
      <w:r w:rsidR="00046717" w:rsidRPr="00046717">
        <w:rPr>
          <w:rStyle w:val="IntenseEmphasis"/>
        </w:rPr>
        <w:t xml:space="preserve">an effective means of providing a safety net for residential </w:t>
      </w:r>
      <w:r w:rsidR="00046717" w:rsidRPr="00046717">
        <w:rPr>
          <w:rStyle w:val="IntenseEmphasis"/>
        </w:rPr>
        <w:lastRenderedPageBreak/>
        <w:t>and small business consumers in the ACT</w:t>
      </w:r>
      <w:r w:rsidR="00314F92">
        <w:rPr>
          <w:rStyle w:val="IntenseEmphasis"/>
        </w:rPr>
        <w:t xml:space="preserve">, </w:t>
      </w:r>
      <w:r w:rsidR="00314F92" w:rsidRPr="00314F92">
        <w:rPr>
          <w:rStyle w:val="IntenseEmphasis"/>
        </w:rPr>
        <w:t>especially those on low income and/or experiencing vulnerable circumstances</w:t>
      </w:r>
      <w:r w:rsidR="00046717" w:rsidRPr="00046717">
        <w:rPr>
          <w:rStyle w:val="IntenseEmphasis"/>
        </w:rPr>
        <w:t>.</w:t>
      </w:r>
    </w:p>
    <w:p w14:paraId="4AA4EF31" w14:textId="07979FC6" w:rsidR="001471C7" w:rsidRDefault="001471C7" w:rsidP="00E31C68">
      <w:pPr>
        <w:pStyle w:val="Heading3"/>
      </w:pPr>
      <w:r>
        <w:t>4. Do stakeholders have any comments on the implications of having different calculation methods for network costs compared to the maximum allowable price increase?</w:t>
      </w:r>
    </w:p>
    <w:p w14:paraId="5A02A1A1" w14:textId="31FF7994" w:rsidR="00AD3951" w:rsidRDefault="00AD3951" w:rsidP="005B2E8B"/>
    <w:p w14:paraId="3364458F" w14:textId="74B5BB65" w:rsidR="00E57274" w:rsidRDefault="00623C1E" w:rsidP="005B2E8B">
      <w:r>
        <w:t>A specific</w:t>
      </w:r>
      <w:r w:rsidR="00AD3951">
        <w:t xml:space="preserve"> focus of this</w:t>
      </w:r>
      <w:r w:rsidR="00053665">
        <w:t xml:space="preserve"> </w:t>
      </w:r>
      <w:r w:rsidR="00324FAD">
        <w:t>review is</w:t>
      </w:r>
      <w:r w:rsidR="00AD3951" w:rsidRPr="00AD3951">
        <w:t xml:space="preserve"> </w:t>
      </w:r>
      <w:r w:rsidR="00053665">
        <w:t xml:space="preserve">to determine </w:t>
      </w:r>
      <w:r w:rsidR="00AD3951" w:rsidRPr="00AD3951">
        <w:t xml:space="preserve">whether </w:t>
      </w:r>
      <w:r w:rsidR="00330DD8">
        <w:t>the ICRC</w:t>
      </w:r>
      <w:r>
        <w:t xml:space="preserve"> needs to change</w:t>
      </w:r>
      <w:r w:rsidR="00AD3951" w:rsidRPr="00AD3951">
        <w:t xml:space="preserve"> how the network cost pass-through is calculated to make sure the form of price control remains effective.</w:t>
      </w:r>
      <w:r w:rsidR="00324FAD">
        <w:t xml:space="preserve"> </w:t>
      </w:r>
    </w:p>
    <w:p w14:paraId="7AE30D9F" w14:textId="738E7762" w:rsidR="00E57274" w:rsidRDefault="00E57274" w:rsidP="005B2E8B"/>
    <w:p w14:paraId="3B86D6B9" w14:textId="1305973F" w:rsidR="00E57274" w:rsidRDefault="00142AAB" w:rsidP="005B2E8B">
      <w:r>
        <w:t xml:space="preserve">The ICRC’s pricing model used to </w:t>
      </w:r>
      <w:r w:rsidR="007C3F4C">
        <w:t xml:space="preserve">determine ActewAGL’s regulated standing offer tariffs </w:t>
      </w:r>
      <w:r w:rsidR="00D0224C">
        <w:t>is composed broadly of:</w:t>
      </w:r>
    </w:p>
    <w:p w14:paraId="588808F4" w14:textId="77777777" w:rsidR="005600C2" w:rsidRDefault="005600C2" w:rsidP="005B2E8B"/>
    <w:p w14:paraId="4F9A64DE" w14:textId="77777777" w:rsidR="005600C2" w:rsidRDefault="005600C2" w:rsidP="005600C2">
      <w:pPr>
        <w:pStyle w:val="ListBullet"/>
      </w:pPr>
      <w:r w:rsidRPr="005600C2">
        <w:t>wholesale costs (the costs associated with purchasing electricity from the wholesale market, representing 44 per cent of total costs)</w:t>
      </w:r>
    </w:p>
    <w:p w14:paraId="7AB9E6A3" w14:textId="77777777" w:rsidR="005600C2" w:rsidRDefault="005600C2" w:rsidP="005600C2">
      <w:pPr>
        <w:pStyle w:val="ListBullet"/>
      </w:pPr>
      <w:r w:rsidRPr="005600C2">
        <w:t>network costs (the cost of transmitting and distributing electricity from generators to consumers, representing 43 per cent of total costs)</w:t>
      </w:r>
    </w:p>
    <w:p w14:paraId="7CCF8061" w14:textId="75CC53E6" w:rsidR="00D0224C" w:rsidRDefault="005600C2" w:rsidP="005600C2">
      <w:pPr>
        <w:pStyle w:val="ListBullet"/>
      </w:pPr>
      <w:r w:rsidRPr="005600C2">
        <w:t>retail costs (costs faced by retailers in providing services to customers and the retail margin, representing 13 per cent of total costs).</w:t>
      </w:r>
      <w:r>
        <w:rPr>
          <w:rStyle w:val="FootnoteReference"/>
        </w:rPr>
        <w:footnoteReference w:id="32"/>
      </w:r>
    </w:p>
    <w:p w14:paraId="690AAC98" w14:textId="77777777" w:rsidR="00E57274" w:rsidRDefault="00E57274" w:rsidP="005B2E8B"/>
    <w:p w14:paraId="0C7F73F6" w14:textId="6982A983" w:rsidR="00C50D6F" w:rsidRDefault="0039133C" w:rsidP="005B2E8B">
      <w:r>
        <w:t xml:space="preserve">As part of </w:t>
      </w:r>
      <w:r w:rsidR="00CA157D">
        <w:t>determining</w:t>
      </w:r>
      <w:r>
        <w:t xml:space="preserve"> the maximum allowable price increase in </w:t>
      </w:r>
      <w:r w:rsidR="001D29F4">
        <w:t xml:space="preserve">ActewAGL’s basket of </w:t>
      </w:r>
      <w:r w:rsidR="00CA157D">
        <w:t xml:space="preserve">standing offer tariffs the ICRC calculates </w:t>
      </w:r>
      <w:r w:rsidR="00323D76">
        <w:t>how</w:t>
      </w:r>
      <w:r w:rsidR="009C4A9A">
        <w:t xml:space="preserve"> </w:t>
      </w:r>
      <w:r w:rsidR="00427848">
        <w:t xml:space="preserve">network costs </w:t>
      </w:r>
      <w:r w:rsidR="00CA157D">
        <w:t>will be</w:t>
      </w:r>
      <w:r w:rsidR="00427848">
        <w:t xml:space="preserve"> passed through to </w:t>
      </w:r>
      <w:r w:rsidR="00CA157D">
        <w:t xml:space="preserve">ActewAGL standing offer </w:t>
      </w:r>
      <w:r w:rsidR="00427848">
        <w:t>customers</w:t>
      </w:r>
      <w:r w:rsidR="00F8271E">
        <w:t xml:space="preserve">. </w:t>
      </w:r>
    </w:p>
    <w:p w14:paraId="0F21AD24" w14:textId="77777777" w:rsidR="00C50D6F" w:rsidRDefault="00C50D6F" w:rsidP="005B2E8B"/>
    <w:p w14:paraId="00773520" w14:textId="0A6846D7" w:rsidR="0071702B" w:rsidRDefault="006B4FF7" w:rsidP="005B2E8B">
      <w:r>
        <w:t xml:space="preserve">The ICRC </w:t>
      </w:r>
      <w:r w:rsidR="00C50D6F">
        <w:t>observed</w:t>
      </w:r>
      <w:r>
        <w:t xml:space="preserve"> that ‘t</w:t>
      </w:r>
      <w:r w:rsidR="009165E5" w:rsidRPr="009165E5">
        <w:t xml:space="preserve">he increase in the network cost pass-through amount corresponding to </w:t>
      </w:r>
      <w:r w:rsidR="00D97728">
        <w:t xml:space="preserve">ActewAGL’s </w:t>
      </w:r>
      <w:r w:rsidR="009165E5" w:rsidRPr="009165E5">
        <w:t>regulated tariffs for 2020-21 (5.4 per cent) was significantly higher than the AER approved network price increase for Evoenergy’s corresponding regulated tariffs (2.0 per cent)</w:t>
      </w:r>
      <w:r w:rsidR="001E1568">
        <w:t>’</w:t>
      </w:r>
      <w:r w:rsidR="00725D8B">
        <w:t>. The ICRC states that</w:t>
      </w:r>
      <w:r w:rsidR="00A658C8">
        <w:t xml:space="preserve"> </w:t>
      </w:r>
      <w:r w:rsidR="001E1568">
        <w:t>this ‘</w:t>
      </w:r>
      <w:r w:rsidR="00ED70CE" w:rsidRPr="00ED70CE">
        <w:t>difference reflected a change in the mix of network charges incurred by ActewAGL, which had come about because of a change in the mix of consumers on standing offers</w:t>
      </w:r>
      <w:r w:rsidR="001E1568">
        <w:t>’</w:t>
      </w:r>
      <w:r w:rsidR="00ED70CE" w:rsidRPr="00ED70CE">
        <w:t>.</w:t>
      </w:r>
      <w:r w:rsidR="001E1568">
        <w:rPr>
          <w:rStyle w:val="FootnoteReference"/>
        </w:rPr>
        <w:footnoteReference w:id="33"/>
      </w:r>
    </w:p>
    <w:p w14:paraId="6A686F69" w14:textId="438708AE" w:rsidR="00967D40" w:rsidRDefault="00967D40" w:rsidP="005B2E8B"/>
    <w:p w14:paraId="6C8727C9" w14:textId="0E615CEE" w:rsidR="00F56212" w:rsidRDefault="00F56212" w:rsidP="005B2E8B">
      <w:r>
        <w:t xml:space="preserve">The ICRC </w:t>
      </w:r>
      <w:r w:rsidR="00490BD7">
        <w:t>goes on to describe how</w:t>
      </w:r>
      <w:r>
        <w:t>,</w:t>
      </w:r>
    </w:p>
    <w:p w14:paraId="2E64C684" w14:textId="6147C64D" w:rsidR="00967D40" w:rsidRDefault="00F56212" w:rsidP="00F56212">
      <w:pPr>
        <w:pStyle w:val="Quote"/>
        <w:jc w:val="left"/>
      </w:pPr>
      <w:r w:rsidRPr="00F56212">
        <w:t>The change in the customer mix had resulted from an increase in customers, especially residential customers, changing retailers or moving from a standing offer to a market offer. This caused the proportion of standing offer customers on tariffs with relatively low network costs (i.e. residential tariffs) to fall and the proportion of customers with high network costs (i.e. business tariffs) to rise</w:t>
      </w:r>
      <w:r w:rsidR="00324798">
        <w:t xml:space="preserve"> … </w:t>
      </w:r>
      <w:r w:rsidR="00324798" w:rsidRPr="00324798">
        <w:t>the network cost increase reflected a change in the mix of standing offer business customers</w:t>
      </w:r>
      <w:r w:rsidR="00E31389">
        <w:t xml:space="preserve"> … </w:t>
      </w:r>
      <w:r w:rsidR="009B3EC8">
        <w:t>[There]</w:t>
      </w:r>
      <w:r w:rsidR="00E31389" w:rsidRPr="00E31389">
        <w:t xml:space="preserve"> was a higher proportion of standing offer business customers on more expensive network tariffs. For example, the number of standing offer customers on the business demand tariff (a tariff with a relatively high weighted average network cost) had increased as smart meters are installed. In contrast, the number of customers on all other business tariffs had decreased.</w:t>
      </w:r>
      <w:r>
        <w:rPr>
          <w:rStyle w:val="FootnoteReference"/>
        </w:rPr>
        <w:footnoteReference w:id="34"/>
      </w:r>
    </w:p>
    <w:p w14:paraId="6F9032CB" w14:textId="2E544B99" w:rsidR="00E31389" w:rsidRDefault="003D6F7A" w:rsidP="00E31389">
      <w:r>
        <w:t>In</w:t>
      </w:r>
      <w:r w:rsidR="00FB04E6">
        <w:t xml:space="preserve"> 2019-20</w:t>
      </w:r>
      <w:r w:rsidR="00330580">
        <w:t>, 42.9% of ActewAGL’s resident</w:t>
      </w:r>
      <w:r w:rsidR="00F3561D">
        <w:t>i</w:t>
      </w:r>
      <w:r w:rsidR="00330580">
        <w:t xml:space="preserve">al electricity customers were on standard offer contracts compared to </w:t>
      </w:r>
      <w:r w:rsidR="003C7DBD">
        <w:t>74.4% of small business customers.</w:t>
      </w:r>
      <w:r w:rsidR="003C7DBD">
        <w:rPr>
          <w:rStyle w:val="FootnoteReference"/>
        </w:rPr>
        <w:footnoteReference w:id="35"/>
      </w:r>
    </w:p>
    <w:p w14:paraId="4892FE5C" w14:textId="4A34D94D" w:rsidR="009930AB" w:rsidRDefault="009930AB" w:rsidP="00E31389"/>
    <w:p w14:paraId="52D0FE06" w14:textId="746C6084" w:rsidR="00443B56" w:rsidRDefault="002E6DD8" w:rsidP="005B2E8B">
      <w:r>
        <w:t>ACTCOSS</w:t>
      </w:r>
      <w:r w:rsidR="00414CF6">
        <w:t xml:space="preserve"> </w:t>
      </w:r>
      <w:r w:rsidR="00EA3CF8">
        <w:t>is concerned that</w:t>
      </w:r>
      <w:r w:rsidR="00095804">
        <w:t xml:space="preserve"> </w:t>
      </w:r>
      <w:r w:rsidR="00A67250">
        <w:t>way</w:t>
      </w:r>
      <w:r w:rsidR="00955214">
        <w:t xml:space="preserve"> </w:t>
      </w:r>
      <w:r w:rsidR="00BD4040" w:rsidRPr="00BD4040">
        <w:t>the network cost pass-through amount</w:t>
      </w:r>
      <w:r w:rsidR="00095804">
        <w:t xml:space="preserve"> is</w:t>
      </w:r>
      <w:r w:rsidR="00A67250">
        <w:t xml:space="preserve"> </w:t>
      </w:r>
      <w:r w:rsidR="00095804">
        <w:t>calculated</w:t>
      </w:r>
      <w:r w:rsidR="00BD4040">
        <w:t xml:space="preserve"> </w:t>
      </w:r>
      <w:r w:rsidR="00A67250">
        <w:t>as part</w:t>
      </w:r>
      <w:r w:rsidR="00414CF6">
        <w:t xml:space="preserve"> of the ICRC’s tariff basket form of price control</w:t>
      </w:r>
      <w:r w:rsidR="00EA3CF8">
        <w:t xml:space="preserve"> may not be </w:t>
      </w:r>
      <w:r w:rsidR="00DA17CF">
        <w:t>equitable, especially across residential and business customers</w:t>
      </w:r>
      <w:r w:rsidR="00414CF6">
        <w:t xml:space="preserve">. </w:t>
      </w:r>
      <w:r w:rsidR="00B86263">
        <w:t>The</w:t>
      </w:r>
      <w:r w:rsidR="00353156">
        <w:t xml:space="preserve"> Issues Paper seems to indicate that residential </w:t>
      </w:r>
      <w:r w:rsidR="009A12AF">
        <w:t xml:space="preserve">electricity </w:t>
      </w:r>
      <w:r w:rsidR="00353156">
        <w:t xml:space="preserve">customers </w:t>
      </w:r>
      <w:r w:rsidR="009A12AF">
        <w:t xml:space="preserve">on ActewAGL’s standing offer tariffs may </w:t>
      </w:r>
      <w:r w:rsidR="008573BB">
        <w:t>be</w:t>
      </w:r>
      <w:r w:rsidR="00BB55C1">
        <w:t xml:space="preserve"> being</w:t>
      </w:r>
      <w:r w:rsidR="008573BB">
        <w:t xml:space="preserve"> made worse off due to </w:t>
      </w:r>
      <w:r w:rsidR="00684E23">
        <w:t>the</w:t>
      </w:r>
      <w:r w:rsidR="008573BB">
        <w:t xml:space="preserve"> higher network costs of </w:t>
      </w:r>
      <w:r w:rsidR="002800B2">
        <w:t>business standing offer tariffs</w:t>
      </w:r>
      <w:r w:rsidR="00684E23">
        <w:t xml:space="preserve"> pushing up </w:t>
      </w:r>
      <w:r w:rsidR="00BB55C1">
        <w:t xml:space="preserve">prices </w:t>
      </w:r>
      <w:r w:rsidR="00684E23">
        <w:t>across the tariff ba</w:t>
      </w:r>
      <w:r w:rsidR="00BB55C1">
        <w:t>sket</w:t>
      </w:r>
      <w:r w:rsidR="00684E23">
        <w:t>.</w:t>
      </w:r>
      <w:r w:rsidR="00AA746E">
        <w:t xml:space="preserve"> </w:t>
      </w:r>
    </w:p>
    <w:p w14:paraId="543F0FD6" w14:textId="77777777" w:rsidR="00AA746E" w:rsidRDefault="00AA746E" w:rsidP="005B2E8B"/>
    <w:p w14:paraId="34C5E3DB" w14:textId="77777777" w:rsidR="009D291E" w:rsidRDefault="009D291E" w:rsidP="005B2E8B">
      <w:r>
        <w:t xml:space="preserve">This </w:t>
      </w:r>
      <w:r w:rsidR="00EC7DFA">
        <w:t xml:space="preserve">also raises a concern that the current approach </w:t>
      </w:r>
      <w:r w:rsidR="00C13D31">
        <w:t>reduces the stability and predictability of</w:t>
      </w:r>
      <w:r w:rsidR="00D41282">
        <w:t xml:space="preserve"> standing offers </w:t>
      </w:r>
      <w:r w:rsidR="00C13D31">
        <w:t>for ActewAGL’s residential and small business electricity customers</w:t>
      </w:r>
      <w:r w:rsidR="00071945">
        <w:t xml:space="preserve"> due to </w:t>
      </w:r>
      <w:r w:rsidR="00BC0D03">
        <w:t>significant variation and difference</w:t>
      </w:r>
      <w:r w:rsidR="00B23501">
        <w:t xml:space="preserve"> between the </w:t>
      </w:r>
      <w:r w:rsidR="006A22AC">
        <w:t xml:space="preserve">ICRC’s network </w:t>
      </w:r>
      <w:r w:rsidR="006A22AC">
        <w:lastRenderedPageBreak/>
        <w:t>pass-through amount</w:t>
      </w:r>
      <w:r w:rsidR="00993C73">
        <w:t xml:space="preserve"> for ActewAGL</w:t>
      </w:r>
      <w:r w:rsidR="006A22AC">
        <w:t xml:space="preserve"> and the </w:t>
      </w:r>
      <w:r w:rsidR="00B23501">
        <w:t>AER</w:t>
      </w:r>
      <w:r>
        <w:t>’s</w:t>
      </w:r>
      <w:r w:rsidR="00190CBE">
        <w:t xml:space="preserve"> approved</w:t>
      </w:r>
      <w:r w:rsidR="006A22AC">
        <w:t xml:space="preserve"> </w:t>
      </w:r>
      <w:r w:rsidR="00993C73">
        <w:t>network price increase for Evoenergy</w:t>
      </w:r>
      <w:r w:rsidR="000C0563">
        <w:t>.</w:t>
      </w:r>
      <w:r w:rsidR="00EB2CEB">
        <w:t xml:space="preserve"> </w:t>
      </w:r>
    </w:p>
    <w:p w14:paraId="2775E6F2" w14:textId="77777777" w:rsidR="009D291E" w:rsidRDefault="009D291E" w:rsidP="005B2E8B"/>
    <w:p w14:paraId="39D16424" w14:textId="03592F05" w:rsidR="00655609" w:rsidRDefault="00BF1163" w:rsidP="005B2E8B">
      <w:r>
        <w:t xml:space="preserve">ACTCOSS values </w:t>
      </w:r>
      <w:r w:rsidR="008B2F06">
        <w:t>the</w:t>
      </w:r>
      <w:r w:rsidR="009026EB">
        <w:t xml:space="preserve"> </w:t>
      </w:r>
      <w:r w:rsidR="000449C3">
        <w:t xml:space="preserve">ICRC’s commitment to </w:t>
      </w:r>
      <w:r w:rsidR="009026EB">
        <w:t>consider</w:t>
      </w:r>
      <w:r w:rsidR="000449C3">
        <w:t xml:space="preserve">ing </w:t>
      </w:r>
      <w:r w:rsidR="009026EB">
        <w:t>of community impact</w:t>
      </w:r>
      <w:r w:rsidR="007632D3">
        <w:t xml:space="preserve"> as part of </w:t>
      </w:r>
      <w:r w:rsidR="000449C3">
        <w:t>its</w:t>
      </w:r>
      <w:r w:rsidR="00301323">
        <w:t xml:space="preserve"> </w:t>
      </w:r>
      <w:r w:rsidR="007632D3">
        <w:t xml:space="preserve">pricing principles – including </w:t>
      </w:r>
      <w:r w:rsidR="00C04663">
        <w:t xml:space="preserve">equity for low-income households and </w:t>
      </w:r>
      <w:r w:rsidR="00F34484">
        <w:t xml:space="preserve">ensuring </w:t>
      </w:r>
      <w:r w:rsidR="00C46F61">
        <w:t>customers can adjust</w:t>
      </w:r>
      <w:r w:rsidR="00F34484">
        <w:t xml:space="preserve"> to changes in tariffs and prices.</w:t>
      </w:r>
      <w:r w:rsidR="00C04663">
        <w:t xml:space="preserve"> </w:t>
      </w:r>
    </w:p>
    <w:p w14:paraId="3F58BFC0" w14:textId="25C3F83E" w:rsidR="00324FAD" w:rsidRDefault="00324FAD" w:rsidP="005B2E8B"/>
    <w:p w14:paraId="7A824792" w14:textId="38355BFD" w:rsidR="008D4B03" w:rsidRDefault="008D4B03" w:rsidP="005B2E8B">
      <w:pPr>
        <w:rPr>
          <w:rStyle w:val="IntenseEmphasis"/>
        </w:rPr>
      </w:pPr>
      <w:r>
        <w:rPr>
          <w:rStyle w:val="IntenseEmphasis"/>
        </w:rPr>
        <w:t xml:space="preserve">ACTCOSS recommends the ICRC further examine how compositional change among ActewAGL’s residential and business </w:t>
      </w:r>
      <w:r w:rsidR="00433B06">
        <w:rPr>
          <w:rStyle w:val="IntenseEmphasis"/>
        </w:rPr>
        <w:t xml:space="preserve">standing offer and market offer customers with a view to identifying and addressing any equity issues. </w:t>
      </w:r>
      <w:r w:rsidR="003739DE">
        <w:rPr>
          <w:rStyle w:val="IntenseEmphasis"/>
        </w:rPr>
        <w:t xml:space="preserve">This is in line with the ICRC’s </w:t>
      </w:r>
      <w:r w:rsidR="00A8359D">
        <w:rPr>
          <w:rStyle w:val="IntenseEmphasis"/>
        </w:rPr>
        <w:t>consideration of social impact</w:t>
      </w:r>
      <w:r w:rsidR="001E6A67">
        <w:rPr>
          <w:rStyle w:val="IntenseEmphasis"/>
        </w:rPr>
        <w:t xml:space="preserve"> of its decisions under s</w:t>
      </w:r>
      <w:r w:rsidR="000C3359">
        <w:rPr>
          <w:rStyle w:val="IntenseEmphasis"/>
        </w:rPr>
        <w:t xml:space="preserve">20(2) of the </w:t>
      </w:r>
      <w:r w:rsidR="0002280E" w:rsidRPr="0002280E">
        <w:rPr>
          <w:rStyle w:val="IntenseEmphasis"/>
        </w:rPr>
        <w:t>Independent Competition and Regulatory Commission Act 199</w:t>
      </w:r>
      <w:r w:rsidR="0002280E">
        <w:rPr>
          <w:rStyle w:val="IntenseEmphasis"/>
        </w:rPr>
        <w:t>7.</w:t>
      </w:r>
    </w:p>
    <w:p w14:paraId="5BC53C32" w14:textId="77777777" w:rsidR="00433B06" w:rsidRDefault="00433B06" w:rsidP="005B2E8B">
      <w:pPr>
        <w:rPr>
          <w:rStyle w:val="IntenseEmphasis"/>
        </w:rPr>
      </w:pPr>
    </w:p>
    <w:p w14:paraId="6A17352B" w14:textId="0257B9DF" w:rsidR="00DA76D2" w:rsidRPr="00177022" w:rsidRDefault="00DA76D2" w:rsidP="005B2E8B">
      <w:pPr>
        <w:rPr>
          <w:rStyle w:val="IntenseEmphasis"/>
        </w:rPr>
      </w:pPr>
      <w:r w:rsidRPr="00177022">
        <w:rPr>
          <w:rStyle w:val="IntenseEmphasis"/>
        </w:rPr>
        <w:t>ACTCOSS recommends that</w:t>
      </w:r>
      <w:r w:rsidR="007D644A" w:rsidRPr="00177022">
        <w:rPr>
          <w:rStyle w:val="IntenseEmphasis"/>
        </w:rPr>
        <w:t xml:space="preserve"> the</w:t>
      </w:r>
      <w:r w:rsidR="00113C66" w:rsidRPr="00177022">
        <w:rPr>
          <w:rStyle w:val="IntenseEmphasis"/>
        </w:rPr>
        <w:t xml:space="preserve"> ICRC</w:t>
      </w:r>
      <w:r w:rsidR="00C54C82" w:rsidRPr="00177022">
        <w:rPr>
          <w:rStyle w:val="IntenseEmphasis"/>
        </w:rPr>
        <w:t xml:space="preserve"> </w:t>
      </w:r>
      <w:r w:rsidR="00FD5270">
        <w:rPr>
          <w:rStyle w:val="IntenseEmphasis"/>
        </w:rPr>
        <w:t>review</w:t>
      </w:r>
      <w:r w:rsidR="0073653F" w:rsidRPr="00177022">
        <w:rPr>
          <w:rStyle w:val="IntenseEmphasis"/>
        </w:rPr>
        <w:t xml:space="preserve"> whether the </w:t>
      </w:r>
      <w:r w:rsidR="00E81F3C" w:rsidRPr="00177022">
        <w:rPr>
          <w:rStyle w:val="IntenseEmphasis"/>
        </w:rPr>
        <w:t>tariff basket</w:t>
      </w:r>
      <w:r w:rsidR="0073653F" w:rsidRPr="00177022">
        <w:rPr>
          <w:rStyle w:val="IntenseEmphasis"/>
        </w:rPr>
        <w:t xml:space="preserve"> </w:t>
      </w:r>
      <w:r w:rsidR="00747174" w:rsidRPr="00177022">
        <w:rPr>
          <w:rStyle w:val="IntenseEmphasis"/>
        </w:rPr>
        <w:t>form of price control</w:t>
      </w:r>
      <w:r w:rsidR="00581526" w:rsidRPr="00177022">
        <w:rPr>
          <w:rStyle w:val="IntenseEmphasis"/>
        </w:rPr>
        <w:t xml:space="preserve"> </w:t>
      </w:r>
      <w:r w:rsidR="00E81F3C" w:rsidRPr="00177022">
        <w:rPr>
          <w:rStyle w:val="IntenseEmphasis"/>
        </w:rPr>
        <w:t xml:space="preserve">and </w:t>
      </w:r>
      <w:r w:rsidR="00C54C82" w:rsidRPr="00177022">
        <w:rPr>
          <w:rStyle w:val="IntenseEmphasis"/>
        </w:rPr>
        <w:t>the</w:t>
      </w:r>
      <w:r w:rsidR="00747174" w:rsidRPr="00177022">
        <w:rPr>
          <w:rStyle w:val="IntenseEmphasis"/>
        </w:rPr>
        <w:t xml:space="preserve"> weighted average network cost</w:t>
      </w:r>
      <w:r w:rsidR="001D5DB1" w:rsidRPr="00177022">
        <w:rPr>
          <w:rStyle w:val="IntenseEmphasis"/>
        </w:rPr>
        <w:t xml:space="preserve"> </w:t>
      </w:r>
      <w:r w:rsidR="00E6543D" w:rsidRPr="00177022">
        <w:rPr>
          <w:rStyle w:val="IntenseEmphasis"/>
        </w:rPr>
        <w:t xml:space="preserve">calculation </w:t>
      </w:r>
      <w:r w:rsidR="00F06DCE" w:rsidRPr="00177022">
        <w:rPr>
          <w:rStyle w:val="IntenseEmphasis"/>
        </w:rPr>
        <w:t>are fit-for-purpose</w:t>
      </w:r>
      <w:r w:rsidR="004D20B9" w:rsidRPr="00177022">
        <w:rPr>
          <w:rStyle w:val="IntenseEmphasis"/>
        </w:rPr>
        <w:t xml:space="preserve"> in </w:t>
      </w:r>
      <w:r w:rsidR="0001255D" w:rsidRPr="00177022">
        <w:rPr>
          <w:rStyle w:val="IntenseEmphasis"/>
        </w:rPr>
        <w:t>determining default offers that provide a safety net for all residential and small business electricity customers</w:t>
      </w:r>
      <w:r w:rsidR="000C0563" w:rsidRPr="00177022">
        <w:rPr>
          <w:rStyle w:val="IntenseEmphasis"/>
        </w:rPr>
        <w:t xml:space="preserve"> that is equitable, affordable, and stable</w:t>
      </w:r>
      <w:r w:rsidR="0001255D" w:rsidRPr="00177022">
        <w:rPr>
          <w:rStyle w:val="IntenseEmphasis"/>
        </w:rPr>
        <w:t>.</w:t>
      </w:r>
      <w:r w:rsidR="00C54C82" w:rsidRPr="00177022">
        <w:rPr>
          <w:rStyle w:val="IntenseEmphasis"/>
        </w:rPr>
        <w:t xml:space="preserve"> </w:t>
      </w:r>
    </w:p>
    <w:p w14:paraId="735E93B2" w14:textId="79491B4A" w:rsidR="007B41AB" w:rsidRDefault="001471C7" w:rsidP="00E31C68">
      <w:pPr>
        <w:pStyle w:val="Heading3"/>
      </w:pPr>
      <w:r>
        <w:t>5. Are there any other comments that stakeholders would like to make?</w:t>
      </w:r>
    </w:p>
    <w:p w14:paraId="75F329C7" w14:textId="1FEC4DCA" w:rsidR="00BC2390" w:rsidRDefault="00566F1F" w:rsidP="00C12F9E">
      <w:pPr>
        <w:pStyle w:val="BodyText"/>
      </w:pPr>
      <w:r>
        <w:t xml:space="preserve">We commend the ICRC for </w:t>
      </w:r>
      <w:r w:rsidR="00B4534D">
        <w:t xml:space="preserve">identifying </w:t>
      </w:r>
      <w:r w:rsidR="006A76B9">
        <w:t xml:space="preserve">network cost pass-through </w:t>
      </w:r>
      <w:r w:rsidR="00BB2728">
        <w:t>as</w:t>
      </w:r>
      <w:r w:rsidR="005E58BC">
        <w:t xml:space="preserve"> an issue in </w:t>
      </w:r>
      <w:r w:rsidR="00BB2728">
        <w:t>need</w:t>
      </w:r>
      <w:r w:rsidR="005E58BC">
        <w:t xml:space="preserve"> of</w:t>
      </w:r>
      <w:r w:rsidR="00BB2728">
        <w:t xml:space="preserve"> </w:t>
      </w:r>
      <w:r w:rsidR="00983883">
        <w:t xml:space="preserve">investigation and </w:t>
      </w:r>
      <w:r w:rsidR="00227199">
        <w:t xml:space="preserve">for </w:t>
      </w:r>
      <w:r w:rsidR="00983883">
        <w:t>making</w:t>
      </w:r>
      <w:r w:rsidR="00BB2728">
        <w:t xml:space="preserve"> </w:t>
      </w:r>
      <w:r w:rsidR="005E58BC">
        <w:t xml:space="preserve">it </w:t>
      </w:r>
      <w:r w:rsidR="00983883" w:rsidRPr="00983883">
        <w:t>a reset principle to review the form of price control</w:t>
      </w:r>
      <w:r w:rsidR="00814A17">
        <w:t>.</w:t>
      </w:r>
      <w:r w:rsidR="009056B5">
        <w:t xml:space="preserve"> </w:t>
      </w:r>
      <w:r w:rsidR="00383E33">
        <w:t xml:space="preserve">We </w:t>
      </w:r>
      <w:r w:rsidR="00145C89">
        <w:t>appreciate</w:t>
      </w:r>
      <w:r w:rsidR="00383E33">
        <w:t xml:space="preserve"> the </w:t>
      </w:r>
      <w:r w:rsidR="00145C89">
        <w:t xml:space="preserve">ICRC’s examination of the </w:t>
      </w:r>
      <w:r w:rsidR="00145C89" w:rsidRPr="00145C89">
        <w:t xml:space="preserve">implications of compositional changes for the ongoing effectiveness of the </w:t>
      </w:r>
      <w:r w:rsidR="006E47E2">
        <w:t xml:space="preserve">retail electricity </w:t>
      </w:r>
      <w:r w:rsidR="00145C89" w:rsidRPr="00145C89">
        <w:t>form of price control</w:t>
      </w:r>
      <w:r w:rsidR="00145C89">
        <w:t xml:space="preserve"> through this review.</w:t>
      </w:r>
    </w:p>
    <w:p w14:paraId="1DBC190B" w14:textId="563183B7" w:rsidR="007B41AB" w:rsidRDefault="009411BD" w:rsidP="00C12F9E">
      <w:pPr>
        <w:pStyle w:val="BodyText"/>
      </w:pPr>
      <w:r>
        <w:t>We appreciate the ICRC</w:t>
      </w:r>
      <w:r w:rsidR="00F2770C">
        <w:t xml:space="preserve">’s </w:t>
      </w:r>
      <w:r w:rsidR="00145C89">
        <w:t>ongoing engagement with ACTCOSS</w:t>
      </w:r>
      <w:r w:rsidR="007C7B1C">
        <w:t xml:space="preserve">. We appreciate the ICRC’s invitation for </w:t>
      </w:r>
      <w:r w:rsidR="00F2770C">
        <w:t>ACTCOSS</w:t>
      </w:r>
      <w:r w:rsidR="00177022">
        <w:t xml:space="preserve"> to make a submission </w:t>
      </w:r>
      <w:r w:rsidR="00BC2390">
        <w:t xml:space="preserve">on the Issues Paper </w:t>
      </w:r>
      <w:r w:rsidR="00177022">
        <w:t>and</w:t>
      </w:r>
      <w:r w:rsidR="00F2770C">
        <w:t xml:space="preserve"> to participate in </w:t>
      </w:r>
      <w:r w:rsidR="006E47E2">
        <w:t>the</w:t>
      </w:r>
      <w:r w:rsidR="00DC7777">
        <w:t xml:space="preserve"> </w:t>
      </w:r>
      <w:r w:rsidR="003B22F3" w:rsidRPr="003B22F3">
        <w:t xml:space="preserve">workshop </w:t>
      </w:r>
      <w:r w:rsidR="00042E22">
        <w:t xml:space="preserve">with stakeholders </w:t>
      </w:r>
      <w:r w:rsidR="003B22F3" w:rsidRPr="003B22F3">
        <w:t>on the form of price control review</w:t>
      </w:r>
      <w:r w:rsidR="00042E22">
        <w:t xml:space="preserve"> held</w:t>
      </w:r>
      <w:r w:rsidR="00DC7777">
        <w:t xml:space="preserve"> on 17 November 2020. </w:t>
      </w:r>
      <w:r w:rsidR="00B70A36">
        <w:t>We would be interested in participating in a second workshop</w:t>
      </w:r>
      <w:r w:rsidR="00727016">
        <w:t xml:space="preserve"> following the release of the draft report.</w:t>
      </w:r>
    </w:p>
    <w:p w14:paraId="6E1A9322" w14:textId="0817B947" w:rsidR="00BC2390" w:rsidRDefault="00BC2390" w:rsidP="00C12F9E">
      <w:pPr>
        <w:pStyle w:val="BodyText"/>
      </w:pPr>
      <w:r>
        <w:t xml:space="preserve">If you would like to discuss anything </w:t>
      </w:r>
      <w:r w:rsidR="00BD5C72">
        <w:t>in relation to this submission please contact Mr Geoff Buchanan, Senior Policy Officer</w:t>
      </w:r>
      <w:r w:rsidR="00E80D72">
        <w:t xml:space="preserve"> (Research and Data)</w:t>
      </w:r>
      <w:r w:rsidR="00EB41C6">
        <w:t xml:space="preserve"> on 02 6202 7222 or via geoff.buchanan@actcoss.org.au. </w:t>
      </w:r>
    </w:p>
    <w:p w14:paraId="0D62BFE0" w14:textId="77777777" w:rsidR="00F579F3" w:rsidRDefault="00F579F3" w:rsidP="00C12F9E">
      <w:pPr>
        <w:pStyle w:val="BodyText"/>
      </w:pPr>
    </w:p>
    <w:p w14:paraId="66EDCE4F" w14:textId="39B91B8D" w:rsidR="00E0423E" w:rsidRDefault="00E0423E" w:rsidP="00C12F9E">
      <w:pPr>
        <w:pStyle w:val="BodyText"/>
      </w:pPr>
      <w:r>
        <w:lastRenderedPageBreak/>
        <w:t>Yours sincerely</w:t>
      </w:r>
    </w:p>
    <w:p w14:paraId="2A935A8C" w14:textId="759BFAB2" w:rsidR="00177022" w:rsidRDefault="000C0563" w:rsidP="00C12F9E">
      <w:pPr>
        <w:pStyle w:val="BodyText"/>
      </w:pPr>
      <w:bookmarkStart w:id="3" w:name="Text9"/>
      <w:r>
        <w:rPr>
          <w:noProof/>
        </w:rPr>
        <w:drawing>
          <wp:inline distT="0" distB="0" distL="0" distR="0" wp14:anchorId="77BE3A46" wp14:editId="40D37B67">
            <wp:extent cx="1085850" cy="433746"/>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110784" cy="443706"/>
                    </a:xfrm>
                    <a:prstGeom prst="rect">
                      <a:avLst/>
                    </a:prstGeom>
                  </pic:spPr>
                </pic:pic>
              </a:graphicData>
            </a:graphic>
          </wp:inline>
        </w:drawing>
      </w:r>
      <w:bookmarkStart w:id="4" w:name="Text10"/>
      <w:bookmarkEnd w:id="3"/>
      <w:r w:rsidR="00C12F9E">
        <w:br/>
      </w:r>
      <w:bookmarkEnd w:id="4"/>
      <w:r w:rsidR="00177022">
        <w:t>Dr Emma Campbell</w:t>
      </w:r>
      <w:r w:rsidR="00177022">
        <w:br/>
        <w:t>CEO</w:t>
      </w:r>
    </w:p>
    <w:p w14:paraId="66EDCE52" w14:textId="48DF35BE" w:rsidR="00E0423E" w:rsidRDefault="00E0423E" w:rsidP="00C12F9E">
      <w:pPr>
        <w:pStyle w:val="BodyText"/>
      </w:pPr>
      <w:r>
        <w:t xml:space="preserve">Email: </w:t>
      </w:r>
      <w:r w:rsidR="00177022">
        <w:t>ceo@actcoss.org.au</w:t>
      </w:r>
    </w:p>
    <w:p w14:paraId="66EDCE54" w14:textId="6D02A9F2" w:rsidR="00097C11" w:rsidRPr="00D14762" w:rsidRDefault="00D55B7F" w:rsidP="00C12F9E">
      <w:pPr>
        <w:pStyle w:val="BodyText"/>
      </w:pPr>
      <w:r>
        <w:t>1</w:t>
      </w:r>
      <w:r w:rsidR="007C7B1C">
        <w:t>5</w:t>
      </w:r>
      <w:r w:rsidR="00177022">
        <w:t xml:space="preserve"> December 2020</w:t>
      </w:r>
    </w:p>
    <w:sectPr w:rsidR="00097C11" w:rsidRPr="00D14762" w:rsidSect="003C6B4E">
      <w:footerReference w:type="even" r:id="rId18"/>
      <w:footerReference w:type="default" r:id="rId19"/>
      <w:pgSz w:w="11906" w:h="16838" w:code="9"/>
      <w:pgMar w:top="2835" w:right="1701" w:bottom="1418" w:left="3119" w:header="709" w:footer="709" w:gutter="0"/>
      <w:cols w:space="708"/>
      <w:titlePg/>
      <w:docGrid w:linePitch="360"/>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Manifest>
    <wne:toolbarData r:id="rId1"/>
  </wne:toolbars>
  <wne:acds>
    <wne:acd wne:argValue="AQAAAEIA" wne:acdName="acd0" wne:fciIndexBasedOn="0065"/>
    <wne:acd wne:argValue="AQAAAFQA" wne:acdName="acd1" wne:fciIndexBasedOn="0065"/>
    <wne:acd wne:argValue="AgBCAG8AbABkAA==" wne:acdName="acd2" wne:fciIndexBasedOn="0065"/>
    <wne:acd wne:argValue="AQAAAAEA" wne:acdName="acd3" wne:fciIndexBasedOn="0065"/>
    <wne:acd wne:argValue="AgBIAGUAYQBkAGkAbgBnACAAMQAtAFAAYQBnAGUAYgByAGUAYQBrACAAYgBlAGYAbwByAGUA" wne:acdName="acd4" wne:fciIndexBasedOn="0065"/>
    <wne:acd wne:argValue="AQAAAAIA" wne:acdName="acd5" wne:fciIndexBasedOn="0065"/>
    <wne:acd wne:argValue="AQAAAAMA" wne:acdName="acd6" wne:fciIndexBasedOn="0065"/>
    <wne:acd wne:argValue="AgBJAHQAYQBsAGkAYwA=" wne:acdName="acd7" wne:fciIndexBasedOn="0065"/>
    <wne:acd wne:argValue="AQAAADAA" wne:acdName="acd8" wne:fciIndexBasedOn="0065"/>
    <wne:acd wne:argValue="AQAAADEA" wne:acdName="acd9" wne:fciIndexBasedOn="0065"/>
    <wne:acd wne:argValue="AQAAAJoA" wne:acdName="acd10" wne:fciIndexBasedOn="0065"/>
    <wne:acd wne:argValue="AgBSAGUAYwBvAG0AbQBlAG4AZABhAHQAaQBvAG4AcwAgAEIAbwB4AA==" wne:acdName="acd11" wne:fciIndexBasedOn="0065"/>
    <wne:acd wne:argValue="AgBSAGUAYwBvAG0AbQBlAG4AZABhAHQAaQBvAG4AcwAgAGgAZQBhAGQAaQBuAGcA" wne:acdName="acd12" wne:fciIndexBasedOn="0065"/>
    <wne:acd wne:argValue="AgBUAGEAYgBsAGUAIABCAG8AZAB5AA==" wne:acdName="acd13" wne:fciIndexBasedOn="0065"/>
    <wne:acd wne:argValue="AgBUAGEAYgBsAGUAIABoAGUAYQBkAGkAbgBnAA==" wne:acdName="acd14"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1B07DD" w14:textId="77777777" w:rsidR="007A0B3A" w:rsidRDefault="007A0B3A">
      <w:r>
        <w:separator/>
      </w:r>
    </w:p>
  </w:endnote>
  <w:endnote w:type="continuationSeparator" w:id="0">
    <w:p w14:paraId="1DD8ECBE" w14:textId="77777777" w:rsidR="007A0B3A" w:rsidRDefault="007A0B3A">
      <w:r>
        <w:continuationSeparator/>
      </w:r>
    </w:p>
  </w:endnote>
  <w:endnote w:type="continuationNotice" w:id="1">
    <w:p w14:paraId="76A3811D" w14:textId="77777777" w:rsidR="00A773F7" w:rsidRDefault="00A773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badi MT Condensed Light">
    <w:altName w:val="Arial Narrow"/>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EDCE5B" w14:textId="77777777" w:rsidR="00D14762" w:rsidRDefault="00D14762" w:rsidP="000355E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6EDCE5C" w14:textId="77777777" w:rsidR="00D14762" w:rsidRDefault="00D147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EDCE5D" w14:textId="77777777" w:rsidR="00D14762" w:rsidRDefault="00D14762" w:rsidP="000355E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97C11">
      <w:rPr>
        <w:rStyle w:val="PageNumber"/>
        <w:noProof/>
      </w:rPr>
      <w:t>2</w:t>
    </w:r>
    <w:r>
      <w:rPr>
        <w:rStyle w:val="PageNumber"/>
      </w:rPr>
      <w:fldChar w:fldCharType="end"/>
    </w:r>
  </w:p>
  <w:p w14:paraId="66EDCE5E" w14:textId="77777777" w:rsidR="00D14762" w:rsidRDefault="00D147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1BB467" w14:textId="77777777" w:rsidR="007A0B3A" w:rsidRDefault="007A0B3A">
      <w:r>
        <w:separator/>
      </w:r>
    </w:p>
  </w:footnote>
  <w:footnote w:type="continuationSeparator" w:id="0">
    <w:p w14:paraId="702A93E0" w14:textId="77777777" w:rsidR="007A0B3A" w:rsidRDefault="007A0B3A">
      <w:r>
        <w:continuationSeparator/>
      </w:r>
    </w:p>
  </w:footnote>
  <w:footnote w:type="continuationNotice" w:id="1">
    <w:p w14:paraId="20E2F079" w14:textId="77777777" w:rsidR="00A773F7" w:rsidRDefault="00A773F7"/>
  </w:footnote>
  <w:footnote w:id="2">
    <w:p w14:paraId="63359AEB" w14:textId="3FD9D811" w:rsidR="00D96ADF" w:rsidRDefault="00D96ADF">
      <w:pPr>
        <w:pStyle w:val="FootnoteText"/>
      </w:pPr>
      <w:r>
        <w:rPr>
          <w:rStyle w:val="FootnoteReference"/>
        </w:rPr>
        <w:footnoteRef/>
      </w:r>
      <w:r>
        <w:t xml:space="preserve"> ICRC, </w:t>
      </w:r>
      <w:r w:rsidR="00A03AC1" w:rsidRPr="00AF1224">
        <w:rPr>
          <w:i/>
          <w:iCs/>
        </w:rPr>
        <w:t>Issues paper: review of the retail electricity form of price control</w:t>
      </w:r>
      <w:r w:rsidR="0068477A">
        <w:t xml:space="preserve">, Report 13 of 2020, ICRC, Canberra, 2020, p. </w:t>
      </w:r>
      <w:r w:rsidR="00426DEE">
        <w:t>13, &lt;</w:t>
      </w:r>
      <w:hyperlink r:id="rId1" w:history="1">
        <w:r w:rsidR="00AF1224" w:rsidRPr="00FE54B2">
          <w:rPr>
            <w:rStyle w:val="Hyperlink"/>
          </w:rPr>
          <w:t>https://www.icrc.act.gov.au/energy/review-of-the-form-of-electricity-price-control</w:t>
        </w:r>
      </w:hyperlink>
      <w:r w:rsidR="00AF1224">
        <w:t xml:space="preserve">&gt;. </w:t>
      </w:r>
    </w:p>
  </w:footnote>
  <w:footnote w:id="3">
    <w:p w14:paraId="68AC2B10" w14:textId="58A625E5" w:rsidR="00AF1224" w:rsidRDefault="00AF1224">
      <w:pPr>
        <w:pStyle w:val="FootnoteText"/>
      </w:pPr>
      <w:r>
        <w:rPr>
          <w:rStyle w:val="FootnoteReference"/>
        </w:rPr>
        <w:footnoteRef/>
      </w:r>
      <w:r>
        <w:t xml:space="preserve"> </w:t>
      </w:r>
      <w:r w:rsidR="00863C86">
        <w:t>i</w:t>
      </w:r>
      <w:r>
        <w:t>bid.</w:t>
      </w:r>
    </w:p>
  </w:footnote>
  <w:footnote w:id="4">
    <w:p w14:paraId="440308A0" w14:textId="6A8100AE" w:rsidR="00E92CFC" w:rsidRDefault="00E92CFC">
      <w:pPr>
        <w:pStyle w:val="FootnoteText"/>
      </w:pPr>
      <w:r>
        <w:rPr>
          <w:rStyle w:val="FootnoteReference"/>
        </w:rPr>
        <w:footnoteRef/>
      </w:r>
      <w:r>
        <w:t xml:space="preserve"> ICRC, </w:t>
      </w:r>
      <w:r w:rsidRPr="002131C8">
        <w:rPr>
          <w:i/>
          <w:iCs/>
        </w:rPr>
        <w:t xml:space="preserve">Background paper: </w:t>
      </w:r>
      <w:r w:rsidR="00A05D93" w:rsidRPr="002131C8">
        <w:rPr>
          <w:i/>
          <w:iCs/>
        </w:rPr>
        <w:t>developments in the electricity market</w:t>
      </w:r>
      <w:r w:rsidR="00A05D93">
        <w:t>, Report 14 of 2020, ICRC, Canberra, 2020, &lt;</w:t>
      </w:r>
      <w:hyperlink r:id="rId2" w:history="1">
        <w:r w:rsidR="002131C8" w:rsidRPr="00FE54B2">
          <w:rPr>
            <w:rStyle w:val="Hyperlink"/>
          </w:rPr>
          <w:t>https://www.icrc.act.gov.au/energy/review-of-the-form-of-electricity-price-control</w:t>
        </w:r>
      </w:hyperlink>
      <w:r w:rsidR="002131C8">
        <w:t xml:space="preserve">&gt;. </w:t>
      </w:r>
    </w:p>
  </w:footnote>
  <w:footnote w:id="5">
    <w:p w14:paraId="28229BC8" w14:textId="77777777" w:rsidR="001A79CB" w:rsidRDefault="001A79CB" w:rsidP="001A79CB">
      <w:pPr>
        <w:pStyle w:val="FootnoteText"/>
      </w:pPr>
      <w:r>
        <w:rPr>
          <w:rStyle w:val="FootnoteReference"/>
        </w:rPr>
        <w:footnoteRef/>
      </w:r>
      <w:r>
        <w:t xml:space="preserve"> ACOSS, </w:t>
      </w:r>
      <w:r w:rsidRPr="00F2121F">
        <w:rPr>
          <w:i/>
          <w:iCs/>
        </w:rPr>
        <w:t>Joint submission: ESB post-2025 market design consultation paper</w:t>
      </w:r>
      <w:r>
        <w:t>, ACOSS, Sydney, 2020, p. 31 &lt;</w:t>
      </w:r>
      <w:hyperlink r:id="rId3" w:history="1">
        <w:r w:rsidRPr="00C30FCF">
          <w:rPr>
            <w:rStyle w:val="Hyperlink"/>
          </w:rPr>
          <w:t>https://www.acoss.org.au/wp-content/uploads/2020/11/Joint-ACOSS-submission-to-ESB-post-2025-market-design-Final-26102020.pdf</w:t>
        </w:r>
      </w:hyperlink>
      <w:r>
        <w:t xml:space="preserve">&gt;. </w:t>
      </w:r>
    </w:p>
  </w:footnote>
  <w:footnote w:id="6">
    <w:p w14:paraId="33325ECD" w14:textId="6B8D7F04" w:rsidR="00B55BCC" w:rsidRDefault="00B55BCC">
      <w:pPr>
        <w:pStyle w:val="FootnoteText"/>
      </w:pPr>
      <w:r>
        <w:rPr>
          <w:rStyle w:val="FootnoteReference"/>
        </w:rPr>
        <w:footnoteRef/>
      </w:r>
      <w:r>
        <w:t xml:space="preserve"> ESB, </w:t>
      </w:r>
      <w:r w:rsidR="00E97DB3">
        <w:t xml:space="preserve">Post-2025 Electricity Market Design Project website, </w:t>
      </w:r>
      <w:r w:rsidR="00431DFB">
        <w:t>Two-sided markets, 2020, &lt;</w:t>
      </w:r>
      <w:hyperlink r:id="rId4" w:anchor="message5" w:history="1">
        <w:r w:rsidR="00431DFB" w:rsidRPr="00FE54B2">
          <w:rPr>
            <w:rStyle w:val="Hyperlink"/>
          </w:rPr>
          <w:t>https://esb-post2025-market-design.aemc.gov.au/#message5</w:t>
        </w:r>
      </w:hyperlink>
      <w:r w:rsidR="00431DFB">
        <w:t xml:space="preserve">&gt;. </w:t>
      </w:r>
    </w:p>
  </w:footnote>
  <w:footnote w:id="7">
    <w:p w14:paraId="04D955D3" w14:textId="77777777" w:rsidR="000A593A" w:rsidRDefault="000A593A" w:rsidP="000A593A">
      <w:pPr>
        <w:pStyle w:val="FootnoteText"/>
      </w:pPr>
      <w:r>
        <w:rPr>
          <w:rStyle w:val="FootnoteReference"/>
        </w:rPr>
        <w:footnoteRef/>
      </w:r>
      <w:r>
        <w:t xml:space="preserve"> </w:t>
      </w:r>
      <w:r w:rsidRPr="00E872FE">
        <w:t xml:space="preserve">ICRC, </w:t>
      </w:r>
      <w:r w:rsidRPr="00E872FE">
        <w:rPr>
          <w:i/>
          <w:iCs/>
        </w:rPr>
        <w:t>Retail electricity price investigation 2020-24, Final Report</w:t>
      </w:r>
      <w:r w:rsidRPr="00E872FE">
        <w:t>, Report 9 of 2020, ICRC, Canberra, June 2020, &lt;https://www.icrc.act.gov.au/energy/electricity/retail-electricity-prices-2020-24&gt;.</w:t>
      </w:r>
    </w:p>
  </w:footnote>
  <w:footnote w:id="8">
    <w:p w14:paraId="4D8E7A19" w14:textId="61C0EF09" w:rsidR="003C29DD" w:rsidRDefault="003C29DD">
      <w:pPr>
        <w:pStyle w:val="FootnoteText"/>
      </w:pPr>
      <w:r>
        <w:rPr>
          <w:rStyle w:val="FootnoteReference"/>
        </w:rPr>
        <w:footnoteRef/>
      </w:r>
      <w:r>
        <w:t xml:space="preserve"> </w:t>
      </w:r>
      <w:r w:rsidR="00142DB9">
        <w:t xml:space="preserve">ACT Government, </w:t>
      </w:r>
      <w:r w:rsidR="00142DB9" w:rsidRPr="007D017A">
        <w:rPr>
          <w:i/>
          <w:iCs/>
        </w:rPr>
        <w:t>Parliamentary and Governing Agreement, 10</w:t>
      </w:r>
      <w:r w:rsidR="00142DB9" w:rsidRPr="007D017A">
        <w:rPr>
          <w:i/>
          <w:iCs/>
          <w:vertAlign w:val="superscript"/>
        </w:rPr>
        <w:t>th</w:t>
      </w:r>
      <w:r w:rsidR="00142DB9" w:rsidRPr="007D017A">
        <w:rPr>
          <w:i/>
          <w:iCs/>
        </w:rPr>
        <w:t xml:space="preserve"> Legislative Assembly, Australian Capital Territory</w:t>
      </w:r>
      <w:r w:rsidR="00142DB9">
        <w:t>, ACT Government, Canberra, 2020, &lt;</w:t>
      </w:r>
      <w:r w:rsidR="007D017A" w:rsidRPr="007D017A">
        <w:t xml:space="preserve"> </w:t>
      </w:r>
      <w:hyperlink r:id="rId5" w:history="1">
        <w:r w:rsidR="007D017A" w:rsidRPr="001A7C54">
          <w:rPr>
            <w:rStyle w:val="Hyperlink"/>
          </w:rPr>
          <w:t>https://www.cmtedd.act.gov.au/__data/assets/pdf_file/0003/1654077/Parliamentary-Agreement-for-the-10th-Legislative-Assembly.pdf</w:t>
        </w:r>
      </w:hyperlink>
      <w:r w:rsidR="007D017A">
        <w:t xml:space="preserve">&gt;. </w:t>
      </w:r>
    </w:p>
  </w:footnote>
  <w:footnote w:id="9">
    <w:p w14:paraId="1494E17D" w14:textId="668A288A" w:rsidR="00D430E9" w:rsidRDefault="00D430E9">
      <w:pPr>
        <w:pStyle w:val="FootnoteText"/>
      </w:pPr>
      <w:r>
        <w:rPr>
          <w:rStyle w:val="FootnoteReference"/>
        </w:rPr>
        <w:footnoteRef/>
      </w:r>
      <w:r>
        <w:t xml:space="preserve"> AER, </w:t>
      </w:r>
      <w:r w:rsidR="009F589F" w:rsidRPr="00362D2A">
        <w:rPr>
          <w:i/>
          <w:iCs/>
        </w:rPr>
        <w:t>Annual retail market report 2019-20</w:t>
      </w:r>
      <w:r w:rsidR="009F589F">
        <w:t xml:space="preserve">, AER, </w:t>
      </w:r>
      <w:r w:rsidR="00B8100F">
        <w:t>Melbourne, 2020, p. 31, &lt;</w:t>
      </w:r>
      <w:hyperlink r:id="rId6" w:history="1">
        <w:r w:rsidR="00362D2A" w:rsidRPr="00CF656D">
          <w:rPr>
            <w:rStyle w:val="Hyperlink"/>
          </w:rPr>
          <w:t>https://www.aer.gov.au/retail-markets/performance-reporting/annual-retail-markets-report-2019–20</w:t>
        </w:r>
      </w:hyperlink>
      <w:r w:rsidR="00362D2A">
        <w:t xml:space="preserve">&gt;. </w:t>
      </w:r>
    </w:p>
  </w:footnote>
  <w:footnote w:id="10">
    <w:p w14:paraId="5B44A912" w14:textId="67B8FD23" w:rsidR="00943654" w:rsidRDefault="00943654">
      <w:pPr>
        <w:pStyle w:val="FootnoteText"/>
      </w:pPr>
      <w:r>
        <w:rPr>
          <w:rStyle w:val="FootnoteReference"/>
        </w:rPr>
        <w:footnoteRef/>
      </w:r>
      <w:r>
        <w:t xml:space="preserve"> </w:t>
      </w:r>
      <w:r w:rsidR="00DC3637" w:rsidRPr="00DC3637">
        <w:t xml:space="preserve">AER, </w:t>
      </w:r>
      <w:r w:rsidR="00DC3637" w:rsidRPr="00CA112A">
        <w:rPr>
          <w:i/>
          <w:iCs/>
        </w:rPr>
        <w:t>Retail energy market performance update for Quarter 4, 2019–20</w:t>
      </w:r>
      <w:r w:rsidR="00DC3637" w:rsidRPr="00DC3637">
        <w:t>, Schedule 2 – Q4 2019-20 Retail Performance Data, AER, Melbourne, 2020, Quarterly indicators s2.</w:t>
      </w:r>
      <w:r w:rsidR="009512C2">
        <w:t>1</w:t>
      </w:r>
      <w:r w:rsidR="00E25CDE">
        <w:t>.ai &amp;s.2..ai, S2.6 Res Elec Cust#s &amp;</w:t>
      </w:r>
      <w:r w:rsidR="00CA112A">
        <w:t xml:space="preserve"> Mkt Contr</w:t>
      </w:r>
      <w:r w:rsidR="00DC3637" w:rsidRPr="00DC3637">
        <w:t>, &lt;</w:t>
      </w:r>
      <w:hyperlink r:id="rId7" w:history="1">
        <w:r w:rsidR="00CA112A" w:rsidRPr="00FE54B2">
          <w:rPr>
            <w:rStyle w:val="Hyperlink"/>
          </w:rPr>
          <w:t>https://www.aer.gov.au/retail-markets/performance-reporting/retail-energy-market-performance-update-for-quarter-4-2019–20</w:t>
        </w:r>
      </w:hyperlink>
      <w:r w:rsidR="00DC3637" w:rsidRPr="00DC3637">
        <w:t>&gt;.</w:t>
      </w:r>
    </w:p>
  </w:footnote>
  <w:footnote w:id="11">
    <w:p w14:paraId="1DC5795D" w14:textId="6510C738" w:rsidR="00714187" w:rsidRDefault="00714187">
      <w:pPr>
        <w:pStyle w:val="FootnoteText"/>
      </w:pPr>
      <w:r>
        <w:rPr>
          <w:rStyle w:val="FootnoteReference"/>
        </w:rPr>
        <w:footnoteRef/>
      </w:r>
      <w:r>
        <w:t xml:space="preserve"> ibid.</w:t>
      </w:r>
    </w:p>
  </w:footnote>
  <w:footnote w:id="12">
    <w:p w14:paraId="5E7B5431" w14:textId="77777777" w:rsidR="00DF72D7" w:rsidRDefault="00DF72D7" w:rsidP="00DF72D7">
      <w:pPr>
        <w:pStyle w:val="FootnoteText"/>
      </w:pPr>
      <w:r>
        <w:rPr>
          <w:rStyle w:val="FootnoteReference"/>
        </w:rPr>
        <w:footnoteRef/>
      </w:r>
      <w:r>
        <w:t xml:space="preserve"> ICRC, </w:t>
      </w:r>
      <w:r w:rsidRPr="005B2E8B">
        <w:rPr>
          <w:i/>
          <w:iCs/>
        </w:rPr>
        <w:t>Issues Paper</w:t>
      </w:r>
      <w:r>
        <w:t>, op. cit., p. 13.</w:t>
      </w:r>
    </w:p>
  </w:footnote>
  <w:footnote w:id="13">
    <w:p w14:paraId="26D6047B" w14:textId="77777777" w:rsidR="00DF72D7" w:rsidRDefault="00DF72D7" w:rsidP="00DF72D7">
      <w:pPr>
        <w:pStyle w:val="FootnoteText"/>
      </w:pPr>
      <w:r>
        <w:rPr>
          <w:rStyle w:val="FootnoteReference"/>
        </w:rPr>
        <w:footnoteRef/>
      </w:r>
      <w:r>
        <w:t xml:space="preserve"> ibid, p. 15.</w:t>
      </w:r>
    </w:p>
  </w:footnote>
  <w:footnote w:id="14">
    <w:p w14:paraId="446B3D82" w14:textId="6AD7CAD6" w:rsidR="0012003C" w:rsidRDefault="0012003C">
      <w:pPr>
        <w:pStyle w:val="FootnoteText"/>
      </w:pPr>
      <w:r>
        <w:rPr>
          <w:rStyle w:val="FootnoteReference"/>
        </w:rPr>
        <w:footnoteRef/>
      </w:r>
      <w:r>
        <w:t xml:space="preserve"> </w:t>
      </w:r>
      <w:r w:rsidRPr="0012003C">
        <w:t xml:space="preserve">ICRC, </w:t>
      </w:r>
      <w:r w:rsidRPr="0012003C">
        <w:rPr>
          <w:i/>
          <w:iCs/>
        </w:rPr>
        <w:t>Retail electricity price investigation 2020-24</w:t>
      </w:r>
      <w:r w:rsidRPr="0012003C">
        <w:t xml:space="preserve">, Final Report, Report 9 of 2020, ICRC, Canberra, June 2020, p. </w:t>
      </w:r>
      <w:r w:rsidR="00C31158">
        <w:t>101</w:t>
      </w:r>
      <w:r w:rsidRPr="0012003C">
        <w:t>, &lt;https://www.icrc.act.gov.au/energy/electricity/retail-electricity-prices-2020-24&gt;.</w:t>
      </w:r>
    </w:p>
  </w:footnote>
  <w:footnote w:id="15">
    <w:p w14:paraId="2CBB8BB9" w14:textId="6A56AD7D" w:rsidR="0002335A" w:rsidRDefault="0002335A" w:rsidP="007A42F2">
      <w:pPr>
        <w:pStyle w:val="FootnoteText"/>
      </w:pPr>
      <w:r>
        <w:rPr>
          <w:rStyle w:val="FootnoteReference"/>
        </w:rPr>
        <w:footnoteRef/>
      </w:r>
      <w:r>
        <w:t xml:space="preserve"> ACT Energised Consumers Project Partners, </w:t>
      </w:r>
      <w:r w:rsidRPr="003D7758">
        <w:rPr>
          <w:i/>
          <w:iCs/>
        </w:rPr>
        <w:t xml:space="preserve">Submission: </w:t>
      </w:r>
      <w:r w:rsidR="007A42F2" w:rsidRPr="003D7758">
        <w:rPr>
          <w:i/>
          <w:iCs/>
        </w:rPr>
        <w:t>ICRC Retail Electricity Price Investigation 2020-24 Draft Report</w:t>
      </w:r>
      <w:r w:rsidR="007A42F2">
        <w:t xml:space="preserve">, ACTCOSS, Canberra, </w:t>
      </w:r>
      <w:r w:rsidR="003D7758">
        <w:t>2020, &lt;</w:t>
      </w:r>
      <w:hyperlink r:id="rId8" w:history="1">
        <w:r w:rsidR="003D7758" w:rsidRPr="00FE54B2">
          <w:rPr>
            <w:rStyle w:val="Hyperlink"/>
          </w:rPr>
          <w:t>https://www.actcoss.org.au/publications/advocacy-publications/submission-icrc-retail-electricity-price-investigation-2020-24</w:t>
        </w:r>
      </w:hyperlink>
      <w:r w:rsidR="003D7758">
        <w:t xml:space="preserve">&gt;. </w:t>
      </w:r>
    </w:p>
  </w:footnote>
  <w:footnote w:id="16">
    <w:p w14:paraId="1F1A2034" w14:textId="3E79633F" w:rsidR="00F90592" w:rsidRDefault="00F90592">
      <w:pPr>
        <w:pStyle w:val="FootnoteText"/>
      </w:pPr>
      <w:r>
        <w:rPr>
          <w:rStyle w:val="FootnoteReference"/>
        </w:rPr>
        <w:footnoteRef/>
      </w:r>
      <w:r>
        <w:t xml:space="preserve"> </w:t>
      </w:r>
      <w:r w:rsidRPr="00F90592">
        <w:t xml:space="preserve">With a single rate </w:t>
      </w:r>
      <w:r w:rsidR="00197F81">
        <w:t xml:space="preserve">(or flat rate) </w:t>
      </w:r>
      <w:r w:rsidRPr="00F90592">
        <w:t>tariff plan there are no peak or off-peak periods. This means that you pay the same rate whatever time of the day you use energy.</w:t>
      </w:r>
      <w:r w:rsidR="00C17188">
        <w:t xml:space="preserve"> </w:t>
      </w:r>
      <w:r w:rsidR="00C17188" w:rsidRPr="00C17188">
        <w:t>The rate is usually lower than the peak rates of a time-of-use tariff</w:t>
      </w:r>
      <w:r w:rsidR="00C17188">
        <w:t>. &lt;</w:t>
      </w:r>
      <w:hyperlink r:id="rId9" w:history="1">
        <w:r w:rsidR="00C17188" w:rsidRPr="00C30FCF">
          <w:rPr>
            <w:rStyle w:val="Hyperlink"/>
          </w:rPr>
          <w:t>https://www.energymadeeasy.gov.au/article/electricity-tariffs</w:t>
        </w:r>
      </w:hyperlink>
      <w:r w:rsidR="00C17188">
        <w:t xml:space="preserve">&gt;. </w:t>
      </w:r>
    </w:p>
  </w:footnote>
  <w:footnote w:id="17">
    <w:p w14:paraId="2D8881A9" w14:textId="347A0B1F" w:rsidR="000F4C12" w:rsidRDefault="000F4C12">
      <w:pPr>
        <w:pStyle w:val="FootnoteText"/>
      </w:pPr>
      <w:r>
        <w:rPr>
          <w:rStyle w:val="FootnoteReference"/>
        </w:rPr>
        <w:footnoteRef/>
      </w:r>
      <w:r>
        <w:t xml:space="preserve"> </w:t>
      </w:r>
      <w:r w:rsidR="00681C18" w:rsidRPr="00681C18">
        <w:t>A time-of-use tariff means that the price of electricity changes at different times of the day. The types of rates available are:</w:t>
      </w:r>
      <w:r w:rsidR="005B3684">
        <w:t xml:space="preserve"> </w:t>
      </w:r>
      <w:r w:rsidR="005B3684" w:rsidRPr="005B3684">
        <w:t>Peak – this is when electricity costs the most. Peak rates usually apply in the evenings from Monday to Friday</w:t>
      </w:r>
      <w:r w:rsidR="005B3684">
        <w:t xml:space="preserve">; </w:t>
      </w:r>
      <w:r w:rsidR="005B3684" w:rsidRPr="005B3684">
        <w:t>Off-peak – this is when electricity is cheapest. Off-peak rates usually apply overnight and on Saturday and Sunday</w:t>
      </w:r>
      <w:r w:rsidR="005B3684">
        <w:t xml:space="preserve">; </w:t>
      </w:r>
      <w:r w:rsidR="0025476E" w:rsidRPr="0025476E">
        <w:t>Shoulder – this is when electricity costs a bit less than peak. Shoulder rates usually apply in-between peak and off-peak periods</w:t>
      </w:r>
      <w:r w:rsidR="00271ED8">
        <w:t xml:space="preserve">. </w:t>
      </w:r>
      <w:r w:rsidR="0025476E">
        <w:t>&lt;</w:t>
      </w:r>
      <w:hyperlink r:id="rId10" w:history="1">
        <w:r w:rsidR="00D7624D" w:rsidRPr="00C30FCF">
          <w:rPr>
            <w:rStyle w:val="Hyperlink"/>
          </w:rPr>
          <w:t>https://www.energymadeeasy.gov.au/article/electricity-tariffs</w:t>
        </w:r>
      </w:hyperlink>
      <w:r w:rsidR="00D7624D">
        <w:t xml:space="preserve">&gt;. </w:t>
      </w:r>
    </w:p>
  </w:footnote>
  <w:footnote w:id="18">
    <w:p w14:paraId="1622CE81" w14:textId="332AE964" w:rsidR="008405BA" w:rsidRDefault="008405BA">
      <w:pPr>
        <w:pStyle w:val="FootnoteText"/>
      </w:pPr>
      <w:r>
        <w:rPr>
          <w:rStyle w:val="FootnoteReference"/>
        </w:rPr>
        <w:footnoteRef/>
      </w:r>
      <w:r>
        <w:t xml:space="preserve"> </w:t>
      </w:r>
      <w:r w:rsidRPr="008405BA">
        <w:t>Plans with demand charges will have the usual usage and supply charges, but will have demand charges added on top.</w:t>
      </w:r>
      <w:r>
        <w:t xml:space="preserve"> </w:t>
      </w:r>
      <w:r w:rsidR="00E9717E" w:rsidRPr="00E9717E">
        <w:t>Instead of measuring your usage over time, demand (measured in kilowatts or kW) is a measure of how intensely you use electricity at a point in time. Therefore, your demand will be high when you have many appliances on at the same time. Different retailers have different ways of applying demand charges</w:t>
      </w:r>
      <w:r w:rsidR="00E9717E">
        <w:t>. &lt;</w:t>
      </w:r>
      <w:hyperlink r:id="rId11" w:history="1">
        <w:r w:rsidR="00271ED8" w:rsidRPr="00C30FCF">
          <w:rPr>
            <w:rStyle w:val="Hyperlink"/>
          </w:rPr>
          <w:t>https://www.energymadeeasy.gov.au/article/electricity-tariffs</w:t>
        </w:r>
      </w:hyperlink>
      <w:r w:rsidR="00271ED8">
        <w:t xml:space="preserve">&gt;. </w:t>
      </w:r>
    </w:p>
  </w:footnote>
  <w:footnote w:id="19">
    <w:p w14:paraId="2C57DCBE" w14:textId="00A4A2F7" w:rsidR="00CC0370" w:rsidRDefault="00CC0370">
      <w:pPr>
        <w:pStyle w:val="FootnoteText"/>
      </w:pPr>
      <w:r>
        <w:rPr>
          <w:rStyle w:val="FootnoteReference"/>
        </w:rPr>
        <w:footnoteRef/>
      </w:r>
      <w:r>
        <w:t xml:space="preserve"> </w:t>
      </w:r>
      <w:r w:rsidR="00DF0D05">
        <w:t xml:space="preserve">Australian Energy Market Operator (AEMO), </w:t>
      </w:r>
      <w:r w:rsidR="00DF0D05" w:rsidRPr="00F4450A">
        <w:rPr>
          <w:i/>
          <w:iCs/>
        </w:rPr>
        <w:t>Power of Choice</w:t>
      </w:r>
      <w:r w:rsidR="00DF0D05">
        <w:t xml:space="preserve"> website, </w:t>
      </w:r>
      <w:r w:rsidR="00E644C6">
        <w:t>2020, &lt;</w:t>
      </w:r>
      <w:r w:rsidR="00E644C6" w:rsidRPr="00E644C6">
        <w:t xml:space="preserve"> </w:t>
      </w:r>
      <w:hyperlink r:id="rId12" w:history="1">
        <w:r w:rsidR="00E644C6" w:rsidRPr="001A7C54">
          <w:rPr>
            <w:rStyle w:val="Hyperlink"/>
          </w:rPr>
          <w:t>https://aemo.com.au/en/initiatives/major-programs/past-major-programs/nem-power-of-choice</w:t>
        </w:r>
      </w:hyperlink>
      <w:r w:rsidR="00E644C6">
        <w:t xml:space="preserve">&gt;. </w:t>
      </w:r>
    </w:p>
  </w:footnote>
  <w:footnote w:id="20">
    <w:p w14:paraId="07E1F1EB" w14:textId="5F7D76F7" w:rsidR="00E622E6" w:rsidRDefault="00E622E6">
      <w:pPr>
        <w:pStyle w:val="FootnoteText"/>
      </w:pPr>
      <w:r>
        <w:rPr>
          <w:rStyle w:val="FootnoteReference"/>
        </w:rPr>
        <w:footnoteRef/>
      </w:r>
      <w:r>
        <w:t xml:space="preserve"> A</w:t>
      </w:r>
      <w:r w:rsidR="00F71950">
        <w:t xml:space="preserve">ER, </w:t>
      </w:r>
      <w:r w:rsidR="00F71950" w:rsidRPr="00586C60">
        <w:rPr>
          <w:i/>
          <w:iCs/>
        </w:rPr>
        <w:t>Retail energy market performance update for Quarter 4, 2019–20</w:t>
      </w:r>
      <w:r w:rsidR="00F71950" w:rsidRPr="00F71950">
        <w:t>, Schedule 2 – Q4 2019-20 Retail Performance Data, AER, Melbourne, 2020, Quarterly indicators s2.</w:t>
      </w:r>
      <w:r w:rsidR="00F71950">
        <w:t>7 Meter installation, &lt;</w:t>
      </w:r>
      <w:hyperlink r:id="rId13" w:history="1">
        <w:r w:rsidR="00586C60" w:rsidRPr="00FE54B2">
          <w:rPr>
            <w:rStyle w:val="Hyperlink"/>
          </w:rPr>
          <w:t>https://www.aer.gov.au/retail-markets/performance-reporting/retail-energy-market-performance-update-for-quarter-4-2019–20</w:t>
        </w:r>
      </w:hyperlink>
      <w:r w:rsidR="00586C60">
        <w:t xml:space="preserve">&gt;. </w:t>
      </w:r>
    </w:p>
  </w:footnote>
  <w:footnote w:id="21">
    <w:p w14:paraId="080A7E8F" w14:textId="77777777" w:rsidR="0051584D" w:rsidRDefault="0051584D" w:rsidP="0051584D">
      <w:pPr>
        <w:pStyle w:val="FootnoteText"/>
      </w:pPr>
      <w:r>
        <w:rPr>
          <w:rStyle w:val="FootnoteReference"/>
        </w:rPr>
        <w:footnoteRef/>
      </w:r>
      <w:r>
        <w:t xml:space="preserve"> Data provided to ACTCOSS by ACT Environment, Planning and Sustainable Development Directorate, email, 24 November 2020.</w:t>
      </w:r>
    </w:p>
  </w:footnote>
  <w:footnote w:id="22">
    <w:p w14:paraId="78FAADDF" w14:textId="03500B3D" w:rsidR="001514AA" w:rsidRDefault="001514AA">
      <w:pPr>
        <w:pStyle w:val="FootnoteText"/>
      </w:pPr>
      <w:r>
        <w:rPr>
          <w:rStyle w:val="FootnoteReference"/>
        </w:rPr>
        <w:footnoteRef/>
      </w:r>
      <w:r>
        <w:t xml:space="preserve"> </w:t>
      </w:r>
      <w:r w:rsidR="00F4450A">
        <w:t xml:space="preserve">Australian Energy Regulatory (AER), </w:t>
      </w:r>
      <w:r w:rsidR="00C55B21" w:rsidRPr="00EB7312">
        <w:rPr>
          <w:i/>
          <w:iCs/>
        </w:rPr>
        <w:t>Retail energy market performance update for Quarter 4, 2019–20</w:t>
      </w:r>
      <w:r w:rsidR="00763110">
        <w:t xml:space="preserve">, Schedule 2 – Q4 2019-20 Retail Performance Data, AER, Melbourne, 2020, </w:t>
      </w:r>
      <w:r w:rsidR="00590D7E">
        <w:t xml:space="preserve">Quarterly indicators s2.9 </w:t>
      </w:r>
      <w:r w:rsidR="00B07AC8">
        <w:t>Solar Tariffs – Gov &amp; Retailer</w:t>
      </w:r>
      <w:r w:rsidR="00590D7E">
        <w:t>, &lt;</w:t>
      </w:r>
      <w:hyperlink r:id="rId14" w:history="1">
        <w:r w:rsidR="00EB7312" w:rsidRPr="00FE54B2">
          <w:rPr>
            <w:rStyle w:val="Hyperlink"/>
          </w:rPr>
          <w:t>https://www.aer.gov.au/retail-markets/performance-reporting/retail-energy-market-performance-update-for-quarter-4-2019–20</w:t>
        </w:r>
      </w:hyperlink>
      <w:r w:rsidR="00EB7312">
        <w:t xml:space="preserve">&gt;. </w:t>
      </w:r>
    </w:p>
  </w:footnote>
  <w:footnote w:id="23">
    <w:p w14:paraId="2EAC59AA" w14:textId="51BB7F12" w:rsidR="00C75F69" w:rsidRDefault="00C75F69">
      <w:pPr>
        <w:pStyle w:val="FootnoteText"/>
      </w:pPr>
      <w:r>
        <w:rPr>
          <w:rStyle w:val="FootnoteReference"/>
        </w:rPr>
        <w:footnoteRef/>
      </w:r>
      <w:r>
        <w:t xml:space="preserve"> ICRC, </w:t>
      </w:r>
      <w:r w:rsidRPr="00B35D52">
        <w:rPr>
          <w:i/>
          <w:iCs/>
        </w:rPr>
        <w:t>Issues Paper</w:t>
      </w:r>
      <w:r>
        <w:t xml:space="preserve">, op. cit., p. </w:t>
      </w:r>
      <w:r w:rsidR="00B35D52">
        <w:t>11.</w:t>
      </w:r>
    </w:p>
  </w:footnote>
  <w:footnote w:id="24">
    <w:p w14:paraId="74DE1AC3" w14:textId="2BD45E9B" w:rsidR="0013275C" w:rsidRDefault="0013275C">
      <w:pPr>
        <w:pStyle w:val="FootnoteText"/>
      </w:pPr>
      <w:r>
        <w:rPr>
          <w:rStyle w:val="FootnoteReference"/>
        </w:rPr>
        <w:footnoteRef/>
      </w:r>
      <w:r>
        <w:t xml:space="preserve"> </w:t>
      </w:r>
      <w:r w:rsidR="00671DE1">
        <w:t xml:space="preserve">ibid, </w:t>
      </w:r>
      <w:r w:rsidR="00FA7D0B">
        <w:t>p. 9.</w:t>
      </w:r>
    </w:p>
  </w:footnote>
  <w:footnote w:id="25">
    <w:p w14:paraId="30700CDE" w14:textId="4EA9A7A8" w:rsidR="00DD56C8" w:rsidRDefault="00DD56C8">
      <w:pPr>
        <w:pStyle w:val="FootnoteText"/>
      </w:pPr>
      <w:r>
        <w:rPr>
          <w:rStyle w:val="FootnoteReference"/>
        </w:rPr>
        <w:footnoteRef/>
      </w:r>
      <w:r>
        <w:t xml:space="preserve"> </w:t>
      </w:r>
      <w:r w:rsidR="00671DE1">
        <w:t>ibid</w:t>
      </w:r>
      <w:r w:rsidR="00144556">
        <w:t xml:space="preserve">, p. </w:t>
      </w:r>
      <w:r w:rsidR="00671DE1">
        <w:t>11.</w:t>
      </w:r>
    </w:p>
  </w:footnote>
  <w:footnote w:id="26">
    <w:p w14:paraId="62FF0D5F" w14:textId="136E29A8" w:rsidR="00904594" w:rsidRDefault="00904594">
      <w:pPr>
        <w:pStyle w:val="FootnoteText"/>
      </w:pPr>
      <w:r>
        <w:rPr>
          <w:rStyle w:val="FootnoteReference"/>
        </w:rPr>
        <w:footnoteRef/>
      </w:r>
      <w:r>
        <w:t xml:space="preserve"> </w:t>
      </w:r>
      <w:r w:rsidR="0096591A">
        <w:t>ibid, p. 91.</w:t>
      </w:r>
    </w:p>
  </w:footnote>
  <w:footnote w:id="27">
    <w:p w14:paraId="1F44AB32" w14:textId="53B45CED" w:rsidR="00D726C7" w:rsidRDefault="00D726C7">
      <w:pPr>
        <w:pStyle w:val="FootnoteText"/>
      </w:pPr>
      <w:r>
        <w:rPr>
          <w:rStyle w:val="FootnoteReference"/>
        </w:rPr>
        <w:footnoteRef/>
      </w:r>
      <w:r>
        <w:t xml:space="preserve"> </w:t>
      </w:r>
      <w:r w:rsidR="00B306CA">
        <w:t>ibid</w:t>
      </w:r>
      <w:r>
        <w:t xml:space="preserve">, p. </w:t>
      </w:r>
      <w:r w:rsidR="00B306CA">
        <w:t>95.</w:t>
      </w:r>
    </w:p>
  </w:footnote>
  <w:footnote w:id="28">
    <w:p w14:paraId="564265A1" w14:textId="18FE9D27" w:rsidR="00C145E9" w:rsidRDefault="00C145E9">
      <w:pPr>
        <w:pStyle w:val="FootnoteText"/>
      </w:pPr>
      <w:r>
        <w:rPr>
          <w:rStyle w:val="FootnoteReference"/>
        </w:rPr>
        <w:footnoteRef/>
      </w:r>
      <w:r>
        <w:t xml:space="preserve"> </w:t>
      </w:r>
      <w:r w:rsidR="00D06600">
        <w:t>ibid</w:t>
      </w:r>
      <w:r>
        <w:t xml:space="preserve">, p. </w:t>
      </w:r>
      <w:r w:rsidR="00D06600">
        <w:t>122.</w:t>
      </w:r>
    </w:p>
  </w:footnote>
  <w:footnote w:id="29">
    <w:p w14:paraId="2F880E65" w14:textId="2D928E77" w:rsidR="00300638" w:rsidRDefault="00300638">
      <w:pPr>
        <w:pStyle w:val="FootnoteText"/>
      </w:pPr>
      <w:r>
        <w:rPr>
          <w:rStyle w:val="FootnoteReference"/>
        </w:rPr>
        <w:footnoteRef/>
      </w:r>
      <w:r>
        <w:t xml:space="preserve"> ICRC, </w:t>
      </w:r>
      <w:r w:rsidRPr="00101294">
        <w:rPr>
          <w:i/>
          <w:iCs/>
        </w:rPr>
        <w:t>Issues paper</w:t>
      </w:r>
      <w:r>
        <w:t xml:space="preserve">, op. cit., p. </w:t>
      </w:r>
      <w:r w:rsidR="00551537">
        <w:t>2.</w:t>
      </w:r>
    </w:p>
  </w:footnote>
  <w:footnote w:id="30">
    <w:p w14:paraId="0EC0E249" w14:textId="20407597" w:rsidR="009D64C2" w:rsidRDefault="009D64C2">
      <w:pPr>
        <w:pStyle w:val="FootnoteText"/>
      </w:pPr>
      <w:r>
        <w:rPr>
          <w:rStyle w:val="FootnoteReference"/>
        </w:rPr>
        <w:footnoteRef/>
      </w:r>
      <w:r>
        <w:t xml:space="preserve"> ibid.</w:t>
      </w:r>
    </w:p>
  </w:footnote>
  <w:footnote w:id="31">
    <w:p w14:paraId="3ED28949" w14:textId="5F9F7E9F" w:rsidR="00160A58" w:rsidRDefault="00160A58">
      <w:pPr>
        <w:pStyle w:val="FootnoteText"/>
      </w:pPr>
      <w:r>
        <w:rPr>
          <w:rStyle w:val="FootnoteReference"/>
        </w:rPr>
        <w:footnoteRef/>
      </w:r>
      <w:r>
        <w:t xml:space="preserve"> See, for example</w:t>
      </w:r>
      <w:r w:rsidR="00D743A7">
        <w:t xml:space="preserve">: E O’Neill, </w:t>
      </w:r>
      <w:r w:rsidR="00D743A7" w:rsidRPr="00101294">
        <w:rPr>
          <w:i/>
          <w:iCs/>
        </w:rPr>
        <w:t>Exploring regulatory approaches to consumer vulnerability</w:t>
      </w:r>
      <w:r w:rsidR="00D743A7">
        <w:t xml:space="preserve">, </w:t>
      </w:r>
      <w:r w:rsidR="00687E46">
        <w:t xml:space="preserve">A report for the Australian Energy Regulator, Consumer </w:t>
      </w:r>
      <w:r w:rsidR="007A4EEC">
        <w:t xml:space="preserve">Policy Research Centre, </w:t>
      </w:r>
      <w:r w:rsidR="00C329EE">
        <w:t xml:space="preserve">Melbourne, </w:t>
      </w:r>
      <w:r w:rsidR="00687E46">
        <w:t>2020, &lt;</w:t>
      </w:r>
      <w:hyperlink r:id="rId15" w:history="1">
        <w:r w:rsidR="00C329EE" w:rsidRPr="00FE54B2">
          <w:rPr>
            <w:rStyle w:val="Hyperlink"/>
          </w:rPr>
          <w:t>https://cprc.org.au/projects/exploring-regulatory-approaches-to-consumer-vulnerability/</w:t>
        </w:r>
      </w:hyperlink>
      <w:r w:rsidR="00C329EE">
        <w:t xml:space="preserve">&gt;. </w:t>
      </w:r>
    </w:p>
  </w:footnote>
  <w:footnote w:id="32">
    <w:p w14:paraId="3ABBA7E6" w14:textId="514541CC" w:rsidR="005600C2" w:rsidRDefault="005600C2">
      <w:pPr>
        <w:pStyle w:val="FootnoteText"/>
      </w:pPr>
      <w:r>
        <w:rPr>
          <w:rStyle w:val="FootnoteReference"/>
        </w:rPr>
        <w:footnoteRef/>
      </w:r>
      <w:r>
        <w:t xml:space="preserve"> ICRC, </w:t>
      </w:r>
      <w:r w:rsidRPr="00507C77">
        <w:rPr>
          <w:i/>
          <w:iCs/>
        </w:rPr>
        <w:t>Issues Paper</w:t>
      </w:r>
      <w:r>
        <w:t xml:space="preserve">, op. cit., p. </w:t>
      </w:r>
      <w:r w:rsidR="00507C77">
        <w:t>1.</w:t>
      </w:r>
    </w:p>
  </w:footnote>
  <w:footnote w:id="33">
    <w:p w14:paraId="225B48FD" w14:textId="132B0D29" w:rsidR="001E1568" w:rsidRDefault="001E1568">
      <w:pPr>
        <w:pStyle w:val="FootnoteText"/>
      </w:pPr>
      <w:r>
        <w:rPr>
          <w:rStyle w:val="FootnoteReference"/>
        </w:rPr>
        <w:footnoteRef/>
      </w:r>
      <w:r>
        <w:t xml:space="preserve"> </w:t>
      </w:r>
      <w:r w:rsidR="00A658C8">
        <w:t>ibid</w:t>
      </w:r>
      <w:r>
        <w:t xml:space="preserve">, p. </w:t>
      </w:r>
      <w:r w:rsidR="00A658C8">
        <w:t>2.</w:t>
      </w:r>
    </w:p>
  </w:footnote>
  <w:footnote w:id="34">
    <w:p w14:paraId="6E3B6114" w14:textId="10A4EAAC" w:rsidR="00F56212" w:rsidRDefault="00F56212">
      <w:pPr>
        <w:pStyle w:val="FootnoteText"/>
      </w:pPr>
      <w:r>
        <w:rPr>
          <w:rStyle w:val="FootnoteReference"/>
        </w:rPr>
        <w:footnoteRef/>
      </w:r>
      <w:r>
        <w:t xml:space="preserve"> </w:t>
      </w:r>
      <w:r w:rsidR="00D51667">
        <w:t>ibid</w:t>
      </w:r>
      <w:r>
        <w:t xml:space="preserve">, p. </w:t>
      </w:r>
      <w:r w:rsidR="00D51667">
        <w:t>18.</w:t>
      </w:r>
    </w:p>
  </w:footnote>
  <w:footnote w:id="35">
    <w:p w14:paraId="64D8912C" w14:textId="02C48A3E" w:rsidR="003C7DBD" w:rsidRDefault="003C7DBD">
      <w:pPr>
        <w:pStyle w:val="FootnoteText"/>
      </w:pPr>
      <w:r>
        <w:rPr>
          <w:rStyle w:val="FootnoteReference"/>
        </w:rPr>
        <w:footnoteRef/>
      </w:r>
      <w:r>
        <w:t xml:space="preserve"> </w:t>
      </w:r>
      <w:r w:rsidRPr="003C7DBD">
        <w:t>Australian Energy Regulatory (AER</w:t>
      </w:r>
      <w:r w:rsidRPr="003C7DBD">
        <w:rPr>
          <w:i/>
          <w:iCs/>
        </w:rPr>
        <w:t>), Retail energy market performance update for Quarter 4, 2019–20</w:t>
      </w:r>
      <w:r w:rsidRPr="003C7DBD">
        <w:t xml:space="preserve">, Schedule 2 – Q4 2019-20 Retail Performance Data, AER, Melbourne, 2020, Quarterly indicators </w:t>
      </w:r>
      <w:r w:rsidR="00874F94">
        <w:t>s2.1 s2.2</w:t>
      </w:r>
      <w:r w:rsidR="00F06B37">
        <w:t xml:space="preserve"> s2.6</w:t>
      </w:r>
      <w:r w:rsidRPr="003C7DBD">
        <w:t xml:space="preserve"> </w:t>
      </w:r>
      <w:r w:rsidR="00F06B37">
        <w:t>Types of contracts</w:t>
      </w:r>
      <w:r w:rsidRPr="003C7DBD">
        <w:t>, &lt;</w:t>
      </w:r>
      <w:hyperlink r:id="rId16" w:history="1">
        <w:r w:rsidR="00F06B37" w:rsidRPr="00FE54B2">
          <w:rPr>
            <w:rStyle w:val="Hyperlink"/>
          </w:rPr>
          <w:t>https://www.aer.gov.au/retail-markets/performance-reporting/retail-energy-market-performance-update-for-quarter-4-2019–20</w:t>
        </w:r>
      </w:hyperlink>
      <w:r w:rsidRPr="003C7DBD">
        <w:t xml:space="preserve">&gt;. </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D"/>
    <w:multiLevelType w:val="singleLevel"/>
    <w:tmpl w:val="82CE8854"/>
    <w:lvl w:ilvl="0">
      <w:start w:val="1"/>
      <w:numFmt w:val="decimal"/>
      <w:lvlText w:val="%1."/>
      <w:lvlJc w:val="left"/>
      <w:pPr>
        <w:tabs>
          <w:tab w:val="num" w:pos="1209"/>
        </w:tabs>
        <w:ind w:left="1209" w:hanging="360"/>
      </w:pPr>
    </w:lvl>
  </w:abstractNum>
  <w:abstractNum w:abstractNumId="1" w15:restartNumberingAfterBreak="0">
    <w:nsid w:val="FFFFFF7E"/>
    <w:multiLevelType w:val="singleLevel"/>
    <w:tmpl w:val="581EDE74"/>
    <w:lvl w:ilvl="0">
      <w:start w:val="1"/>
      <w:numFmt w:val="decimal"/>
      <w:lvlText w:val="%1."/>
      <w:lvlJc w:val="left"/>
      <w:pPr>
        <w:tabs>
          <w:tab w:val="num" w:pos="926"/>
        </w:tabs>
        <w:ind w:left="926" w:hanging="360"/>
      </w:pPr>
    </w:lvl>
  </w:abstractNum>
  <w:abstractNum w:abstractNumId="2" w15:restartNumberingAfterBreak="0">
    <w:nsid w:val="FFFFFF7F"/>
    <w:multiLevelType w:val="singleLevel"/>
    <w:tmpl w:val="53B23B74"/>
    <w:lvl w:ilvl="0">
      <w:start w:val="1"/>
      <w:numFmt w:val="decimal"/>
      <w:lvlText w:val="%1."/>
      <w:lvlJc w:val="left"/>
      <w:pPr>
        <w:tabs>
          <w:tab w:val="num" w:pos="643"/>
        </w:tabs>
        <w:ind w:left="643" w:hanging="360"/>
      </w:pPr>
    </w:lvl>
  </w:abstractNum>
  <w:abstractNum w:abstractNumId="3" w15:restartNumberingAfterBreak="0">
    <w:nsid w:val="FFFFFF81"/>
    <w:multiLevelType w:val="singleLevel"/>
    <w:tmpl w:val="2F564408"/>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8"/>
    <w:multiLevelType w:val="singleLevel"/>
    <w:tmpl w:val="75A0D654"/>
    <w:lvl w:ilvl="0">
      <w:start w:val="1"/>
      <w:numFmt w:val="decimal"/>
      <w:lvlText w:val="%1."/>
      <w:lvlJc w:val="left"/>
      <w:pPr>
        <w:tabs>
          <w:tab w:val="num" w:pos="360"/>
        </w:tabs>
        <w:ind w:left="360" w:hanging="360"/>
      </w:pPr>
    </w:lvl>
  </w:abstractNum>
  <w:abstractNum w:abstractNumId="5" w15:restartNumberingAfterBreak="0">
    <w:nsid w:val="02B05A86"/>
    <w:multiLevelType w:val="multilevel"/>
    <w:tmpl w:val="F10CE0A8"/>
    <w:lvl w:ilvl="0">
      <w:start w:val="1"/>
      <w:numFmt w:val="lowerLetter"/>
      <w:pStyle w:val="BlockText-ListLetter"/>
      <w:lvlText w:val="%1."/>
      <w:lvlJc w:val="left"/>
      <w:pPr>
        <w:tabs>
          <w:tab w:val="num" w:pos="1134"/>
        </w:tabs>
        <w:ind w:left="1134" w:hanging="567"/>
      </w:pPr>
      <w:rPr>
        <w:rFonts w:hint="default"/>
      </w:rPr>
    </w:lvl>
    <w:lvl w:ilvl="1">
      <w:start w:val="1"/>
      <w:numFmt w:val="lowerLetter"/>
      <w:pStyle w:val="BlockText-ListLetter2"/>
      <w:lvlText w:val="%2."/>
      <w:lvlJc w:val="left"/>
      <w:pPr>
        <w:tabs>
          <w:tab w:val="num" w:pos="1701"/>
        </w:tabs>
        <w:ind w:left="1701" w:hanging="567"/>
      </w:pPr>
      <w:rPr>
        <w:rFonts w:hint="default"/>
      </w:rPr>
    </w:lvl>
    <w:lvl w:ilvl="2">
      <w:start w:val="1"/>
      <w:numFmt w:val="lowerLetter"/>
      <w:pStyle w:val="BlockText-ListLetter3"/>
      <w:lvlText w:val="%3."/>
      <w:lvlJc w:val="left"/>
      <w:pPr>
        <w:tabs>
          <w:tab w:val="num" w:pos="2268"/>
        </w:tabs>
        <w:ind w:left="2268" w:hanging="567"/>
      </w:pPr>
      <w:rPr>
        <w:rFonts w:hint="default"/>
      </w:rPr>
    </w:lvl>
    <w:lvl w:ilvl="3">
      <w:start w:val="1"/>
      <w:numFmt w:val="lowerLetter"/>
      <w:pStyle w:val="BlockText-ListLetter4"/>
      <w:lvlText w:val="%4."/>
      <w:lvlJc w:val="left"/>
      <w:pPr>
        <w:tabs>
          <w:tab w:val="num" w:pos="2835"/>
        </w:tabs>
        <w:ind w:left="2835" w:hanging="567"/>
      </w:pPr>
      <w:rPr>
        <w:rFonts w:hint="default"/>
      </w:rPr>
    </w:lvl>
    <w:lvl w:ilvl="4">
      <w:start w:val="1"/>
      <w:numFmt w:val="lowerLetter"/>
      <w:pStyle w:val="BlockText-ListLetter5"/>
      <w:lvlText w:val="%5."/>
      <w:lvlJc w:val="left"/>
      <w:pPr>
        <w:tabs>
          <w:tab w:val="num" w:pos="3402"/>
        </w:tabs>
        <w:ind w:left="3402" w:hanging="567"/>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6" w15:restartNumberingAfterBreak="0">
    <w:nsid w:val="04100906"/>
    <w:multiLevelType w:val="hybridMultilevel"/>
    <w:tmpl w:val="5EDEEE2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05C7657D"/>
    <w:multiLevelType w:val="multilevel"/>
    <w:tmpl w:val="CED68300"/>
    <w:lvl w:ilvl="0">
      <w:start w:val="1"/>
      <w:numFmt w:val="lowerRoman"/>
      <w:pStyle w:val="Table-ListRoman"/>
      <w:lvlText w:val="%1."/>
      <w:lvlJc w:val="left"/>
      <w:pPr>
        <w:tabs>
          <w:tab w:val="num" w:pos="284"/>
        </w:tabs>
        <w:ind w:left="284" w:hanging="284"/>
      </w:pPr>
      <w:rPr>
        <w:rFonts w:hint="default"/>
      </w:rPr>
    </w:lvl>
    <w:lvl w:ilvl="1">
      <w:start w:val="1"/>
      <w:numFmt w:val="lowerRoman"/>
      <w:pStyle w:val="Table-ListRoman2"/>
      <w:lvlText w:val="%2."/>
      <w:lvlJc w:val="left"/>
      <w:pPr>
        <w:tabs>
          <w:tab w:val="num" w:pos="567"/>
        </w:tabs>
        <w:ind w:left="567" w:hanging="283"/>
      </w:pPr>
      <w:rPr>
        <w:rFonts w:hint="default"/>
      </w:rPr>
    </w:lvl>
    <w:lvl w:ilvl="2">
      <w:start w:val="1"/>
      <w:numFmt w:val="lowerRoman"/>
      <w:pStyle w:val="Table-ListRoman3"/>
      <w:lvlText w:val="%3."/>
      <w:lvlJc w:val="left"/>
      <w:pPr>
        <w:tabs>
          <w:tab w:val="num" w:pos="851"/>
        </w:tabs>
        <w:ind w:left="851" w:hanging="284"/>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8" w15:restartNumberingAfterBreak="0">
    <w:nsid w:val="09176078"/>
    <w:multiLevelType w:val="multilevel"/>
    <w:tmpl w:val="C00C042A"/>
    <w:lvl w:ilvl="0">
      <w:start w:val="1"/>
      <w:numFmt w:val="bullet"/>
      <w:pStyle w:val="ListBullet"/>
      <w:lvlText w:val=""/>
      <w:lvlJc w:val="left"/>
      <w:pPr>
        <w:tabs>
          <w:tab w:val="num" w:pos="567"/>
        </w:tabs>
        <w:ind w:left="567" w:hanging="567"/>
      </w:pPr>
      <w:rPr>
        <w:rFonts w:ascii="Symbol" w:hAnsi="Symbol" w:hint="default"/>
        <w:b w:val="0"/>
        <w:i w:val="0"/>
        <w:color w:val="005984"/>
        <w:sz w:val="20"/>
      </w:rPr>
    </w:lvl>
    <w:lvl w:ilvl="1">
      <w:start w:val="1"/>
      <w:numFmt w:val="bullet"/>
      <w:pStyle w:val="ListBullet2"/>
      <w:lvlText w:val=""/>
      <w:lvlJc w:val="left"/>
      <w:pPr>
        <w:tabs>
          <w:tab w:val="num" w:pos="1134"/>
        </w:tabs>
        <w:ind w:left="1134" w:hanging="567"/>
      </w:pPr>
      <w:rPr>
        <w:rFonts w:ascii="Symbol" w:hAnsi="Symbol" w:hint="default"/>
        <w:color w:val="005984"/>
        <w:sz w:val="20"/>
      </w:rPr>
    </w:lvl>
    <w:lvl w:ilvl="2">
      <w:start w:val="1"/>
      <w:numFmt w:val="bullet"/>
      <w:pStyle w:val="ListBullet3"/>
      <w:lvlText w:val=""/>
      <w:lvlJc w:val="left"/>
      <w:pPr>
        <w:tabs>
          <w:tab w:val="num" w:pos="1701"/>
        </w:tabs>
        <w:ind w:left="1701" w:hanging="567"/>
      </w:pPr>
      <w:rPr>
        <w:rFonts w:ascii="Symbol" w:hAnsi="Symbol" w:hint="default"/>
        <w:color w:val="005984"/>
        <w:sz w:val="20"/>
      </w:rPr>
    </w:lvl>
    <w:lvl w:ilvl="3">
      <w:start w:val="1"/>
      <w:numFmt w:val="bullet"/>
      <w:pStyle w:val="ListBullet4"/>
      <w:lvlText w:val=""/>
      <w:lvlJc w:val="left"/>
      <w:pPr>
        <w:tabs>
          <w:tab w:val="num" w:pos="2268"/>
        </w:tabs>
        <w:ind w:left="2268" w:hanging="567"/>
      </w:pPr>
      <w:rPr>
        <w:rFonts w:ascii="Symbol" w:hAnsi="Symbol" w:hint="default"/>
        <w:color w:val="005984"/>
        <w:sz w:val="20"/>
      </w:rPr>
    </w:lvl>
    <w:lvl w:ilvl="4">
      <w:start w:val="1"/>
      <w:numFmt w:val="bullet"/>
      <w:pStyle w:val="ListBullet5"/>
      <w:lvlText w:val=""/>
      <w:lvlJc w:val="left"/>
      <w:pPr>
        <w:tabs>
          <w:tab w:val="num" w:pos="2835"/>
        </w:tabs>
        <w:ind w:left="2835" w:hanging="567"/>
      </w:pPr>
      <w:rPr>
        <w:rFonts w:ascii="Symbol" w:hAnsi="Symbol" w:hint="default"/>
        <w:color w:val="005984"/>
        <w:sz w:val="20"/>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9" w15:restartNumberingAfterBreak="0">
    <w:nsid w:val="09D2764A"/>
    <w:multiLevelType w:val="multilevel"/>
    <w:tmpl w:val="8DAA325A"/>
    <w:lvl w:ilvl="0">
      <w:start w:val="1"/>
      <w:numFmt w:val="lowerLetter"/>
      <w:pStyle w:val="ListLetter"/>
      <w:lvlText w:val="%1."/>
      <w:lvlJc w:val="left"/>
      <w:pPr>
        <w:tabs>
          <w:tab w:val="num" w:pos="567"/>
        </w:tabs>
        <w:ind w:left="567" w:hanging="567"/>
      </w:pPr>
      <w:rPr>
        <w:rFonts w:hint="default"/>
        <w:b w:val="0"/>
        <w:i w:val="0"/>
        <w:color w:val="auto"/>
      </w:rPr>
    </w:lvl>
    <w:lvl w:ilvl="1">
      <w:start w:val="1"/>
      <w:numFmt w:val="lowerLetter"/>
      <w:pStyle w:val="ListLetter2"/>
      <w:lvlText w:val="%2."/>
      <w:lvlJc w:val="left"/>
      <w:pPr>
        <w:tabs>
          <w:tab w:val="num" w:pos="1134"/>
        </w:tabs>
        <w:ind w:left="1134" w:hanging="567"/>
      </w:pPr>
      <w:rPr>
        <w:rFonts w:hint="default"/>
        <w:b w:val="0"/>
        <w:i w:val="0"/>
        <w:color w:val="auto"/>
      </w:rPr>
    </w:lvl>
    <w:lvl w:ilvl="2">
      <w:start w:val="1"/>
      <w:numFmt w:val="lowerLetter"/>
      <w:pStyle w:val="ListLetter3"/>
      <w:lvlText w:val="%3."/>
      <w:lvlJc w:val="left"/>
      <w:pPr>
        <w:tabs>
          <w:tab w:val="num" w:pos="1701"/>
        </w:tabs>
        <w:ind w:left="1701" w:hanging="567"/>
      </w:pPr>
      <w:rPr>
        <w:rFonts w:hint="default"/>
        <w:b w:val="0"/>
        <w:i w:val="0"/>
        <w:color w:val="auto"/>
      </w:rPr>
    </w:lvl>
    <w:lvl w:ilvl="3">
      <w:start w:val="1"/>
      <w:numFmt w:val="lowerLetter"/>
      <w:pStyle w:val="ListLetter4"/>
      <w:lvlText w:val="%4."/>
      <w:lvlJc w:val="left"/>
      <w:pPr>
        <w:tabs>
          <w:tab w:val="num" w:pos="2268"/>
        </w:tabs>
        <w:ind w:left="2268" w:hanging="567"/>
      </w:pPr>
      <w:rPr>
        <w:rFonts w:hint="default"/>
        <w:b w:val="0"/>
        <w:i w:val="0"/>
        <w:color w:val="auto"/>
      </w:rPr>
    </w:lvl>
    <w:lvl w:ilvl="4">
      <w:start w:val="1"/>
      <w:numFmt w:val="lowerLetter"/>
      <w:pStyle w:val="ListLetter5"/>
      <w:lvlText w:val="%5."/>
      <w:lvlJc w:val="left"/>
      <w:pPr>
        <w:tabs>
          <w:tab w:val="num" w:pos="2835"/>
        </w:tabs>
        <w:ind w:left="2835" w:hanging="567"/>
      </w:pPr>
      <w:rPr>
        <w:rFonts w:hint="default"/>
        <w:b w:val="0"/>
        <w:i w:val="0"/>
        <w:color w:val="auto"/>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0" w15:restartNumberingAfterBreak="0">
    <w:nsid w:val="0CB24400"/>
    <w:multiLevelType w:val="multilevel"/>
    <w:tmpl w:val="194E070E"/>
    <w:lvl w:ilvl="0">
      <w:start w:val="1"/>
      <w:numFmt w:val="decimal"/>
      <w:pStyle w:val="ListNumber"/>
      <w:lvlText w:val="%1."/>
      <w:lvlJc w:val="left"/>
      <w:pPr>
        <w:tabs>
          <w:tab w:val="num" w:pos="567"/>
        </w:tabs>
        <w:ind w:left="567" w:hanging="567"/>
      </w:pPr>
      <w:rPr>
        <w:rFonts w:hint="default"/>
        <w:b w:val="0"/>
        <w:i w:val="0"/>
        <w:color w:val="auto"/>
      </w:rPr>
    </w:lvl>
    <w:lvl w:ilvl="1">
      <w:start w:val="1"/>
      <w:numFmt w:val="decimal"/>
      <w:pStyle w:val="ListNumber2"/>
      <w:lvlText w:val="%2."/>
      <w:lvlJc w:val="left"/>
      <w:pPr>
        <w:tabs>
          <w:tab w:val="num" w:pos="1134"/>
        </w:tabs>
        <w:ind w:left="1134" w:hanging="567"/>
      </w:pPr>
      <w:rPr>
        <w:rFonts w:hint="default"/>
        <w:b w:val="0"/>
        <w:i w:val="0"/>
        <w:color w:val="auto"/>
      </w:rPr>
    </w:lvl>
    <w:lvl w:ilvl="2">
      <w:start w:val="1"/>
      <w:numFmt w:val="decimal"/>
      <w:pStyle w:val="ListNumber3"/>
      <w:lvlText w:val="%3."/>
      <w:lvlJc w:val="left"/>
      <w:pPr>
        <w:tabs>
          <w:tab w:val="num" w:pos="1701"/>
        </w:tabs>
        <w:ind w:left="1701" w:hanging="567"/>
      </w:pPr>
      <w:rPr>
        <w:rFonts w:hint="default"/>
        <w:b w:val="0"/>
        <w:i w:val="0"/>
        <w:color w:val="auto"/>
      </w:rPr>
    </w:lvl>
    <w:lvl w:ilvl="3">
      <w:start w:val="1"/>
      <w:numFmt w:val="decimal"/>
      <w:pStyle w:val="ListNumber4"/>
      <w:lvlText w:val="%4."/>
      <w:lvlJc w:val="left"/>
      <w:pPr>
        <w:tabs>
          <w:tab w:val="num" w:pos="2268"/>
        </w:tabs>
        <w:ind w:left="2268" w:hanging="567"/>
      </w:pPr>
      <w:rPr>
        <w:rFonts w:hint="default"/>
        <w:b w:val="0"/>
        <w:i w:val="0"/>
        <w:color w:val="auto"/>
      </w:rPr>
    </w:lvl>
    <w:lvl w:ilvl="4">
      <w:start w:val="1"/>
      <w:numFmt w:val="decimal"/>
      <w:pStyle w:val="ListNumber5"/>
      <w:lvlText w:val="%5."/>
      <w:lvlJc w:val="left"/>
      <w:pPr>
        <w:tabs>
          <w:tab w:val="num" w:pos="2835"/>
        </w:tabs>
        <w:ind w:left="2835" w:hanging="567"/>
      </w:pPr>
      <w:rPr>
        <w:rFonts w:hint="default"/>
        <w:b w:val="0"/>
        <w:i w:val="0"/>
        <w:color w:val="auto"/>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1" w15:restartNumberingAfterBreak="0">
    <w:nsid w:val="13DF06C3"/>
    <w:multiLevelType w:val="multilevel"/>
    <w:tmpl w:val="1D4A2A4C"/>
    <w:lvl w:ilvl="0">
      <w:start w:val="1"/>
      <w:numFmt w:val="decimal"/>
      <w:pStyle w:val="BlockText-ListNumber"/>
      <w:lvlText w:val="%1."/>
      <w:lvlJc w:val="left"/>
      <w:pPr>
        <w:tabs>
          <w:tab w:val="num" w:pos="1134"/>
        </w:tabs>
        <w:ind w:left="1134" w:hanging="567"/>
      </w:pPr>
      <w:rPr>
        <w:rFonts w:hint="default"/>
      </w:rPr>
    </w:lvl>
    <w:lvl w:ilvl="1">
      <w:start w:val="1"/>
      <w:numFmt w:val="decimal"/>
      <w:pStyle w:val="BlockText-ListNumber2"/>
      <w:lvlText w:val="%2."/>
      <w:lvlJc w:val="left"/>
      <w:pPr>
        <w:tabs>
          <w:tab w:val="num" w:pos="1701"/>
        </w:tabs>
        <w:ind w:left="1701" w:hanging="567"/>
      </w:pPr>
      <w:rPr>
        <w:rFonts w:hint="default"/>
      </w:rPr>
    </w:lvl>
    <w:lvl w:ilvl="2">
      <w:start w:val="1"/>
      <w:numFmt w:val="decimal"/>
      <w:pStyle w:val="BlockText-ListNumber3"/>
      <w:lvlText w:val="%3."/>
      <w:lvlJc w:val="left"/>
      <w:pPr>
        <w:tabs>
          <w:tab w:val="num" w:pos="2268"/>
        </w:tabs>
        <w:ind w:left="2268" w:hanging="567"/>
      </w:pPr>
      <w:rPr>
        <w:rFonts w:hint="default"/>
      </w:rPr>
    </w:lvl>
    <w:lvl w:ilvl="3">
      <w:start w:val="1"/>
      <w:numFmt w:val="decimal"/>
      <w:pStyle w:val="BlockText-ListNumber4"/>
      <w:lvlText w:val="%4."/>
      <w:lvlJc w:val="left"/>
      <w:pPr>
        <w:tabs>
          <w:tab w:val="num" w:pos="2835"/>
        </w:tabs>
        <w:ind w:left="2835" w:hanging="567"/>
      </w:pPr>
      <w:rPr>
        <w:rFonts w:hint="default"/>
      </w:rPr>
    </w:lvl>
    <w:lvl w:ilvl="4">
      <w:start w:val="1"/>
      <w:numFmt w:val="decimal"/>
      <w:pStyle w:val="BlockText-ListNumber5"/>
      <w:lvlText w:val="%5."/>
      <w:lvlJc w:val="left"/>
      <w:pPr>
        <w:tabs>
          <w:tab w:val="num" w:pos="3402"/>
        </w:tabs>
        <w:ind w:left="3402" w:hanging="567"/>
      </w:pPr>
      <w:rPr>
        <w:rFonts w:hint="default"/>
      </w:rPr>
    </w:lvl>
    <w:lvl w:ilvl="5">
      <w:start w:val="1"/>
      <w:numFmt w:val="none"/>
      <w:lvlText w:val="%6"/>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2" w15:restartNumberingAfterBreak="0">
    <w:nsid w:val="15115611"/>
    <w:multiLevelType w:val="multilevel"/>
    <w:tmpl w:val="93EA0254"/>
    <w:lvl w:ilvl="0">
      <w:start w:val="1"/>
      <w:numFmt w:val="bullet"/>
      <w:pStyle w:val="BlockText-ListBullet"/>
      <w:lvlText w:val=""/>
      <w:lvlJc w:val="left"/>
      <w:pPr>
        <w:tabs>
          <w:tab w:val="num" w:pos="1134"/>
        </w:tabs>
        <w:ind w:left="1134" w:hanging="567"/>
      </w:pPr>
      <w:rPr>
        <w:rFonts w:ascii="Symbol" w:hAnsi="Symbol" w:hint="default"/>
        <w:b w:val="0"/>
        <w:i w:val="0"/>
        <w:color w:val="005984"/>
        <w:sz w:val="18"/>
      </w:rPr>
    </w:lvl>
    <w:lvl w:ilvl="1">
      <w:start w:val="1"/>
      <w:numFmt w:val="bullet"/>
      <w:pStyle w:val="BlockText-ListBullet2"/>
      <w:lvlText w:val=""/>
      <w:lvlJc w:val="left"/>
      <w:pPr>
        <w:tabs>
          <w:tab w:val="num" w:pos="1701"/>
        </w:tabs>
        <w:ind w:left="1701" w:hanging="567"/>
      </w:pPr>
      <w:rPr>
        <w:rFonts w:ascii="Symbol" w:hAnsi="Symbol" w:hint="default"/>
        <w:color w:val="005984"/>
        <w:sz w:val="18"/>
      </w:rPr>
    </w:lvl>
    <w:lvl w:ilvl="2">
      <w:start w:val="1"/>
      <w:numFmt w:val="bullet"/>
      <w:pStyle w:val="BlockText-ListBullet3"/>
      <w:lvlText w:val=""/>
      <w:lvlJc w:val="left"/>
      <w:pPr>
        <w:tabs>
          <w:tab w:val="num" w:pos="2268"/>
        </w:tabs>
        <w:ind w:left="2268" w:hanging="567"/>
      </w:pPr>
      <w:rPr>
        <w:rFonts w:ascii="Symbol" w:hAnsi="Symbol" w:hint="default"/>
        <w:color w:val="005984"/>
        <w:sz w:val="18"/>
      </w:rPr>
    </w:lvl>
    <w:lvl w:ilvl="3">
      <w:start w:val="1"/>
      <w:numFmt w:val="bullet"/>
      <w:pStyle w:val="BlockText-ListBullet4"/>
      <w:lvlText w:val=""/>
      <w:lvlJc w:val="left"/>
      <w:pPr>
        <w:tabs>
          <w:tab w:val="num" w:pos="2835"/>
        </w:tabs>
        <w:ind w:left="2835" w:hanging="567"/>
      </w:pPr>
      <w:rPr>
        <w:rFonts w:ascii="Symbol" w:hAnsi="Symbol" w:hint="default"/>
        <w:color w:val="005984"/>
        <w:sz w:val="18"/>
      </w:rPr>
    </w:lvl>
    <w:lvl w:ilvl="4">
      <w:start w:val="1"/>
      <w:numFmt w:val="bullet"/>
      <w:pStyle w:val="BlockText-ListBullet5"/>
      <w:lvlText w:val=""/>
      <w:lvlJc w:val="left"/>
      <w:pPr>
        <w:tabs>
          <w:tab w:val="num" w:pos="3402"/>
        </w:tabs>
        <w:ind w:left="3402" w:hanging="567"/>
      </w:pPr>
      <w:rPr>
        <w:rFonts w:ascii="Symbol" w:hAnsi="Symbol" w:hint="default"/>
        <w:color w:val="005984"/>
        <w:sz w:val="18"/>
      </w:rPr>
    </w:lvl>
    <w:lvl w:ilvl="5">
      <w:start w:val="1"/>
      <w:numFmt w:val="none"/>
      <w:lvlText w:val=""/>
      <w:lvlJc w:val="left"/>
      <w:pPr>
        <w:tabs>
          <w:tab w:val="num" w:pos="2727"/>
        </w:tabs>
        <w:ind w:left="2727" w:hanging="360"/>
      </w:pPr>
      <w:rPr>
        <w:rFonts w:hint="default"/>
      </w:rPr>
    </w:lvl>
    <w:lvl w:ilvl="6">
      <w:start w:val="1"/>
      <w:numFmt w:val="none"/>
      <w:lvlText w:val=""/>
      <w:lvlJc w:val="left"/>
      <w:pPr>
        <w:tabs>
          <w:tab w:val="num" w:pos="3087"/>
        </w:tabs>
        <w:ind w:left="3087" w:hanging="360"/>
      </w:pPr>
      <w:rPr>
        <w:rFonts w:hint="default"/>
      </w:rPr>
    </w:lvl>
    <w:lvl w:ilvl="7">
      <w:start w:val="1"/>
      <w:numFmt w:val="none"/>
      <w:lvlText w:val=""/>
      <w:lvlJc w:val="left"/>
      <w:pPr>
        <w:tabs>
          <w:tab w:val="num" w:pos="3447"/>
        </w:tabs>
        <w:ind w:left="3447" w:hanging="360"/>
      </w:pPr>
      <w:rPr>
        <w:rFonts w:hint="default"/>
      </w:rPr>
    </w:lvl>
    <w:lvl w:ilvl="8">
      <w:start w:val="1"/>
      <w:numFmt w:val="none"/>
      <w:lvlText w:val=""/>
      <w:lvlJc w:val="left"/>
      <w:pPr>
        <w:tabs>
          <w:tab w:val="num" w:pos="3807"/>
        </w:tabs>
        <w:ind w:left="3807" w:hanging="360"/>
      </w:pPr>
      <w:rPr>
        <w:rFonts w:hint="default"/>
      </w:rPr>
    </w:lvl>
  </w:abstractNum>
  <w:abstractNum w:abstractNumId="13" w15:restartNumberingAfterBreak="0">
    <w:nsid w:val="238612FE"/>
    <w:multiLevelType w:val="multilevel"/>
    <w:tmpl w:val="3B70BE6A"/>
    <w:lvl w:ilvl="0">
      <w:start w:val="1"/>
      <w:numFmt w:val="decimal"/>
      <w:pStyle w:val="Table-ListNumber"/>
      <w:lvlText w:val="%1."/>
      <w:lvlJc w:val="left"/>
      <w:pPr>
        <w:tabs>
          <w:tab w:val="num" w:pos="284"/>
        </w:tabs>
        <w:ind w:left="284" w:hanging="284"/>
      </w:pPr>
      <w:rPr>
        <w:rFonts w:hint="default"/>
      </w:rPr>
    </w:lvl>
    <w:lvl w:ilvl="1">
      <w:start w:val="1"/>
      <w:numFmt w:val="decimal"/>
      <w:pStyle w:val="Table-ListNumber2"/>
      <w:lvlText w:val="%2."/>
      <w:lvlJc w:val="left"/>
      <w:pPr>
        <w:tabs>
          <w:tab w:val="num" w:pos="567"/>
        </w:tabs>
        <w:ind w:left="567" w:hanging="283"/>
      </w:pPr>
      <w:rPr>
        <w:rFonts w:hint="default"/>
      </w:rPr>
    </w:lvl>
    <w:lvl w:ilvl="2">
      <w:start w:val="1"/>
      <w:numFmt w:val="decimal"/>
      <w:pStyle w:val="Table-ListNumber3"/>
      <w:lvlText w:val="%3."/>
      <w:lvlJc w:val="left"/>
      <w:pPr>
        <w:tabs>
          <w:tab w:val="num" w:pos="851"/>
        </w:tabs>
        <w:ind w:left="851" w:hanging="284"/>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4" w15:restartNumberingAfterBreak="0">
    <w:nsid w:val="27FE6A7C"/>
    <w:multiLevelType w:val="multilevel"/>
    <w:tmpl w:val="0D9A3C00"/>
    <w:lvl w:ilvl="0">
      <w:start w:val="1"/>
      <w:numFmt w:val="lowerLetter"/>
      <w:pStyle w:val="Table-ListLetter"/>
      <w:lvlText w:val="%1."/>
      <w:lvlJc w:val="left"/>
      <w:pPr>
        <w:tabs>
          <w:tab w:val="num" w:pos="284"/>
        </w:tabs>
        <w:ind w:left="284" w:hanging="284"/>
      </w:pPr>
      <w:rPr>
        <w:rFonts w:hint="default"/>
      </w:rPr>
    </w:lvl>
    <w:lvl w:ilvl="1">
      <w:start w:val="1"/>
      <w:numFmt w:val="lowerLetter"/>
      <w:pStyle w:val="Table-ListLetter2"/>
      <w:lvlText w:val="%2."/>
      <w:lvlJc w:val="left"/>
      <w:pPr>
        <w:tabs>
          <w:tab w:val="num" w:pos="567"/>
        </w:tabs>
        <w:ind w:left="567" w:hanging="283"/>
      </w:pPr>
      <w:rPr>
        <w:rFonts w:hint="default"/>
      </w:rPr>
    </w:lvl>
    <w:lvl w:ilvl="2">
      <w:start w:val="1"/>
      <w:numFmt w:val="lowerLetter"/>
      <w:pStyle w:val="Table-ListLetter3"/>
      <w:lvlText w:val="%3."/>
      <w:lvlJc w:val="left"/>
      <w:pPr>
        <w:tabs>
          <w:tab w:val="num" w:pos="851"/>
        </w:tabs>
        <w:ind w:left="851" w:hanging="284"/>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5" w15:restartNumberingAfterBreak="0">
    <w:nsid w:val="2E204E2D"/>
    <w:multiLevelType w:val="multilevel"/>
    <w:tmpl w:val="CA3ACC40"/>
    <w:lvl w:ilvl="0">
      <w:start w:val="1"/>
      <w:numFmt w:val="bullet"/>
      <w:lvlText w:val=""/>
      <w:lvlJc w:val="left"/>
      <w:pPr>
        <w:tabs>
          <w:tab w:val="num" w:pos="284"/>
        </w:tabs>
        <w:ind w:left="284" w:hanging="284"/>
      </w:pPr>
      <w:rPr>
        <w:rFonts w:ascii="Symbol" w:hAnsi="Symbol" w:hint="default"/>
        <w:b w:val="0"/>
        <w:i w:val="0"/>
        <w:color w:val="005984"/>
        <w:sz w:val="20"/>
      </w:rPr>
    </w:lvl>
    <w:lvl w:ilvl="1">
      <w:start w:val="1"/>
      <w:numFmt w:val="bullet"/>
      <w:lvlText w:val=""/>
      <w:lvlJc w:val="left"/>
      <w:pPr>
        <w:tabs>
          <w:tab w:val="num" w:pos="567"/>
        </w:tabs>
        <w:ind w:left="567" w:hanging="283"/>
      </w:pPr>
      <w:rPr>
        <w:rFonts w:ascii="Symbol" w:hAnsi="Symbol" w:hint="default"/>
        <w:color w:val="005984"/>
        <w:sz w:val="20"/>
      </w:rPr>
    </w:lvl>
    <w:lvl w:ilvl="2">
      <w:start w:val="1"/>
      <w:numFmt w:val="bullet"/>
      <w:lvlText w:val=""/>
      <w:lvlJc w:val="left"/>
      <w:pPr>
        <w:tabs>
          <w:tab w:val="num" w:pos="851"/>
        </w:tabs>
        <w:ind w:left="851" w:hanging="284"/>
      </w:pPr>
      <w:rPr>
        <w:rFonts w:ascii="Symbol" w:hAnsi="Symbol" w:hint="default"/>
        <w:color w:val="005984"/>
        <w:sz w:val="20"/>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6" w15:restartNumberingAfterBreak="0">
    <w:nsid w:val="35A12497"/>
    <w:multiLevelType w:val="multilevel"/>
    <w:tmpl w:val="21F63714"/>
    <w:lvl w:ilvl="0">
      <w:start w:val="1"/>
      <w:numFmt w:val="none"/>
      <w:pStyle w:val="BlockText-ListContinue"/>
      <w:lvlText w:val=""/>
      <w:lvlJc w:val="left"/>
      <w:pPr>
        <w:tabs>
          <w:tab w:val="num" w:pos="1134"/>
        </w:tabs>
        <w:ind w:left="1134" w:hanging="567"/>
      </w:pPr>
      <w:rPr>
        <w:rFonts w:hint="default"/>
      </w:rPr>
    </w:lvl>
    <w:lvl w:ilvl="1">
      <w:start w:val="1"/>
      <w:numFmt w:val="none"/>
      <w:pStyle w:val="BlockText-ListContinue2"/>
      <w:lvlText w:val=""/>
      <w:lvlJc w:val="left"/>
      <w:pPr>
        <w:tabs>
          <w:tab w:val="num" w:pos="1701"/>
        </w:tabs>
        <w:ind w:left="1701" w:hanging="567"/>
      </w:pPr>
      <w:rPr>
        <w:rFonts w:hint="default"/>
      </w:rPr>
    </w:lvl>
    <w:lvl w:ilvl="2">
      <w:start w:val="1"/>
      <w:numFmt w:val="none"/>
      <w:pStyle w:val="BlockText-ListContinue3"/>
      <w:lvlText w:val=""/>
      <w:lvlJc w:val="left"/>
      <w:pPr>
        <w:tabs>
          <w:tab w:val="num" w:pos="2268"/>
        </w:tabs>
        <w:ind w:left="2268" w:hanging="567"/>
      </w:pPr>
      <w:rPr>
        <w:rFonts w:hint="default"/>
      </w:rPr>
    </w:lvl>
    <w:lvl w:ilvl="3">
      <w:start w:val="1"/>
      <w:numFmt w:val="none"/>
      <w:pStyle w:val="BlockText-ListContinue4"/>
      <w:lvlText w:val=""/>
      <w:lvlJc w:val="left"/>
      <w:pPr>
        <w:tabs>
          <w:tab w:val="num" w:pos="2835"/>
        </w:tabs>
        <w:ind w:left="2835" w:hanging="567"/>
      </w:pPr>
      <w:rPr>
        <w:rFonts w:hint="default"/>
      </w:rPr>
    </w:lvl>
    <w:lvl w:ilvl="4">
      <w:start w:val="1"/>
      <w:numFmt w:val="none"/>
      <w:pStyle w:val="BlockText-ListContinue5"/>
      <w:lvlText w:val=""/>
      <w:lvlJc w:val="left"/>
      <w:pPr>
        <w:tabs>
          <w:tab w:val="num" w:pos="3402"/>
        </w:tabs>
        <w:ind w:left="3402" w:hanging="567"/>
      </w:pPr>
      <w:rPr>
        <w:rFonts w:hint="default"/>
      </w:rPr>
    </w:lvl>
    <w:lvl w:ilvl="5">
      <w:start w:val="1"/>
      <w:numFmt w:val="none"/>
      <w:lvlText w:val=""/>
      <w:lvlJc w:val="left"/>
      <w:pPr>
        <w:tabs>
          <w:tab w:val="num" w:pos="2727"/>
        </w:tabs>
        <w:ind w:left="2727" w:hanging="360"/>
      </w:pPr>
      <w:rPr>
        <w:rFonts w:hint="default"/>
      </w:rPr>
    </w:lvl>
    <w:lvl w:ilvl="6">
      <w:start w:val="1"/>
      <w:numFmt w:val="none"/>
      <w:lvlText w:val=""/>
      <w:lvlJc w:val="left"/>
      <w:pPr>
        <w:tabs>
          <w:tab w:val="num" w:pos="3087"/>
        </w:tabs>
        <w:ind w:left="3087" w:hanging="360"/>
      </w:pPr>
      <w:rPr>
        <w:rFonts w:hint="default"/>
      </w:rPr>
    </w:lvl>
    <w:lvl w:ilvl="7">
      <w:start w:val="1"/>
      <w:numFmt w:val="none"/>
      <w:lvlText w:val=""/>
      <w:lvlJc w:val="left"/>
      <w:pPr>
        <w:tabs>
          <w:tab w:val="num" w:pos="3447"/>
        </w:tabs>
        <w:ind w:left="3447" w:hanging="360"/>
      </w:pPr>
      <w:rPr>
        <w:rFonts w:hint="default"/>
      </w:rPr>
    </w:lvl>
    <w:lvl w:ilvl="8">
      <w:start w:val="1"/>
      <w:numFmt w:val="none"/>
      <w:lvlText w:val=""/>
      <w:lvlJc w:val="left"/>
      <w:pPr>
        <w:tabs>
          <w:tab w:val="num" w:pos="3807"/>
        </w:tabs>
        <w:ind w:left="3807" w:hanging="360"/>
      </w:pPr>
      <w:rPr>
        <w:rFonts w:hint="default"/>
      </w:rPr>
    </w:lvl>
  </w:abstractNum>
  <w:abstractNum w:abstractNumId="17" w15:restartNumberingAfterBreak="0">
    <w:nsid w:val="36CD1F83"/>
    <w:multiLevelType w:val="multilevel"/>
    <w:tmpl w:val="538A4656"/>
    <w:lvl w:ilvl="0">
      <w:start w:val="1"/>
      <w:numFmt w:val="lowerRoman"/>
      <w:lvlText w:val="%1."/>
      <w:lvlJc w:val="left"/>
      <w:pPr>
        <w:tabs>
          <w:tab w:val="num" w:pos="360"/>
        </w:tabs>
        <w:ind w:left="360" w:hanging="360"/>
      </w:pPr>
      <w:rPr>
        <w:rFonts w:hint="default"/>
        <w:b w:val="0"/>
        <w:i w:val="0"/>
        <w:color w:val="auto"/>
      </w:rPr>
    </w:lvl>
    <w:lvl w:ilvl="1">
      <w:start w:val="1"/>
      <w:numFmt w:val="lowerRoman"/>
      <w:lvlText w:val="%2."/>
      <w:lvlJc w:val="left"/>
      <w:pPr>
        <w:tabs>
          <w:tab w:val="num" w:pos="720"/>
        </w:tabs>
        <w:ind w:left="720" w:hanging="360"/>
      </w:pPr>
      <w:rPr>
        <w:rFonts w:hint="default"/>
        <w:b w:val="0"/>
        <w:i w:val="0"/>
        <w:color w:val="auto"/>
      </w:rPr>
    </w:lvl>
    <w:lvl w:ilvl="2">
      <w:start w:val="1"/>
      <w:numFmt w:val="lowerRoman"/>
      <w:lvlText w:val="%3."/>
      <w:lvlJc w:val="left"/>
      <w:pPr>
        <w:tabs>
          <w:tab w:val="num" w:pos="1080"/>
        </w:tabs>
        <w:ind w:left="1080" w:hanging="360"/>
      </w:pPr>
      <w:rPr>
        <w:rFonts w:hint="default"/>
        <w:b w:val="0"/>
        <w:i w:val="0"/>
        <w:color w:val="auto"/>
      </w:rPr>
    </w:lvl>
    <w:lvl w:ilvl="3">
      <w:start w:val="1"/>
      <w:numFmt w:val="lowerRoman"/>
      <w:lvlText w:val="%4."/>
      <w:lvlJc w:val="left"/>
      <w:pPr>
        <w:tabs>
          <w:tab w:val="num" w:pos="1440"/>
        </w:tabs>
        <w:ind w:left="1440" w:hanging="360"/>
      </w:pPr>
      <w:rPr>
        <w:rFonts w:hint="default"/>
        <w:b w:val="0"/>
        <w:i w:val="0"/>
        <w:color w:val="auto"/>
      </w:rPr>
    </w:lvl>
    <w:lvl w:ilvl="4">
      <w:start w:val="1"/>
      <w:numFmt w:val="lowerRoman"/>
      <w:lvlText w:val="%5."/>
      <w:lvlJc w:val="left"/>
      <w:pPr>
        <w:tabs>
          <w:tab w:val="num" w:pos="1800"/>
        </w:tabs>
        <w:ind w:left="1800" w:hanging="360"/>
      </w:pPr>
      <w:rPr>
        <w:rFonts w:hint="default"/>
        <w:b w:val="0"/>
        <w:i w:val="0"/>
        <w:color w:val="auto"/>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8" w15:restartNumberingAfterBreak="0">
    <w:nsid w:val="40A652B7"/>
    <w:multiLevelType w:val="multilevel"/>
    <w:tmpl w:val="8A1A986E"/>
    <w:styleLink w:val="111111"/>
    <w:lvl w:ilvl="0">
      <w:start w:val="1"/>
      <w:numFmt w:val="decimal"/>
      <w:suff w:val="space"/>
      <w:lvlText w:val="%1."/>
      <w:lvlJc w:val="left"/>
      <w:pPr>
        <w:ind w:left="284" w:hanging="284"/>
      </w:pPr>
      <w:rPr>
        <w:rFonts w:hint="default"/>
      </w:rPr>
    </w:lvl>
    <w:lvl w:ilvl="1">
      <w:start w:val="1"/>
      <w:numFmt w:val="decimal"/>
      <w:suff w:val="space"/>
      <w:lvlText w:val="%1.%2."/>
      <w:lvlJc w:val="left"/>
      <w:pPr>
        <w:ind w:left="567" w:hanging="567"/>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9" w15:restartNumberingAfterBreak="0">
    <w:nsid w:val="4E303B0C"/>
    <w:multiLevelType w:val="multilevel"/>
    <w:tmpl w:val="08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15:restartNumberingAfterBreak="0">
    <w:nsid w:val="4ED22684"/>
    <w:multiLevelType w:val="multilevel"/>
    <w:tmpl w:val="B46AF934"/>
    <w:lvl w:ilvl="0">
      <w:start w:val="1"/>
      <w:numFmt w:val="bullet"/>
      <w:pStyle w:val="Table-ListBullet"/>
      <w:lvlText w:val=""/>
      <w:lvlJc w:val="left"/>
      <w:pPr>
        <w:tabs>
          <w:tab w:val="num" w:pos="284"/>
        </w:tabs>
        <w:ind w:left="284" w:hanging="284"/>
      </w:pPr>
      <w:rPr>
        <w:rFonts w:ascii="Symbol" w:hAnsi="Symbol" w:hint="default"/>
        <w:b w:val="0"/>
        <w:i w:val="0"/>
        <w:color w:val="005984"/>
        <w:sz w:val="18"/>
      </w:rPr>
    </w:lvl>
    <w:lvl w:ilvl="1">
      <w:start w:val="1"/>
      <w:numFmt w:val="bullet"/>
      <w:pStyle w:val="Table-ListBullet2"/>
      <w:lvlText w:val=""/>
      <w:lvlJc w:val="left"/>
      <w:pPr>
        <w:tabs>
          <w:tab w:val="num" w:pos="567"/>
        </w:tabs>
        <w:ind w:left="567" w:hanging="283"/>
      </w:pPr>
      <w:rPr>
        <w:rFonts w:ascii="Symbol" w:hAnsi="Symbol" w:hint="default"/>
        <w:color w:val="005984"/>
        <w:sz w:val="18"/>
      </w:rPr>
    </w:lvl>
    <w:lvl w:ilvl="2">
      <w:start w:val="1"/>
      <w:numFmt w:val="bullet"/>
      <w:pStyle w:val="Table-ListBullet3"/>
      <w:lvlText w:val=""/>
      <w:lvlJc w:val="left"/>
      <w:pPr>
        <w:tabs>
          <w:tab w:val="num" w:pos="851"/>
        </w:tabs>
        <w:ind w:left="851" w:hanging="284"/>
      </w:pPr>
      <w:rPr>
        <w:rFonts w:ascii="Symbol" w:hAnsi="Symbol" w:hint="default"/>
        <w:color w:val="005984"/>
        <w:sz w:val="18"/>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1" w15:restartNumberingAfterBreak="0">
    <w:nsid w:val="5532156C"/>
    <w:multiLevelType w:val="multilevel"/>
    <w:tmpl w:val="6A9697C2"/>
    <w:styleLink w:val="1ai"/>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22" w15:restartNumberingAfterBreak="0">
    <w:nsid w:val="55735B65"/>
    <w:multiLevelType w:val="multilevel"/>
    <w:tmpl w:val="447EF884"/>
    <w:lvl w:ilvl="0">
      <w:start w:val="1"/>
      <w:numFmt w:val="lowerRoman"/>
      <w:pStyle w:val="BlockText-ListRoman"/>
      <w:lvlText w:val="%1."/>
      <w:lvlJc w:val="left"/>
      <w:pPr>
        <w:tabs>
          <w:tab w:val="num" w:pos="1134"/>
        </w:tabs>
        <w:ind w:left="1134" w:hanging="567"/>
      </w:pPr>
      <w:rPr>
        <w:rFonts w:hint="default"/>
      </w:rPr>
    </w:lvl>
    <w:lvl w:ilvl="1">
      <w:start w:val="1"/>
      <w:numFmt w:val="lowerRoman"/>
      <w:pStyle w:val="BlockText-ListRoman2"/>
      <w:lvlText w:val="%2."/>
      <w:lvlJc w:val="left"/>
      <w:pPr>
        <w:tabs>
          <w:tab w:val="num" w:pos="1701"/>
        </w:tabs>
        <w:ind w:left="1701" w:hanging="567"/>
      </w:pPr>
      <w:rPr>
        <w:rFonts w:hint="default"/>
      </w:rPr>
    </w:lvl>
    <w:lvl w:ilvl="2">
      <w:start w:val="1"/>
      <w:numFmt w:val="lowerRoman"/>
      <w:pStyle w:val="BlockText-ListRoman3"/>
      <w:lvlText w:val="%3."/>
      <w:lvlJc w:val="left"/>
      <w:pPr>
        <w:tabs>
          <w:tab w:val="num" w:pos="2268"/>
        </w:tabs>
        <w:ind w:left="2268" w:hanging="567"/>
      </w:pPr>
      <w:rPr>
        <w:rFonts w:hint="default"/>
      </w:rPr>
    </w:lvl>
    <w:lvl w:ilvl="3">
      <w:start w:val="1"/>
      <w:numFmt w:val="lowerRoman"/>
      <w:pStyle w:val="BlockText-ListRoman4"/>
      <w:lvlText w:val="%4."/>
      <w:lvlJc w:val="left"/>
      <w:pPr>
        <w:tabs>
          <w:tab w:val="num" w:pos="2835"/>
        </w:tabs>
        <w:ind w:left="2835" w:hanging="567"/>
      </w:pPr>
      <w:rPr>
        <w:rFonts w:hint="default"/>
      </w:rPr>
    </w:lvl>
    <w:lvl w:ilvl="4">
      <w:start w:val="1"/>
      <w:numFmt w:val="lowerRoman"/>
      <w:pStyle w:val="BlockText-ListRoman5"/>
      <w:lvlText w:val="%5."/>
      <w:lvlJc w:val="left"/>
      <w:pPr>
        <w:tabs>
          <w:tab w:val="num" w:pos="3402"/>
        </w:tabs>
        <w:ind w:left="3402" w:hanging="567"/>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3" w15:restartNumberingAfterBreak="0">
    <w:nsid w:val="5B796D78"/>
    <w:multiLevelType w:val="multilevel"/>
    <w:tmpl w:val="26F4C10A"/>
    <w:lvl w:ilvl="0">
      <w:start w:val="1"/>
      <w:numFmt w:val="lowerRoman"/>
      <w:pStyle w:val="ListRoman"/>
      <w:lvlText w:val="%1."/>
      <w:lvlJc w:val="left"/>
      <w:pPr>
        <w:tabs>
          <w:tab w:val="num" w:pos="567"/>
        </w:tabs>
        <w:ind w:left="567" w:hanging="567"/>
      </w:pPr>
      <w:rPr>
        <w:rFonts w:hint="default"/>
        <w:b w:val="0"/>
        <w:i w:val="0"/>
        <w:color w:val="auto"/>
      </w:rPr>
    </w:lvl>
    <w:lvl w:ilvl="1">
      <w:start w:val="1"/>
      <w:numFmt w:val="lowerRoman"/>
      <w:pStyle w:val="ListRoman2"/>
      <w:lvlText w:val="%2."/>
      <w:lvlJc w:val="left"/>
      <w:pPr>
        <w:tabs>
          <w:tab w:val="num" w:pos="1134"/>
        </w:tabs>
        <w:ind w:left="1134" w:hanging="567"/>
      </w:pPr>
      <w:rPr>
        <w:rFonts w:hint="default"/>
        <w:b w:val="0"/>
        <w:i w:val="0"/>
        <w:color w:val="auto"/>
      </w:rPr>
    </w:lvl>
    <w:lvl w:ilvl="2">
      <w:start w:val="1"/>
      <w:numFmt w:val="lowerRoman"/>
      <w:pStyle w:val="ListRoman3"/>
      <w:lvlText w:val="%3."/>
      <w:lvlJc w:val="left"/>
      <w:pPr>
        <w:tabs>
          <w:tab w:val="num" w:pos="1701"/>
        </w:tabs>
        <w:ind w:left="1701" w:hanging="567"/>
      </w:pPr>
      <w:rPr>
        <w:rFonts w:hint="default"/>
        <w:b w:val="0"/>
        <w:i w:val="0"/>
        <w:color w:val="auto"/>
      </w:rPr>
    </w:lvl>
    <w:lvl w:ilvl="3">
      <w:start w:val="1"/>
      <w:numFmt w:val="lowerRoman"/>
      <w:pStyle w:val="ListRoman4"/>
      <w:lvlText w:val="%4."/>
      <w:lvlJc w:val="left"/>
      <w:pPr>
        <w:tabs>
          <w:tab w:val="num" w:pos="2268"/>
        </w:tabs>
        <w:ind w:left="2268" w:hanging="567"/>
      </w:pPr>
      <w:rPr>
        <w:rFonts w:hint="default"/>
        <w:b w:val="0"/>
        <w:i w:val="0"/>
        <w:color w:val="auto"/>
      </w:rPr>
    </w:lvl>
    <w:lvl w:ilvl="4">
      <w:start w:val="1"/>
      <w:numFmt w:val="lowerRoman"/>
      <w:pStyle w:val="ListRoman5"/>
      <w:lvlText w:val="%5."/>
      <w:lvlJc w:val="left"/>
      <w:pPr>
        <w:tabs>
          <w:tab w:val="num" w:pos="2835"/>
        </w:tabs>
        <w:ind w:left="2835" w:hanging="567"/>
      </w:pPr>
      <w:rPr>
        <w:rFonts w:hint="default"/>
        <w:b w:val="0"/>
        <w:i w:val="0"/>
        <w:color w:val="auto"/>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4" w15:restartNumberingAfterBreak="0">
    <w:nsid w:val="63395E5F"/>
    <w:multiLevelType w:val="multilevel"/>
    <w:tmpl w:val="7AA80116"/>
    <w:lvl w:ilvl="0">
      <w:start w:val="1"/>
      <w:numFmt w:val="none"/>
      <w:pStyle w:val="ListContinue"/>
      <w:lvlText w:val=""/>
      <w:lvlJc w:val="left"/>
      <w:pPr>
        <w:tabs>
          <w:tab w:val="num" w:pos="567"/>
        </w:tabs>
        <w:ind w:left="567" w:hanging="567"/>
      </w:pPr>
      <w:rPr>
        <w:rFonts w:hint="default"/>
      </w:rPr>
    </w:lvl>
    <w:lvl w:ilvl="1">
      <w:start w:val="1"/>
      <w:numFmt w:val="none"/>
      <w:pStyle w:val="ListContinue2"/>
      <w:lvlText w:val=""/>
      <w:lvlJc w:val="left"/>
      <w:pPr>
        <w:tabs>
          <w:tab w:val="num" w:pos="1134"/>
        </w:tabs>
        <w:ind w:left="1134" w:hanging="567"/>
      </w:pPr>
      <w:rPr>
        <w:rFonts w:hint="default"/>
      </w:rPr>
    </w:lvl>
    <w:lvl w:ilvl="2">
      <w:start w:val="1"/>
      <w:numFmt w:val="none"/>
      <w:pStyle w:val="ListContinue3"/>
      <w:lvlText w:val=""/>
      <w:lvlJc w:val="left"/>
      <w:pPr>
        <w:tabs>
          <w:tab w:val="num" w:pos="1701"/>
        </w:tabs>
        <w:ind w:left="1701" w:hanging="567"/>
      </w:pPr>
      <w:rPr>
        <w:rFonts w:hint="default"/>
      </w:rPr>
    </w:lvl>
    <w:lvl w:ilvl="3">
      <w:start w:val="1"/>
      <w:numFmt w:val="none"/>
      <w:pStyle w:val="ListContinue4"/>
      <w:lvlText w:val=""/>
      <w:lvlJc w:val="left"/>
      <w:pPr>
        <w:tabs>
          <w:tab w:val="num" w:pos="2268"/>
        </w:tabs>
        <w:ind w:left="2268" w:hanging="567"/>
      </w:pPr>
      <w:rPr>
        <w:rFonts w:hint="default"/>
      </w:rPr>
    </w:lvl>
    <w:lvl w:ilvl="4">
      <w:start w:val="1"/>
      <w:numFmt w:val="none"/>
      <w:pStyle w:val="ListContinue5"/>
      <w:lvlText w:val=""/>
      <w:lvlJc w:val="left"/>
      <w:pPr>
        <w:tabs>
          <w:tab w:val="num" w:pos="2835"/>
        </w:tabs>
        <w:ind w:left="2835" w:hanging="567"/>
      </w:pPr>
      <w:rPr>
        <w:rFonts w:hint="default"/>
      </w:rPr>
    </w:lvl>
    <w:lvl w:ilvl="5">
      <w:start w:val="1"/>
      <w:numFmt w:val="none"/>
      <w:lvlText w:val=""/>
      <w:lvlJc w:val="left"/>
      <w:pPr>
        <w:tabs>
          <w:tab w:val="num" w:pos="3402"/>
        </w:tabs>
        <w:ind w:left="3402" w:hanging="567"/>
      </w:pPr>
      <w:rPr>
        <w:rFonts w:hint="default"/>
      </w:rPr>
    </w:lvl>
    <w:lvl w:ilvl="6">
      <w:start w:val="1"/>
      <w:numFmt w:val="none"/>
      <w:lvlText w:val=""/>
      <w:lvlJc w:val="left"/>
      <w:pPr>
        <w:tabs>
          <w:tab w:val="num" w:pos="3969"/>
        </w:tabs>
        <w:ind w:left="3969" w:hanging="567"/>
      </w:pPr>
      <w:rPr>
        <w:rFonts w:hint="default"/>
      </w:rPr>
    </w:lvl>
    <w:lvl w:ilvl="7">
      <w:start w:val="1"/>
      <w:numFmt w:val="none"/>
      <w:lvlText w:val=""/>
      <w:lvlJc w:val="left"/>
      <w:pPr>
        <w:tabs>
          <w:tab w:val="num" w:pos="4536"/>
        </w:tabs>
        <w:ind w:left="4536" w:hanging="567"/>
      </w:pPr>
      <w:rPr>
        <w:rFonts w:hint="default"/>
      </w:rPr>
    </w:lvl>
    <w:lvl w:ilvl="8">
      <w:start w:val="1"/>
      <w:numFmt w:val="none"/>
      <w:lvlText w:val=""/>
      <w:lvlJc w:val="left"/>
      <w:pPr>
        <w:tabs>
          <w:tab w:val="num" w:pos="5103"/>
        </w:tabs>
        <w:ind w:left="5103" w:hanging="567"/>
      </w:pPr>
      <w:rPr>
        <w:rFonts w:hint="default"/>
      </w:rPr>
    </w:lvl>
  </w:abstractNum>
  <w:abstractNum w:abstractNumId="25" w15:restartNumberingAfterBreak="0">
    <w:nsid w:val="65E1428C"/>
    <w:multiLevelType w:val="multilevel"/>
    <w:tmpl w:val="20F23230"/>
    <w:lvl w:ilvl="0">
      <w:start w:val="1"/>
      <w:numFmt w:val="bullet"/>
      <w:lvlText w:val=""/>
      <w:lvlJc w:val="left"/>
      <w:pPr>
        <w:tabs>
          <w:tab w:val="num" w:pos="1134"/>
        </w:tabs>
        <w:ind w:left="1134" w:hanging="567"/>
      </w:pPr>
      <w:rPr>
        <w:rFonts w:ascii="Symbol" w:hAnsi="Symbol" w:hint="default"/>
        <w:b w:val="0"/>
        <w:i w:val="0"/>
        <w:color w:val="005984"/>
        <w:sz w:val="22"/>
      </w:rPr>
    </w:lvl>
    <w:lvl w:ilvl="1">
      <w:start w:val="1"/>
      <w:numFmt w:val="bullet"/>
      <w:lvlText w:val=""/>
      <w:lvlJc w:val="left"/>
      <w:pPr>
        <w:tabs>
          <w:tab w:val="num" w:pos="1701"/>
        </w:tabs>
        <w:ind w:left="1701" w:hanging="567"/>
      </w:pPr>
      <w:rPr>
        <w:rFonts w:ascii="Symbol" w:hAnsi="Symbol" w:hint="default"/>
        <w:color w:val="005984"/>
        <w:sz w:val="22"/>
      </w:rPr>
    </w:lvl>
    <w:lvl w:ilvl="2">
      <w:start w:val="1"/>
      <w:numFmt w:val="bullet"/>
      <w:lvlText w:val=""/>
      <w:lvlJc w:val="left"/>
      <w:pPr>
        <w:tabs>
          <w:tab w:val="num" w:pos="2268"/>
        </w:tabs>
        <w:ind w:left="2268" w:hanging="567"/>
      </w:pPr>
      <w:rPr>
        <w:rFonts w:ascii="Symbol" w:hAnsi="Symbol" w:hint="default"/>
        <w:color w:val="005984"/>
        <w:sz w:val="22"/>
      </w:rPr>
    </w:lvl>
    <w:lvl w:ilvl="3">
      <w:start w:val="1"/>
      <w:numFmt w:val="bullet"/>
      <w:lvlText w:val=""/>
      <w:lvlJc w:val="left"/>
      <w:pPr>
        <w:tabs>
          <w:tab w:val="num" w:pos="2835"/>
        </w:tabs>
        <w:ind w:left="2835" w:hanging="567"/>
      </w:pPr>
      <w:rPr>
        <w:rFonts w:ascii="Symbol" w:hAnsi="Symbol" w:hint="default"/>
        <w:color w:val="005984"/>
        <w:sz w:val="22"/>
      </w:rPr>
    </w:lvl>
    <w:lvl w:ilvl="4">
      <w:start w:val="1"/>
      <w:numFmt w:val="bullet"/>
      <w:lvlText w:val=""/>
      <w:lvlJc w:val="left"/>
      <w:pPr>
        <w:tabs>
          <w:tab w:val="num" w:pos="3402"/>
        </w:tabs>
        <w:ind w:left="3402" w:hanging="567"/>
      </w:pPr>
      <w:rPr>
        <w:rFonts w:ascii="Symbol" w:hAnsi="Symbol" w:hint="default"/>
        <w:color w:val="005984"/>
        <w:sz w:val="22"/>
      </w:rPr>
    </w:lvl>
    <w:lvl w:ilvl="5">
      <w:start w:val="1"/>
      <w:numFmt w:val="none"/>
      <w:lvlText w:val=""/>
      <w:lvlJc w:val="left"/>
      <w:pPr>
        <w:tabs>
          <w:tab w:val="num" w:pos="2727"/>
        </w:tabs>
        <w:ind w:left="2727" w:hanging="360"/>
      </w:pPr>
      <w:rPr>
        <w:rFonts w:hint="default"/>
      </w:rPr>
    </w:lvl>
    <w:lvl w:ilvl="6">
      <w:start w:val="1"/>
      <w:numFmt w:val="none"/>
      <w:lvlText w:val=""/>
      <w:lvlJc w:val="left"/>
      <w:pPr>
        <w:tabs>
          <w:tab w:val="num" w:pos="3087"/>
        </w:tabs>
        <w:ind w:left="3087" w:hanging="360"/>
      </w:pPr>
      <w:rPr>
        <w:rFonts w:hint="default"/>
      </w:rPr>
    </w:lvl>
    <w:lvl w:ilvl="7">
      <w:start w:val="1"/>
      <w:numFmt w:val="none"/>
      <w:lvlText w:val=""/>
      <w:lvlJc w:val="left"/>
      <w:pPr>
        <w:tabs>
          <w:tab w:val="num" w:pos="3447"/>
        </w:tabs>
        <w:ind w:left="3447" w:hanging="360"/>
      </w:pPr>
      <w:rPr>
        <w:rFonts w:hint="default"/>
      </w:rPr>
    </w:lvl>
    <w:lvl w:ilvl="8">
      <w:start w:val="1"/>
      <w:numFmt w:val="none"/>
      <w:lvlText w:val=""/>
      <w:lvlJc w:val="left"/>
      <w:pPr>
        <w:tabs>
          <w:tab w:val="num" w:pos="3807"/>
        </w:tabs>
        <w:ind w:left="3807" w:hanging="360"/>
      </w:pPr>
      <w:rPr>
        <w:rFonts w:hint="default"/>
      </w:rPr>
    </w:lvl>
  </w:abstractNum>
  <w:abstractNum w:abstractNumId="26" w15:restartNumberingAfterBreak="0">
    <w:nsid w:val="68D875D3"/>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6D743BDB"/>
    <w:multiLevelType w:val="hybridMultilevel"/>
    <w:tmpl w:val="DF52D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EB573C2"/>
    <w:multiLevelType w:val="hybridMultilevel"/>
    <w:tmpl w:val="5FBADC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21"/>
  </w:num>
  <w:num w:numId="4">
    <w:abstractNumId w:val="19"/>
  </w:num>
  <w:num w:numId="5">
    <w:abstractNumId w:val="18"/>
  </w:num>
  <w:num w:numId="6">
    <w:abstractNumId w:val="20"/>
  </w:num>
  <w:num w:numId="7">
    <w:abstractNumId w:val="12"/>
  </w:num>
  <w:num w:numId="8">
    <w:abstractNumId w:val="24"/>
  </w:num>
  <w:num w:numId="9">
    <w:abstractNumId w:val="9"/>
  </w:num>
  <w:num w:numId="10">
    <w:abstractNumId w:val="23"/>
  </w:num>
  <w:num w:numId="11">
    <w:abstractNumId w:val="11"/>
  </w:num>
  <w:num w:numId="12">
    <w:abstractNumId w:val="5"/>
  </w:num>
  <w:num w:numId="13">
    <w:abstractNumId w:val="22"/>
  </w:num>
  <w:num w:numId="14">
    <w:abstractNumId w:val="13"/>
  </w:num>
  <w:num w:numId="15">
    <w:abstractNumId w:val="14"/>
  </w:num>
  <w:num w:numId="16">
    <w:abstractNumId w:val="7"/>
  </w:num>
  <w:num w:numId="17">
    <w:abstractNumId w:val="17"/>
  </w:num>
  <w:num w:numId="18">
    <w:abstractNumId w:val="4"/>
  </w:num>
  <w:num w:numId="19">
    <w:abstractNumId w:val="2"/>
  </w:num>
  <w:num w:numId="20">
    <w:abstractNumId w:val="1"/>
  </w:num>
  <w:num w:numId="21">
    <w:abstractNumId w:val="3"/>
  </w:num>
  <w:num w:numId="22">
    <w:abstractNumId w:val="0"/>
  </w:num>
  <w:num w:numId="23">
    <w:abstractNumId w:val="16"/>
  </w:num>
  <w:num w:numId="24">
    <w:abstractNumId w:val="26"/>
  </w:num>
  <w:num w:numId="25">
    <w:abstractNumId w:val="25"/>
  </w:num>
  <w:num w:numId="26">
    <w:abstractNumId w:val="15"/>
  </w:num>
  <w:num w:numId="27">
    <w:abstractNumId w:val="6"/>
  </w:num>
  <w:num w:numId="28">
    <w:abstractNumId w:val="27"/>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efaultTableStyle w:val="TableGrid"/>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0FF8"/>
    <w:rsid w:val="0000015B"/>
    <w:rsid w:val="00000585"/>
    <w:rsid w:val="00001157"/>
    <w:rsid w:val="00001CC1"/>
    <w:rsid w:val="0000255E"/>
    <w:rsid w:val="0000261B"/>
    <w:rsid w:val="000027A8"/>
    <w:rsid w:val="00002C41"/>
    <w:rsid w:val="000040BA"/>
    <w:rsid w:val="00004697"/>
    <w:rsid w:val="00004C9A"/>
    <w:rsid w:val="00004FE8"/>
    <w:rsid w:val="0000517C"/>
    <w:rsid w:val="0000588C"/>
    <w:rsid w:val="00005A28"/>
    <w:rsid w:val="00005AF7"/>
    <w:rsid w:val="00005B30"/>
    <w:rsid w:val="00005FF4"/>
    <w:rsid w:val="00006772"/>
    <w:rsid w:val="00006B64"/>
    <w:rsid w:val="00007467"/>
    <w:rsid w:val="00007AF0"/>
    <w:rsid w:val="00010F14"/>
    <w:rsid w:val="000116AF"/>
    <w:rsid w:val="00011872"/>
    <w:rsid w:val="00011B78"/>
    <w:rsid w:val="000120D3"/>
    <w:rsid w:val="00012365"/>
    <w:rsid w:val="0001255D"/>
    <w:rsid w:val="00012633"/>
    <w:rsid w:val="00012D83"/>
    <w:rsid w:val="00012E73"/>
    <w:rsid w:val="00013052"/>
    <w:rsid w:val="000132C9"/>
    <w:rsid w:val="00013ED8"/>
    <w:rsid w:val="00014172"/>
    <w:rsid w:val="00014206"/>
    <w:rsid w:val="00014249"/>
    <w:rsid w:val="000143A5"/>
    <w:rsid w:val="00014A41"/>
    <w:rsid w:val="00014B3B"/>
    <w:rsid w:val="0001514A"/>
    <w:rsid w:val="000152FD"/>
    <w:rsid w:val="00015F7A"/>
    <w:rsid w:val="00016103"/>
    <w:rsid w:val="000162D8"/>
    <w:rsid w:val="000164F8"/>
    <w:rsid w:val="000166C8"/>
    <w:rsid w:val="00016946"/>
    <w:rsid w:val="00017087"/>
    <w:rsid w:val="00017887"/>
    <w:rsid w:val="000215B8"/>
    <w:rsid w:val="00021975"/>
    <w:rsid w:val="0002202B"/>
    <w:rsid w:val="00022381"/>
    <w:rsid w:val="0002251B"/>
    <w:rsid w:val="0002280E"/>
    <w:rsid w:val="00022CA9"/>
    <w:rsid w:val="000232B7"/>
    <w:rsid w:val="0002335A"/>
    <w:rsid w:val="000233EA"/>
    <w:rsid w:val="000236A6"/>
    <w:rsid w:val="000238CB"/>
    <w:rsid w:val="000239A2"/>
    <w:rsid w:val="00023C3F"/>
    <w:rsid w:val="0002453D"/>
    <w:rsid w:val="000246AF"/>
    <w:rsid w:val="000247E6"/>
    <w:rsid w:val="00024A48"/>
    <w:rsid w:val="00024DDE"/>
    <w:rsid w:val="00024F48"/>
    <w:rsid w:val="000252FB"/>
    <w:rsid w:val="000253A9"/>
    <w:rsid w:val="00025A2F"/>
    <w:rsid w:val="00025F23"/>
    <w:rsid w:val="00026723"/>
    <w:rsid w:val="00026A30"/>
    <w:rsid w:val="0002726C"/>
    <w:rsid w:val="000273EB"/>
    <w:rsid w:val="0002768E"/>
    <w:rsid w:val="000279C4"/>
    <w:rsid w:val="00030229"/>
    <w:rsid w:val="000302A3"/>
    <w:rsid w:val="0003057E"/>
    <w:rsid w:val="00030AAE"/>
    <w:rsid w:val="00031E30"/>
    <w:rsid w:val="00031E69"/>
    <w:rsid w:val="00031F38"/>
    <w:rsid w:val="00031FE2"/>
    <w:rsid w:val="000320C0"/>
    <w:rsid w:val="000321B4"/>
    <w:rsid w:val="000323EA"/>
    <w:rsid w:val="00032D7F"/>
    <w:rsid w:val="00032F54"/>
    <w:rsid w:val="0003306C"/>
    <w:rsid w:val="0003344E"/>
    <w:rsid w:val="00033621"/>
    <w:rsid w:val="00033717"/>
    <w:rsid w:val="00033E4C"/>
    <w:rsid w:val="000340E0"/>
    <w:rsid w:val="000343C8"/>
    <w:rsid w:val="00034610"/>
    <w:rsid w:val="00034E48"/>
    <w:rsid w:val="0003516D"/>
    <w:rsid w:val="000355EE"/>
    <w:rsid w:val="00035679"/>
    <w:rsid w:val="000358E8"/>
    <w:rsid w:val="00036236"/>
    <w:rsid w:val="00036701"/>
    <w:rsid w:val="00036EFE"/>
    <w:rsid w:val="000372C0"/>
    <w:rsid w:val="00037427"/>
    <w:rsid w:val="00037BE6"/>
    <w:rsid w:val="00040A4C"/>
    <w:rsid w:val="00040CFB"/>
    <w:rsid w:val="00040DD7"/>
    <w:rsid w:val="00040F25"/>
    <w:rsid w:val="000418AF"/>
    <w:rsid w:val="00041995"/>
    <w:rsid w:val="00041BF1"/>
    <w:rsid w:val="000420B3"/>
    <w:rsid w:val="00042382"/>
    <w:rsid w:val="00042E22"/>
    <w:rsid w:val="00042E96"/>
    <w:rsid w:val="00043919"/>
    <w:rsid w:val="00043CF4"/>
    <w:rsid w:val="00043D22"/>
    <w:rsid w:val="00043F97"/>
    <w:rsid w:val="00044716"/>
    <w:rsid w:val="000447F4"/>
    <w:rsid w:val="000449C3"/>
    <w:rsid w:val="00044A07"/>
    <w:rsid w:val="00044D90"/>
    <w:rsid w:val="0004507D"/>
    <w:rsid w:val="000454CC"/>
    <w:rsid w:val="00046717"/>
    <w:rsid w:val="00046C0E"/>
    <w:rsid w:val="00046F42"/>
    <w:rsid w:val="000471FF"/>
    <w:rsid w:val="00047B01"/>
    <w:rsid w:val="000503BF"/>
    <w:rsid w:val="00050620"/>
    <w:rsid w:val="000506CD"/>
    <w:rsid w:val="00050C3C"/>
    <w:rsid w:val="00050D10"/>
    <w:rsid w:val="00050E6A"/>
    <w:rsid w:val="0005220F"/>
    <w:rsid w:val="00053665"/>
    <w:rsid w:val="00053BED"/>
    <w:rsid w:val="00054130"/>
    <w:rsid w:val="00054338"/>
    <w:rsid w:val="000546C5"/>
    <w:rsid w:val="00054AD4"/>
    <w:rsid w:val="000550EC"/>
    <w:rsid w:val="0005513A"/>
    <w:rsid w:val="000553B2"/>
    <w:rsid w:val="00055A5F"/>
    <w:rsid w:val="00055D5E"/>
    <w:rsid w:val="00055FBF"/>
    <w:rsid w:val="00056271"/>
    <w:rsid w:val="0005637E"/>
    <w:rsid w:val="0005647A"/>
    <w:rsid w:val="00056819"/>
    <w:rsid w:val="00056969"/>
    <w:rsid w:val="000574A2"/>
    <w:rsid w:val="000576F3"/>
    <w:rsid w:val="00057763"/>
    <w:rsid w:val="00057BF2"/>
    <w:rsid w:val="00057E0F"/>
    <w:rsid w:val="00060934"/>
    <w:rsid w:val="00060E6E"/>
    <w:rsid w:val="00060F36"/>
    <w:rsid w:val="00060F8B"/>
    <w:rsid w:val="00060FF2"/>
    <w:rsid w:val="0006183F"/>
    <w:rsid w:val="00061BD0"/>
    <w:rsid w:val="00061DBB"/>
    <w:rsid w:val="00061F5A"/>
    <w:rsid w:val="00063064"/>
    <w:rsid w:val="000631D9"/>
    <w:rsid w:val="0006342A"/>
    <w:rsid w:val="0006399D"/>
    <w:rsid w:val="00063DF4"/>
    <w:rsid w:val="00063EE6"/>
    <w:rsid w:val="0006459D"/>
    <w:rsid w:val="000646B1"/>
    <w:rsid w:val="0006512C"/>
    <w:rsid w:val="0006535A"/>
    <w:rsid w:val="000659DC"/>
    <w:rsid w:val="00065AF2"/>
    <w:rsid w:val="00065BDB"/>
    <w:rsid w:val="00066893"/>
    <w:rsid w:val="00066EEC"/>
    <w:rsid w:val="00066F37"/>
    <w:rsid w:val="00067018"/>
    <w:rsid w:val="00067248"/>
    <w:rsid w:val="00067529"/>
    <w:rsid w:val="000677B2"/>
    <w:rsid w:val="00067900"/>
    <w:rsid w:val="00067A96"/>
    <w:rsid w:val="00070148"/>
    <w:rsid w:val="0007044D"/>
    <w:rsid w:val="00070586"/>
    <w:rsid w:val="0007074A"/>
    <w:rsid w:val="00071247"/>
    <w:rsid w:val="000717FA"/>
    <w:rsid w:val="00071945"/>
    <w:rsid w:val="00071BAA"/>
    <w:rsid w:val="00071BF7"/>
    <w:rsid w:val="0007290E"/>
    <w:rsid w:val="00072957"/>
    <w:rsid w:val="0007344A"/>
    <w:rsid w:val="00073589"/>
    <w:rsid w:val="000739EE"/>
    <w:rsid w:val="00073A77"/>
    <w:rsid w:val="00073E5F"/>
    <w:rsid w:val="00073F40"/>
    <w:rsid w:val="00073F60"/>
    <w:rsid w:val="0007435C"/>
    <w:rsid w:val="0007474E"/>
    <w:rsid w:val="00074EC4"/>
    <w:rsid w:val="00074F7A"/>
    <w:rsid w:val="0007523E"/>
    <w:rsid w:val="0007534D"/>
    <w:rsid w:val="00075471"/>
    <w:rsid w:val="000755E9"/>
    <w:rsid w:val="000762BD"/>
    <w:rsid w:val="00076AAA"/>
    <w:rsid w:val="00076CEF"/>
    <w:rsid w:val="00076D5C"/>
    <w:rsid w:val="00076F20"/>
    <w:rsid w:val="000771DF"/>
    <w:rsid w:val="000773D8"/>
    <w:rsid w:val="00077575"/>
    <w:rsid w:val="00077C59"/>
    <w:rsid w:val="00077FF6"/>
    <w:rsid w:val="00080AFB"/>
    <w:rsid w:val="00080F27"/>
    <w:rsid w:val="000812BB"/>
    <w:rsid w:val="00081DF2"/>
    <w:rsid w:val="00081EC0"/>
    <w:rsid w:val="00082109"/>
    <w:rsid w:val="000821EF"/>
    <w:rsid w:val="00082527"/>
    <w:rsid w:val="000825FA"/>
    <w:rsid w:val="00082CD6"/>
    <w:rsid w:val="00082E59"/>
    <w:rsid w:val="00082E7C"/>
    <w:rsid w:val="000837F9"/>
    <w:rsid w:val="00084A1D"/>
    <w:rsid w:val="00084C86"/>
    <w:rsid w:val="00084E5C"/>
    <w:rsid w:val="0008560D"/>
    <w:rsid w:val="0008599F"/>
    <w:rsid w:val="00085D47"/>
    <w:rsid w:val="00085EEB"/>
    <w:rsid w:val="00085F3A"/>
    <w:rsid w:val="00086280"/>
    <w:rsid w:val="0008672D"/>
    <w:rsid w:val="0008683F"/>
    <w:rsid w:val="00086BE3"/>
    <w:rsid w:val="00086DBE"/>
    <w:rsid w:val="00086E1B"/>
    <w:rsid w:val="00086F6B"/>
    <w:rsid w:val="00087011"/>
    <w:rsid w:val="00087369"/>
    <w:rsid w:val="000900A1"/>
    <w:rsid w:val="00090209"/>
    <w:rsid w:val="000909A8"/>
    <w:rsid w:val="000909FD"/>
    <w:rsid w:val="00090A4F"/>
    <w:rsid w:val="000910AE"/>
    <w:rsid w:val="000915C3"/>
    <w:rsid w:val="00091E3A"/>
    <w:rsid w:val="00091F32"/>
    <w:rsid w:val="000923E3"/>
    <w:rsid w:val="000923E8"/>
    <w:rsid w:val="000924F7"/>
    <w:rsid w:val="00092606"/>
    <w:rsid w:val="00092A6C"/>
    <w:rsid w:val="00092D66"/>
    <w:rsid w:val="000932CC"/>
    <w:rsid w:val="000938E3"/>
    <w:rsid w:val="00093E89"/>
    <w:rsid w:val="00094301"/>
    <w:rsid w:val="000943A8"/>
    <w:rsid w:val="00095480"/>
    <w:rsid w:val="00095769"/>
    <w:rsid w:val="00095804"/>
    <w:rsid w:val="00095E56"/>
    <w:rsid w:val="00096103"/>
    <w:rsid w:val="0009615B"/>
    <w:rsid w:val="0009660D"/>
    <w:rsid w:val="00096802"/>
    <w:rsid w:val="00096939"/>
    <w:rsid w:val="00096D8F"/>
    <w:rsid w:val="00097786"/>
    <w:rsid w:val="00097C11"/>
    <w:rsid w:val="000A056E"/>
    <w:rsid w:val="000A1539"/>
    <w:rsid w:val="000A161D"/>
    <w:rsid w:val="000A1786"/>
    <w:rsid w:val="000A21CD"/>
    <w:rsid w:val="000A2225"/>
    <w:rsid w:val="000A273E"/>
    <w:rsid w:val="000A3386"/>
    <w:rsid w:val="000A34B6"/>
    <w:rsid w:val="000A3862"/>
    <w:rsid w:val="000A3ABE"/>
    <w:rsid w:val="000A3BFE"/>
    <w:rsid w:val="000A3DD1"/>
    <w:rsid w:val="000A435D"/>
    <w:rsid w:val="000A4B05"/>
    <w:rsid w:val="000A501C"/>
    <w:rsid w:val="000A5475"/>
    <w:rsid w:val="000A593A"/>
    <w:rsid w:val="000A59FF"/>
    <w:rsid w:val="000A5C70"/>
    <w:rsid w:val="000A61ED"/>
    <w:rsid w:val="000A65BC"/>
    <w:rsid w:val="000A6756"/>
    <w:rsid w:val="000A6DFF"/>
    <w:rsid w:val="000A762F"/>
    <w:rsid w:val="000A7647"/>
    <w:rsid w:val="000A76C9"/>
    <w:rsid w:val="000A7934"/>
    <w:rsid w:val="000A7A09"/>
    <w:rsid w:val="000A7F11"/>
    <w:rsid w:val="000B0144"/>
    <w:rsid w:val="000B0386"/>
    <w:rsid w:val="000B039C"/>
    <w:rsid w:val="000B07D4"/>
    <w:rsid w:val="000B1357"/>
    <w:rsid w:val="000B16EF"/>
    <w:rsid w:val="000B1876"/>
    <w:rsid w:val="000B2114"/>
    <w:rsid w:val="000B228D"/>
    <w:rsid w:val="000B2A20"/>
    <w:rsid w:val="000B2AF8"/>
    <w:rsid w:val="000B35E3"/>
    <w:rsid w:val="000B4051"/>
    <w:rsid w:val="000B4866"/>
    <w:rsid w:val="000B4A23"/>
    <w:rsid w:val="000B54FC"/>
    <w:rsid w:val="000B58B6"/>
    <w:rsid w:val="000B5CDA"/>
    <w:rsid w:val="000B69F9"/>
    <w:rsid w:val="000B6B81"/>
    <w:rsid w:val="000B6F08"/>
    <w:rsid w:val="000B705F"/>
    <w:rsid w:val="000B7BA2"/>
    <w:rsid w:val="000B7BBB"/>
    <w:rsid w:val="000C03B8"/>
    <w:rsid w:val="000C0563"/>
    <w:rsid w:val="000C06D1"/>
    <w:rsid w:val="000C0C16"/>
    <w:rsid w:val="000C1329"/>
    <w:rsid w:val="000C1B6B"/>
    <w:rsid w:val="000C22A7"/>
    <w:rsid w:val="000C3359"/>
    <w:rsid w:val="000C363D"/>
    <w:rsid w:val="000C37C8"/>
    <w:rsid w:val="000C4D93"/>
    <w:rsid w:val="000C52BB"/>
    <w:rsid w:val="000C5437"/>
    <w:rsid w:val="000C57A3"/>
    <w:rsid w:val="000C5BD7"/>
    <w:rsid w:val="000C5D11"/>
    <w:rsid w:val="000C60EE"/>
    <w:rsid w:val="000C662B"/>
    <w:rsid w:val="000C6F98"/>
    <w:rsid w:val="000C7B0F"/>
    <w:rsid w:val="000C7C48"/>
    <w:rsid w:val="000D0B03"/>
    <w:rsid w:val="000D0F69"/>
    <w:rsid w:val="000D108B"/>
    <w:rsid w:val="000D1282"/>
    <w:rsid w:val="000D1B74"/>
    <w:rsid w:val="000D1EE1"/>
    <w:rsid w:val="000D1F22"/>
    <w:rsid w:val="000D23EA"/>
    <w:rsid w:val="000D27EB"/>
    <w:rsid w:val="000D3102"/>
    <w:rsid w:val="000D32E6"/>
    <w:rsid w:val="000D3721"/>
    <w:rsid w:val="000D3F21"/>
    <w:rsid w:val="000D4915"/>
    <w:rsid w:val="000D4CA8"/>
    <w:rsid w:val="000D51EE"/>
    <w:rsid w:val="000D52C3"/>
    <w:rsid w:val="000D5432"/>
    <w:rsid w:val="000D5CD8"/>
    <w:rsid w:val="000D5DE6"/>
    <w:rsid w:val="000D6BB1"/>
    <w:rsid w:val="000D6BB2"/>
    <w:rsid w:val="000D71DB"/>
    <w:rsid w:val="000D7415"/>
    <w:rsid w:val="000E0D39"/>
    <w:rsid w:val="000E0D95"/>
    <w:rsid w:val="000E1A65"/>
    <w:rsid w:val="000E1A74"/>
    <w:rsid w:val="000E1C2E"/>
    <w:rsid w:val="000E1E14"/>
    <w:rsid w:val="000E203E"/>
    <w:rsid w:val="000E208D"/>
    <w:rsid w:val="000E20E8"/>
    <w:rsid w:val="000E2C55"/>
    <w:rsid w:val="000E31E8"/>
    <w:rsid w:val="000E3698"/>
    <w:rsid w:val="000E36BA"/>
    <w:rsid w:val="000E3D46"/>
    <w:rsid w:val="000E3E97"/>
    <w:rsid w:val="000E4AAD"/>
    <w:rsid w:val="000E4F34"/>
    <w:rsid w:val="000E5AC7"/>
    <w:rsid w:val="000E5F84"/>
    <w:rsid w:val="000E610D"/>
    <w:rsid w:val="000E65DF"/>
    <w:rsid w:val="000E6774"/>
    <w:rsid w:val="000E78F7"/>
    <w:rsid w:val="000E7E58"/>
    <w:rsid w:val="000F098E"/>
    <w:rsid w:val="000F0AA6"/>
    <w:rsid w:val="000F14F7"/>
    <w:rsid w:val="000F1A19"/>
    <w:rsid w:val="000F1CDC"/>
    <w:rsid w:val="000F1F01"/>
    <w:rsid w:val="000F262E"/>
    <w:rsid w:val="000F27FF"/>
    <w:rsid w:val="000F2E32"/>
    <w:rsid w:val="000F3557"/>
    <w:rsid w:val="000F39F4"/>
    <w:rsid w:val="000F4692"/>
    <w:rsid w:val="000F4C12"/>
    <w:rsid w:val="000F4F71"/>
    <w:rsid w:val="000F5085"/>
    <w:rsid w:val="000F56AC"/>
    <w:rsid w:val="000F5FDF"/>
    <w:rsid w:val="000F6BDC"/>
    <w:rsid w:val="000F6DC9"/>
    <w:rsid w:val="000F71B8"/>
    <w:rsid w:val="000F71FC"/>
    <w:rsid w:val="000F73C5"/>
    <w:rsid w:val="00100B87"/>
    <w:rsid w:val="00100C37"/>
    <w:rsid w:val="00100C86"/>
    <w:rsid w:val="00101080"/>
    <w:rsid w:val="00101294"/>
    <w:rsid w:val="00101373"/>
    <w:rsid w:val="0010148D"/>
    <w:rsid w:val="00101589"/>
    <w:rsid w:val="001017B4"/>
    <w:rsid w:val="001027CF"/>
    <w:rsid w:val="00102A07"/>
    <w:rsid w:val="00102D95"/>
    <w:rsid w:val="00102D9C"/>
    <w:rsid w:val="00103BE9"/>
    <w:rsid w:val="00103FC7"/>
    <w:rsid w:val="001040E9"/>
    <w:rsid w:val="001040EC"/>
    <w:rsid w:val="00104C21"/>
    <w:rsid w:val="00104FBE"/>
    <w:rsid w:val="001052A2"/>
    <w:rsid w:val="001056BD"/>
    <w:rsid w:val="0010628C"/>
    <w:rsid w:val="00106F30"/>
    <w:rsid w:val="00107469"/>
    <w:rsid w:val="0010769E"/>
    <w:rsid w:val="00107A8C"/>
    <w:rsid w:val="00110A68"/>
    <w:rsid w:val="00111019"/>
    <w:rsid w:val="001112E3"/>
    <w:rsid w:val="0011165C"/>
    <w:rsid w:val="0011178F"/>
    <w:rsid w:val="00111DEF"/>
    <w:rsid w:val="00111FB7"/>
    <w:rsid w:val="00112027"/>
    <w:rsid w:val="001120E4"/>
    <w:rsid w:val="00112C38"/>
    <w:rsid w:val="00112D44"/>
    <w:rsid w:val="00112D70"/>
    <w:rsid w:val="00113216"/>
    <w:rsid w:val="00113510"/>
    <w:rsid w:val="001135C2"/>
    <w:rsid w:val="00113866"/>
    <w:rsid w:val="00113C66"/>
    <w:rsid w:val="001145D1"/>
    <w:rsid w:val="00114787"/>
    <w:rsid w:val="001148A7"/>
    <w:rsid w:val="00114932"/>
    <w:rsid w:val="00114D34"/>
    <w:rsid w:val="00115181"/>
    <w:rsid w:val="001151A6"/>
    <w:rsid w:val="001151E6"/>
    <w:rsid w:val="00115270"/>
    <w:rsid w:val="00115794"/>
    <w:rsid w:val="00115C21"/>
    <w:rsid w:val="00116097"/>
    <w:rsid w:val="0011629A"/>
    <w:rsid w:val="0011641A"/>
    <w:rsid w:val="00116AB3"/>
    <w:rsid w:val="00116D55"/>
    <w:rsid w:val="00116F58"/>
    <w:rsid w:val="00117F25"/>
    <w:rsid w:val="0012003C"/>
    <w:rsid w:val="001204E3"/>
    <w:rsid w:val="001205A1"/>
    <w:rsid w:val="001205A4"/>
    <w:rsid w:val="00120D5D"/>
    <w:rsid w:val="00120DE1"/>
    <w:rsid w:val="0012118D"/>
    <w:rsid w:val="001213A3"/>
    <w:rsid w:val="0012177B"/>
    <w:rsid w:val="00121AE3"/>
    <w:rsid w:val="00121D44"/>
    <w:rsid w:val="00121F74"/>
    <w:rsid w:val="00122740"/>
    <w:rsid w:val="00122DF0"/>
    <w:rsid w:val="001232C5"/>
    <w:rsid w:val="00123B15"/>
    <w:rsid w:val="001244FA"/>
    <w:rsid w:val="0012505F"/>
    <w:rsid w:val="001250CD"/>
    <w:rsid w:val="001254E9"/>
    <w:rsid w:val="00125B92"/>
    <w:rsid w:val="00125C11"/>
    <w:rsid w:val="00126713"/>
    <w:rsid w:val="00126CD6"/>
    <w:rsid w:val="00126D22"/>
    <w:rsid w:val="001270EE"/>
    <w:rsid w:val="0012720B"/>
    <w:rsid w:val="0012762E"/>
    <w:rsid w:val="00127B24"/>
    <w:rsid w:val="001303D4"/>
    <w:rsid w:val="00130751"/>
    <w:rsid w:val="00131322"/>
    <w:rsid w:val="00131965"/>
    <w:rsid w:val="00131AFB"/>
    <w:rsid w:val="00131D3F"/>
    <w:rsid w:val="00131D95"/>
    <w:rsid w:val="001320F0"/>
    <w:rsid w:val="00132190"/>
    <w:rsid w:val="001324AB"/>
    <w:rsid w:val="00132552"/>
    <w:rsid w:val="0013275C"/>
    <w:rsid w:val="00132F5E"/>
    <w:rsid w:val="0013344D"/>
    <w:rsid w:val="00133C57"/>
    <w:rsid w:val="001347CA"/>
    <w:rsid w:val="00134B44"/>
    <w:rsid w:val="00134D46"/>
    <w:rsid w:val="00135A61"/>
    <w:rsid w:val="00135E66"/>
    <w:rsid w:val="00136837"/>
    <w:rsid w:val="0013698C"/>
    <w:rsid w:val="001377DE"/>
    <w:rsid w:val="0013785B"/>
    <w:rsid w:val="00137AF8"/>
    <w:rsid w:val="001405FD"/>
    <w:rsid w:val="001406ED"/>
    <w:rsid w:val="001406F1"/>
    <w:rsid w:val="00140A42"/>
    <w:rsid w:val="00140A6B"/>
    <w:rsid w:val="00140DEA"/>
    <w:rsid w:val="00141362"/>
    <w:rsid w:val="00141410"/>
    <w:rsid w:val="0014153A"/>
    <w:rsid w:val="0014161E"/>
    <w:rsid w:val="00141BFA"/>
    <w:rsid w:val="001428F3"/>
    <w:rsid w:val="00142AAB"/>
    <w:rsid w:val="00142B78"/>
    <w:rsid w:val="00142DB9"/>
    <w:rsid w:val="00143411"/>
    <w:rsid w:val="001434FA"/>
    <w:rsid w:val="00144139"/>
    <w:rsid w:val="001442B1"/>
    <w:rsid w:val="00144556"/>
    <w:rsid w:val="0014484F"/>
    <w:rsid w:val="0014496B"/>
    <w:rsid w:val="00144FA2"/>
    <w:rsid w:val="001452BE"/>
    <w:rsid w:val="0014538A"/>
    <w:rsid w:val="001454B7"/>
    <w:rsid w:val="00145717"/>
    <w:rsid w:val="00145C89"/>
    <w:rsid w:val="00145F51"/>
    <w:rsid w:val="00146E81"/>
    <w:rsid w:val="001471C7"/>
    <w:rsid w:val="001473CD"/>
    <w:rsid w:val="00147756"/>
    <w:rsid w:val="00147AB7"/>
    <w:rsid w:val="00147BE2"/>
    <w:rsid w:val="0015006B"/>
    <w:rsid w:val="00150904"/>
    <w:rsid w:val="001514AA"/>
    <w:rsid w:val="001517BD"/>
    <w:rsid w:val="00151BC0"/>
    <w:rsid w:val="00151BF1"/>
    <w:rsid w:val="00151BFA"/>
    <w:rsid w:val="00152007"/>
    <w:rsid w:val="00152293"/>
    <w:rsid w:val="00152A93"/>
    <w:rsid w:val="00152D3F"/>
    <w:rsid w:val="00153BAA"/>
    <w:rsid w:val="001542FF"/>
    <w:rsid w:val="0015462C"/>
    <w:rsid w:val="00154F9C"/>
    <w:rsid w:val="0015538E"/>
    <w:rsid w:val="0015585B"/>
    <w:rsid w:val="00156923"/>
    <w:rsid w:val="00156A23"/>
    <w:rsid w:val="00156BB1"/>
    <w:rsid w:val="00156BED"/>
    <w:rsid w:val="00156DB0"/>
    <w:rsid w:val="00157B88"/>
    <w:rsid w:val="00160900"/>
    <w:rsid w:val="00160947"/>
    <w:rsid w:val="00160A58"/>
    <w:rsid w:val="00160AD9"/>
    <w:rsid w:val="001610FE"/>
    <w:rsid w:val="0016115D"/>
    <w:rsid w:val="0016197C"/>
    <w:rsid w:val="00161ABA"/>
    <w:rsid w:val="00161F07"/>
    <w:rsid w:val="0016245C"/>
    <w:rsid w:val="0016318D"/>
    <w:rsid w:val="00163482"/>
    <w:rsid w:val="0016363B"/>
    <w:rsid w:val="00164895"/>
    <w:rsid w:val="001648A4"/>
    <w:rsid w:val="00165605"/>
    <w:rsid w:val="00165792"/>
    <w:rsid w:val="001659AB"/>
    <w:rsid w:val="00165ABE"/>
    <w:rsid w:val="00165BE5"/>
    <w:rsid w:val="00165F8F"/>
    <w:rsid w:val="0016628A"/>
    <w:rsid w:val="00166D83"/>
    <w:rsid w:val="00167200"/>
    <w:rsid w:val="001704BE"/>
    <w:rsid w:val="00170817"/>
    <w:rsid w:val="00170CE5"/>
    <w:rsid w:val="00172183"/>
    <w:rsid w:val="001728CB"/>
    <w:rsid w:val="00172970"/>
    <w:rsid w:val="001734E5"/>
    <w:rsid w:val="00173AB2"/>
    <w:rsid w:val="00173CE1"/>
    <w:rsid w:val="00174751"/>
    <w:rsid w:val="001747DD"/>
    <w:rsid w:val="001751C7"/>
    <w:rsid w:val="001761B3"/>
    <w:rsid w:val="00176412"/>
    <w:rsid w:val="00176562"/>
    <w:rsid w:val="00177022"/>
    <w:rsid w:val="001774D8"/>
    <w:rsid w:val="00177588"/>
    <w:rsid w:val="001778B5"/>
    <w:rsid w:val="001779C5"/>
    <w:rsid w:val="00177AFA"/>
    <w:rsid w:val="00177FC3"/>
    <w:rsid w:val="001800E6"/>
    <w:rsid w:val="001800FA"/>
    <w:rsid w:val="00180A90"/>
    <w:rsid w:val="00181C54"/>
    <w:rsid w:val="001822D7"/>
    <w:rsid w:val="0018260E"/>
    <w:rsid w:val="00182AED"/>
    <w:rsid w:val="00182F1F"/>
    <w:rsid w:val="00182FCF"/>
    <w:rsid w:val="00182FE7"/>
    <w:rsid w:val="00183229"/>
    <w:rsid w:val="00183456"/>
    <w:rsid w:val="00183779"/>
    <w:rsid w:val="00183F6B"/>
    <w:rsid w:val="001841FB"/>
    <w:rsid w:val="001845B2"/>
    <w:rsid w:val="00185011"/>
    <w:rsid w:val="001852B7"/>
    <w:rsid w:val="00185509"/>
    <w:rsid w:val="0018574B"/>
    <w:rsid w:val="00186CFD"/>
    <w:rsid w:val="001870E5"/>
    <w:rsid w:val="0018739F"/>
    <w:rsid w:val="001875F8"/>
    <w:rsid w:val="00187A6C"/>
    <w:rsid w:val="00187CBC"/>
    <w:rsid w:val="0019036A"/>
    <w:rsid w:val="00190CBE"/>
    <w:rsid w:val="00190D7B"/>
    <w:rsid w:val="0019104D"/>
    <w:rsid w:val="00191DCE"/>
    <w:rsid w:val="00192451"/>
    <w:rsid w:val="0019257F"/>
    <w:rsid w:val="00192C79"/>
    <w:rsid w:val="00193178"/>
    <w:rsid w:val="00193B91"/>
    <w:rsid w:val="00193ED3"/>
    <w:rsid w:val="00194214"/>
    <w:rsid w:val="001949F5"/>
    <w:rsid w:val="00194AD4"/>
    <w:rsid w:val="00194B72"/>
    <w:rsid w:val="00194C6D"/>
    <w:rsid w:val="00194DDD"/>
    <w:rsid w:val="00195619"/>
    <w:rsid w:val="0019575C"/>
    <w:rsid w:val="00195B32"/>
    <w:rsid w:val="00195E3B"/>
    <w:rsid w:val="00195E7B"/>
    <w:rsid w:val="00196D40"/>
    <w:rsid w:val="00196F97"/>
    <w:rsid w:val="00197372"/>
    <w:rsid w:val="00197582"/>
    <w:rsid w:val="00197F81"/>
    <w:rsid w:val="001A0305"/>
    <w:rsid w:val="001A0D6C"/>
    <w:rsid w:val="001A0F4E"/>
    <w:rsid w:val="001A0FF4"/>
    <w:rsid w:val="001A120B"/>
    <w:rsid w:val="001A14C2"/>
    <w:rsid w:val="001A1730"/>
    <w:rsid w:val="001A177A"/>
    <w:rsid w:val="001A177B"/>
    <w:rsid w:val="001A17EB"/>
    <w:rsid w:val="001A19AC"/>
    <w:rsid w:val="001A1A7D"/>
    <w:rsid w:val="001A1CA6"/>
    <w:rsid w:val="001A2E42"/>
    <w:rsid w:val="001A2E55"/>
    <w:rsid w:val="001A2FCA"/>
    <w:rsid w:val="001A3255"/>
    <w:rsid w:val="001A32E2"/>
    <w:rsid w:val="001A3453"/>
    <w:rsid w:val="001A37B1"/>
    <w:rsid w:val="001A3C8C"/>
    <w:rsid w:val="001A40F4"/>
    <w:rsid w:val="001A4EF6"/>
    <w:rsid w:val="001A52A3"/>
    <w:rsid w:val="001A6061"/>
    <w:rsid w:val="001A68BD"/>
    <w:rsid w:val="001A6928"/>
    <w:rsid w:val="001A6C17"/>
    <w:rsid w:val="001A794C"/>
    <w:rsid w:val="001A79CB"/>
    <w:rsid w:val="001A7D8C"/>
    <w:rsid w:val="001A7E66"/>
    <w:rsid w:val="001B05E9"/>
    <w:rsid w:val="001B07B5"/>
    <w:rsid w:val="001B111D"/>
    <w:rsid w:val="001B162F"/>
    <w:rsid w:val="001B1863"/>
    <w:rsid w:val="001B1966"/>
    <w:rsid w:val="001B1A7A"/>
    <w:rsid w:val="001B1EE2"/>
    <w:rsid w:val="001B2112"/>
    <w:rsid w:val="001B211B"/>
    <w:rsid w:val="001B2807"/>
    <w:rsid w:val="001B28B6"/>
    <w:rsid w:val="001B29BA"/>
    <w:rsid w:val="001B2F70"/>
    <w:rsid w:val="001B2FCD"/>
    <w:rsid w:val="001B3723"/>
    <w:rsid w:val="001B3BDD"/>
    <w:rsid w:val="001B3D3F"/>
    <w:rsid w:val="001B3DA9"/>
    <w:rsid w:val="001B4A5C"/>
    <w:rsid w:val="001B5035"/>
    <w:rsid w:val="001B5137"/>
    <w:rsid w:val="001B5490"/>
    <w:rsid w:val="001B55E6"/>
    <w:rsid w:val="001B707A"/>
    <w:rsid w:val="001B74C0"/>
    <w:rsid w:val="001B76ED"/>
    <w:rsid w:val="001B7AC6"/>
    <w:rsid w:val="001C017E"/>
    <w:rsid w:val="001C01A5"/>
    <w:rsid w:val="001C061C"/>
    <w:rsid w:val="001C0DCF"/>
    <w:rsid w:val="001C177B"/>
    <w:rsid w:val="001C1A79"/>
    <w:rsid w:val="001C1DFC"/>
    <w:rsid w:val="001C2858"/>
    <w:rsid w:val="001C285C"/>
    <w:rsid w:val="001C2B7D"/>
    <w:rsid w:val="001C2E76"/>
    <w:rsid w:val="001C32EA"/>
    <w:rsid w:val="001C34D7"/>
    <w:rsid w:val="001C3589"/>
    <w:rsid w:val="001C3731"/>
    <w:rsid w:val="001C3800"/>
    <w:rsid w:val="001C394A"/>
    <w:rsid w:val="001C3A84"/>
    <w:rsid w:val="001C3BA7"/>
    <w:rsid w:val="001C3D63"/>
    <w:rsid w:val="001C4152"/>
    <w:rsid w:val="001C4246"/>
    <w:rsid w:val="001C4311"/>
    <w:rsid w:val="001C441B"/>
    <w:rsid w:val="001C4633"/>
    <w:rsid w:val="001C4727"/>
    <w:rsid w:val="001C499F"/>
    <w:rsid w:val="001C4D0A"/>
    <w:rsid w:val="001C4F0D"/>
    <w:rsid w:val="001C50CA"/>
    <w:rsid w:val="001C52C6"/>
    <w:rsid w:val="001C549D"/>
    <w:rsid w:val="001C54B3"/>
    <w:rsid w:val="001C562C"/>
    <w:rsid w:val="001C5C19"/>
    <w:rsid w:val="001C61F4"/>
    <w:rsid w:val="001C69F0"/>
    <w:rsid w:val="001C6AF4"/>
    <w:rsid w:val="001C7455"/>
    <w:rsid w:val="001C75E9"/>
    <w:rsid w:val="001C7707"/>
    <w:rsid w:val="001C7C79"/>
    <w:rsid w:val="001C7CBE"/>
    <w:rsid w:val="001C7D84"/>
    <w:rsid w:val="001D01D4"/>
    <w:rsid w:val="001D08BD"/>
    <w:rsid w:val="001D08F7"/>
    <w:rsid w:val="001D0975"/>
    <w:rsid w:val="001D0A31"/>
    <w:rsid w:val="001D0ADC"/>
    <w:rsid w:val="001D0FDD"/>
    <w:rsid w:val="001D17FD"/>
    <w:rsid w:val="001D1843"/>
    <w:rsid w:val="001D1E2C"/>
    <w:rsid w:val="001D1FD6"/>
    <w:rsid w:val="001D2019"/>
    <w:rsid w:val="001D2123"/>
    <w:rsid w:val="001D26A8"/>
    <w:rsid w:val="001D29F4"/>
    <w:rsid w:val="001D31C1"/>
    <w:rsid w:val="001D35F6"/>
    <w:rsid w:val="001D3902"/>
    <w:rsid w:val="001D3EEA"/>
    <w:rsid w:val="001D4272"/>
    <w:rsid w:val="001D50B3"/>
    <w:rsid w:val="001D52A0"/>
    <w:rsid w:val="001D5767"/>
    <w:rsid w:val="001D5CCF"/>
    <w:rsid w:val="001D5DB1"/>
    <w:rsid w:val="001D62A2"/>
    <w:rsid w:val="001D6D28"/>
    <w:rsid w:val="001D6DBF"/>
    <w:rsid w:val="001D6EEF"/>
    <w:rsid w:val="001E05EA"/>
    <w:rsid w:val="001E1018"/>
    <w:rsid w:val="001E1035"/>
    <w:rsid w:val="001E137B"/>
    <w:rsid w:val="001E1568"/>
    <w:rsid w:val="001E1990"/>
    <w:rsid w:val="001E1A2C"/>
    <w:rsid w:val="001E1F60"/>
    <w:rsid w:val="001E20E6"/>
    <w:rsid w:val="001E2886"/>
    <w:rsid w:val="001E43D1"/>
    <w:rsid w:val="001E4636"/>
    <w:rsid w:val="001E468C"/>
    <w:rsid w:val="001E4979"/>
    <w:rsid w:val="001E49B5"/>
    <w:rsid w:val="001E4A2B"/>
    <w:rsid w:val="001E4B25"/>
    <w:rsid w:val="001E5335"/>
    <w:rsid w:val="001E5355"/>
    <w:rsid w:val="001E553F"/>
    <w:rsid w:val="001E5641"/>
    <w:rsid w:val="001E623A"/>
    <w:rsid w:val="001E6272"/>
    <w:rsid w:val="001E6369"/>
    <w:rsid w:val="001E63AC"/>
    <w:rsid w:val="001E6A67"/>
    <w:rsid w:val="001E7515"/>
    <w:rsid w:val="001E7934"/>
    <w:rsid w:val="001E7E3C"/>
    <w:rsid w:val="001F0485"/>
    <w:rsid w:val="001F0CD7"/>
    <w:rsid w:val="001F0CE3"/>
    <w:rsid w:val="001F0DBC"/>
    <w:rsid w:val="001F1049"/>
    <w:rsid w:val="001F1192"/>
    <w:rsid w:val="001F15DF"/>
    <w:rsid w:val="001F16F2"/>
    <w:rsid w:val="001F1A50"/>
    <w:rsid w:val="001F1F59"/>
    <w:rsid w:val="001F2157"/>
    <w:rsid w:val="001F2C64"/>
    <w:rsid w:val="001F2CDD"/>
    <w:rsid w:val="001F374E"/>
    <w:rsid w:val="001F3948"/>
    <w:rsid w:val="001F3F33"/>
    <w:rsid w:val="001F463F"/>
    <w:rsid w:val="001F48F8"/>
    <w:rsid w:val="001F495E"/>
    <w:rsid w:val="001F49A7"/>
    <w:rsid w:val="001F4E75"/>
    <w:rsid w:val="001F4EDD"/>
    <w:rsid w:val="001F5229"/>
    <w:rsid w:val="001F55B9"/>
    <w:rsid w:val="001F5781"/>
    <w:rsid w:val="001F5B8D"/>
    <w:rsid w:val="001F5E3C"/>
    <w:rsid w:val="001F6109"/>
    <w:rsid w:val="001F6B00"/>
    <w:rsid w:val="001F6B7E"/>
    <w:rsid w:val="001F6BC4"/>
    <w:rsid w:val="001F71B1"/>
    <w:rsid w:val="001F7329"/>
    <w:rsid w:val="001F74B3"/>
    <w:rsid w:val="001F799C"/>
    <w:rsid w:val="001F7B0D"/>
    <w:rsid w:val="001F7FF3"/>
    <w:rsid w:val="0020038B"/>
    <w:rsid w:val="0020072D"/>
    <w:rsid w:val="0020082D"/>
    <w:rsid w:val="00200D28"/>
    <w:rsid w:val="00201216"/>
    <w:rsid w:val="002013C2"/>
    <w:rsid w:val="0020160B"/>
    <w:rsid w:val="00201783"/>
    <w:rsid w:val="00201D57"/>
    <w:rsid w:val="00202337"/>
    <w:rsid w:val="002025DA"/>
    <w:rsid w:val="002028CE"/>
    <w:rsid w:val="00202A0E"/>
    <w:rsid w:val="00203060"/>
    <w:rsid w:val="0020314B"/>
    <w:rsid w:val="002035EC"/>
    <w:rsid w:val="002037E3"/>
    <w:rsid w:val="00203A60"/>
    <w:rsid w:val="00203C95"/>
    <w:rsid w:val="00203D00"/>
    <w:rsid w:val="00203E2A"/>
    <w:rsid w:val="00204192"/>
    <w:rsid w:val="00204A77"/>
    <w:rsid w:val="00205671"/>
    <w:rsid w:val="002060B1"/>
    <w:rsid w:val="00206353"/>
    <w:rsid w:val="0020643D"/>
    <w:rsid w:val="00206802"/>
    <w:rsid w:val="00206878"/>
    <w:rsid w:val="00206882"/>
    <w:rsid w:val="00207C16"/>
    <w:rsid w:val="00210128"/>
    <w:rsid w:val="002107DC"/>
    <w:rsid w:val="00210BB4"/>
    <w:rsid w:val="00211195"/>
    <w:rsid w:val="00211866"/>
    <w:rsid w:val="0021190B"/>
    <w:rsid w:val="00211BFA"/>
    <w:rsid w:val="00211E14"/>
    <w:rsid w:val="0021218B"/>
    <w:rsid w:val="00212593"/>
    <w:rsid w:val="002131C8"/>
    <w:rsid w:val="0021378D"/>
    <w:rsid w:val="00213D6A"/>
    <w:rsid w:val="00213EE7"/>
    <w:rsid w:val="00214B9A"/>
    <w:rsid w:val="00214ED9"/>
    <w:rsid w:val="00215534"/>
    <w:rsid w:val="002156C9"/>
    <w:rsid w:val="00215AE8"/>
    <w:rsid w:val="002179F6"/>
    <w:rsid w:val="00217A56"/>
    <w:rsid w:val="00220240"/>
    <w:rsid w:val="002208BA"/>
    <w:rsid w:val="00220F80"/>
    <w:rsid w:val="002212FD"/>
    <w:rsid w:val="00221DC9"/>
    <w:rsid w:val="00222321"/>
    <w:rsid w:val="00222565"/>
    <w:rsid w:val="00222CE1"/>
    <w:rsid w:val="00222E88"/>
    <w:rsid w:val="00223CC2"/>
    <w:rsid w:val="00224353"/>
    <w:rsid w:val="002243E1"/>
    <w:rsid w:val="002244B7"/>
    <w:rsid w:val="00224FB2"/>
    <w:rsid w:val="0022506C"/>
    <w:rsid w:val="00225085"/>
    <w:rsid w:val="002252EC"/>
    <w:rsid w:val="002254F6"/>
    <w:rsid w:val="002261C9"/>
    <w:rsid w:val="00226FEF"/>
    <w:rsid w:val="00227061"/>
    <w:rsid w:val="00227199"/>
    <w:rsid w:val="002272FA"/>
    <w:rsid w:val="00227630"/>
    <w:rsid w:val="00231640"/>
    <w:rsid w:val="002318D5"/>
    <w:rsid w:val="00231AF3"/>
    <w:rsid w:val="00231BCE"/>
    <w:rsid w:val="002320E5"/>
    <w:rsid w:val="002329E2"/>
    <w:rsid w:val="00232AE3"/>
    <w:rsid w:val="00232B10"/>
    <w:rsid w:val="00232FF4"/>
    <w:rsid w:val="002330E4"/>
    <w:rsid w:val="00233783"/>
    <w:rsid w:val="0023406A"/>
    <w:rsid w:val="002340FA"/>
    <w:rsid w:val="0023457A"/>
    <w:rsid w:val="00234A2A"/>
    <w:rsid w:val="00234A85"/>
    <w:rsid w:val="00234C94"/>
    <w:rsid w:val="0023500A"/>
    <w:rsid w:val="00235811"/>
    <w:rsid w:val="00235AAD"/>
    <w:rsid w:val="00235F09"/>
    <w:rsid w:val="00235F7D"/>
    <w:rsid w:val="00235FD5"/>
    <w:rsid w:val="002366F5"/>
    <w:rsid w:val="00236863"/>
    <w:rsid w:val="00236FE7"/>
    <w:rsid w:val="00237044"/>
    <w:rsid w:val="00237886"/>
    <w:rsid w:val="00240658"/>
    <w:rsid w:val="0024066C"/>
    <w:rsid w:val="00240EA7"/>
    <w:rsid w:val="00241283"/>
    <w:rsid w:val="002413BF"/>
    <w:rsid w:val="00241D76"/>
    <w:rsid w:val="00241DD6"/>
    <w:rsid w:val="002427A4"/>
    <w:rsid w:val="00242F1F"/>
    <w:rsid w:val="002431A5"/>
    <w:rsid w:val="0024387E"/>
    <w:rsid w:val="0024420E"/>
    <w:rsid w:val="00245019"/>
    <w:rsid w:val="00245475"/>
    <w:rsid w:val="00245A7F"/>
    <w:rsid w:val="00245ADA"/>
    <w:rsid w:val="00246869"/>
    <w:rsid w:val="00246C9A"/>
    <w:rsid w:val="002478AE"/>
    <w:rsid w:val="002478E4"/>
    <w:rsid w:val="002479B4"/>
    <w:rsid w:val="00250702"/>
    <w:rsid w:val="002507B5"/>
    <w:rsid w:val="00250F34"/>
    <w:rsid w:val="0025148C"/>
    <w:rsid w:val="002527E2"/>
    <w:rsid w:val="002528E6"/>
    <w:rsid w:val="00252ABF"/>
    <w:rsid w:val="00252AE6"/>
    <w:rsid w:val="00253190"/>
    <w:rsid w:val="0025367C"/>
    <w:rsid w:val="0025393B"/>
    <w:rsid w:val="002539DE"/>
    <w:rsid w:val="00253C8F"/>
    <w:rsid w:val="00253EF6"/>
    <w:rsid w:val="002544EA"/>
    <w:rsid w:val="00254592"/>
    <w:rsid w:val="0025476E"/>
    <w:rsid w:val="00255650"/>
    <w:rsid w:val="00255695"/>
    <w:rsid w:val="00255977"/>
    <w:rsid w:val="00255AD3"/>
    <w:rsid w:val="00255C8A"/>
    <w:rsid w:val="00257376"/>
    <w:rsid w:val="00257752"/>
    <w:rsid w:val="002578C4"/>
    <w:rsid w:val="00260322"/>
    <w:rsid w:val="00261092"/>
    <w:rsid w:val="00261161"/>
    <w:rsid w:val="0026145F"/>
    <w:rsid w:val="00261B5A"/>
    <w:rsid w:val="00261CB9"/>
    <w:rsid w:val="0026237A"/>
    <w:rsid w:val="002623A2"/>
    <w:rsid w:val="002629FD"/>
    <w:rsid w:val="00262C33"/>
    <w:rsid w:val="00262D87"/>
    <w:rsid w:val="00263252"/>
    <w:rsid w:val="00263929"/>
    <w:rsid w:val="0026396B"/>
    <w:rsid w:val="00263A0C"/>
    <w:rsid w:val="0026498C"/>
    <w:rsid w:val="00264A36"/>
    <w:rsid w:val="002651E6"/>
    <w:rsid w:val="002660F6"/>
    <w:rsid w:val="00266CE7"/>
    <w:rsid w:val="002670F7"/>
    <w:rsid w:val="002670F9"/>
    <w:rsid w:val="00267612"/>
    <w:rsid w:val="00267F5B"/>
    <w:rsid w:val="00270AFC"/>
    <w:rsid w:val="00270DFE"/>
    <w:rsid w:val="002714EE"/>
    <w:rsid w:val="002715E4"/>
    <w:rsid w:val="00271AE4"/>
    <w:rsid w:val="00271BDE"/>
    <w:rsid w:val="00271C59"/>
    <w:rsid w:val="00271ED8"/>
    <w:rsid w:val="002723FE"/>
    <w:rsid w:val="0027242A"/>
    <w:rsid w:val="00272470"/>
    <w:rsid w:val="002726DA"/>
    <w:rsid w:val="00272D0D"/>
    <w:rsid w:val="00272E49"/>
    <w:rsid w:val="0027301B"/>
    <w:rsid w:val="00274836"/>
    <w:rsid w:val="00274B0D"/>
    <w:rsid w:val="00274BA8"/>
    <w:rsid w:val="00274FE0"/>
    <w:rsid w:val="00275E45"/>
    <w:rsid w:val="00275EB2"/>
    <w:rsid w:val="002769F1"/>
    <w:rsid w:val="00276C2C"/>
    <w:rsid w:val="00276C4D"/>
    <w:rsid w:val="00277039"/>
    <w:rsid w:val="00277936"/>
    <w:rsid w:val="0027793C"/>
    <w:rsid w:val="002800B2"/>
    <w:rsid w:val="002806A9"/>
    <w:rsid w:val="00281791"/>
    <w:rsid w:val="00281EA2"/>
    <w:rsid w:val="00281F49"/>
    <w:rsid w:val="00282041"/>
    <w:rsid w:val="002825D6"/>
    <w:rsid w:val="00282838"/>
    <w:rsid w:val="00282854"/>
    <w:rsid w:val="00282A20"/>
    <w:rsid w:val="0028317F"/>
    <w:rsid w:val="00283514"/>
    <w:rsid w:val="002839B5"/>
    <w:rsid w:val="00283D06"/>
    <w:rsid w:val="00283E74"/>
    <w:rsid w:val="00284617"/>
    <w:rsid w:val="00285514"/>
    <w:rsid w:val="002859DA"/>
    <w:rsid w:val="00286057"/>
    <w:rsid w:val="00286203"/>
    <w:rsid w:val="002868A7"/>
    <w:rsid w:val="00287082"/>
    <w:rsid w:val="00287EE3"/>
    <w:rsid w:val="002900F3"/>
    <w:rsid w:val="00290414"/>
    <w:rsid w:val="00290564"/>
    <w:rsid w:val="00290911"/>
    <w:rsid w:val="002909C2"/>
    <w:rsid w:val="00290D0B"/>
    <w:rsid w:val="00291CEE"/>
    <w:rsid w:val="00291E9B"/>
    <w:rsid w:val="0029219A"/>
    <w:rsid w:val="00292FD6"/>
    <w:rsid w:val="002933B3"/>
    <w:rsid w:val="0029459B"/>
    <w:rsid w:val="0029492C"/>
    <w:rsid w:val="00294DD4"/>
    <w:rsid w:val="00294ED2"/>
    <w:rsid w:val="0029564D"/>
    <w:rsid w:val="00295F5E"/>
    <w:rsid w:val="00295F60"/>
    <w:rsid w:val="00295F71"/>
    <w:rsid w:val="0029615B"/>
    <w:rsid w:val="00296F85"/>
    <w:rsid w:val="002973AB"/>
    <w:rsid w:val="002977B2"/>
    <w:rsid w:val="0029781B"/>
    <w:rsid w:val="00297F31"/>
    <w:rsid w:val="002A045E"/>
    <w:rsid w:val="002A0F34"/>
    <w:rsid w:val="002A15C7"/>
    <w:rsid w:val="002A163F"/>
    <w:rsid w:val="002A17D5"/>
    <w:rsid w:val="002A1B1B"/>
    <w:rsid w:val="002A202F"/>
    <w:rsid w:val="002A2339"/>
    <w:rsid w:val="002A2535"/>
    <w:rsid w:val="002A277B"/>
    <w:rsid w:val="002A2FA7"/>
    <w:rsid w:val="002A3342"/>
    <w:rsid w:val="002A3803"/>
    <w:rsid w:val="002A384A"/>
    <w:rsid w:val="002A4333"/>
    <w:rsid w:val="002A43BB"/>
    <w:rsid w:val="002A4618"/>
    <w:rsid w:val="002A503D"/>
    <w:rsid w:val="002A50C4"/>
    <w:rsid w:val="002A52C4"/>
    <w:rsid w:val="002A53D5"/>
    <w:rsid w:val="002A5554"/>
    <w:rsid w:val="002A6076"/>
    <w:rsid w:val="002A66E2"/>
    <w:rsid w:val="002A74CB"/>
    <w:rsid w:val="002A7776"/>
    <w:rsid w:val="002B0A88"/>
    <w:rsid w:val="002B0B42"/>
    <w:rsid w:val="002B0C9D"/>
    <w:rsid w:val="002B1500"/>
    <w:rsid w:val="002B176B"/>
    <w:rsid w:val="002B1903"/>
    <w:rsid w:val="002B1EC9"/>
    <w:rsid w:val="002B2464"/>
    <w:rsid w:val="002B258B"/>
    <w:rsid w:val="002B26F2"/>
    <w:rsid w:val="002B27AB"/>
    <w:rsid w:val="002B2BF7"/>
    <w:rsid w:val="002B2C02"/>
    <w:rsid w:val="002B2ED0"/>
    <w:rsid w:val="002B305E"/>
    <w:rsid w:val="002B3829"/>
    <w:rsid w:val="002B3DBF"/>
    <w:rsid w:val="002B3E76"/>
    <w:rsid w:val="002B4102"/>
    <w:rsid w:val="002B411A"/>
    <w:rsid w:val="002B43BC"/>
    <w:rsid w:val="002B490E"/>
    <w:rsid w:val="002B4A8C"/>
    <w:rsid w:val="002B598E"/>
    <w:rsid w:val="002B5E59"/>
    <w:rsid w:val="002B5F9F"/>
    <w:rsid w:val="002B607A"/>
    <w:rsid w:val="002B615C"/>
    <w:rsid w:val="002B61B8"/>
    <w:rsid w:val="002B642E"/>
    <w:rsid w:val="002B6F8B"/>
    <w:rsid w:val="002C0CC8"/>
    <w:rsid w:val="002C10D9"/>
    <w:rsid w:val="002C11C4"/>
    <w:rsid w:val="002C16DF"/>
    <w:rsid w:val="002C1933"/>
    <w:rsid w:val="002C2BFC"/>
    <w:rsid w:val="002C34EA"/>
    <w:rsid w:val="002C4148"/>
    <w:rsid w:val="002C41F2"/>
    <w:rsid w:val="002C46D4"/>
    <w:rsid w:val="002C4E3A"/>
    <w:rsid w:val="002C4E96"/>
    <w:rsid w:val="002C59C5"/>
    <w:rsid w:val="002C6425"/>
    <w:rsid w:val="002C6DB1"/>
    <w:rsid w:val="002C72EF"/>
    <w:rsid w:val="002C750C"/>
    <w:rsid w:val="002C7811"/>
    <w:rsid w:val="002C7F58"/>
    <w:rsid w:val="002D00FA"/>
    <w:rsid w:val="002D02C0"/>
    <w:rsid w:val="002D0595"/>
    <w:rsid w:val="002D078E"/>
    <w:rsid w:val="002D0B60"/>
    <w:rsid w:val="002D0B65"/>
    <w:rsid w:val="002D0E8C"/>
    <w:rsid w:val="002D1338"/>
    <w:rsid w:val="002D2363"/>
    <w:rsid w:val="002D3697"/>
    <w:rsid w:val="002D387F"/>
    <w:rsid w:val="002D3F34"/>
    <w:rsid w:val="002D3FEF"/>
    <w:rsid w:val="002D4114"/>
    <w:rsid w:val="002D4412"/>
    <w:rsid w:val="002D4421"/>
    <w:rsid w:val="002D47AF"/>
    <w:rsid w:val="002D4CC6"/>
    <w:rsid w:val="002D532B"/>
    <w:rsid w:val="002D5A24"/>
    <w:rsid w:val="002D5AA3"/>
    <w:rsid w:val="002D5E0A"/>
    <w:rsid w:val="002D73AC"/>
    <w:rsid w:val="002D761B"/>
    <w:rsid w:val="002D7706"/>
    <w:rsid w:val="002D79D5"/>
    <w:rsid w:val="002E0255"/>
    <w:rsid w:val="002E0CC1"/>
    <w:rsid w:val="002E0EBA"/>
    <w:rsid w:val="002E1BD6"/>
    <w:rsid w:val="002E2751"/>
    <w:rsid w:val="002E2779"/>
    <w:rsid w:val="002E27A1"/>
    <w:rsid w:val="002E31DF"/>
    <w:rsid w:val="002E38EA"/>
    <w:rsid w:val="002E3997"/>
    <w:rsid w:val="002E3B2B"/>
    <w:rsid w:val="002E3CC9"/>
    <w:rsid w:val="002E3D95"/>
    <w:rsid w:val="002E40DF"/>
    <w:rsid w:val="002E4902"/>
    <w:rsid w:val="002E4B5B"/>
    <w:rsid w:val="002E4D57"/>
    <w:rsid w:val="002E4FC9"/>
    <w:rsid w:val="002E55AA"/>
    <w:rsid w:val="002E5801"/>
    <w:rsid w:val="002E66CE"/>
    <w:rsid w:val="002E6A58"/>
    <w:rsid w:val="002E6AAD"/>
    <w:rsid w:val="002E6DD8"/>
    <w:rsid w:val="002E7015"/>
    <w:rsid w:val="002E70B3"/>
    <w:rsid w:val="002E76D5"/>
    <w:rsid w:val="002E7862"/>
    <w:rsid w:val="002E78DB"/>
    <w:rsid w:val="002E7B65"/>
    <w:rsid w:val="002F034A"/>
    <w:rsid w:val="002F06C1"/>
    <w:rsid w:val="002F075D"/>
    <w:rsid w:val="002F089B"/>
    <w:rsid w:val="002F0B7D"/>
    <w:rsid w:val="002F0C87"/>
    <w:rsid w:val="002F0EC7"/>
    <w:rsid w:val="002F16BA"/>
    <w:rsid w:val="002F1736"/>
    <w:rsid w:val="002F1993"/>
    <w:rsid w:val="002F1D8D"/>
    <w:rsid w:val="002F230D"/>
    <w:rsid w:val="002F297F"/>
    <w:rsid w:val="002F2CDD"/>
    <w:rsid w:val="002F348D"/>
    <w:rsid w:val="002F3814"/>
    <w:rsid w:val="002F3A98"/>
    <w:rsid w:val="002F3E06"/>
    <w:rsid w:val="002F3FB6"/>
    <w:rsid w:val="002F4325"/>
    <w:rsid w:val="002F4ECA"/>
    <w:rsid w:val="002F4FBF"/>
    <w:rsid w:val="002F516E"/>
    <w:rsid w:val="002F5B91"/>
    <w:rsid w:val="002F5E04"/>
    <w:rsid w:val="002F63AC"/>
    <w:rsid w:val="002F67D0"/>
    <w:rsid w:val="002F6DEC"/>
    <w:rsid w:val="002F7505"/>
    <w:rsid w:val="002F7947"/>
    <w:rsid w:val="00300045"/>
    <w:rsid w:val="00300638"/>
    <w:rsid w:val="003006E1"/>
    <w:rsid w:val="00300869"/>
    <w:rsid w:val="00300F23"/>
    <w:rsid w:val="00301102"/>
    <w:rsid w:val="00301323"/>
    <w:rsid w:val="00301763"/>
    <w:rsid w:val="003019F2"/>
    <w:rsid w:val="00301B48"/>
    <w:rsid w:val="00301C6C"/>
    <w:rsid w:val="00301E3C"/>
    <w:rsid w:val="0030200C"/>
    <w:rsid w:val="00302190"/>
    <w:rsid w:val="003021CB"/>
    <w:rsid w:val="003028F5"/>
    <w:rsid w:val="0030297F"/>
    <w:rsid w:val="00302E5C"/>
    <w:rsid w:val="003030B0"/>
    <w:rsid w:val="00303551"/>
    <w:rsid w:val="0030378F"/>
    <w:rsid w:val="003037A8"/>
    <w:rsid w:val="003040F2"/>
    <w:rsid w:val="00304321"/>
    <w:rsid w:val="00304544"/>
    <w:rsid w:val="00304930"/>
    <w:rsid w:val="00304B34"/>
    <w:rsid w:val="00304DED"/>
    <w:rsid w:val="00304F01"/>
    <w:rsid w:val="00304F75"/>
    <w:rsid w:val="0030586D"/>
    <w:rsid w:val="00305DD5"/>
    <w:rsid w:val="00306577"/>
    <w:rsid w:val="003067DC"/>
    <w:rsid w:val="00306809"/>
    <w:rsid w:val="003069D8"/>
    <w:rsid w:val="00310543"/>
    <w:rsid w:val="003107A9"/>
    <w:rsid w:val="0031136A"/>
    <w:rsid w:val="0031175C"/>
    <w:rsid w:val="00311D17"/>
    <w:rsid w:val="0031221C"/>
    <w:rsid w:val="003122AA"/>
    <w:rsid w:val="00312D6B"/>
    <w:rsid w:val="00312DD3"/>
    <w:rsid w:val="00312FD5"/>
    <w:rsid w:val="0031310C"/>
    <w:rsid w:val="00313593"/>
    <w:rsid w:val="003139E1"/>
    <w:rsid w:val="0031451A"/>
    <w:rsid w:val="003148CD"/>
    <w:rsid w:val="00314F92"/>
    <w:rsid w:val="003151CA"/>
    <w:rsid w:val="003151D0"/>
    <w:rsid w:val="0031549A"/>
    <w:rsid w:val="00315C2C"/>
    <w:rsid w:val="0031600C"/>
    <w:rsid w:val="0031605A"/>
    <w:rsid w:val="003161D0"/>
    <w:rsid w:val="0031629A"/>
    <w:rsid w:val="0031676C"/>
    <w:rsid w:val="00316B24"/>
    <w:rsid w:val="0031737A"/>
    <w:rsid w:val="00317772"/>
    <w:rsid w:val="00320722"/>
    <w:rsid w:val="00320C74"/>
    <w:rsid w:val="00321264"/>
    <w:rsid w:val="003212E7"/>
    <w:rsid w:val="003214B7"/>
    <w:rsid w:val="003215F3"/>
    <w:rsid w:val="00321F49"/>
    <w:rsid w:val="00322058"/>
    <w:rsid w:val="00322350"/>
    <w:rsid w:val="00322ACA"/>
    <w:rsid w:val="00322C15"/>
    <w:rsid w:val="00322E6D"/>
    <w:rsid w:val="00322F70"/>
    <w:rsid w:val="003236E0"/>
    <w:rsid w:val="003236F2"/>
    <w:rsid w:val="0032393B"/>
    <w:rsid w:val="00323D76"/>
    <w:rsid w:val="003240AF"/>
    <w:rsid w:val="00324516"/>
    <w:rsid w:val="00324798"/>
    <w:rsid w:val="00324B57"/>
    <w:rsid w:val="00324BBE"/>
    <w:rsid w:val="00324C46"/>
    <w:rsid w:val="00324FAD"/>
    <w:rsid w:val="00325156"/>
    <w:rsid w:val="003253FD"/>
    <w:rsid w:val="00325C26"/>
    <w:rsid w:val="00326FCE"/>
    <w:rsid w:val="003271A7"/>
    <w:rsid w:val="00327244"/>
    <w:rsid w:val="00327A3B"/>
    <w:rsid w:val="00327A96"/>
    <w:rsid w:val="00327C3F"/>
    <w:rsid w:val="00330021"/>
    <w:rsid w:val="00330266"/>
    <w:rsid w:val="00330300"/>
    <w:rsid w:val="00330580"/>
    <w:rsid w:val="003308F2"/>
    <w:rsid w:val="00330DD8"/>
    <w:rsid w:val="00330F22"/>
    <w:rsid w:val="00332602"/>
    <w:rsid w:val="00332647"/>
    <w:rsid w:val="0033271E"/>
    <w:rsid w:val="0033277D"/>
    <w:rsid w:val="00332781"/>
    <w:rsid w:val="00332BBB"/>
    <w:rsid w:val="00333131"/>
    <w:rsid w:val="00333145"/>
    <w:rsid w:val="0033392C"/>
    <w:rsid w:val="00334558"/>
    <w:rsid w:val="003348F4"/>
    <w:rsid w:val="00334FFD"/>
    <w:rsid w:val="003353E7"/>
    <w:rsid w:val="003355C3"/>
    <w:rsid w:val="00335DBA"/>
    <w:rsid w:val="00335E48"/>
    <w:rsid w:val="00336038"/>
    <w:rsid w:val="00336934"/>
    <w:rsid w:val="00336974"/>
    <w:rsid w:val="00336AFC"/>
    <w:rsid w:val="003378BF"/>
    <w:rsid w:val="003402F1"/>
    <w:rsid w:val="003402FF"/>
    <w:rsid w:val="003405E1"/>
    <w:rsid w:val="0034088E"/>
    <w:rsid w:val="00340990"/>
    <w:rsid w:val="00340B17"/>
    <w:rsid w:val="00340C76"/>
    <w:rsid w:val="003419CE"/>
    <w:rsid w:val="00341B81"/>
    <w:rsid w:val="00341CD2"/>
    <w:rsid w:val="00341E8C"/>
    <w:rsid w:val="003421CE"/>
    <w:rsid w:val="00342588"/>
    <w:rsid w:val="003425FE"/>
    <w:rsid w:val="003428BC"/>
    <w:rsid w:val="00342EB3"/>
    <w:rsid w:val="00343227"/>
    <w:rsid w:val="003433C6"/>
    <w:rsid w:val="0034359D"/>
    <w:rsid w:val="003436DD"/>
    <w:rsid w:val="00343AA7"/>
    <w:rsid w:val="00343E41"/>
    <w:rsid w:val="00344C5D"/>
    <w:rsid w:val="00344FBD"/>
    <w:rsid w:val="00345071"/>
    <w:rsid w:val="003459BF"/>
    <w:rsid w:val="00346190"/>
    <w:rsid w:val="003468B6"/>
    <w:rsid w:val="00347105"/>
    <w:rsid w:val="00347401"/>
    <w:rsid w:val="00347BBC"/>
    <w:rsid w:val="00347BE5"/>
    <w:rsid w:val="00347F01"/>
    <w:rsid w:val="0035051B"/>
    <w:rsid w:val="0035067B"/>
    <w:rsid w:val="00350F59"/>
    <w:rsid w:val="00351307"/>
    <w:rsid w:val="003519F2"/>
    <w:rsid w:val="00352287"/>
    <w:rsid w:val="00352393"/>
    <w:rsid w:val="00352539"/>
    <w:rsid w:val="00352900"/>
    <w:rsid w:val="00352994"/>
    <w:rsid w:val="00353156"/>
    <w:rsid w:val="00353455"/>
    <w:rsid w:val="003537B8"/>
    <w:rsid w:val="00353906"/>
    <w:rsid w:val="0035476E"/>
    <w:rsid w:val="0035497B"/>
    <w:rsid w:val="00354B4F"/>
    <w:rsid w:val="00354CAF"/>
    <w:rsid w:val="00354F32"/>
    <w:rsid w:val="00355582"/>
    <w:rsid w:val="0035565A"/>
    <w:rsid w:val="00355727"/>
    <w:rsid w:val="00355FA3"/>
    <w:rsid w:val="003563E1"/>
    <w:rsid w:val="003573A1"/>
    <w:rsid w:val="003577AB"/>
    <w:rsid w:val="0035782E"/>
    <w:rsid w:val="00357D2F"/>
    <w:rsid w:val="00360728"/>
    <w:rsid w:val="00360A0C"/>
    <w:rsid w:val="00360BC5"/>
    <w:rsid w:val="0036104C"/>
    <w:rsid w:val="003617F5"/>
    <w:rsid w:val="003628F9"/>
    <w:rsid w:val="00362D2A"/>
    <w:rsid w:val="00363732"/>
    <w:rsid w:val="00363F8E"/>
    <w:rsid w:val="00364470"/>
    <w:rsid w:val="00364548"/>
    <w:rsid w:val="003648DB"/>
    <w:rsid w:val="003649C7"/>
    <w:rsid w:val="00365899"/>
    <w:rsid w:val="00365BB7"/>
    <w:rsid w:val="00365D44"/>
    <w:rsid w:val="00366020"/>
    <w:rsid w:val="00366217"/>
    <w:rsid w:val="00366618"/>
    <w:rsid w:val="00366A49"/>
    <w:rsid w:val="0036774E"/>
    <w:rsid w:val="003678ED"/>
    <w:rsid w:val="00367C4F"/>
    <w:rsid w:val="00367CBE"/>
    <w:rsid w:val="003709B0"/>
    <w:rsid w:val="00370B5E"/>
    <w:rsid w:val="00370C93"/>
    <w:rsid w:val="00371448"/>
    <w:rsid w:val="0037158D"/>
    <w:rsid w:val="003715B6"/>
    <w:rsid w:val="00371931"/>
    <w:rsid w:val="00371C35"/>
    <w:rsid w:val="00371D9F"/>
    <w:rsid w:val="00371EAC"/>
    <w:rsid w:val="00371FDE"/>
    <w:rsid w:val="00372F8A"/>
    <w:rsid w:val="00373754"/>
    <w:rsid w:val="0037387B"/>
    <w:rsid w:val="003738C5"/>
    <w:rsid w:val="00373994"/>
    <w:rsid w:val="003739DE"/>
    <w:rsid w:val="00374349"/>
    <w:rsid w:val="00374987"/>
    <w:rsid w:val="00374A72"/>
    <w:rsid w:val="0037553F"/>
    <w:rsid w:val="003763BA"/>
    <w:rsid w:val="0037678B"/>
    <w:rsid w:val="00376C3B"/>
    <w:rsid w:val="00376E2D"/>
    <w:rsid w:val="00377AEA"/>
    <w:rsid w:val="003809CA"/>
    <w:rsid w:val="00380D94"/>
    <w:rsid w:val="00380E46"/>
    <w:rsid w:val="003812E6"/>
    <w:rsid w:val="00381763"/>
    <w:rsid w:val="00381EDF"/>
    <w:rsid w:val="00381F19"/>
    <w:rsid w:val="00382568"/>
    <w:rsid w:val="0038323C"/>
    <w:rsid w:val="00383981"/>
    <w:rsid w:val="003839DF"/>
    <w:rsid w:val="00383E33"/>
    <w:rsid w:val="00384451"/>
    <w:rsid w:val="003846CE"/>
    <w:rsid w:val="00385819"/>
    <w:rsid w:val="003859D4"/>
    <w:rsid w:val="00386482"/>
    <w:rsid w:val="00386BA9"/>
    <w:rsid w:val="00387462"/>
    <w:rsid w:val="00387698"/>
    <w:rsid w:val="0038793B"/>
    <w:rsid w:val="00387AEF"/>
    <w:rsid w:val="00387B48"/>
    <w:rsid w:val="00387E8D"/>
    <w:rsid w:val="003905A8"/>
    <w:rsid w:val="003908AA"/>
    <w:rsid w:val="0039133C"/>
    <w:rsid w:val="00391458"/>
    <w:rsid w:val="00391629"/>
    <w:rsid w:val="00391A05"/>
    <w:rsid w:val="003925D4"/>
    <w:rsid w:val="00392EDF"/>
    <w:rsid w:val="003930F2"/>
    <w:rsid w:val="00393213"/>
    <w:rsid w:val="0039368C"/>
    <w:rsid w:val="003936BE"/>
    <w:rsid w:val="003938A9"/>
    <w:rsid w:val="00393A4C"/>
    <w:rsid w:val="00393A60"/>
    <w:rsid w:val="00394089"/>
    <w:rsid w:val="003943DF"/>
    <w:rsid w:val="003947AF"/>
    <w:rsid w:val="003947CF"/>
    <w:rsid w:val="00394858"/>
    <w:rsid w:val="00394B21"/>
    <w:rsid w:val="00395364"/>
    <w:rsid w:val="003959AB"/>
    <w:rsid w:val="0039703B"/>
    <w:rsid w:val="00397175"/>
    <w:rsid w:val="00397234"/>
    <w:rsid w:val="0039753B"/>
    <w:rsid w:val="003976CA"/>
    <w:rsid w:val="0039775F"/>
    <w:rsid w:val="00397974"/>
    <w:rsid w:val="00397CEF"/>
    <w:rsid w:val="003A0150"/>
    <w:rsid w:val="003A0347"/>
    <w:rsid w:val="003A0B98"/>
    <w:rsid w:val="003A1130"/>
    <w:rsid w:val="003A1600"/>
    <w:rsid w:val="003A17A7"/>
    <w:rsid w:val="003A2109"/>
    <w:rsid w:val="003A23EC"/>
    <w:rsid w:val="003A25C2"/>
    <w:rsid w:val="003A26CC"/>
    <w:rsid w:val="003A2A3E"/>
    <w:rsid w:val="003A2BF3"/>
    <w:rsid w:val="003A34C5"/>
    <w:rsid w:val="003A3897"/>
    <w:rsid w:val="003A3985"/>
    <w:rsid w:val="003A3C4E"/>
    <w:rsid w:val="003A3E0E"/>
    <w:rsid w:val="003A3F59"/>
    <w:rsid w:val="003A436A"/>
    <w:rsid w:val="003A51E9"/>
    <w:rsid w:val="003A521B"/>
    <w:rsid w:val="003A528A"/>
    <w:rsid w:val="003A53B0"/>
    <w:rsid w:val="003A5998"/>
    <w:rsid w:val="003A62B0"/>
    <w:rsid w:val="003A6566"/>
    <w:rsid w:val="003A7014"/>
    <w:rsid w:val="003A79AA"/>
    <w:rsid w:val="003B0651"/>
    <w:rsid w:val="003B0C6A"/>
    <w:rsid w:val="003B0EC3"/>
    <w:rsid w:val="003B12E6"/>
    <w:rsid w:val="003B1BDE"/>
    <w:rsid w:val="003B1DA8"/>
    <w:rsid w:val="003B1DEF"/>
    <w:rsid w:val="003B1E25"/>
    <w:rsid w:val="003B1F0B"/>
    <w:rsid w:val="003B213B"/>
    <w:rsid w:val="003B22F3"/>
    <w:rsid w:val="003B251C"/>
    <w:rsid w:val="003B25F2"/>
    <w:rsid w:val="003B265D"/>
    <w:rsid w:val="003B29E8"/>
    <w:rsid w:val="003B2EF6"/>
    <w:rsid w:val="003B34D9"/>
    <w:rsid w:val="003B3622"/>
    <w:rsid w:val="003B3992"/>
    <w:rsid w:val="003B4118"/>
    <w:rsid w:val="003B45BF"/>
    <w:rsid w:val="003B4D7F"/>
    <w:rsid w:val="003B534D"/>
    <w:rsid w:val="003B5F20"/>
    <w:rsid w:val="003B60A7"/>
    <w:rsid w:val="003B6261"/>
    <w:rsid w:val="003B6799"/>
    <w:rsid w:val="003B6937"/>
    <w:rsid w:val="003B6A83"/>
    <w:rsid w:val="003B73D3"/>
    <w:rsid w:val="003B76F5"/>
    <w:rsid w:val="003B7927"/>
    <w:rsid w:val="003B7A61"/>
    <w:rsid w:val="003B7A9F"/>
    <w:rsid w:val="003C14D2"/>
    <w:rsid w:val="003C1793"/>
    <w:rsid w:val="003C2013"/>
    <w:rsid w:val="003C2158"/>
    <w:rsid w:val="003C21E7"/>
    <w:rsid w:val="003C26DE"/>
    <w:rsid w:val="003C27CE"/>
    <w:rsid w:val="003C296F"/>
    <w:rsid w:val="003C29DD"/>
    <w:rsid w:val="003C2EF0"/>
    <w:rsid w:val="003C3155"/>
    <w:rsid w:val="003C3468"/>
    <w:rsid w:val="003C375F"/>
    <w:rsid w:val="003C3C21"/>
    <w:rsid w:val="003C3C83"/>
    <w:rsid w:val="003C3E24"/>
    <w:rsid w:val="003C427E"/>
    <w:rsid w:val="003C4CBB"/>
    <w:rsid w:val="003C5AFB"/>
    <w:rsid w:val="003C6209"/>
    <w:rsid w:val="003C62CE"/>
    <w:rsid w:val="003C66DA"/>
    <w:rsid w:val="003C67E9"/>
    <w:rsid w:val="003C6B4E"/>
    <w:rsid w:val="003C6FCD"/>
    <w:rsid w:val="003C79DA"/>
    <w:rsid w:val="003C7DBD"/>
    <w:rsid w:val="003D0071"/>
    <w:rsid w:val="003D0130"/>
    <w:rsid w:val="003D0558"/>
    <w:rsid w:val="003D0921"/>
    <w:rsid w:val="003D158F"/>
    <w:rsid w:val="003D1B7F"/>
    <w:rsid w:val="003D1EF8"/>
    <w:rsid w:val="003D200E"/>
    <w:rsid w:val="003D21FE"/>
    <w:rsid w:val="003D304D"/>
    <w:rsid w:val="003D320D"/>
    <w:rsid w:val="003D3636"/>
    <w:rsid w:val="003D3638"/>
    <w:rsid w:val="003D3772"/>
    <w:rsid w:val="003D5E16"/>
    <w:rsid w:val="003D62C3"/>
    <w:rsid w:val="003D6C69"/>
    <w:rsid w:val="003D6F08"/>
    <w:rsid w:val="003D6F7A"/>
    <w:rsid w:val="003D7038"/>
    <w:rsid w:val="003D73A3"/>
    <w:rsid w:val="003D75D4"/>
    <w:rsid w:val="003D7758"/>
    <w:rsid w:val="003D7AFC"/>
    <w:rsid w:val="003D7B9D"/>
    <w:rsid w:val="003D7DFA"/>
    <w:rsid w:val="003E0953"/>
    <w:rsid w:val="003E095C"/>
    <w:rsid w:val="003E0A7A"/>
    <w:rsid w:val="003E13C8"/>
    <w:rsid w:val="003E173D"/>
    <w:rsid w:val="003E178C"/>
    <w:rsid w:val="003E1EE7"/>
    <w:rsid w:val="003E1F57"/>
    <w:rsid w:val="003E2694"/>
    <w:rsid w:val="003E288C"/>
    <w:rsid w:val="003E3926"/>
    <w:rsid w:val="003E438A"/>
    <w:rsid w:val="003E47A9"/>
    <w:rsid w:val="003E4BE5"/>
    <w:rsid w:val="003E50EC"/>
    <w:rsid w:val="003E58AF"/>
    <w:rsid w:val="003E595A"/>
    <w:rsid w:val="003E5A1E"/>
    <w:rsid w:val="003E5AF9"/>
    <w:rsid w:val="003E5E45"/>
    <w:rsid w:val="003E62AF"/>
    <w:rsid w:val="003E6669"/>
    <w:rsid w:val="003E66DD"/>
    <w:rsid w:val="003E6820"/>
    <w:rsid w:val="003E6EF5"/>
    <w:rsid w:val="003E7332"/>
    <w:rsid w:val="003F0F93"/>
    <w:rsid w:val="003F12D4"/>
    <w:rsid w:val="003F1990"/>
    <w:rsid w:val="003F2D20"/>
    <w:rsid w:val="003F2D6A"/>
    <w:rsid w:val="003F301A"/>
    <w:rsid w:val="003F32F7"/>
    <w:rsid w:val="003F3564"/>
    <w:rsid w:val="003F393B"/>
    <w:rsid w:val="003F3AC3"/>
    <w:rsid w:val="003F489E"/>
    <w:rsid w:val="003F4B3E"/>
    <w:rsid w:val="003F4CB4"/>
    <w:rsid w:val="003F4DBF"/>
    <w:rsid w:val="003F5F43"/>
    <w:rsid w:val="003F6031"/>
    <w:rsid w:val="003F62BD"/>
    <w:rsid w:val="003F6410"/>
    <w:rsid w:val="003F657F"/>
    <w:rsid w:val="003F6C45"/>
    <w:rsid w:val="003F6DE4"/>
    <w:rsid w:val="0040019B"/>
    <w:rsid w:val="00400377"/>
    <w:rsid w:val="00400491"/>
    <w:rsid w:val="004005B8"/>
    <w:rsid w:val="004007BB"/>
    <w:rsid w:val="00400CFD"/>
    <w:rsid w:val="00400DFB"/>
    <w:rsid w:val="00400F72"/>
    <w:rsid w:val="004013BC"/>
    <w:rsid w:val="00402288"/>
    <w:rsid w:val="00402B62"/>
    <w:rsid w:val="00402D20"/>
    <w:rsid w:val="0040311E"/>
    <w:rsid w:val="00403B06"/>
    <w:rsid w:val="00403B58"/>
    <w:rsid w:val="004049E5"/>
    <w:rsid w:val="00404BBB"/>
    <w:rsid w:val="00405862"/>
    <w:rsid w:val="00405982"/>
    <w:rsid w:val="00405DE5"/>
    <w:rsid w:val="00405F16"/>
    <w:rsid w:val="004061CE"/>
    <w:rsid w:val="00406872"/>
    <w:rsid w:val="004072EF"/>
    <w:rsid w:val="004075DA"/>
    <w:rsid w:val="004077E3"/>
    <w:rsid w:val="00407D9B"/>
    <w:rsid w:val="00407DF6"/>
    <w:rsid w:val="00407F4A"/>
    <w:rsid w:val="00410671"/>
    <w:rsid w:val="00410B8E"/>
    <w:rsid w:val="00411A8C"/>
    <w:rsid w:val="00411E86"/>
    <w:rsid w:val="00411EBD"/>
    <w:rsid w:val="00412522"/>
    <w:rsid w:val="004125A1"/>
    <w:rsid w:val="00412A9B"/>
    <w:rsid w:val="00413062"/>
    <w:rsid w:val="0041312C"/>
    <w:rsid w:val="0041338B"/>
    <w:rsid w:val="00413A3A"/>
    <w:rsid w:val="00413E67"/>
    <w:rsid w:val="0041464D"/>
    <w:rsid w:val="00414C53"/>
    <w:rsid w:val="00414CF6"/>
    <w:rsid w:val="00415279"/>
    <w:rsid w:val="0041530D"/>
    <w:rsid w:val="004154CD"/>
    <w:rsid w:val="00415B48"/>
    <w:rsid w:val="00415E4B"/>
    <w:rsid w:val="00416059"/>
    <w:rsid w:val="004164A1"/>
    <w:rsid w:val="00420DBD"/>
    <w:rsid w:val="00420FA1"/>
    <w:rsid w:val="00421119"/>
    <w:rsid w:val="0042120F"/>
    <w:rsid w:val="0042134A"/>
    <w:rsid w:val="00421729"/>
    <w:rsid w:val="004219A0"/>
    <w:rsid w:val="00421AE6"/>
    <w:rsid w:val="00422678"/>
    <w:rsid w:val="00422942"/>
    <w:rsid w:val="00422B55"/>
    <w:rsid w:val="004230BD"/>
    <w:rsid w:val="004234BE"/>
    <w:rsid w:val="0042393D"/>
    <w:rsid w:val="00423C00"/>
    <w:rsid w:val="0042409B"/>
    <w:rsid w:val="00424EE1"/>
    <w:rsid w:val="00425AE2"/>
    <w:rsid w:val="004260BB"/>
    <w:rsid w:val="004268CB"/>
    <w:rsid w:val="004269BA"/>
    <w:rsid w:val="00426DEE"/>
    <w:rsid w:val="004274EE"/>
    <w:rsid w:val="00427848"/>
    <w:rsid w:val="00427C27"/>
    <w:rsid w:val="00427CCC"/>
    <w:rsid w:val="004300CB"/>
    <w:rsid w:val="00430453"/>
    <w:rsid w:val="00430BCC"/>
    <w:rsid w:val="00431DFB"/>
    <w:rsid w:val="00432113"/>
    <w:rsid w:val="0043295B"/>
    <w:rsid w:val="0043367B"/>
    <w:rsid w:val="004336E9"/>
    <w:rsid w:val="00433981"/>
    <w:rsid w:val="00433AAE"/>
    <w:rsid w:val="00433B06"/>
    <w:rsid w:val="00434C95"/>
    <w:rsid w:val="0043510A"/>
    <w:rsid w:val="0043628A"/>
    <w:rsid w:val="0043646E"/>
    <w:rsid w:val="004371D7"/>
    <w:rsid w:val="00437437"/>
    <w:rsid w:val="0043750A"/>
    <w:rsid w:val="004378BC"/>
    <w:rsid w:val="00437DAA"/>
    <w:rsid w:val="0044013B"/>
    <w:rsid w:val="0044064C"/>
    <w:rsid w:val="00440C17"/>
    <w:rsid w:val="00440E91"/>
    <w:rsid w:val="00441A68"/>
    <w:rsid w:val="00441E0E"/>
    <w:rsid w:val="00442EFE"/>
    <w:rsid w:val="004433C6"/>
    <w:rsid w:val="0044349D"/>
    <w:rsid w:val="00443B56"/>
    <w:rsid w:val="00443D48"/>
    <w:rsid w:val="00444056"/>
    <w:rsid w:val="004440B5"/>
    <w:rsid w:val="00444C2D"/>
    <w:rsid w:val="00444F5C"/>
    <w:rsid w:val="00445931"/>
    <w:rsid w:val="0044610F"/>
    <w:rsid w:val="00446316"/>
    <w:rsid w:val="00446833"/>
    <w:rsid w:val="00446A2F"/>
    <w:rsid w:val="004506C6"/>
    <w:rsid w:val="00450CA7"/>
    <w:rsid w:val="00450E29"/>
    <w:rsid w:val="00451082"/>
    <w:rsid w:val="0045112B"/>
    <w:rsid w:val="00451C48"/>
    <w:rsid w:val="00451F17"/>
    <w:rsid w:val="00453093"/>
    <w:rsid w:val="0045351A"/>
    <w:rsid w:val="004537B4"/>
    <w:rsid w:val="004539A1"/>
    <w:rsid w:val="004544BC"/>
    <w:rsid w:val="004546C3"/>
    <w:rsid w:val="00454A40"/>
    <w:rsid w:val="004551D5"/>
    <w:rsid w:val="004556C8"/>
    <w:rsid w:val="004557CE"/>
    <w:rsid w:val="00455B5B"/>
    <w:rsid w:val="004564BE"/>
    <w:rsid w:val="00456D24"/>
    <w:rsid w:val="0045729F"/>
    <w:rsid w:val="004573F7"/>
    <w:rsid w:val="004574E2"/>
    <w:rsid w:val="00457A81"/>
    <w:rsid w:val="00457AAB"/>
    <w:rsid w:val="004601B2"/>
    <w:rsid w:val="0046032F"/>
    <w:rsid w:val="00460519"/>
    <w:rsid w:val="0046065B"/>
    <w:rsid w:val="00460FD9"/>
    <w:rsid w:val="004610EC"/>
    <w:rsid w:val="00461268"/>
    <w:rsid w:val="00461327"/>
    <w:rsid w:val="004614CA"/>
    <w:rsid w:val="0046161C"/>
    <w:rsid w:val="004621F8"/>
    <w:rsid w:val="004622A5"/>
    <w:rsid w:val="00462646"/>
    <w:rsid w:val="004626EB"/>
    <w:rsid w:val="00462C08"/>
    <w:rsid w:val="00462C40"/>
    <w:rsid w:val="00463ECF"/>
    <w:rsid w:val="004640A5"/>
    <w:rsid w:val="0046428D"/>
    <w:rsid w:val="0046450E"/>
    <w:rsid w:val="00464B63"/>
    <w:rsid w:val="00464E17"/>
    <w:rsid w:val="00464E39"/>
    <w:rsid w:val="00464EFD"/>
    <w:rsid w:val="00464F6B"/>
    <w:rsid w:val="00465D3D"/>
    <w:rsid w:val="00465E71"/>
    <w:rsid w:val="00466050"/>
    <w:rsid w:val="0046613A"/>
    <w:rsid w:val="004669A1"/>
    <w:rsid w:val="00466BD6"/>
    <w:rsid w:val="00466D26"/>
    <w:rsid w:val="00467186"/>
    <w:rsid w:val="0046733B"/>
    <w:rsid w:val="004673C3"/>
    <w:rsid w:val="004674A5"/>
    <w:rsid w:val="0046761A"/>
    <w:rsid w:val="00467837"/>
    <w:rsid w:val="00467A99"/>
    <w:rsid w:val="00467E8D"/>
    <w:rsid w:val="00467EFF"/>
    <w:rsid w:val="00470052"/>
    <w:rsid w:val="0047022F"/>
    <w:rsid w:val="00470832"/>
    <w:rsid w:val="0047091D"/>
    <w:rsid w:val="0047134A"/>
    <w:rsid w:val="00471905"/>
    <w:rsid w:val="0047195B"/>
    <w:rsid w:val="00471E03"/>
    <w:rsid w:val="004722CE"/>
    <w:rsid w:val="004723E6"/>
    <w:rsid w:val="00472D1F"/>
    <w:rsid w:val="004731B6"/>
    <w:rsid w:val="00473274"/>
    <w:rsid w:val="00473A5B"/>
    <w:rsid w:val="004741C3"/>
    <w:rsid w:val="00475940"/>
    <w:rsid w:val="00476139"/>
    <w:rsid w:val="004761A7"/>
    <w:rsid w:val="00476CCF"/>
    <w:rsid w:val="00476D01"/>
    <w:rsid w:val="00476F39"/>
    <w:rsid w:val="00477321"/>
    <w:rsid w:val="00477499"/>
    <w:rsid w:val="00477781"/>
    <w:rsid w:val="00477962"/>
    <w:rsid w:val="00477A08"/>
    <w:rsid w:val="00477FA4"/>
    <w:rsid w:val="0048043A"/>
    <w:rsid w:val="00480B52"/>
    <w:rsid w:val="0048202B"/>
    <w:rsid w:val="0048212A"/>
    <w:rsid w:val="00482349"/>
    <w:rsid w:val="0048290A"/>
    <w:rsid w:val="00482D1C"/>
    <w:rsid w:val="00482EC7"/>
    <w:rsid w:val="0048302C"/>
    <w:rsid w:val="0048306C"/>
    <w:rsid w:val="00483383"/>
    <w:rsid w:val="00483441"/>
    <w:rsid w:val="00483EA9"/>
    <w:rsid w:val="00484659"/>
    <w:rsid w:val="0048474B"/>
    <w:rsid w:val="004847D9"/>
    <w:rsid w:val="00484F1C"/>
    <w:rsid w:val="004853FA"/>
    <w:rsid w:val="00485A2F"/>
    <w:rsid w:val="00485B68"/>
    <w:rsid w:val="00485D1E"/>
    <w:rsid w:val="00486159"/>
    <w:rsid w:val="0048640C"/>
    <w:rsid w:val="004867EE"/>
    <w:rsid w:val="00486936"/>
    <w:rsid w:val="00487036"/>
    <w:rsid w:val="00487243"/>
    <w:rsid w:val="004873A7"/>
    <w:rsid w:val="0048797C"/>
    <w:rsid w:val="00487EE1"/>
    <w:rsid w:val="00490467"/>
    <w:rsid w:val="00490BD7"/>
    <w:rsid w:val="0049184C"/>
    <w:rsid w:val="00491A12"/>
    <w:rsid w:val="0049217C"/>
    <w:rsid w:val="00492481"/>
    <w:rsid w:val="004924E6"/>
    <w:rsid w:val="004925DF"/>
    <w:rsid w:val="00492687"/>
    <w:rsid w:val="004930B3"/>
    <w:rsid w:val="00493223"/>
    <w:rsid w:val="0049327D"/>
    <w:rsid w:val="004935F7"/>
    <w:rsid w:val="00493D53"/>
    <w:rsid w:val="00494B73"/>
    <w:rsid w:val="00495005"/>
    <w:rsid w:val="00495568"/>
    <w:rsid w:val="00496102"/>
    <w:rsid w:val="004969C7"/>
    <w:rsid w:val="00496D13"/>
    <w:rsid w:val="00497CE6"/>
    <w:rsid w:val="00497F1E"/>
    <w:rsid w:val="004A1197"/>
    <w:rsid w:val="004A1855"/>
    <w:rsid w:val="004A1A16"/>
    <w:rsid w:val="004A2197"/>
    <w:rsid w:val="004A2804"/>
    <w:rsid w:val="004A29B2"/>
    <w:rsid w:val="004A29B3"/>
    <w:rsid w:val="004A2F68"/>
    <w:rsid w:val="004A36C6"/>
    <w:rsid w:val="004A3D9E"/>
    <w:rsid w:val="004A4E31"/>
    <w:rsid w:val="004A53B9"/>
    <w:rsid w:val="004A5E2D"/>
    <w:rsid w:val="004A5E42"/>
    <w:rsid w:val="004A628A"/>
    <w:rsid w:val="004A6976"/>
    <w:rsid w:val="004A73A7"/>
    <w:rsid w:val="004B0151"/>
    <w:rsid w:val="004B056E"/>
    <w:rsid w:val="004B0B81"/>
    <w:rsid w:val="004B1670"/>
    <w:rsid w:val="004B16A3"/>
    <w:rsid w:val="004B2234"/>
    <w:rsid w:val="004B265B"/>
    <w:rsid w:val="004B2A86"/>
    <w:rsid w:val="004B2CEA"/>
    <w:rsid w:val="004B317F"/>
    <w:rsid w:val="004B32D1"/>
    <w:rsid w:val="004B3509"/>
    <w:rsid w:val="004B3C3E"/>
    <w:rsid w:val="004B4166"/>
    <w:rsid w:val="004B41E2"/>
    <w:rsid w:val="004B430E"/>
    <w:rsid w:val="004B4D11"/>
    <w:rsid w:val="004B4E7C"/>
    <w:rsid w:val="004B4ECD"/>
    <w:rsid w:val="004B548C"/>
    <w:rsid w:val="004B54EA"/>
    <w:rsid w:val="004B5787"/>
    <w:rsid w:val="004B6062"/>
    <w:rsid w:val="004B6238"/>
    <w:rsid w:val="004B6510"/>
    <w:rsid w:val="004B6A79"/>
    <w:rsid w:val="004B6D08"/>
    <w:rsid w:val="004B6DD2"/>
    <w:rsid w:val="004B7126"/>
    <w:rsid w:val="004B76A9"/>
    <w:rsid w:val="004C01BF"/>
    <w:rsid w:val="004C0591"/>
    <w:rsid w:val="004C06EF"/>
    <w:rsid w:val="004C0E18"/>
    <w:rsid w:val="004C14C0"/>
    <w:rsid w:val="004C1D53"/>
    <w:rsid w:val="004C20B8"/>
    <w:rsid w:val="004C2935"/>
    <w:rsid w:val="004C2B94"/>
    <w:rsid w:val="004C33E8"/>
    <w:rsid w:val="004C3E56"/>
    <w:rsid w:val="004C42B9"/>
    <w:rsid w:val="004C46AB"/>
    <w:rsid w:val="004C46C5"/>
    <w:rsid w:val="004C4911"/>
    <w:rsid w:val="004C4B9F"/>
    <w:rsid w:val="004C5030"/>
    <w:rsid w:val="004C588A"/>
    <w:rsid w:val="004C5DEB"/>
    <w:rsid w:val="004C64AB"/>
    <w:rsid w:val="004C64F9"/>
    <w:rsid w:val="004C660B"/>
    <w:rsid w:val="004C6666"/>
    <w:rsid w:val="004C70BD"/>
    <w:rsid w:val="004C7A14"/>
    <w:rsid w:val="004C7B9E"/>
    <w:rsid w:val="004C7E97"/>
    <w:rsid w:val="004D0675"/>
    <w:rsid w:val="004D0A31"/>
    <w:rsid w:val="004D0BB3"/>
    <w:rsid w:val="004D0C97"/>
    <w:rsid w:val="004D0CE2"/>
    <w:rsid w:val="004D1330"/>
    <w:rsid w:val="004D1B0D"/>
    <w:rsid w:val="004D20B9"/>
    <w:rsid w:val="004D21AE"/>
    <w:rsid w:val="004D29F0"/>
    <w:rsid w:val="004D2A84"/>
    <w:rsid w:val="004D32F6"/>
    <w:rsid w:val="004D33E4"/>
    <w:rsid w:val="004D3F44"/>
    <w:rsid w:val="004D3FC2"/>
    <w:rsid w:val="004D456C"/>
    <w:rsid w:val="004D485F"/>
    <w:rsid w:val="004D4FC2"/>
    <w:rsid w:val="004D51E8"/>
    <w:rsid w:val="004D55D2"/>
    <w:rsid w:val="004D59A0"/>
    <w:rsid w:val="004D6C99"/>
    <w:rsid w:val="004D734E"/>
    <w:rsid w:val="004D741D"/>
    <w:rsid w:val="004D783B"/>
    <w:rsid w:val="004D78FF"/>
    <w:rsid w:val="004E0223"/>
    <w:rsid w:val="004E0242"/>
    <w:rsid w:val="004E0A75"/>
    <w:rsid w:val="004E0B3F"/>
    <w:rsid w:val="004E0D1D"/>
    <w:rsid w:val="004E0EDC"/>
    <w:rsid w:val="004E14B8"/>
    <w:rsid w:val="004E1DB4"/>
    <w:rsid w:val="004E1E35"/>
    <w:rsid w:val="004E2110"/>
    <w:rsid w:val="004E254A"/>
    <w:rsid w:val="004E3213"/>
    <w:rsid w:val="004E3255"/>
    <w:rsid w:val="004E3338"/>
    <w:rsid w:val="004E3B7A"/>
    <w:rsid w:val="004E3CEB"/>
    <w:rsid w:val="004E4659"/>
    <w:rsid w:val="004E4B03"/>
    <w:rsid w:val="004E4E17"/>
    <w:rsid w:val="004E5872"/>
    <w:rsid w:val="004E5D63"/>
    <w:rsid w:val="004E5F2F"/>
    <w:rsid w:val="004E6617"/>
    <w:rsid w:val="004E693B"/>
    <w:rsid w:val="004E6A32"/>
    <w:rsid w:val="004E6ED3"/>
    <w:rsid w:val="004E7459"/>
    <w:rsid w:val="004E7D14"/>
    <w:rsid w:val="004F0128"/>
    <w:rsid w:val="004F0192"/>
    <w:rsid w:val="004F01A7"/>
    <w:rsid w:val="004F0383"/>
    <w:rsid w:val="004F03E9"/>
    <w:rsid w:val="004F1C2F"/>
    <w:rsid w:val="004F1E8F"/>
    <w:rsid w:val="004F1EC7"/>
    <w:rsid w:val="004F2066"/>
    <w:rsid w:val="004F242D"/>
    <w:rsid w:val="004F2855"/>
    <w:rsid w:val="004F32EA"/>
    <w:rsid w:val="004F429F"/>
    <w:rsid w:val="004F42D6"/>
    <w:rsid w:val="004F4466"/>
    <w:rsid w:val="004F4562"/>
    <w:rsid w:val="004F4675"/>
    <w:rsid w:val="004F4C9C"/>
    <w:rsid w:val="004F5EC1"/>
    <w:rsid w:val="004F5EC8"/>
    <w:rsid w:val="004F62FD"/>
    <w:rsid w:val="004F6332"/>
    <w:rsid w:val="004F66DE"/>
    <w:rsid w:val="004F67A2"/>
    <w:rsid w:val="004F68B0"/>
    <w:rsid w:val="004F7BDE"/>
    <w:rsid w:val="0050034B"/>
    <w:rsid w:val="005015C1"/>
    <w:rsid w:val="00503191"/>
    <w:rsid w:val="0050326D"/>
    <w:rsid w:val="005035DD"/>
    <w:rsid w:val="00503B10"/>
    <w:rsid w:val="00503E32"/>
    <w:rsid w:val="005047CB"/>
    <w:rsid w:val="005047F1"/>
    <w:rsid w:val="00504B40"/>
    <w:rsid w:val="0050506A"/>
    <w:rsid w:val="00505225"/>
    <w:rsid w:val="00505D84"/>
    <w:rsid w:val="0050601B"/>
    <w:rsid w:val="00506108"/>
    <w:rsid w:val="0050667D"/>
    <w:rsid w:val="005068F5"/>
    <w:rsid w:val="00506BB4"/>
    <w:rsid w:val="00506C38"/>
    <w:rsid w:val="00506C3E"/>
    <w:rsid w:val="00506E46"/>
    <w:rsid w:val="0050702C"/>
    <w:rsid w:val="00507C77"/>
    <w:rsid w:val="005101F9"/>
    <w:rsid w:val="005105DB"/>
    <w:rsid w:val="00510683"/>
    <w:rsid w:val="00510876"/>
    <w:rsid w:val="00510AAD"/>
    <w:rsid w:val="0051130C"/>
    <w:rsid w:val="0051131E"/>
    <w:rsid w:val="00511429"/>
    <w:rsid w:val="00511D4D"/>
    <w:rsid w:val="00512111"/>
    <w:rsid w:val="005124E1"/>
    <w:rsid w:val="005129C7"/>
    <w:rsid w:val="005132AC"/>
    <w:rsid w:val="005139AB"/>
    <w:rsid w:val="005139B9"/>
    <w:rsid w:val="005143FD"/>
    <w:rsid w:val="00514F81"/>
    <w:rsid w:val="00515684"/>
    <w:rsid w:val="0051582F"/>
    <w:rsid w:val="0051584D"/>
    <w:rsid w:val="00515CFA"/>
    <w:rsid w:val="005163D5"/>
    <w:rsid w:val="0051655C"/>
    <w:rsid w:val="005166BA"/>
    <w:rsid w:val="00516D97"/>
    <w:rsid w:val="00517731"/>
    <w:rsid w:val="00517788"/>
    <w:rsid w:val="005179F5"/>
    <w:rsid w:val="00517AFB"/>
    <w:rsid w:val="005207FB"/>
    <w:rsid w:val="00521139"/>
    <w:rsid w:val="00521725"/>
    <w:rsid w:val="0052175E"/>
    <w:rsid w:val="00522AD0"/>
    <w:rsid w:val="00522B23"/>
    <w:rsid w:val="00522BFC"/>
    <w:rsid w:val="00522CA9"/>
    <w:rsid w:val="00522E09"/>
    <w:rsid w:val="00522EFA"/>
    <w:rsid w:val="005233E4"/>
    <w:rsid w:val="0052378E"/>
    <w:rsid w:val="00523E8E"/>
    <w:rsid w:val="00524908"/>
    <w:rsid w:val="00524C72"/>
    <w:rsid w:val="00525088"/>
    <w:rsid w:val="005250E1"/>
    <w:rsid w:val="00525417"/>
    <w:rsid w:val="00525436"/>
    <w:rsid w:val="00525573"/>
    <w:rsid w:val="005258A2"/>
    <w:rsid w:val="00525972"/>
    <w:rsid w:val="00525D2D"/>
    <w:rsid w:val="00526991"/>
    <w:rsid w:val="00526FBE"/>
    <w:rsid w:val="00527322"/>
    <w:rsid w:val="00527605"/>
    <w:rsid w:val="005304A4"/>
    <w:rsid w:val="00530B7B"/>
    <w:rsid w:val="00530C3C"/>
    <w:rsid w:val="00530C74"/>
    <w:rsid w:val="0053128D"/>
    <w:rsid w:val="005313FE"/>
    <w:rsid w:val="00531429"/>
    <w:rsid w:val="0053157E"/>
    <w:rsid w:val="00531671"/>
    <w:rsid w:val="00531D3A"/>
    <w:rsid w:val="00531E7F"/>
    <w:rsid w:val="005320F9"/>
    <w:rsid w:val="0053263B"/>
    <w:rsid w:val="0053263D"/>
    <w:rsid w:val="00532BA0"/>
    <w:rsid w:val="00533102"/>
    <w:rsid w:val="005337F3"/>
    <w:rsid w:val="00534056"/>
    <w:rsid w:val="0053447F"/>
    <w:rsid w:val="00534521"/>
    <w:rsid w:val="00534C4A"/>
    <w:rsid w:val="00535625"/>
    <w:rsid w:val="00535754"/>
    <w:rsid w:val="00535D54"/>
    <w:rsid w:val="00535F5D"/>
    <w:rsid w:val="0053645A"/>
    <w:rsid w:val="00536582"/>
    <w:rsid w:val="005365A8"/>
    <w:rsid w:val="005366BE"/>
    <w:rsid w:val="00536855"/>
    <w:rsid w:val="00536A50"/>
    <w:rsid w:val="00536D53"/>
    <w:rsid w:val="00536EB7"/>
    <w:rsid w:val="005370DC"/>
    <w:rsid w:val="005376E4"/>
    <w:rsid w:val="00537CE9"/>
    <w:rsid w:val="0054035C"/>
    <w:rsid w:val="0054035D"/>
    <w:rsid w:val="00540720"/>
    <w:rsid w:val="0054094E"/>
    <w:rsid w:val="00540AD1"/>
    <w:rsid w:val="00540D9E"/>
    <w:rsid w:val="00542241"/>
    <w:rsid w:val="005426C3"/>
    <w:rsid w:val="00542921"/>
    <w:rsid w:val="00542C0F"/>
    <w:rsid w:val="00542D06"/>
    <w:rsid w:val="00542E4E"/>
    <w:rsid w:val="005433C5"/>
    <w:rsid w:val="00543762"/>
    <w:rsid w:val="00543A31"/>
    <w:rsid w:val="00543AE9"/>
    <w:rsid w:val="00543E2F"/>
    <w:rsid w:val="005442DF"/>
    <w:rsid w:val="00544747"/>
    <w:rsid w:val="00545029"/>
    <w:rsid w:val="00545620"/>
    <w:rsid w:val="00545AD8"/>
    <w:rsid w:val="00545D8E"/>
    <w:rsid w:val="00545F86"/>
    <w:rsid w:val="0054612E"/>
    <w:rsid w:val="00546465"/>
    <w:rsid w:val="00546855"/>
    <w:rsid w:val="005469E6"/>
    <w:rsid w:val="00546E3A"/>
    <w:rsid w:val="005474B0"/>
    <w:rsid w:val="005478D2"/>
    <w:rsid w:val="00547A43"/>
    <w:rsid w:val="00547A54"/>
    <w:rsid w:val="00547F6E"/>
    <w:rsid w:val="005506A3"/>
    <w:rsid w:val="005508AA"/>
    <w:rsid w:val="005509AE"/>
    <w:rsid w:val="00550C30"/>
    <w:rsid w:val="00551537"/>
    <w:rsid w:val="00551575"/>
    <w:rsid w:val="00551A99"/>
    <w:rsid w:val="00551D50"/>
    <w:rsid w:val="00551F88"/>
    <w:rsid w:val="005525C4"/>
    <w:rsid w:val="00552759"/>
    <w:rsid w:val="0055280A"/>
    <w:rsid w:val="00552915"/>
    <w:rsid w:val="0055299B"/>
    <w:rsid w:val="0055321E"/>
    <w:rsid w:val="0055331E"/>
    <w:rsid w:val="005536C2"/>
    <w:rsid w:val="00553C0D"/>
    <w:rsid w:val="00553E04"/>
    <w:rsid w:val="00554195"/>
    <w:rsid w:val="00554877"/>
    <w:rsid w:val="00554BEF"/>
    <w:rsid w:val="00555085"/>
    <w:rsid w:val="00555428"/>
    <w:rsid w:val="005554E9"/>
    <w:rsid w:val="0055609F"/>
    <w:rsid w:val="0055654B"/>
    <w:rsid w:val="005566D6"/>
    <w:rsid w:val="00556839"/>
    <w:rsid w:val="00556ECF"/>
    <w:rsid w:val="005572EF"/>
    <w:rsid w:val="0055771E"/>
    <w:rsid w:val="00557F04"/>
    <w:rsid w:val="005600C2"/>
    <w:rsid w:val="00560192"/>
    <w:rsid w:val="00560DE1"/>
    <w:rsid w:val="00560EB2"/>
    <w:rsid w:val="0056131E"/>
    <w:rsid w:val="0056165E"/>
    <w:rsid w:val="005617B1"/>
    <w:rsid w:val="00561A9B"/>
    <w:rsid w:val="00562138"/>
    <w:rsid w:val="005622AF"/>
    <w:rsid w:val="00562571"/>
    <w:rsid w:val="00562BF6"/>
    <w:rsid w:val="00562E87"/>
    <w:rsid w:val="00562F6F"/>
    <w:rsid w:val="005630AA"/>
    <w:rsid w:val="005638C1"/>
    <w:rsid w:val="005639CA"/>
    <w:rsid w:val="00563A1C"/>
    <w:rsid w:val="005648FF"/>
    <w:rsid w:val="00564EF9"/>
    <w:rsid w:val="005651F6"/>
    <w:rsid w:val="0056540C"/>
    <w:rsid w:val="00566A41"/>
    <w:rsid w:val="00566DB5"/>
    <w:rsid w:val="00566F1F"/>
    <w:rsid w:val="0056720E"/>
    <w:rsid w:val="00567984"/>
    <w:rsid w:val="00567BA4"/>
    <w:rsid w:val="00567ED0"/>
    <w:rsid w:val="00567F82"/>
    <w:rsid w:val="005701D9"/>
    <w:rsid w:val="00570538"/>
    <w:rsid w:val="00570A2C"/>
    <w:rsid w:val="00570AD7"/>
    <w:rsid w:val="00571012"/>
    <w:rsid w:val="00571319"/>
    <w:rsid w:val="005719E7"/>
    <w:rsid w:val="0057206E"/>
    <w:rsid w:val="00572B7E"/>
    <w:rsid w:val="00572BFE"/>
    <w:rsid w:val="00572D65"/>
    <w:rsid w:val="005734F0"/>
    <w:rsid w:val="0057369A"/>
    <w:rsid w:val="00573985"/>
    <w:rsid w:val="00573D75"/>
    <w:rsid w:val="00573E5C"/>
    <w:rsid w:val="00574050"/>
    <w:rsid w:val="0057449D"/>
    <w:rsid w:val="00574868"/>
    <w:rsid w:val="005749A3"/>
    <w:rsid w:val="00574F49"/>
    <w:rsid w:val="00575514"/>
    <w:rsid w:val="005755AD"/>
    <w:rsid w:val="00575D8C"/>
    <w:rsid w:val="00575F2C"/>
    <w:rsid w:val="0057617D"/>
    <w:rsid w:val="00576318"/>
    <w:rsid w:val="00576565"/>
    <w:rsid w:val="005765A5"/>
    <w:rsid w:val="00576830"/>
    <w:rsid w:val="005769AF"/>
    <w:rsid w:val="00577101"/>
    <w:rsid w:val="00577123"/>
    <w:rsid w:val="00577189"/>
    <w:rsid w:val="0057761F"/>
    <w:rsid w:val="005778F3"/>
    <w:rsid w:val="005779E6"/>
    <w:rsid w:val="00577C5B"/>
    <w:rsid w:val="005808E8"/>
    <w:rsid w:val="00581526"/>
    <w:rsid w:val="00581542"/>
    <w:rsid w:val="00581671"/>
    <w:rsid w:val="00581875"/>
    <w:rsid w:val="0058288A"/>
    <w:rsid w:val="00582D17"/>
    <w:rsid w:val="00582F6E"/>
    <w:rsid w:val="005833C2"/>
    <w:rsid w:val="00583B0A"/>
    <w:rsid w:val="005859A4"/>
    <w:rsid w:val="00585A18"/>
    <w:rsid w:val="00585D00"/>
    <w:rsid w:val="00586039"/>
    <w:rsid w:val="00586579"/>
    <w:rsid w:val="00586C60"/>
    <w:rsid w:val="00586E5E"/>
    <w:rsid w:val="00586EE8"/>
    <w:rsid w:val="0058714C"/>
    <w:rsid w:val="005876FA"/>
    <w:rsid w:val="00587BED"/>
    <w:rsid w:val="00590410"/>
    <w:rsid w:val="00590D7E"/>
    <w:rsid w:val="00591383"/>
    <w:rsid w:val="005913F7"/>
    <w:rsid w:val="00591521"/>
    <w:rsid w:val="00591578"/>
    <w:rsid w:val="00591658"/>
    <w:rsid w:val="00591768"/>
    <w:rsid w:val="00591E51"/>
    <w:rsid w:val="00591EBB"/>
    <w:rsid w:val="005921FE"/>
    <w:rsid w:val="00592369"/>
    <w:rsid w:val="00592757"/>
    <w:rsid w:val="00592A5F"/>
    <w:rsid w:val="00592B76"/>
    <w:rsid w:val="00592C2A"/>
    <w:rsid w:val="00592CDB"/>
    <w:rsid w:val="00592D8A"/>
    <w:rsid w:val="0059370F"/>
    <w:rsid w:val="00593977"/>
    <w:rsid w:val="00593ECA"/>
    <w:rsid w:val="005942A7"/>
    <w:rsid w:val="00594385"/>
    <w:rsid w:val="00594A5A"/>
    <w:rsid w:val="00594B39"/>
    <w:rsid w:val="00594D16"/>
    <w:rsid w:val="00595057"/>
    <w:rsid w:val="005952EA"/>
    <w:rsid w:val="00595513"/>
    <w:rsid w:val="0059576E"/>
    <w:rsid w:val="00595852"/>
    <w:rsid w:val="00595A38"/>
    <w:rsid w:val="00595D50"/>
    <w:rsid w:val="00595F6D"/>
    <w:rsid w:val="00596235"/>
    <w:rsid w:val="005964B7"/>
    <w:rsid w:val="00596EBD"/>
    <w:rsid w:val="005973F1"/>
    <w:rsid w:val="00597544"/>
    <w:rsid w:val="00597852"/>
    <w:rsid w:val="0059792A"/>
    <w:rsid w:val="00597984"/>
    <w:rsid w:val="00597EA2"/>
    <w:rsid w:val="005A05EF"/>
    <w:rsid w:val="005A068F"/>
    <w:rsid w:val="005A0FBC"/>
    <w:rsid w:val="005A176F"/>
    <w:rsid w:val="005A17EA"/>
    <w:rsid w:val="005A2481"/>
    <w:rsid w:val="005A26D9"/>
    <w:rsid w:val="005A27E4"/>
    <w:rsid w:val="005A286A"/>
    <w:rsid w:val="005A2CF3"/>
    <w:rsid w:val="005A2D7F"/>
    <w:rsid w:val="005A33AA"/>
    <w:rsid w:val="005A38A1"/>
    <w:rsid w:val="005A44C3"/>
    <w:rsid w:val="005A5211"/>
    <w:rsid w:val="005A5555"/>
    <w:rsid w:val="005A6096"/>
    <w:rsid w:val="005A6AC5"/>
    <w:rsid w:val="005A6C10"/>
    <w:rsid w:val="005A6F15"/>
    <w:rsid w:val="005A737B"/>
    <w:rsid w:val="005A74ED"/>
    <w:rsid w:val="005A7551"/>
    <w:rsid w:val="005A7C48"/>
    <w:rsid w:val="005B0296"/>
    <w:rsid w:val="005B0E69"/>
    <w:rsid w:val="005B12CD"/>
    <w:rsid w:val="005B1A92"/>
    <w:rsid w:val="005B1B30"/>
    <w:rsid w:val="005B2805"/>
    <w:rsid w:val="005B2859"/>
    <w:rsid w:val="005B2E8B"/>
    <w:rsid w:val="005B2EA2"/>
    <w:rsid w:val="005B3282"/>
    <w:rsid w:val="005B332D"/>
    <w:rsid w:val="005B3546"/>
    <w:rsid w:val="005B35AA"/>
    <w:rsid w:val="005B3675"/>
    <w:rsid w:val="005B3684"/>
    <w:rsid w:val="005B36AC"/>
    <w:rsid w:val="005B3D7B"/>
    <w:rsid w:val="005B3E02"/>
    <w:rsid w:val="005B4B27"/>
    <w:rsid w:val="005B4BE9"/>
    <w:rsid w:val="005B5036"/>
    <w:rsid w:val="005B52D5"/>
    <w:rsid w:val="005B54BF"/>
    <w:rsid w:val="005B57B6"/>
    <w:rsid w:val="005B591D"/>
    <w:rsid w:val="005B5ADE"/>
    <w:rsid w:val="005B5C55"/>
    <w:rsid w:val="005B5DC4"/>
    <w:rsid w:val="005B682C"/>
    <w:rsid w:val="005B6A11"/>
    <w:rsid w:val="005B6EA9"/>
    <w:rsid w:val="005B7163"/>
    <w:rsid w:val="005B7306"/>
    <w:rsid w:val="005B7602"/>
    <w:rsid w:val="005B7DDB"/>
    <w:rsid w:val="005B7F53"/>
    <w:rsid w:val="005C00DE"/>
    <w:rsid w:val="005C0CF3"/>
    <w:rsid w:val="005C147E"/>
    <w:rsid w:val="005C1810"/>
    <w:rsid w:val="005C1C3F"/>
    <w:rsid w:val="005C1E9F"/>
    <w:rsid w:val="005C1F86"/>
    <w:rsid w:val="005C23A4"/>
    <w:rsid w:val="005C2621"/>
    <w:rsid w:val="005C2AF3"/>
    <w:rsid w:val="005C2C71"/>
    <w:rsid w:val="005C2DB6"/>
    <w:rsid w:val="005C2F2F"/>
    <w:rsid w:val="005C2F40"/>
    <w:rsid w:val="005C33FE"/>
    <w:rsid w:val="005C3475"/>
    <w:rsid w:val="005C3A1E"/>
    <w:rsid w:val="005C3AD0"/>
    <w:rsid w:val="005C3D13"/>
    <w:rsid w:val="005C3DE2"/>
    <w:rsid w:val="005C4637"/>
    <w:rsid w:val="005C477A"/>
    <w:rsid w:val="005C47DE"/>
    <w:rsid w:val="005C48F5"/>
    <w:rsid w:val="005C4933"/>
    <w:rsid w:val="005C4B8B"/>
    <w:rsid w:val="005C4DE5"/>
    <w:rsid w:val="005C50A6"/>
    <w:rsid w:val="005C50FE"/>
    <w:rsid w:val="005C52AC"/>
    <w:rsid w:val="005C532D"/>
    <w:rsid w:val="005C5E13"/>
    <w:rsid w:val="005C68EA"/>
    <w:rsid w:val="005C7131"/>
    <w:rsid w:val="005C7726"/>
    <w:rsid w:val="005C7E2F"/>
    <w:rsid w:val="005D00E9"/>
    <w:rsid w:val="005D0275"/>
    <w:rsid w:val="005D0D2D"/>
    <w:rsid w:val="005D117B"/>
    <w:rsid w:val="005D1596"/>
    <w:rsid w:val="005D1782"/>
    <w:rsid w:val="005D17B9"/>
    <w:rsid w:val="005D1E03"/>
    <w:rsid w:val="005D20D0"/>
    <w:rsid w:val="005D251A"/>
    <w:rsid w:val="005D27C0"/>
    <w:rsid w:val="005D2BE4"/>
    <w:rsid w:val="005D306F"/>
    <w:rsid w:val="005D3379"/>
    <w:rsid w:val="005D3984"/>
    <w:rsid w:val="005D502C"/>
    <w:rsid w:val="005D5636"/>
    <w:rsid w:val="005D5BB7"/>
    <w:rsid w:val="005D5CC3"/>
    <w:rsid w:val="005D5D49"/>
    <w:rsid w:val="005D6019"/>
    <w:rsid w:val="005D63E6"/>
    <w:rsid w:val="005D695E"/>
    <w:rsid w:val="005D6F67"/>
    <w:rsid w:val="005D6FE9"/>
    <w:rsid w:val="005D7896"/>
    <w:rsid w:val="005D7902"/>
    <w:rsid w:val="005E0481"/>
    <w:rsid w:val="005E06BD"/>
    <w:rsid w:val="005E0CCE"/>
    <w:rsid w:val="005E0D7D"/>
    <w:rsid w:val="005E1841"/>
    <w:rsid w:val="005E1FF7"/>
    <w:rsid w:val="005E2653"/>
    <w:rsid w:val="005E2A08"/>
    <w:rsid w:val="005E2DD5"/>
    <w:rsid w:val="005E2F1A"/>
    <w:rsid w:val="005E304B"/>
    <w:rsid w:val="005E34B0"/>
    <w:rsid w:val="005E35FB"/>
    <w:rsid w:val="005E365E"/>
    <w:rsid w:val="005E3754"/>
    <w:rsid w:val="005E3909"/>
    <w:rsid w:val="005E39F6"/>
    <w:rsid w:val="005E42E3"/>
    <w:rsid w:val="005E449E"/>
    <w:rsid w:val="005E4528"/>
    <w:rsid w:val="005E49E4"/>
    <w:rsid w:val="005E4E72"/>
    <w:rsid w:val="005E58BC"/>
    <w:rsid w:val="005E6369"/>
    <w:rsid w:val="005E6A92"/>
    <w:rsid w:val="005E70A5"/>
    <w:rsid w:val="005E7B4E"/>
    <w:rsid w:val="005E7ED1"/>
    <w:rsid w:val="005F00DE"/>
    <w:rsid w:val="005F066A"/>
    <w:rsid w:val="005F1213"/>
    <w:rsid w:val="005F185E"/>
    <w:rsid w:val="005F1A9D"/>
    <w:rsid w:val="005F2236"/>
    <w:rsid w:val="005F24E0"/>
    <w:rsid w:val="005F2671"/>
    <w:rsid w:val="005F29C5"/>
    <w:rsid w:val="005F2A4E"/>
    <w:rsid w:val="005F2E76"/>
    <w:rsid w:val="005F3220"/>
    <w:rsid w:val="005F3443"/>
    <w:rsid w:val="005F45AF"/>
    <w:rsid w:val="005F4C69"/>
    <w:rsid w:val="005F4DFA"/>
    <w:rsid w:val="005F4F3C"/>
    <w:rsid w:val="005F504C"/>
    <w:rsid w:val="005F51D3"/>
    <w:rsid w:val="005F5693"/>
    <w:rsid w:val="005F5AAD"/>
    <w:rsid w:val="005F615D"/>
    <w:rsid w:val="005F644A"/>
    <w:rsid w:val="005F6728"/>
    <w:rsid w:val="005F6B3F"/>
    <w:rsid w:val="005F6B88"/>
    <w:rsid w:val="005F6BF9"/>
    <w:rsid w:val="005F76C0"/>
    <w:rsid w:val="00600213"/>
    <w:rsid w:val="00600BDB"/>
    <w:rsid w:val="006018AA"/>
    <w:rsid w:val="00601BF3"/>
    <w:rsid w:val="00601C3A"/>
    <w:rsid w:val="00602059"/>
    <w:rsid w:val="00602283"/>
    <w:rsid w:val="00602D0A"/>
    <w:rsid w:val="00603AA1"/>
    <w:rsid w:val="00603E9C"/>
    <w:rsid w:val="00603F4E"/>
    <w:rsid w:val="006040A7"/>
    <w:rsid w:val="00604687"/>
    <w:rsid w:val="0060484A"/>
    <w:rsid w:val="006050B9"/>
    <w:rsid w:val="00605A01"/>
    <w:rsid w:val="00606C10"/>
    <w:rsid w:val="0060745B"/>
    <w:rsid w:val="00607593"/>
    <w:rsid w:val="0061012C"/>
    <w:rsid w:val="00610C46"/>
    <w:rsid w:val="00610F08"/>
    <w:rsid w:val="00610FB7"/>
    <w:rsid w:val="006115A3"/>
    <w:rsid w:val="00611729"/>
    <w:rsid w:val="00611AD5"/>
    <w:rsid w:val="00611B39"/>
    <w:rsid w:val="00612C40"/>
    <w:rsid w:val="00612FBE"/>
    <w:rsid w:val="006139D4"/>
    <w:rsid w:val="00614381"/>
    <w:rsid w:val="00614446"/>
    <w:rsid w:val="00614D59"/>
    <w:rsid w:val="00614FE8"/>
    <w:rsid w:val="0061580D"/>
    <w:rsid w:val="00615A74"/>
    <w:rsid w:val="00615EFD"/>
    <w:rsid w:val="00615F9B"/>
    <w:rsid w:val="00616D1F"/>
    <w:rsid w:val="00616D71"/>
    <w:rsid w:val="00617041"/>
    <w:rsid w:val="00617644"/>
    <w:rsid w:val="00617769"/>
    <w:rsid w:val="006177A2"/>
    <w:rsid w:val="0062026C"/>
    <w:rsid w:val="006202C4"/>
    <w:rsid w:val="00620364"/>
    <w:rsid w:val="0062059D"/>
    <w:rsid w:val="00620994"/>
    <w:rsid w:val="00622604"/>
    <w:rsid w:val="006227DD"/>
    <w:rsid w:val="00622F82"/>
    <w:rsid w:val="0062336D"/>
    <w:rsid w:val="00623C1E"/>
    <w:rsid w:val="00623DA3"/>
    <w:rsid w:val="00623DC5"/>
    <w:rsid w:val="00623F4C"/>
    <w:rsid w:val="006245DC"/>
    <w:rsid w:val="0062536F"/>
    <w:rsid w:val="00625492"/>
    <w:rsid w:val="00625A21"/>
    <w:rsid w:val="0062605B"/>
    <w:rsid w:val="0062623D"/>
    <w:rsid w:val="00626355"/>
    <w:rsid w:val="00626BF4"/>
    <w:rsid w:val="006270C7"/>
    <w:rsid w:val="006275F5"/>
    <w:rsid w:val="0062793F"/>
    <w:rsid w:val="006279E3"/>
    <w:rsid w:val="00627E92"/>
    <w:rsid w:val="00630012"/>
    <w:rsid w:val="006306F2"/>
    <w:rsid w:val="00630F45"/>
    <w:rsid w:val="0063109E"/>
    <w:rsid w:val="00632610"/>
    <w:rsid w:val="0063286A"/>
    <w:rsid w:val="00632E65"/>
    <w:rsid w:val="00632EFF"/>
    <w:rsid w:val="006330CE"/>
    <w:rsid w:val="006332E6"/>
    <w:rsid w:val="0063331F"/>
    <w:rsid w:val="006338CA"/>
    <w:rsid w:val="006342FF"/>
    <w:rsid w:val="006344E8"/>
    <w:rsid w:val="0063456E"/>
    <w:rsid w:val="006348E3"/>
    <w:rsid w:val="00634D3E"/>
    <w:rsid w:val="00634E51"/>
    <w:rsid w:val="0063539D"/>
    <w:rsid w:val="006368BF"/>
    <w:rsid w:val="00636AAA"/>
    <w:rsid w:val="00636B6B"/>
    <w:rsid w:val="00636CB0"/>
    <w:rsid w:val="00636EC2"/>
    <w:rsid w:val="00637310"/>
    <w:rsid w:val="00637572"/>
    <w:rsid w:val="0063766D"/>
    <w:rsid w:val="00637673"/>
    <w:rsid w:val="00637DDD"/>
    <w:rsid w:val="00637F03"/>
    <w:rsid w:val="00640228"/>
    <w:rsid w:val="006408E8"/>
    <w:rsid w:val="006409BD"/>
    <w:rsid w:val="00640FF1"/>
    <w:rsid w:val="00641156"/>
    <w:rsid w:val="00641B60"/>
    <w:rsid w:val="00641B81"/>
    <w:rsid w:val="00641BE9"/>
    <w:rsid w:val="00641CD6"/>
    <w:rsid w:val="0064266E"/>
    <w:rsid w:val="006428AB"/>
    <w:rsid w:val="006429B1"/>
    <w:rsid w:val="00643008"/>
    <w:rsid w:val="00643809"/>
    <w:rsid w:val="00643C58"/>
    <w:rsid w:val="00644558"/>
    <w:rsid w:val="00644768"/>
    <w:rsid w:val="00644847"/>
    <w:rsid w:val="006454A0"/>
    <w:rsid w:val="006461AC"/>
    <w:rsid w:val="006462B7"/>
    <w:rsid w:val="00646435"/>
    <w:rsid w:val="00646966"/>
    <w:rsid w:val="00646B49"/>
    <w:rsid w:val="00646DF2"/>
    <w:rsid w:val="006470CB"/>
    <w:rsid w:val="00647756"/>
    <w:rsid w:val="00647CA5"/>
    <w:rsid w:val="00650286"/>
    <w:rsid w:val="006507D6"/>
    <w:rsid w:val="0065103A"/>
    <w:rsid w:val="006511F1"/>
    <w:rsid w:val="00651487"/>
    <w:rsid w:val="0065282D"/>
    <w:rsid w:val="00652C4A"/>
    <w:rsid w:val="00652E8D"/>
    <w:rsid w:val="006535BE"/>
    <w:rsid w:val="00653B20"/>
    <w:rsid w:val="006545E9"/>
    <w:rsid w:val="00654944"/>
    <w:rsid w:val="00654964"/>
    <w:rsid w:val="0065506E"/>
    <w:rsid w:val="00655168"/>
    <w:rsid w:val="00655609"/>
    <w:rsid w:val="0065572F"/>
    <w:rsid w:val="00655928"/>
    <w:rsid w:val="00657055"/>
    <w:rsid w:val="006572E7"/>
    <w:rsid w:val="00657663"/>
    <w:rsid w:val="00657B4E"/>
    <w:rsid w:val="0066143C"/>
    <w:rsid w:val="00661900"/>
    <w:rsid w:val="0066191E"/>
    <w:rsid w:val="00661AAF"/>
    <w:rsid w:val="00662677"/>
    <w:rsid w:val="00662BEB"/>
    <w:rsid w:val="00662EDE"/>
    <w:rsid w:val="00663955"/>
    <w:rsid w:val="00663F92"/>
    <w:rsid w:val="006641B3"/>
    <w:rsid w:val="006641DC"/>
    <w:rsid w:val="0066431D"/>
    <w:rsid w:val="006645ED"/>
    <w:rsid w:val="00665105"/>
    <w:rsid w:val="00665197"/>
    <w:rsid w:val="006654B0"/>
    <w:rsid w:val="0066568F"/>
    <w:rsid w:val="00665D3E"/>
    <w:rsid w:val="0066618F"/>
    <w:rsid w:val="006667BB"/>
    <w:rsid w:val="006668DE"/>
    <w:rsid w:val="006669ED"/>
    <w:rsid w:val="00666A07"/>
    <w:rsid w:val="00667060"/>
    <w:rsid w:val="0066755E"/>
    <w:rsid w:val="00667672"/>
    <w:rsid w:val="006676BF"/>
    <w:rsid w:val="00670205"/>
    <w:rsid w:val="0067040A"/>
    <w:rsid w:val="0067054B"/>
    <w:rsid w:val="00670795"/>
    <w:rsid w:val="00670F1F"/>
    <w:rsid w:val="00671170"/>
    <w:rsid w:val="00671A1F"/>
    <w:rsid w:val="00671D24"/>
    <w:rsid w:val="00671DE1"/>
    <w:rsid w:val="00672293"/>
    <w:rsid w:val="00672346"/>
    <w:rsid w:val="00672368"/>
    <w:rsid w:val="006725EC"/>
    <w:rsid w:val="00673D54"/>
    <w:rsid w:val="00673EB3"/>
    <w:rsid w:val="006743A3"/>
    <w:rsid w:val="00674512"/>
    <w:rsid w:val="00675105"/>
    <w:rsid w:val="0067525D"/>
    <w:rsid w:val="00675BE2"/>
    <w:rsid w:val="00675C04"/>
    <w:rsid w:val="00675C6E"/>
    <w:rsid w:val="006766BA"/>
    <w:rsid w:val="00676AE5"/>
    <w:rsid w:val="00676EDF"/>
    <w:rsid w:val="00677B69"/>
    <w:rsid w:val="00677BA6"/>
    <w:rsid w:val="00677E60"/>
    <w:rsid w:val="0068001E"/>
    <w:rsid w:val="00680DBD"/>
    <w:rsid w:val="006810AB"/>
    <w:rsid w:val="006816E9"/>
    <w:rsid w:val="00681808"/>
    <w:rsid w:val="00681C18"/>
    <w:rsid w:val="00681E07"/>
    <w:rsid w:val="00681E39"/>
    <w:rsid w:val="00682864"/>
    <w:rsid w:val="006828FA"/>
    <w:rsid w:val="006831FB"/>
    <w:rsid w:val="0068377F"/>
    <w:rsid w:val="00683A74"/>
    <w:rsid w:val="00683AEB"/>
    <w:rsid w:val="00683B7F"/>
    <w:rsid w:val="00683CD7"/>
    <w:rsid w:val="00683E93"/>
    <w:rsid w:val="00683FA7"/>
    <w:rsid w:val="0068432B"/>
    <w:rsid w:val="006844F6"/>
    <w:rsid w:val="006845B4"/>
    <w:rsid w:val="0068477A"/>
    <w:rsid w:val="006847A3"/>
    <w:rsid w:val="00684E23"/>
    <w:rsid w:val="00684E25"/>
    <w:rsid w:val="00685DDA"/>
    <w:rsid w:val="00686418"/>
    <w:rsid w:val="006866F0"/>
    <w:rsid w:val="00686C68"/>
    <w:rsid w:val="00686FE6"/>
    <w:rsid w:val="006870A3"/>
    <w:rsid w:val="006875BD"/>
    <w:rsid w:val="00687852"/>
    <w:rsid w:val="00687CD8"/>
    <w:rsid w:val="00687E46"/>
    <w:rsid w:val="00690440"/>
    <w:rsid w:val="00690508"/>
    <w:rsid w:val="0069088E"/>
    <w:rsid w:val="00690D0F"/>
    <w:rsid w:val="00690D6A"/>
    <w:rsid w:val="00690F90"/>
    <w:rsid w:val="00691402"/>
    <w:rsid w:val="00691B7F"/>
    <w:rsid w:val="00691FEB"/>
    <w:rsid w:val="00692849"/>
    <w:rsid w:val="00692DC8"/>
    <w:rsid w:val="006934DC"/>
    <w:rsid w:val="006936A6"/>
    <w:rsid w:val="0069418D"/>
    <w:rsid w:val="00694492"/>
    <w:rsid w:val="006950D2"/>
    <w:rsid w:val="006958A4"/>
    <w:rsid w:val="00695920"/>
    <w:rsid w:val="006959FD"/>
    <w:rsid w:val="006967C8"/>
    <w:rsid w:val="006968D1"/>
    <w:rsid w:val="00697064"/>
    <w:rsid w:val="006970A0"/>
    <w:rsid w:val="00697628"/>
    <w:rsid w:val="00697CB2"/>
    <w:rsid w:val="006A0020"/>
    <w:rsid w:val="006A0727"/>
    <w:rsid w:val="006A093E"/>
    <w:rsid w:val="006A0D25"/>
    <w:rsid w:val="006A0D68"/>
    <w:rsid w:val="006A0EDA"/>
    <w:rsid w:val="006A15D2"/>
    <w:rsid w:val="006A1C3F"/>
    <w:rsid w:val="006A22AC"/>
    <w:rsid w:val="006A2469"/>
    <w:rsid w:val="006A24A0"/>
    <w:rsid w:val="006A2827"/>
    <w:rsid w:val="006A2C2E"/>
    <w:rsid w:val="006A33AA"/>
    <w:rsid w:val="006A40E4"/>
    <w:rsid w:val="006A4531"/>
    <w:rsid w:val="006A4A68"/>
    <w:rsid w:val="006A4D4D"/>
    <w:rsid w:val="006A4F9C"/>
    <w:rsid w:val="006A549A"/>
    <w:rsid w:val="006A5806"/>
    <w:rsid w:val="006A5C09"/>
    <w:rsid w:val="006A67BD"/>
    <w:rsid w:val="006A6FE5"/>
    <w:rsid w:val="006A74BD"/>
    <w:rsid w:val="006A7588"/>
    <w:rsid w:val="006A76B9"/>
    <w:rsid w:val="006B0991"/>
    <w:rsid w:val="006B0EFA"/>
    <w:rsid w:val="006B0F0D"/>
    <w:rsid w:val="006B1587"/>
    <w:rsid w:val="006B1CEB"/>
    <w:rsid w:val="006B1D20"/>
    <w:rsid w:val="006B2AB8"/>
    <w:rsid w:val="006B2AC2"/>
    <w:rsid w:val="006B2C89"/>
    <w:rsid w:val="006B2D23"/>
    <w:rsid w:val="006B2E2F"/>
    <w:rsid w:val="006B311C"/>
    <w:rsid w:val="006B333E"/>
    <w:rsid w:val="006B37B8"/>
    <w:rsid w:val="006B38A8"/>
    <w:rsid w:val="006B39EA"/>
    <w:rsid w:val="006B39FB"/>
    <w:rsid w:val="006B3E41"/>
    <w:rsid w:val="006B46B5"/>
    <w:rsid w:val="006B473C"/>
    <w:rsid w:val="006B48D3"/>
    <w:rsid w:val="006B4F91"/>
    <w:rsid w:val="006B4FF7"/>
    <w:rsid w:val="006B51C1"/>
    <w:rsid w:val="006B533D"/>
    <w:rsid w:val="006B5598"/>
    <w:rsid w:val="006B5609"/>
    <w:rsid w:val="006B72B4"/>
    <w:rsid w:val="006B7472"/>
    <w:rsid w:val="006B74A7"/>
    <w:rsid w:val="006B74DC"/>
    <w:rsid w:val="006B7619"/>
    <w:rsid w:val="006B7943"/>
    <w:rsid w:val="006B7A1A"/>
    <w:rsid w:val="006C0AEF"/>
    <w:rsid w:val="006C0D30"/>
    <w:rsid w:val="006C1086"/>
    <w:rsid w:val="006C1447"/>
    <w:rsid w:val="006C16B3"/>
    <w:rsid w:val="006C27C6"/>
    <w:rsid w:val="006C28B6"/>
    <w:rsid w:val="006C2ACF"/>
    <w:rsid w:val="006C324E"/>
    <w:rsid w:val="006C3496"/>
    <w:rsid w:val="006C3584"/>
    <w:rsid w:val="006C4249"/>
    <w:rsid w:val="006C4592"/>
    <w:rsid w:val="006C490B"/>
    <w:rsid w:val="006C4C9A"/>
    <w:rsid w:val="006C5846"/>
    <w:rsid w:val="006C5A35"/>
    <w:rsid w:val="006C5C1B"/>
    <w:rsid w:val="006C60E5"/>
    <w:rsid w:val="006C6B4A"/>
    <w:rsid w:val="006C6F0E"/>
    <w:rsid w:val="006C70F8"/>
    <w:rsid w:val="006C7489"/>
    <w:rsid w:val="006C75C0"/>
    <w:rsid w:val="006C75FF"/>
    <w:rsid w:val="006C7834"/>
    <w:rsid w:val="006C7873"/>
    <w:rsid w:val="006C7FC3"/>
    <w:rsid w:val="006D0CDD"/>
    <w:rsid w:val="006D10F4"/>
    <w:rsid w:val="006D1DB6"/>
    <w:rsid w:val="006D1E75"/>
    <w:rsid w:val="006D1EA6"/>
    <w:rsid w:val="006D2177"/>
    <w:rsid w:val="006D2219"/>
    <w:rsid w:val="006D33EB"/>
    <w:rsid w:val="006D349E"/>
    <w:rsid w:val="006D3A28"/>
    <w:rsid w:val="006D466B"/>
    <w:rsid w:val="006D48FB"/>
    <w:rsid w:val="006D5700"/>
    <w:rsid w:val="006D58A0"/>
    <w:rsid w:val="006D5D14"/>
    <w:rsid w:val="006D6742"/>
    <w:rsid w:val="006D6A56"/>
    <w:rsid w:val="006D6E79"/>
    <w:rsid w:val="006D702C"/>
    <w:rsid w:val="006D7526"/>
    <w:rsid w:val="006D7575"/>
    <w:rsid w:val="006D7C2A"/>
    <w:rsid w:val="006E0884"/>
    <w:rsid w:val="006E0E75"/>
    <w:rsid w:val="006E0F37"/>
    <w:rsid w:val="006E1825"/>
    <w:rsid w:val="006E3531"/>
    <w:rsid w:val="006E3A95"/>
    <w:rsid w:val="006E3CF2"/>
    <w:rsid w:val="006E3D94"/>
    <w:rsid w:val="006E4094"/>
    <w:rsid w:val="006E47D5"/>
    <w:rsid w:val="006E47E2"/>
    <w:rsid w:val="006E4FAE"/>
    <w:rsid w:val="006E519B"/>
    <w:rsid w:val="006E577F"/>
    <w:rsid w:val="006E59C4"/>
    <w:rsid w:val="006E5A7C"/>
    <w:rsid w:val="006E6CB3"/>
    <w:rsid w:val="006E75EF"/>
    <w:rsid w:val="006E79D5"/>
    <w:rsid w:val="006F00AF"/>
    <w:rsid w:val="006F00F4"/>
    <w:rsid w:val="006F0739"/>
    <w:rsid w:val="006F08DA"/>
    <w:rsid w:val="006F1050"/>
    <w:rsid w:val="006F1743"/>
    <w:rsid w:val="006F188F"/>
    <w:rsid w:val="006F1E87"/>
    <w:rsid w:val="006F1FC6"/>
    <w:rsid w:val="006F2204"/>
    <w:rsid w:val="006F2339"/>
    <w:rsid w:val="006F24CA"/>
    <w:rsid w:val="006F2572"/>
    <w:rsid w:val="006F2669"/>
    <w:rsid w:val="006F2935"/>
    <w:rsid w:val="006F2CBE"/>
    <w:rsid w:val="006F3452"/>
    <w:rsid w:val="006F362E"/>
    <w:rsid w:val="006F3B13"/>
    <w:rsid w:val="006F3D09"/>
    <w:rsid w:val="006F3E14"/>
    <w:rsid w:val="006F4D0A"/>
    <w:rsid w:val="006F4D0D"/>
    <w:rsid w:val="006F5443"/>
    <w:rsid w:val="006F55BD"/>
    <w:rsid w:val="006F5926"/>
    <w:rsid w:val="006F5DF7"/>
    <w:rsid w:val="006F61C3"/>
    <w:rsid w:val="006F6489"/>
    <w:rsid w:val="006F690B"/>
    <w:rsid w:val="006F6A62"/>
    <w:rsid w:val="006F6C23"/>
    <w:rsid w:val="006F70EE"/>
    <w:rsid w:val="006F7845"/>
    <w:rsid w:val="006F7B86"/>
    <w:rsid w:val="006F7BC7"/>
    <w:rsid w:val="006F7F84"/>
    <w:rsid w:val="007001D5"/>
    <w:rsid w:val="00700C49"/>
    <w:rsid w:val="007013C3"/>
    <w:rsid w:val="0070151E"/>
    <w:rsid w:val="00701783"/>
    <w:rsid w:val="00701DD2"/>
    <w:rsid w:val="0070284D"/>
    <w:rsid w:val="00702938"/>
    <w:rsid w:val="00703434"/>
    <w:rsid w:val="007035F3"/>
    <w:rsid w:val="00703974"/>
    <w:rsid w:val="00703B06"/>
    <w:rsid w:val="00703E35"/>
    <w:rsid w:val="00704308"/>
    <w:rsid w:val="007048B5"/>
    <w:rsid w:val="00704C54"/>
    <w:rsid w:val="00704DBE"/>
    <w:rsid w:val="0070512A"/>
    <w:rsid w:val="007054B3"/>
    <w:rsid w:val="00705B4B"/>
    <w:rsid w:val="00706C8F"/>
    <w:rsid w:val="00706D8C"/>
    <w:rsid w:val="00706EE5"/>
    <w:rsid w:val="007070B2"/>
    <w:rsid w:val="00707781"/>
    <w:rsid w:val="007077C5"/>
    <w:rsid w:val="00707886"/>
    <w:rsid w:val="00707CC2"/>
    <w:rsid w:val="00707F84"/>
    <w:rsid w:val="00710C17"/>
    <w:rsid w:val="00710E3E"/>
    <w:rsid w:val="0071177A"/>
    <w:rsid w:val="00711B92"/>
    <w:rsid w:val="00711CF5"/>
    <w:rsid w:val="00711F91"/>
    <w:rsid w:val="00712967"/>
    <w:rsid w:val="00712EA0"/>
    <w:rsid w:val="007132D3"/>
    <w:rsid w:val="0071415C"/>
    <w:rsid w:val="00714187"/>
    <w:rsid w:val="00714551"/>
    <w:rsid w:val="00714686"/>
    <w:rsid w:val="007146CE"/>
    <w:rsid w:val="0071471F"/>
    <w:rsid w:val="00714865"/>
    <w:rsid w:val="00714E19"/>
    <w:rsid w:val="00715050"/>
    <w:rsid w:val="007155CF"/>
    <w:rsid w:val="00715A31"/>
    <w:rsid w:val="00715C40"/>
    <w:rsid w:val="00715D51"/>
    <w:rsid w:val="0071615B"/>
    <w:rsid w:val="0071643C"/>
    <w:rsid w:val="00716A02"/>
    <w:rsid w:val="00716D70"/>
    <w:rsid w:val="0071702B"/>
    <w:rsid w:val="00717113"/>
    <w:rsid w:val="00717AC9"/>
    <w:rsid w:val="00717B73"/>
    <w:rsid w:val="0072053A"/>
    <w:rsid w:val="0072084C"/>
    <w:rsid w:val="00720F26"/>
    <w:rsid w:val="00720F95"/>
    <w:rsid w:val="007211DA"/>
    <w:rsid w:val="007211E8"/>
    <w:rsid w:val="00721ACE"/>
    <w:rsid w:val="00721DE8"/>
    <w:rsid w:val="007223C2"/>
    <w:rsid w:val="0072272C"/>
    <w:rsid w:val="00722998"/>
    <w:rsid w:val="00722AE9"/>
    <w:rsid w:val="007239E0"/>
    <w:rsid w:val="0072479C"/>
    <w:rsid w:val="00724F37"/>
    <w:rsid w:val="00724FA7"/>
    <w:rsid w:val="0072513C"/>
    <w:rsid w:val="00725287"/>
    <w:rsid w:val="007254C6"/>
    <w:rsid w:val="00725783"/>
    <w:rsid w:val="00725D8B"/>
    <w:rsid w:val="00725E2E"/>
    <w:rsid w:val="007262F0"/>
    <w:rsid w:val="0072645E"/>
    <w:rsid w:val="007266A0"/>
    <w:rsid w:val="007269B3"/>
    <w:rsid w:val="00727016"/>
    <w:rsid w:val="007277F8"/>
    <w:rsid w:val="00727ECC"/>
    <w:rsid w:val="00727FD8"/>
    <w:rsid w:val="0073003E"/>
    <w:rsid w:val="00730601"/>
    <w:rsid w:val="00730C87"/>
    <w:rsid w:val="00730D41"/>
    <w:rsid w:val="00731851"/>
    <w:rsid w:val="00731E6C"/>
    <w:rsid w:val="00732072"/>
    <w:rsid w:val="00732181"/>
    <w:rsid w:val="007323A6"/>
    <w:rsid w:val="00732A07"/>
    <w:rsid w:val="00733318"/>
    <w:rsid w:val="007337EA"/>
    <w:rsid w:val="007337F9"/>
    <w:rsid w:val="00733D16"/>
    <w:rsid w:val="00733D34"/>
    <w:rsid w:val="00733DBB"/>
    <w:rsid w:val="00734073"/>
    <w:rsid w:val="007340FF"/>
    <w:rsid w:val="00734361"/>
    <w:rsid w:val="00734388"/>
    <w:rsid w:val="007345F4"/>
    <w:rsid w:val="00734951"/>
    <w:rsid w:val="007362E3"/>
    <w:rsid w:val="0073653F"/>
    <w:rsid w:val="007365D6"/>
    <w:rsid w:val="007369B0"/>
    <w:rsid w:val="00736CDF"/>
    <w:rsid w:val="00736EDD"/>
    <w:rsid w:val="007372C2"/>
    <w:rsid w:val="00737688"/>
    <w:rsid w:val="00737745"/>
    <w:rsid w:val="00737B55"/>
    <w:rsid w:val="00737DED"/>
    <w:rsid w:val="0074001E"/>
    <w:rsid w:val="007400ED"/>
    <w:rsid w:val="0074112C"/>
    <w:rsid w:val="00741866"/>
    <w:rsid w:val="00741D26"/>
    <w:rsid w:val="00741D40"/>
    <w:rsid w:val="0074208D"/>
    <w:rsid w:val="00742895"/>
    <w:rsid w:val="00742A99"/>
    <w:rsid w:val="0074304D"/>
    <w:rsid w:val="007435F0"/>
    <w:rsid w:val="00743E96"/>
    <w:rsid w:val="00744029"/>
    <w:rsid w:val="007440DF"/>
    <w:rsid w:val="00744329"/>
    <w:rsid w:val="007443B4"/>
    <w:rsid w:val="00744F72"/>
    <w:rsid w:val="00745104"/>
    <w:rsid w:val="007458DC"/>
    <w:rsid w:val="00745A27"/>
    <w:rsid w:val="007463EC"/>
    <w:rsid w:val="007464D4"/>
    <w:rsid w:val="0074650A"/>
    <w:rsid w:val="00746785"/>
    <w:rsid w:val="007467B7"/>
    <w:rsid w:val="00746958"/>
    <w:rsid w:val="00747174"/>
    <w:rsid w:val="00747417"/>
    <w:rsid w:val="0074748F"/>
    <w:rsid w:val="00747A66"/>
    <w:rsid w:val="00747CD7"/>
    <w:rsid w:val="00750154"/>
    <w:rsid w:val="00750FE0"/>
    <w:rsid w:val="00751868"/>
    <w:rsid w:val="00751B16"/>
    <w:rsid w:val="0075278F"/>
    <w:rsid w:val="00753890"/>
    <w:rsid w:val="00753A8E"/>
    <w:rsid w:val="00753B90"/>
    <w:rsid w:val="00754142"/>
    <w:rsid w:val="00754335"/>
    <w:rsid w:val="00754671"/>
    <w:rsid w:val="0075484F"/>
    <w:rsid w:val="00755C38"/>
    <w:rsid w:val="00755DE8"/>
    <w:rsid w:val="0075606C"/>
    <w:rsid w:val="007566BB"/>
    <w:rsid w:val="0075674F"/>
    <w:rsid w:val="00756E93"/>
    <w:rsid w:val="00756F1C"/>
    <w:rsid w:val="00757A80"/>
    <w:rsid w:val="007604BC"/>
    <w:rsid w:val="00760895"/>
    <w:rsid w:val="00760AFB"/>
    <w:rsid w:val="00760EE2"/>
    <w:rsid w:val="00761A45"/>
    <w:rsid w:val="007620FD"/>
    <w:rsid w:val="00762335"/>
    <w:rsid w:val="0076283A"/>
    <w:rsid w:val="00762CCA"/>
    <w:rsid w:val="00762E8E"/>
    <w:rsid w:val="00763110"/>
    <w:rsid w:val="007632D3"/>
    <w:rsid w:val="00763B3D"/>
    <w:rsid w:val="00763BFD"/>
    <w:rsid w:val="00763DF7"/>
    <w:rsid w:val="00764A66"/>
    <w:rsid w:val="00765092"/>
    <w:rsid w:val="00765238"/>
    <w:rsid w:val="00765D40"/>
    <w:rsid w:val="007667C7"/>
    <w:rsid w:val="00766BA7"/>
    <w:rsid w:val="00766CCF"/>
    <w:rsid w:val="00766F41"/>
    <w:rsid w:val="007671EE"/>
    <w:rsid w:val="007677DA"/>
    <w:rsid w:val="007679FC"/>
    <w:rsid w:val="00770486"/>
    <w:rsid w:val="00770E0C"/>
    <w:rsid w:val="0077106A"/>
    <w:rsid w:val="00771699"/>
    <w:rsid w:val="00772161"/>
    <w:rsid w:val="007724E6"/>
    <w:rsid w:val="0077286D"/>
    <w:rsid w:val="00772B56"/>
    <w:rsid w:val="00772CE9"/>
    <w:rsid w:val="007730E5"/>
    <w:rsid w:val="007736D7"/>
    <w:rsid w:val="00773D15"/>
    <w:rsid w:val="00774281"/>
    <w:rsid w:val="007743B0"/>
    <w:rsid w:val="00775324"/>
    <w:rsid w:val="007755F8"/>
    <w:rsid w:val="00775C01"/>
    <w:rsid w:val="007762F6"/>
    <w:rsid w:val="00776737"/>
    <w:rsid w:val="00776BAC"/>
    <w:rsid w:val="00776BE8"/>
    <w:rsid w:val="00780161"/>
    <w:rsid w:val="00780760"/>
    <w:rsid w:val="00780A48"/>
    <w:rsid w:val="00781112"/>
    <w:rsid w:val="00781277"/>
    <w:rsid w:val="00781DC1"/>
    <w:rsid w:val="00781F4B"/>
    <w:rsid w:val="007823A8"/>
    <w:rsid w:val="00782818"/>
    <w:rsid w:val="007829C5"/>
    <w:rsid w:val="00782C69"/>
    <w:rsid w:val="00783C5C"/>
    <w:rsid w:val="00783EFD"/>
    <w:rsid w:val="00784625"/>
    <w:rsid w:val="00784774"/>
    <w:rsid w:val="0078492A"/>
    <w:rsid w:val="00784B9E"/>
    <w:rsid w:val="007851A4"/>
    <w:rsid w:val="00785732"/>
    <w:rsid w:val="0078595D"/>
    <w:rsid w:val="00785B6E"/>
    <w:rsid w:val="00785B71"/>
    <w:rsid w:val="00785E62"/>
    <w:rsid w:val="00785FF5"/>
    <w:rsid w:val="00786012"/>
    <w:rsid w:val="00786095"/>
    <w:rsid w:val="007861B8"/>
    <w:rsid w:val="00786C53"/>
    <w:rsid w:val="00786C90"/>
    <w:rsid w:val="007873A4"/>
    <w:rsid w:val="007873DF"/>
    <w:rsid w:val="00787772"/>
    <w:rsid w:val="00787C53"/>
    <w:rsid w:val="00787FC0"/>
    <w:rsid w:val="0079037D"/>
    <w:rsid w:val="0079043D"/>
    <w:rsid w:val="00790719"/>
    <w:rsid w:val="0079153B"/>
    <w:rsid w:val="00791AA4"/>
    <w:rsid w:val="00792108"/>
    <w:rsid w:val="00792176"/>
    <w:rsid w:val="00792625"/>
    <w:rsid w:val="00792959"/>
    <w:rsid w:val="00792DFE"/>
    <w:rsid w:val="00793831"/>
    <w:rsid w:val="00793B73"/>
    <w:rsid w:val="00793D5B"/>
    <w:rsid w:val="007943BF"/>
    <w:rsid w:val="007944CC"/>
    <w:rsid w:val="00795136"/>
    <w:rsid w:val="00795838"/>
    <w:rsid w:val="007959ED"/>
    <w:rsid w:val="007969AA"/>
    <w:rsid w:val="00797054"/>
    <w:rsid w:val="00797169"/>
    <w:rsid w:val="00797380"/>
    <w:rsid w:val="0079764A"/>
    <w:rsid w:val="0079791B"/>
    <w:rsid w:val="00797BC9"/>
    <w:rsid w:val="00797C1E"/>
    <w:rsid w:val="007A01C8"/>
    <w:rsid w:val="007A093C"/>
    <w:rsid w:val="007A0B3A"/>
    <w:rsid w:val="007A0E6C"/>
    <w:rsid w:val="007A0EA2"/>
    <w:rsid w:val="007A115F"/>
    <w:rsid w:val="007A1371"/>
    <w:rsid w:val="007A21AD"/>
    <w:rsid w:val="007A2247"/>
    <w:rsid w:val="007A23C9"/>
    <w:rsid w:val="007A2479"/>
    <w:rsid w:val="007A2551"/>
    <w:rsid w:val="007A42F2"/>
    <w:rsid w:val="007A4A59"/>
    <w:rsid w:val="007A4EEC"/>
    <w:rsid w:val="007A53F3"/>
    <w:rsid w:val="007A6989"/>
    <w:rsid w:val="007A73D1"/>
    <w:rsid w:val="007A75F8"/>
    <w:rsid w:val="007B027E"/>
    <w:rsid w:val="007B02F5"/>
    <w:rsid w:val="007B0A90"/>
    <w:rsid w:val="007B106B"/>
    <w:rsid w:val="007B1133"/>
    <w:rsid w:val="007B1493"/>
    <w:rsid w:val="007B1F0B"/>
    <w:rsid w:val="007B25B4"/>
    <w:rsid w:val="007B2C6A"/>
    <w:rsid w:val="007B2FD1"/>
    <w:rsid w:val="007B317A"/>
    <w:rsid w:val="007B3A87"/>
    <w:rsid w:val="007B3E2A"/>
    <w:rsid w:val="007B3F96"/>
    <w:rsid w:val="007B4042"/>
    <w:rsid w:val="007B41AB"/>
    <w:rsid w:val="007B433F"/>
    <w:rsid w:val="007B4484"/>
    <w:rsid w:val="007B4AF3"/>
    <w:rsid w:val="007B4D44"/>
    <w:rsid w:val="007B4DF3"/>
    <w:rsid w:val="007B4E55"/>
    <w:rsid w:val="007B4EC4"/>
    <w:rsid w:val="007B4FB5"/>
    <w:rsid w:val="007B50D5"/>
    <w:rsid w:val="007B556E"/>
    <w:rsid w:val="007B573D"/>
    <w:rsid w:val="007B5C7E"/>
    <w:rsid w:val="007B6523"/>
    <w:rsid w:val="007B6551"/>
    <w:rsid w:val="007B6CC1"/>
    <w:rsid w:val="007B6F75"/>
    <w:rsid w:val="007B6FED"/>
    <w:rsid w:val="007B6FFF"/>
    <w:rsid w:val="007B737D"/>
    <w:rsid w:val="007B7543"/>
    <w:rsid w:val="007B79E2"/>
    <w:rsid w:val="007C0B63"/>
    <w:rsid w:val="007C11F7"/>
    <w:rsid w:val="007C1C54"/>
    <w:rsid w:val="007C1E7F"/>
    <w:rsid w:val="007C2290"/>
    <w:rsid w:val="007C2447"/>
    <w:rsid w:val="007C2A95"/>
    <w:rsid w:val="007C2D2F"/>
    <w:rsid w:val="007C2F1E"/>
    <w:rsid w:val="007C340C"/>
    <w:rsid w:val="007C3F4C"/>
    <w:rsid w:val="007C5A00"/>
    <w:rsid w:val="007C5C86"/>
    <w:rsid w:val="007C5E18"/>
    <w:rsid w:val="007C6241"/>
    <w:rsid w:val="007C68BD"/>
    <w:rsid w:val="007C6983"/>
    <w:rsid w:val="007C6B95"/>
    <w:rsid w:val="007C6C85"/>
    <w:rsid w:val="007C76B6"/>
    <w:rsid w:val="007C76EB"/>
    <w:rsid w:val="007C7733"/>
    <w:rsid w:val="007C7B1C"/>
    <w:rsid w:val="007C7E07"/>
    <w:rsid w:val="007C7F80"/>
    <w:rsid w:val="007D017A"/>
    <w:rsid w:val="007D0307"/>
    <w:rsid w:val="007D0900"/>
    <w:rsid w:val="007D0C05"/>
    <w:rsid w:val="007D0F06"/>
    <w:rsid w:val="007D10CA"/>
    <w:rsid w:val="007D10E3"/>
    <w:rsid w:val="007D219A"/>
    <w:rsid w:val="007D229C"/>
    <w:rsid w:val="007D2591"/>
    <w:rsid w:val="007D274F"/>
    <w:rsid w:val="007D27B0"/>
    <w:rsid w:val="007D3010"/>
    <w:rsid w:val="007D3188"/>
    <w:rsid w:val="007D33A3"/>
    <w:rsid w:val="007D34D9"/>
    <w:rsid w:val="007D373B"/>
    <w:rsid w:val="007D3A2C"/>
    <w:rsid w:val="007D3D83"/>
    <w:rsid w:val="007D3FEF"/>
    <w:rsid w:val="007D4691"/>
    <w:rsid w:val="007D4CCD"/>
    <w:rsid w:val="007D5762"/>
    <w:rsid w:val="007D644A"/>
    <w:rsid w:val="007D7089"/>
    <w:rsid w:val="007E02E8"/>
    <w:rsid w:val="007E0618"/>
    <w:rsid w:val="007E0689"/>
    <w:rsid w:val="007E0AEE"/>
    <w:rsid w:val="007E0BF8"/>
    <w:rsid w:val="007E12E8"/>
    <w:rsid w:val="007E1650"/>
    <w:rsid w:val="007E1B64"/>
    <w:rsid w:val="007E1BBB"/>
    <w:rsid w:val="007E262C"/>
    <w:rsid w:val="007E265A"/>
    <w:rsid w:val="007E353D"/>
    <w:rsid w:val="007E4679"/>
    <w:rsid w:val="007E486A"/>
    <w:rsid w:val="007E4A7A"/>
    <w:rsid w:val="007E4F58"/>
    <w:rsid w:val="007E5101"/>
    <w:rsid w:val="007E62B1"/>
    <w:rsid w:val="007E62ED"/>
    <w:rsid w:val="007E676E"/>
    <w:rsid w:val="007E680E"/>
    <w:rsid w:val="007E6CF7"/>
    <w:rsid w:val="007E6F5F"/>
    <w:rsid w:val="007E71CE"/>
    <w:rsid w:val="007E7644"/>
    <w:rsid w:val="007E7993"/>
    <w:rsid w:val="007E7C66"/>
    <w:rsid w:val="007E7F21"/>
    <w:rsid w:val="007F04DD"/>
    <w:rsid w:val="007F06B8"/>
    <w:rsid w:val="007F0B73"/>
    <w:rsid w:val="007F0CDB"/>
    <w:rsid w:val="007F1074"/>
    <w:rsid w:val="007F13D0"/>
    <w:rsid w:val="007F14A5"/>
    <w:rsid w:val="007F1553"/>
    <w:rsid w:val="007F1B5B"/>
    <w:rsid w:val="007F2141"/>
    <w:rsid w:val="007F2984"/>
    <w:rsid w:val="007F2A49"/>
    <w:rsid w:val="007F2B1C"/>
    <w:rsid w:val="007F2EB1"/>
    <w:rsid w:val="007F2FBE"/>
    <w:rsid w:val="007F3851"/>
    <w:rsid w:val="007F3ACD"/>
    <w:rsid w:val="007F45C5"/>
    <w:rsid w:val="007F5E02"/>
    <w:rsid w:val="007F62AE"/>
    <w:rsid w:val="007F6922"/>
    <w:rsid w:val="007F70FA"/>
    <w:rsid w:val="007F71C9"/>
    <w:rsid w:val="007F7634"/>
    <w:rsid w:val="007F7CAC"/>
    <w:rsid w:val="007F7EAB"/>
    <w:rsid w:val="008000DF"/>
    <w:rsid w:val="008004AE"/>
    <w:rsid w:val="0080085E"/>
    <w:rsid w:val="008010C5"/>
    <w:rsid w:val="008015A8"/>
    <w:rsid w:val="00801603"/>
    <w:rsid w:val="008017E9"/>
    <w:rsid w:val="00801AC0"/>
    <w:rsid w:val="00801CF0"/>
    <w:rsid w:val="00801D13"/>
    <w:rsid w:val="008021F1"/>
    <w:rsid w:val="00802266"/>
    <w:rsid w:val="00802327"/>
    <w:rsid w:val="00802AAF"/>
    <w:rsid w:val="00802DCD"/>
    <w:rsid w:val="00802EFA"/>
    <w:rsid w:val="008032D7"/>
    <w:rsid w:val="00803961"/>
    <w:rsid w:val="00803C9F"/>
    <w:rsid w:val="00803CD8"/>
    <w:rsid w:val="00804333"/>
    <w:rsid w:val="00804343"/>
    <w:rsid w:val="008047E8"/>
    <w:rsid w:val="0080513B"/>
    <w:rsid w:val="0080586A"/>
    <w:rsid w:val="00806395"/>
    <w:rsid w:val="00806749"/>
    <w:rsid w:val="008067C1"/>
    <w:rsid w:val="00806860"/>
    <w:rsid w:val="00806AC3"/>
    <w:rsid w:val="00806C7B"/>
    <w:rsid w:val="00806F41"/>
    <w:rsid w:val="00807627"/>
    <w:rsid w:val="00807C70"/>
    <w:rsid w:val="008103D4"/>
    <w:rsid w:val="008104FB"/>
    <w:rsid w:val="00810C07"/>
    <w:rsid w:val="00811217"/>
    <w:rsid w:val="0081167C"/>
    <w:rsid w:val="00811CCA"/>
    <w:rsid w:val="008122B2"/>
    <w:rsid w:val="00812474"/>
    <w:rsid w:val="008129B2"/>
    <w:rsid w:val="00812D9C"/>
    <w:rsid w:val="0081314A"/>
    <w:rsid w:val="008131EA"/>
    <w:rsid w:val="00813264"/>
    <w:rsid w:val="00813A2C"/>
    <w:rsid w:val="0081431D"/>
    <w:rsid w:val="008143B4"/>
    <w:rsid w:val="0081459C"/>
    <w:rsid w:val="0081477D"/>
    <w:rsid w:val="00814A17"/>
    <w:rsid w:val="0081500C"/>
    <w:rsid w:val="008154AA"/>
    <w:rsid w:val="008157FD"/>
    <w:rsid w:val="00816192"/>
    <w:rsid w:val="0081667A"/>
    <w:rsid w:val="008166A7"/>
    <w:rsid w:val="008166C7"/>
    <w:rsid w:val="008167B7"/>
    <w:rsid w:val="0081683D"/>
    <w:rsid w:val="00816C3B"/>
    <w:rsid w:val="00817744"/>
    <w:rsid w:val="00817A7D"/>
    <w:rsid w:val="00820524"/>
    <w:rsid w:val="00820D7A"/>
    <w:rsid w:val="00820E2F"/>
    <w:rsid w:val="00820F7E"/>
    <w:rsid w:val="0082177C"/>
    <w:rsid w:val="008218A2"/>
    <w:rsid w:val="008218B6"/>
    <w:rsid w:val="0082194B"/>
    <w:rsid w:val="0082195A"/>
    <w:rsid w:val="00821A23"/>
    <w:rsid w:val="00822141"/>
    <w:rsid w:val="008226B0"/>
    <w:rsid w:val="00822A82"/>
    <w:rsid w:val="00822B00"/>
    <w:rsid w:val="0082315F"/>
    <w:rsid w:val="00823568"/>
    <w:rsid w:val="008237C6"/>
    <w:rsid w:val="0082397E"/>
    <w:rsid w:val="00823EC2"/>
    <w:rsid w:val="00824DD9"/>
    <w:rsid w:val="00825306"/>
    <w:rsid w:val="0082547D"/>
    <w:rsid w:val="00825A22"/>
    <w:rsid w:val="00825AC1"/>
    <w:rsid w:val="00825C2B"/>
    <w:rsid w:val="00825F2B"/>
    <w:rsid w:val="00826174"/>
    <w:rsid w:val="0082654E"/>
    <w:rsid w:val="008268F0"/>
    <w:rsid w:val="008269F8"/>
    <w:rsid w:val="00826A21"/>
    <w:rsid w:val="00827270"/>
    <w:rsid w:val="00827322"/>
    <w:rsid w:val="00827BC9"/>
    <w:rsid w:val="008301E5"/>
    <w:rsid w:val="00830299"/>
    <w:rsid w:val="00831028"/>
    <w:rsid w:val="00831594"/>
    <w:rsid w:val="008318AC"/>
    <w:rsid w:val="00831B2B"/>
    <w:rsid w:val="00831C0C"/>
    <w:rsid w:val="008325EF"/>
    <w:rsid w:val="008327BF"/>
    <w:rsid w:val="00832B66"/>
    <w:rsid w:val="008332DA"/>
    <w:rsid w:val="008332EE"/>
    <w:rsid w:val="008334F3"/>
    <w:rsid w:val="00833D88"/>
    <w:rsid w:val="00833E66"/>
    <w:rsid w:val="00834152"/>
    <w:rsid w:val="008342D1"/>
    <w:rsid w:val="008342FD"/>
    <w:rsid w:val="00834AF0"/>
    <w:rsid w:val="00834EC7"/>
    <w:rsid w:val="00835022"/>
    <w:rsid w:val="00835BBB"/>
    <w:rsid w:val="00836301"/>
    <w:rsid w:val="008375FB"/>
    <w:rsid w:val="00837BB4"/>
    <w:rsid w:val="00837C40"/>
    <w:rsid w:val="008405BA"/>
    <w:rsid w:val="008410C7"/>
    <w:rsid w:val="00841451"/>
    <w:rsid w:val="008416CA"/>
    <w:rsid w:val="008418E2"/>
    <w:rsid w:val="00841F59"/>
    <w:rsid w:val="00842018"/>
    <w:rsid w:val="0084215E"/>
    <w:rsid w:val="0084289B"/>
    <w:rsid w:val="00842BDF"/>
    <w:rsid w:val="00842FDA"/>
    <w:rsid w:val="008432B9"/>
    <w:rsid w:val="008435EC"/>
    <w:rsid w:val="00843789"/>
    <w:rsid w:val="008438B6"/>
    <w:rsid w:val="00843BBB"/>
    <w:rsid w:val="00843DA6"/>
    <w:rsid w:val="00844365"/>
    <w:rsid w:val="00844B6B"/>
    <w:rsid w:val="00844DBD"/>
    <w:rsid w:val="00844F03"/>
    <w:rsid w:val="00845061"/>
    <w:rsid w:val="0084533F"/>
    <w:rsid w:val="008457EB"/>
    <w:rsid w:val="00845FEE"/>
    <w:rsid w:val="0084675D"/>
    <w:rsid w:val="00846BDC"/>
    <w:rsid w:val="00846CC2"/>
    <w:rsid w:val="008471EB"/>
    <w:rsid w:val="00847A08"/>
    <w:rsid w:val="00847A9E"/>
    <w:rsid w:val="00847B55"/>
    <w:rsid w:val="00847F70"/>
    <w:rsid w:val="008504AA"/>
    <w:rsid w:val="0085066F"/>
    <w:rsid w:val="008508B5"/>
    <w:rsid w:val="00850F57"/>
    <w:rsid w:val="00850FF6"/>
    <w:rsid w:val="00851246"/>
    <w:rsid w:val="00851739"/>
    <w:rsid w:val="00851AA5"/>
    <w:rsid w:val="00851DE0"/>
    <w:rsid w:val="00852071"/>
    <w:rsid w:val="00852280"/>
    <w:rsid w:val="0085229B"/>
    <w:rsid w:val="008525B5"/>
    <w:rsid w:val="00852680"/>
    <w:rsid w:val="0085281E"/>
    <w:rsid w:val="00852B62"/>
    <w:rsid w:val="00852D16"/>
    <w:rsid w:val="0085342F"/>
    <w:rsid w:val="008535E9"/>
    <w:rsid w:val="0085373C"/>
    <w:rsid w:val="00853CF1"/>
    <w:rsid w:val="00854303"/>
    <w:rsid w:val="0085442C"/>
    <w:rsid w:val="00854640"/>
    <w:rsid w:val="00854B33"/>
    <w:rsid w:val="00854C96"/>
    <w:rsid w:val="0085526D"/>
    <w:rsid w:val="00855706"/>
    <w:rsid w:val="008568CC"/>
    <w:rsid w:val="008568D3"/>
    <w:rsid w:val="00856D09"/>
    <w:rsid w:val="00856D33"/>
    <w:rsid w:val="0085720E"/>
    <w:rsid w:val="008573BB"/>
    <w:rsid w:val="00857845"/>
    <w:rsid w:val="00860016"/>
    <w:rsid w:val="008603DF"/>
    <w:rsid w:val="008606B3"/>
    <w:rsid w:val="00860756"/>
    <w:rsid w:val="00860B82"/>
    <w:rsid w:val="00860D96"/>
    <w:rsid w:val="00860F24"/>
    <w:rsid w:val="00860FD6"/>
    <w:rsid w:val="00861A61"/>
    <w:rsid w:val="00861D77"/>
    <w:rsid w:val="00862223"/>
    <w:rsid w:val="0086247F"/>
    <w:rsid w:val="008624A3"/>
    <w:rsid w:val="008628AF"/>
    <w:rsid w:val="008629C6"/>
    <w:rsid w:val="00862BDD"/>
    <w:rsid w:val="00862E5D"/>
    <w:rsid w:val="008636C7"/>
    <w:rsid w:val="00863C86"/>
    <w:rsid w:val="00864385"/>
    <w:rsid w:val="008652A5"/>
    <w:rsid w:val="00865344"/>
    <w:rsid w:val="008656D3"/>
    <w:rsid w:val="00865787"/>
    <w:rsid w:val="0086579B"/>
    <w:rsid w:val="0086581E"/>
    <w:rsid w:val="00865ACE"/>
    <w:rsid w:val="00865D31"/>
    <w:rsid w:val="00865E1D"/>
    <w:rsid w:val="0086632C"/>
    <w:rsid w:val="0086653F"/>
    <w:rsid w:val="00866DA4"/>
    <w:rsid w:val="00866F49"/>
    <w:rsid w:val="008671FC"/>
    <w:rsid w:val="00867347"/>
    <w:rsid w:val="008673F0"/>
    <w:rsid w:val="008674ED"/>
    <w:rsid w:val="00867612"/>
    <w:rsid w:val="00867CEB"/>
    <w:rsid w:val="00867FFA"/>
    <w:rsid w:val="00870218"/>
    <w:rsid w:val="0087087C"/>
    <w:rsid w:val="0087098D"/>
    <w:rsid w:val="00872234"/>
    <w:rsid w:val="00872A88"/>
    <w:rsid w:val="00872C36"/>
    <w:rsid w:val="00872F2D"/>
    <w:rsid w:val="00873431"/>
    <w:rsid w:val="0087350B"/>
    <w:rsid w:val="00873BFF"/>
    <w:rsid w:val="00873E0E"/>
    <w:rsid w:val="008746D0"/>
    <w:rsid w:val="00874A48"/>
    <w:rsid w:val="00874C63"/>
    <w:rsid w:val="00874D78"/>
    <w:rsid w:val="00874F94"/>
    <w:rsid w:val="008753FF"/>
    <w:rsid w:val="0087565E"/>
    <w:rsid w:val="008761B1"/>
    <w:rsid w:val="00876243"/>
    <w:rsid w:val="0087624D"/>
    <w:rsid w:val="008763C9"/>
    <w:rsid w:val="00876527"/>
    <w:rsid w:val="00876A0E"/>
    <w:rsid w:val="00876DD9"/>
    <w:rsid w:val="00876EA8"/>
    <w:rsid w:val="0087755A"/>
    <w:rsid w:val="0087768C"/>
    <w:rsid w:val="008779E9"/>
    <w:rsid w:val="00877B84"/>
    <w:rsid w:val="00880111"/>
    <w:rsid w:val="008805AB"/>
    <w:rsid w:val="00880D36"/>
    <w:rsid w:val="008810B3"/>
    <w:rsid w:val="008815E0"/>
    <w:rsid w:val="00881E7D"/>
    <w:rsid w:val="0088248D"/>
    <w:rsid w:val="00882B64"/>
    <w:rsid w:val="00882F95"/>
    <w:rsid w:val="008838D6"/>
    <w:rsid w:val="008838F2"/>
    <w:rsid w:val="0088405E"/>
    <w:rsid w:val="00884D3F"/>
    <w:rsid w:val="00885E97"/>
    <w:rsid w:val="00885F5D"/>
    <w:rsid w:val="008861E2"/>
    <w:rsid w:val="00886399"/>
    <w:rsid w:val="00886473"/>
    <w:rsid w:val="00886888"/>
    <w:rsid w:val="00886E83"/>
    <w:rsid w:val="00886F42"/>
    <w:rsid w:val="00890255"/>
    <w:rsid w:val="008906E8"/>
    <w:rsid w:val="00890702"/>
    <w:rsid w:val="00890AEE"/>
    <w:rsid w:val="00890C5C"/>
    <w:rsid w:val="00890D5E"/>
    <w:rsid w:val="00891061"/>
    <w:rsid w:val="0089115A"/>
    <w:rsid w:val="008912D5"/>
    <w:rsid w:val="008913BB"/>
    <w:rsid w:val="008917F7"/>
    <w:rsid w:val="008917FC"/>
    <w:rsid w:val="00892392"/>
    <w:rsid w:val="00892FA1"/>
    <w:rsid w:val="00892FF0"/>
    <w:rsid w:val="00893511"/>
    <w:rsid w:val="00893806"/>
    <w:rsid w:val="00893AD1"/>
    <w:rsid w:val="00893D4A"/>
    <w:rsid w:val="008946A3"/>
    <w:rsid w:val="0089489B"/>
    <w:rsid w:val="00894EEC"/>
    <w:rsid w:val="00894FAF"/>
    <w:rsid w:val="00895093"/>
    <w:rsid w:val="0089597A"/>
    <w:rsid w:val="008959C9"/>
    <w:rsid w:val="00895B8B"/>
    <w:rsid w:val="00895CEA"/>
    <w:rsid w:val="00896123"/>
    <w:rsid w:val="00896729"/>
    <w:rsid w:val="00896F33"/>
    <w:rsid w:val="00897228"/>
    <w:rsid w:val="0089758A"/>
    <w:rsid w:val="00897A59"/>
    <w:rsid w:val="00897A9E"/>
    <w:rsid w:val="008A0013"/>
    <w:rsid w:val="008A00BF"/>
    <w:rsid w:val="008A01F1"/>
    <w:rsid w:val="008A024F"/>
    <w:rsid w:val="008A112A"/>
    <w:rsid w:val="008A17C0"/>
    <w:rsid w:val="008A1E2D"/>
    <w:rsid w:val="008A23AD"/>
    <w:rsid w:val="008A24AA"/>
    <w:rsid w:val="008A2786"/>
    <w:rsid w:val="008A2C4E"/>
    <w:rsid w:val="008A2D38"/>
    <w:rsid w:val="008A2F58"/>
    <w:rsid w:val="008A3120"/>
    <w:rsid w:val="008A3238"/>
    <w:rsid w:val="008A32FF"/>
    <w:rsid w:val="008A3918"/>
    <w:rsid w:val="008A3996"/>
    <w:rsid w:val="008A3E59"/>
    <w:rsid w:val="008A4A7D"/>
    <w:rsid w:val="008A4CDA"/>
    <w:rsid w:val="008A58B9"/>
    <w:rsid w:val="008A59AD"/>
    <w:rsid w:val="008A6033"/>
    <w:rsid w:val="008A6CB4"/>
    <w:rsid w:val="008A6D74"/>
    <w:rsid w:val="008A7BCE"/>
    <w:rsid w:val="008A7EDE"/>
    <w:rsid w:val="008B0293"/>
    <w:rsid w:val="008B085F"/>
    <w:rsid w:val="008B0B45"/>
    <w:rsid w:val="008B116B"/>
    <w:rsid w:val="008B13EA"/>
    <w:rsid w:val="008B1403"/>
    <w:rsid w:val="008B14E4"/>
    <w:rsid w:val="008B1597"/>
    <w:rsid w:val="008B1881"/>
    <w:rsid w:val="008B1D1A"/>
    <w:rsid w:val="008B1FFA"/>
    <w:rsid w:val="008B2189"/>
    <w:rsid w:val="008B24A4"/>
    <w:rsid w:val="008B2C96"/>
    <w:rsid w:val="008B2DFC"/>
    <w:rsid w:val="008B2F06"/>
    <w:rsid w:val="008B35B1"/>
    <w:rsid w:val="008B4141"/>
    <w:rsid w:val="008B4182"/>
    <w:rsid w:val="008B4F14"/>
    <w:rsid w:val="008B5903"/>
    <w:rsid w:val="008B5AA6"/>
    <w:rsid w:val="008B5AE0"/>
    <w:rsid w:val="008B5DD4"/>
    <w:rsid w:val="008B6739"/>
    <w:rsid w:val="008B6844"/>
    <w:rsid w:val="008B6CEF"/>
    <w:rsid w:val="008B6DC7"/>
    <w:rsid w:val="008B7971"/>
    <w:rsid w:val="008B7C5C"/>
    <w:rsid w:val="008B7FCD"/>
    <w:rsid w:val="008C03A3"/>
    <w:rsid w:val="008C0549"/>
    <w:rsid w:val="008C063A"/>
    <w:rsid w:val="008C1C73"/>
    <w:rsid w:val="008C1FAE"/>
    <w:rsid w:val="008C295E"/>
    <w:rsid w:val="008C2DCC"/>
    <w:rsid w:val="008C3084"/>
    <w:rsid w:val="008C3299"/>
    <w:rsid w:val="008C32D4"/>
    <w:rsid w:val="008C34A4"/>
    <w:rsid w:val="008C3517"/>
    <w:rsid w:val="008C38DD"/>
    <w:rsid w:val="008C3A1C"/>
    <w:rsid w:val="008C4399"/>
    <w:rsid w:val="008C4417"/>
    <w:rsid w:val="008C4B52"/>
    <w:rsid w:val="008C5453"/>
    <w:rsid w:val="008C5EAD"/>
    <w:rsid w:val="008C5F4C"/>
    <w:rsid w:val="008C6C1C"/>
    <w:rsid w:val="008C6DEF"/>
    <w:rsid w:val="008C7124"/>
    <w:rsid w:val="008C727B"/>
    <w:rsid w:val="008C75CD"/>
    <w:rsid w:val="008C7CB3"/>
    <w:rsid w:val="008D0084"/>
    <w:rsid w:val="008D04E5"/>
    <w:rsid w:val="008D05B4"/>
    <w:rsid w:val="008D0796"/>
    <w:rsid w:val="008D223D"/>
    <w:rsid w:val="008D2358"/>
    <w:rsid w:val="008D244A"/>
    <w:rsid w:val="008D27A4"/>
    <w:rsid w:val="008D29BD"/>
    <w:rsid w:val="008D314E"/>
    <w:rsid w:val="008D34C4"/>
    <w:rsid w:val="008D373A"/>
    <w:rsid w:val="008D3966"/>
    <w:rsid w:val="008D3B07"/>
    <w:rsid w:val="008D45A6"/>
    <w:rsid w:val="008D4B03"/>
    <w:rsid w:val="008D4F05"/>
    <w:rsid w:val="008D4F10"/>
    <w:rsid w:val="008D501E"/>
    <w:rsid w:val="008D5832"/>
    <w:rsid w:val="008D58AA"/>
    <w:rsid w:val="008D6061"/>
    <w:rsid w:val="008D6442"/>
    <w:rsid w:val="008D6E22"/>
    <w:rsid w:val="008D6F74"/>
    <w:rsid w:val="008D705B"/>
    <w:rsid w:val="008D74EC"/>
    <w:rsid w:val="008D7C27"/>
    <w:rsid w:val="008D7FCB"/>
    <w:rsid w:val="008E01F4"/>
    <w:rsid w:val="008E0615"/>
    <w:rsid w:val="008E0694"/>
    <w:rsid w:val="008E0AD8"/>
    <w:rsid w:val="008E0D17"/>
    <w:rsid w:val="008E1E55"/>
    <w:rsid w:val="008E20E0"/>
    <w:rsid w:val="008E2685"/>
    <w:rsid w:val="008E2868"/>
    <w:rsid w:val="008E2EAE"/>
    <w:rsid w:val="008E34AA"/>
    <w:rsid w:val="008E38D9"/>
    <w:rsid w:val="008E3AB4"/>
    <w:rsid w:val="008E488B"/>
    <w:rsid w:val="008E4DE1"/>
    <w:rsid w:val="008E4E70"/>
    <w:rsid w:val="008E5163"/>
    <w:rsid w:val="008E51F2"/>
    <w:rsid w:val="008E54C1"/>
    <w:rsid w:val="008E565F"/>
    <w:rsid w:val="008E5F89"/>
    <w:rsid w:val="008E622D"/>
    <w:rsid w:val="008E6306"/>
    <w:rsid w:val="008E63E1"/>
    <w:rsid w:val="008E64A5"/>
    <w:rsid w:val="008E6513"/>
    <w:rsid w:val="008E7730"/>
    <w:rsid w:val="008F0938"/>
    <w:rsid w:val="008F1320"/>
    <w:rsid w:val="008F14A5"/>
    <w:rsid w:val="008F28A9"/>
    <w:rsid w:val="008F2CA6"/>
    <w:rsid w:val="008F2E52"/>
    <w:rsid w:val="008F2F1D"/>
    <w:rsid w:val="008F3897"/>
    <w:rsid w:val="008F3A21"/>
    <w:rsid w:val="008F3E22"/>
    <w:rsid w:val="008F467D"/>
    <w:rsid w:val="008F46DE"/>
    <w:rsid w:val="008F4744"/>
    <w:rsid w:val="008F4C99"/>
    <w:rsid w:val="008F5229"/>
    <w:rsid w:val="008F54E2"/>
    <w:rsid w:val="008F5A1B"/>
    <w:rsid w:val="008F5BEF"/>
    <w:rsid w:val="008F6843"/>
    <w:rsid w:val="008F68CF"/>
    <w:rsid w:val="008F6EEB"/>
    <w:rsid w:val="008F7EB9"/>
    <w:rsid w:val="00900414"/>
    <w:rsid w:val="00900756"/>
    <w:rsid w:val="0090101F"/>
    <w:rsid w:val="00901440"/>
    <w:rsid w:val="009017A9"/>
    <w:rsid w:val="009019D8"/>
    <w:rsid w:val="0090236B"/>
    <w:rsid w:val="00902656"/>
    <w:rsid w:val="009026EB"/>
    <w:rsid w:val="00902915"/>
    <w:rsid w:val="00902FDE"/>
    <w:rsid w:val="009031AF"/>
    <w:rsid w:val="009032CD"/>
    <w:rsid w:val="009032E9"/>
    <w:rsid w:val="00903396"/>
    <w:rsid w:val="00903A7E"/>
    <w:rsid w:val="00903E98"/>
    <w:rsid w:val="00903EA1"/>
    <w:rsid w:val="00904594"/>
    <w:rsid w:val="00904612"/>
    <w:rsid w:val="0090496B"/>
    <w:rsid w:val="009049F7"/>
    <w:rsid w:val="00904EE2"/>
    <w:rsid w:val="009050B0"/>
    <w:rsid w:val="00905469"/>
    <w:rsid w:val="009056B5"/>
    <w:rsid w:val="0090669D"/>
    <w:rsid w:val="0090742B"/>
    <w:rsid w:val="00907CDF"/>
    <w:rsid w:val="00907D7D"/>
    <w:rsid w:val="00907F45"/>
    <w:rsid w:val="0091015D"/>
    <w:rsid w:val="0091065F"/>
    <w:rsid w:val="009106B4"/>
    <w:rsid w:val="009106CD"/>
    <w:rsid w:val="00910A3D"/>
    <w:rsid w:val="00910B54"/>
    <w:rsid w:val="00910B73"/>
    <w:rsid w:val="00910BD5"/>
    <w:rsid w:val="0091113B"/>
    <w:rsid w:val="009116B7"/>
    <w:rsid w:val="00911BD5"/>
    <w:rsid w:val="0091212A"/>
    <w:rsid w:val="00912148"/>
    <w:rsid w:val="00912415"/>
    <w:rsid w:val="0091275A"/>
    <w:rsid w:val="00912774"/>
    <w:rsid w:val="009128B3"/>
    <w:rsid w:val="009129E8"/>
    <w:rsid w:val="00912FE0"/>
    <w:rsid w:val="0091302D"/>
    <w:rsid w:val="0091314D"/>
    <w:rsid w:val="009135ED"/>
    <w:rsid w:val="00913748"/>
    <w:rsid w:val="009139BB"/>
    <w:rsid w:val="00913E3C"/>
    <w:rsid w:val="00914013"/>
    <w:rsid w:val="009149A3"/>
    <w:rsid w:val="00915698"/>
    <w:rsid w:val="00915963"/>
    <w:rsid w:val="00915B11"/>
    <w:rsid w:val="00916372"/>
    <w:rsid w:val="009163F4"/>
    <w:rsid w:val="009165E5"/>
    <w:rsid w:val="0091687A"/>
    <w:rsid w:val="0091729A"/>
    <w:rsid w:val="00917913"/>
    <w:rsid w:val="00917A26"/>
    <w:rsid w:val="00917A7D"/>
    <w:rsid w:val="00917C4A"/>
    <w:rsid w:val="00917E93"/>
    <w:rsid w:val="00920477"/>
    <w:rsid w:val="0092053F"/>
    <w:rsid w:val="00920969"/>
    <w:rsid w:val="00920F06"/>
    <w:rsid w:val="0092112C"/>
    <w:rsid w:val="00921FFA"/>
    <w:rsid w:val="00922136"/>
    <w:rsid w:val="0092248E"/>
    <w:rsid w:val="009227E7"/>
    <w:rsid w:val="00922B2C"/>
    <w:rsid w:val="00922BB0"/>
    <w:rsid w:val="00922C38"/>
    <w:rsid w:val="00922E91"/>
    <w:rsid w:val="0092320F"/>
    <w:rsid w:val="00923891"/>
    <w:rsid w:val="00923BCC"/>
    <w:rsid w:val="0092412C"/>
    <w:rsid w:val="009249F9"/>
    <w:rsid w:val="00924CF7"/>
    <w:rsid w:val="00924E41"/>
    <w:rsid w:val="009250FD"/>
    <w:rsid w:val="0092547A"/>
    <w:rsid w:val="00925F78"/>
    <w:rsid w:val="00926518"/>
    <w:rsid w:val="00926820"/>
    <w:rsid w:val="00926A54"/>
    <w:rsid w:val="00926C5F"/>
    <w:rsid w:val="00926F44"/>
    <w:rsid w:val="00927DCD"/>
    <w:rsid w:val="00927FD1"/>
    <w:rsid w:val="0093044F"/>
    <w:rsid w:val="0093080E"/>
    <w:rsid w:val="00930A85"/>
    <w:rsid w:val="00930ABD"/>
    <w:rsid w:val="00930CE4"/>
    <w:rsid w:val="0093160C"/>
    <w:rsid w:val="009316C0"/>
    <w:rsid w:val="009317AC"/>
    <w:rsid w:val="00931DCD"/>
    <w:rsid w:val="00931E44"/>
    <w:rsid w:val="00932534"/>
    <w:rsid w:val="00932947"/>
    <w:rsid w:val="00932D18"/>
    <w:rsid w:val="00932DD8"/>
    <w:rsid w:val="00932EB2"/>
    <w:rsid w:val="009332B8"/>
    <w:rsid w:val="0093355E"/>
    <w:rsid w:val="009336BA"/>
    <w:rsid w:val="00934462"/>
    <w:rsid w:val="009347B0"/>
    <w:rsid w:val="00934860"/>
    <w:rsid w:val="00934ADF"/>
    <w:rsid w:val="00934B10"/>
    <w:rsid w:val="00934EFF"/>
    <w:rsid w:val="00935218"/>
    <w:rsid w:val="00935265"/>
    <w:rsid w:val="009354E8"/>
    <w:rsid w:val="00935718"/>
    <w:rsid w:val="00935ED9"/>
    <w:rsid w:val="00935FCD"/>
    <w:rsid w:val="0093638E"/>
    <w:rsid w:val="0093664F"/>
    <w:rsid w:val="00936983"/>
    <w:rsid w:val="00936A66"/>
    <w:rsid w:val="00936ECE"/>
    <w:rsid w:val="0093729E"/>
    <w:rsid w:val="009376B2"/>
    <w:rsid w:val="00937880"/>
    <w:rsid w:val="00937BEB"/>
    <w:rsid w:val="00937C5B"/>
    <w:rsid w:val="00937E2C"/>
    <w:rsid w:val="00940111"/>
    <w:rsid w:val="00940AAA"/>
    <w:rsid w:val="00940C01"/>
    <w:rsid w:val="00940CD5"/>
    <w:rsid w:val="0094114A"/>
    <w:rsid w:val="009411BD"/>
    <w:rsid w:val="00941B66"/>
    <w:rsid w:val="00942392"/>
    <w:rsid w:val="00942AA6"/>
    <w:rsid w:val="0094304F"/>
    <w:rsid w:val="00943466"/>
    <w:rsid w:val="00943654"/>
    <w:rsid w:val="00943C77"/>
    <w:rsid w:val="00943E1D"/>
    <w:rsid w:val="00943FA3"/>
    <w:rsid w:val="0094400A"/>
    <w:rsid w:val="00944043"/>
    <w:rsid w:val="00944311"/>
    <w:rsid w:val="00944465"/>
    <w:rsid w:val="00944479"/>
    <w:rsid w:val="009447C3"/>
    <w:rsid w:val="00944B96"/>
    <w:rsid w:val="00945059"/>
    <w:rsid w:val="009450E8"/>
    <w:rsid w:val="0094606D"/>
    <w:rsid w:val="0094611E"/>
    <w:rsid w:val="00947B8C"/>
    <w:rsid w:val="00947C33"/>
    <w:rsid w:val="009501AE"/>
    <w:rsid w:val="009501BB"/>
    <w:rsid w:val="009505BA"/>
    <w:rsid w:val="0095074E"/>
    <w:rsid w:val="00950A9F"/>
    <w:rsid w:val="009511A1"/>
    <w:rsid w:val="009512C2"/>
    <w:rsid w:val="00951A04"/>
    <w:rsid w:val="00951C06"/>
    <w:rsid w:val="00951EA3"/>
    <w:rsid w:val="009520FA"/>
    <w:rsid w:val="009522F6"/>
    <w:rsid w:val="00953040"/>
    <w:rsid w:val="00953864"/>
    <w:rsid w:val="00953BF0"/>
    <w:rsid w:val="00953E2B"/>
    <w:rsid w:val="0095418E"/>
    <w:rsid w:val="009543E8"/>
    <w:rsid w:val="00954A67"/>
    <w:rsid w:val="0095519B"/>
    <w:rsid w:val="00955214"/>
    <w:rsid w:val="00955B2B"/>
    <w:rsid w:val="009561C0"/>
    <w:rsid w:val="009569E7"/>
    <w:rsid w:val="00956E0A"/>
    <w:rsid w:val="00957317"/>
    <w:rsid w:val="009576AF"/>
    <w:rsid w:val="009578A6"/>
    <w:rsid w:val="00957C7F"/>
    <w:rsid w:val="00957D83"/>
    <w:rsid w:val="009602CB"/>
    <w:rsid w:val="00960BAD"/>
    <w:rsid w:val="00960E07"/>
    <w:rsid w:val="009611B8"/>
    <w:rsid w:val="00961D8A"/>
    <w:rsid w:val="00961E9B"/>
    <w:rsid w:val="00961FF6"/>
    <w:rsid w:val="00962CDC"/>
    <w:rsid w:val="00962F09"/>
    <w:rsid w:val="009633CD"/>
    <w:rsid w:val="0096409E"/>
    <w:rsid w:val="00964169"/>
    <w:rsid w:val="00964188"/>
    <w:rsid w:val="00964435"/>
    <w:rsid w:val="00965353"/>
    <w:rsid w:val="0096591A"/>
    <w:rsid w:val="00965A64"/>
    <w:rsid w:val="00965AF9"/>
    <w:rsid w:val="00965DF4"/>
    <w:rsid w:val="00965E5E"/>
    <w:rsid w:val="00965F52"/>
    <w:rsid w:val="00966337"/>
    <w:rsid w:val="009663BF"/>
    <w:rsid w:val="0096653F"/>
    <w:rsid w:val="00966F63"/>
    <w:rsid w:val="00966F83"/>
    <w:rsid w:val="00967152"/>
    <w:rsid w:val="0096728B"/>
    <w:rsid w:val="00967614"/>
    <w:rsid w:val="0096765A"/>
    <w:rsid w:val="009676B9"/>
    <w:rsid w:val="0096771C"/>
    <w:rsid w:val="0096787F"/>
    <w:rsid w:val="00967ABA"/>
    <w:rsid w:val="00967D40"/>
    <w:rsid w:val="0097022C"/>
    <w:rsid w:val="009702B0"/>
    <w:rsid w:val="0097065A"/>
    <w:rsid w:val="00970CD9"/>
    <w:rsid w:val="00971476"/>
    <w:rsid w:val="0097154A"/>
    <w:rsid w:val="009724CE"/>
    <w:rsid w:val="0097287D"/>
    <w:rsid w:val="00972A23"/>
    <w:rsid w:val="0097331A"/>
    <w:rsid w:val="00973379"/>
    <w:rsid w:val="00973755"/>
    <w:rsid w:val="00973C1A"/>
    <w:rsid w:val="00973CCC"/>
    <w:rsid w:val="00973EA1"/>
    <w:rsid w:val="00973ED1"/>
    <w:rsid w:val="0097402A"/>
    <w:rsid w:val="009741BE"/>
    <w:rsid w:val="0097519E"/>
    <w:rsid w:val="00975374"/>
    <w:rsid w:val="009753DD"/>
    <w:rsid w:val="0097592D"/>
    <w:rsid w:val="00975933"/>
    <w:rsid w:val="00975BD3"/>
    <w:rsid w:val="00975EAB"/>
    <w:rsid w:val="00975F21"/>
    <w:rsid w:val="0097617E"/>
    <w:rsid w:val="0097652C"/>
    <w:rsid w:val="00976B65"/>
    <w:rsid w:val="0097757E"/>
    <w:rsid w:val="00977614"/>
    <w:rsid w:val="009777C4"/>
    <w:rsid w:val="0097784D"/>
    <w:rsid w:val="00977FD3"/>
    <w:rsid w:val="0098004F"/>
    <w:rsid w:val="00980307"/>
    <w:rsid w:val="009807F1"/>
    <w:rsid w:val="00981325"/>
    <w:rsid w:val="00981748"/>
    <w:rsid w:val="009819D2"/>
    <w:rsid w:val="00981AE9"/>
    <w:rsid w:val="00981E4C"/>
    <w:rsid w:val="0098216F"/>
    <w:rsid w:val="009821D3"/>
    <w:rsid w:val="00982331"/>
    <w:rsid w:val="00982C36"/>
    <w:rsid w:val="00983166"/>
    <w:rsid w:val="0098318D"/>
    <w:rsid w:val="00983824"/>
    <w:rsid w:val="00983883"/>
    <w:rsid w:val="009841E3"/>
    <w:rsid w:val="00984437"/>
    <w:rsid w:val="0098454B"/>
    <w:rsid w:val="009846C3"/>
    <w:rsid w:val="009847AE"/>
    <w:rsid w:val="00984EC1"/>
    <w:rsid w:val="00984F54"/>
    <w:rsid w:val="009851E4"/>
    <w:rsid w:val="00985469"/>
    <w:rsid w:val="00985479"/>
    <w:rsid w:val="00985668"/>
    <w:rsid w:val="009859E7"/>
    <w:rsid w:val="00985A98"/>
    <w:rsid w:val="00985FBB"/>
    <w:rsid w:val="009863B8"/>
    <w:rsid w:val="00986435"/>
    <w:rsid w:val="009866FB"/>
    <w:rsid w:val="00986730"/>
    <w:rsid w:val="0098674E"/>
    <w:rsid w:val="00987081"/>
    <w:rsid w:val="00987365"/>
    <w:rsid w:val="009873EA"/>
    <w:rsid w:val="009879F4"/>
    <w:rsid w:val="00987D5A"/>
    <w:rsid w:val="00987D9E"/>
    <w:rsid w:val="00990165"/>
    <w:rsid w:val="009905E6"/>
    <w:rsid w:val="00990609"/>
    <w:rsid w:val="00990841"/>
    <w:rsid w:val="00990ADB"/>
    <w:rsid w:val="00990ECE"/>
    <w:rsid w:val="0099113D"/>
    <w:rsid w:val="00991A10"/>
    <w:rsid w:val="00991B1D"/>
    <w:rsid w:val="00991C7F"/>
    <w:rsid w:val="00991D3D"/>
    <w:rsid w:val="0099239C"/>
    <w:rsid w:val="00992489"/>
    <w:rsid w:val="00992575"/>
    <w:rsid w:val="00993002"/>
    <w:rsid w:val="009930AB"/>
    <w:rsid w:val="00993A62"/>
    <w:rsid w:val="00993C73"/>
    <w:rsid w:val="0099440A"/>
    <w:rsid w:val="00994719"/>
    <w:rsid w:val="00995BEB"/>
    <w:rsid w:val="00995C86"/>
    <w:rsid w:val="00995C92"/>
    <w:rsid w:val="0099626F"/>
    <w:rsid w:val="00996C82"/>
    <w:rsid w:val="009972B4"/>
    <w:rsid w:val="00997646"/>
    <w:rsid w:val="00997728"/>
    <w:rsid w:val="00997922"/>
    <w:rsid w:val="00997CE6"/>
    <w:rsid w:val="00997CFA"/>
    <w:rsid w:val="009A01C8"/>
    <w:rsid w:val="009A0771"/>
    <w:rsid w:val="009A0AB5"/>
    <w:rsid w:val="009A0C5C"/>
    <w:rsid w:val="009A0E6F"/>
    <w:rsid w:val="009A12AF"/>
    <w:rsid w:val="009A1A97"/>
    <w:rsid w:val="009A1F50"/>
    <w:rsid w:val="009A22E4"/>
    <w:rsid w:val="009A2662"/>
    <w:rsid w:val="009A2922"/>
    <w:rsid w:val="009A3056"/>
    <w:rsid w:val="009A3922"/>
    <w:rsid w:val="009A3985"/>
    <w:rsid w:val="009A42D3"/>
    <w:rsid w:val="009A4AB7"/>
    <w:rsid w:val="009A56BB"/>
    <w:rsid w:val="009A5AE8"/>
    <w:rsid w:val="009A5B44"/>
    <w:rsid w:val="009A5C09"/>
    <w:rsid w:val="009A5C2F"/>
    <w:rsid w:val="009A606F"/>
    <w:rsid w:val="009A6B1B"/>
    <w:rsid w:val="009A6FAF"/>
    <w:rsid w:val="009A76C5"/>
    <w:rsid w:val="009A7E16"/>
    <w:rsid w:val="009B00CD"/>
    <w:rsid w:val="009B11AC"/>
    <w:rsid w:val="009B147B"/>
    <w:rsid w:val="009B18C3"/>
    <w:rsid w:val="009B194F"/>
    <w:rsid w:val="009B2B69"/>
    <w:rsid w:val="009B2D01"/>
    <w:rsid w:val="009B3DD5"/>
    <w:rsid w:val="009B3EC8"/>
    <w:rsid w:val="009B406B"/>
    <w:rsid w:val="009B42E8"/>
    <w:rsid w:val="009B4401"/>
    <w:rsid w:val="009B4649"/>
    <w:rsid w:val="009B4FC2"/>
    <w:rsid w:val="009B5339"/>
    <w:rsid w:val="009B54AB"/>
    <w:rsid w:val="009B5ECA"/>
    <w:rsid w:val="009B66C4"/>
    <w:rsid w:val="009B6709"/>
    <w:rsid w:val="009B673C"/>
    <w:rsid w:val="009B69DB"/>
    <w:rsid w:val="009B6BB1"/>
    <w:rsid w:val="009B6E6E"/>
    <w:rsid w:val="009B6FCD"/>
    <w:rsid w:val="009B773C"/>
    <w:rsid w:val="009B7C76"/>
    <w:rsid w:val="009C04A7"/>
    <w:rsid w:val="009C0845"/>
    <w:rsid w:val="009C087B"/>
    <w:rsid w:val="009C13A2"/>
    <w:rsid w:val="009C141D"/>
    <w:rsid w:val="009C2575"/>
    <w:rsid w:val="009C297B"/>
    <w:rsid w:val="009C2CF6"/>
    <w:rsid w:val="009C2F0C"/>
    <w:rsid w:val="009C30D3"/>
    <w:rsid w:val="009C34CA"/>
    <w:rsid w:val="009C368C"/>
    <w:rsid w:val="009C3824"/>
    <w:rsid w:val="009C3863"/>
    <w:rsid w:val="009C409F"/>
    <w:rsid w:val="009C497E"/>
    <w:rsid w:val="009C49D8"/>
    <w:rsid w:val="009C4A9A"/>
    <w:rsid w:val="009C505F"/>
    <w:rsid w:val="009C57A6"/>
    <w:rsid w:val="009C59DA"/>
    <w:rsid w:val="009C5EA3"/>
    <w:rsid w:val="009C5F15"/>
    <w:rsid w:val="009C6520"/>
    <w:rsid w:val="009C6CD9"/>
    <w:rsid w:val="009C6E3D"/>
    <w:rsid w:val="009C713C"/>
    <w:rsid w:val="009C7C11"/>
    <w:rsid w:val="009C7CB6"/>
    <w:rsid w:val="009C7F51"/>
    <w:rsid w:val="009D0546"/>
    <w:rsid w:val="009D0666"/>
    <w:rsid w:val="009D0774"/>
    <w:rsid w:val="009D146A"/>
    <w:rsid w:val="009D1896"/>
    <w:rsid w:val="009D1CD7"/>
    <w:rsid w:val="009D23F4"/>
    <w:rsid w:val="009D2820"/>
    <w:rsid w:val="009D2862"/>
    <w:rsid w:val="009D291E"/>
    <w:rsid w:val="009D2BE0"/>
    <w:rsid w:val="009D3401"/>
    <w:rsid w:val="009D3725"/>
    <w:rsid w:val="009D3C7D"/>
    <w:rsid w:val="009D41F4"/>
    <w:rsid w:val="009D423C"/>
    <w:rsid w:val="009D42EB"/>
    <w:rsid w:val="009D484B"/>
    <w:rsid w:val="009D4C13"/>
    <w:rsid w:val="009D51DC"/>
    <w:rsid w:val="009D534F"/>
    <w:rsid w:val="009D57E5"/>
    <w:rsid w:val="009D59AD"/>
    <w:rsid w:val="009D5FFA"/>
    <w:rsid w:val="009D64C2"/>
    <w:rsid w:val="009D7411"/>
    <w:rsid w:val="009D7469"/>
    <w:rsid w:val="009D7489"/>
    <w:rsid w:val="009D74EA"/>
    <w:rsid w:val="009D77CF"/>
    <w:rsid w:val="009E0506"/>
    <w:rsid w:val="009E10FF"/>
    <w:rsid w:val="009E2A7B"/>
    <w:rsid w:val="009E309C"/>
    <w:rsid w:val="009E36AA"/>
    <w:rsid w:val="009E38C0"/>
    <w:rsid w:val="009E4115"/>
    <w:rsid w:val="009E449B"/>
    <w:rsid w:val="009E44BA"/>
    <w:rsid w:val="009E47BE"/>
    <w:rsid w:val="009E4F1B"/>
    <w:rsid w:val="009E510E"/>
    <w:rsid w:val="009E6485"/>
    <w:rsid w:val="009E747F"/>
    <w:rsid w:val="009E74A3"/>
    <w:rsid w:val="009E7C13"/>
    <w:rsid w:val="009E7E77"/>
    <w:rsid w:val="009F03B7"/>
    <w:rsid w:val="009F0607"/>
    <w:rsid w:val="009F09A0"/>
    <w:rsid w:val="009F11D7"/>
    <w:rsid w:val="009F138E"/>
    <w:rsid w:val="009F1427"/>
    <w:rsid w:val="009F2037"/>
    <w:rsid w:val="009F22FF"/>
    <w:rsid w:val="009F241C"/>
    <w:rsid w:val="009F275E"/>
    <w:rsid w:val="009F2A16"/>
    <w:rsid w:val="009F31E7"/>
    <w:rsid w:val="009F3288"/>
    <w:rsid w:val="009F3783"/>
    <w:rsid w:val="009F39F1"/>
    <w:rsid w:val="009F3FC5"/>
    <w:rsid w:val="009F40CE"/>
    <w:rsid w:val="009F51C9"/>
    <w:rsid w:val="009F589F"/>
    <w:rsid w:val="009F5F47"/>
    <w:rsid w:val="009F6377"/>
    <w:rsid w:val="009F6D30"/>
    <w:rsid w:val="009F7044"/>
    <w:rsid w:val="009F7184"/>
    <w:rsid w:val="009F720D"/>
    <w:rsid w:val="009F7B90"/>
    <w:rsid w:val="00A00731"/>
    <w:rsid w:val="00A00800"/>
    <w:rsid w:val="00A00A1B"/>
    <w:rsid w:val="00A00ACD"/>
    <w:rsid w:val="00A00F81"/>
    <w:rsid w:val="00A011A4"/>
    <w:rsid w:val="00A018E2"/>
    <w:rsid w:val="00A01BF5"/>
    <w:rsid w:val="00A020EB"/>
    <w:rsid w:val="00A025F5"/>
    <w:rsid w:val="00A0261B"/>
    <w:rsid w:val="00A02982"/>
    <w:rsid w:val="00A02B9C"/>
    <w:rsid w:val="00A02CEF"/>
    <w:rsid w:val="00A03AC1"/>
    <w:rsid w:val="00A043A8"/>
    <w:rsid w:val="00A04607"/>
    <w:rsid w:val="00A049EF"/>
    <w:rsid w:val="00A05327"/>
    <w:rsid w:val="00A05B14"/>
    <w:rsid w:val="00A05CC5"/>
    <w:rsid w:val="00A05D93"/>
    <w:rsid w:val="00A06050"/>
    <w:rsid w:val="00A0655C"/>
    <w:rsid w:val="00A070AB"/>
    <w:rsid w:val="00A0714D"/>
    <w:rsid w:val="00A07C30"/>
    <w:rsid w:val="00A101BC"/>
    <w:rsid w:val="00A10268"/>
    <w:rsid w:val="00A10529"/>
    <w:rsid w:val="00A10639"/>
    <w:rsid w:val="00A10674"/>
    <w:rsid w:val="00A10907"/>
    <w:rsid w:val="00A10A1C"/>
    <w:rsid w:val="00A113E2"/>
    <w:rsid w:val="00A11BB9"/>
    <w:rsid w:val="00A12920"/>
    <w:rsid w:val="00A12A6A"/>
    <w:rsid w:val="00A12D9B"/>
    <w:rsid w:val="00A134CC"/>
    <w:rsid w:val="00A13B86"/>
    <w:rsid w:val="00A1405E"/>
    <w:rsid w:val="00A1449B"/>
    <w:rsid w:val="00A14786"/>
    <w:rsid w:val="00A14F81"/>
    <w:rsid w:val="00A156B6"/>
    <w:rsid w:val="00A15A12"/>
    <w:rsid w:val="00A163B6"/>
    <w:rsid w:val="00A16B49"/>
    <w:rsid w:val="00A16F26"/>
    <w:rsid w:val="00A174BB"/>
    <w:rsid w:val="00A175C0"/>
    <w:rsid w:val="00A17634"/>
    <w:rsid w:val="00A17DE4"/>
    <w:rsid w:val="00A20056"/>
    <w:rsid w:val="00A204A1"/>
    <w:rsid w:val="00A2053E"/>
    <w:rsid w:val="00A20A16"/>
    <w:rsid w:val="00A214D3"/>
    <w:rsid w:val="00A21606"/>
    <w:rsid w:val="00A21819"/>
    <w:rsid w:val="00A21B7A"/>
    <w:rsid w:val="00A22686"/>
    <w:rsid w:val="00A22C0F"/>
    <w:rsid w:val="00A23691"/>
    <w:rsid w:val="00A23CB6"/>
    <w:rsid w:val="00A24418"/>
    <w:rsid w:val="00A24766"/>
    <w:rsid w:val="00A24ABC"/>
    <w:rsid w:val="00A24E04"/>
    <w:rsid w:val="00A25710"/>
    <w:rsid w:val="00A25713"/>
    <w:rsid w:val="00A25825"/>
    <w:rsid w:val="00A259A7"/>
    <w:rsid w:val="00A25A2A"/>
    <w:rsid w:val="00A25ACD"/>
    <w:rsid w:val="00A25D85"/>
    <w:rsid w:val="00A266A6"/>
    <w:rsid w:val="00A26CDB"/>
    <w:rsid w:val="00A26FED"/>
    <w:rsid w:val="00A2779D"/>
    <w:rsid w:val="00A27B6D"/>
    <w:rsid w:val="00A30D0F"/>
    <w:rsid w:val="00A30D59"/>
    <w:rsid w:val="00A310E7"/>
    <w:rsid w:val="00A3110A"/>
    <w:rsid w:val="00A311F9"/>
    <w:rsid w:val="00A31B59"/>
    <w:rsid w:val="00A32253"/>
    <w:rsid w:val="00A32657"/>
    <w:rsid w:val="00A32FF7"/>
    <w:rsid w:val="00A33540"/>
    <w:rsid w:val="00A33E0B"/>
    <w:rsid w:val="00A34014"/>
    <w:rsid w:val="00A345BB"/>
    <w:rsid w:val="00A3478D"/>
    <w:rsid w:val="00A3497C"/>
    <w:rsid w:val="00A34DA6"/>
    <w:rsid w:val="00A34DE5"/>
    <w:rsid w:val="00A34E61"/>
    <w:rsid w:val="00A35134"/>
    <w:rsid w:val="00A351C3"/>
    <w:rsid w:val="00A35236"/>
    <w:rsid w:val="00A356FF"/>
    <w:rsid w:val="00A35C45"/>
    <w:rsid w:val="00A36DF6"/>
    <w:rsid w:val="00A37809"/>
    <w:rsid w:val="00A378F4"/>
    <w:rsid w:val="00A37AC1"/>
    <w:rsid w:val="00A37C94"/>
    <w:rsid w:val="00A37CEB"/>
    <w:rsid w:val="00A40523"/>
    <w:rsid w:val="00A4054C"/>
    <w:rsid w:val="00A40569"/>
    <w:rsid w:val="00A40B5F"/>
    <w:rsid w:val="00A4171C"/>
    <w:rsid w:val="00A41904"/>
    <w:rsid w:val="00A41A67"/>
    <w:rsid w:val="00A41B8C"/>
    <w:rsid w:val="00A41E41"/>
    <w:rsid w:val="00A42328"/>
    <w:rsid w:val="00A4396D"/>
    <w:rsid w:val="00A4434C"/>
    <w:rsid w:val="00A4454B"/>
    <w:rsid w:val="00A44AC1"/>
    <w:rsid w:val="00A44FA8"/>
    <w:rsid w:val="00A457DD"/>
    <w:rsid w:val="00A45BEF"/>
    <w:rsid w:val="00A46350"/>
    <w:rsid w:val="00A46577"/>
    <w:rsid w:val="00A46629"/>
    <w:rsid w:val="00A46B49"/>
    <w:rsid w:val="00A46E13"/>
    <w:rsid w:val="00A473F2"/>
    <w:rsid w:val="00A47415"/>
    <w:rsid w:val="00A47B9B"/>
    <w:rsid w:val="00A47BFA"/>
    <w:rsid w:val="00A505A9"/>
    <w:rsid w:val="00A50895"/>
    <w:rsid w:val="00A50EF7"/>
    <w:rsid w:val="00A51219"/>
    <w:rsid w:val="00A519E8"/>
    <w:rsid w:val="00A520D7"/>
    <w:rsid w:val="00A52342"/>
    <w:rsid w:val="00A525B4"/>
    <w:rsid w:val="00A52DDB"/>
    <w:rsid w:val="00A52E32"/>
    <w:rsid w:val="00A5345A"/>
    <w:rsid w:val="00A537C1"/>
    <w:rsid w:val="00A53AD4"/>
    <w:rsid w:val="00A53D1C"/>
    <w:rsid w:val="00A54666"/>
    <w:rsid w:val="00A548AD"/>
    <w:rsid w:val="00A54F7A"/>
    <w:rsid w:val="00A55557"/>
    <w:rsid w:val="00A55ED6"/>
    <w:rsid w:val="00A55F0F"/>
    <w:rsid w:val="00A562A2"/>
    <w:rsid w:val="00A564D6"/>
    <w:rsid w:val="00A56A11"/>
    <w:rsid w:val="00A56B9F"/>
    <w:rsid w:val="00A575AE"/>
    <w:rsid w:val="00A57676"/>
    <w:rsid w:val="00A57677"/>
    <w:rsid w:val="00A57702"/>
    <w:rsid w:val="00A57D4E"/>
    <w:rsid w:val="00A57F34"/>
    <w:rsid w:val="00A603C5"/>
    <w:rsid w:val="00A60442"/>
    <w:rsid w:val="00A60B26"/>
    <w:rsid w:val="00A60F6F"/>
    <w:rsid w:val="00A60F78"/>
    <w:rsid w:val="00A615DA"/>
    <w:rsid w:val="00A61D71"/>
    <w:rsid w:val="00A62036"/>
    <w:rsid w:val="00A62A21"/>
    <w:rsid w:val="00A62FA1"/>
    <w:rsid w:val="00A63372"/>
    <w:rsid w:val="00A63685"/>
    <w:rsid w:val="00A6391F"/>
    <w:rsid w:val="00A63951"/>
    <w:rsid w:val="00A63AD5"/>
    <w:rsid w:val="00A63BF0"/>
    <w:rsid w:val="00A64CC8"/>
    <w:rsid w:val="00A65045"/>
    <w:rsid w:val="00A650B7"/>
    <w:rsid w:val="00A65274"/>
    <w:rsid w:val="00A654BD"/>
    <w:rsid w:val="00A658C8"/>
    <w:rsid w:val="00A65CE8"/>
    <w:rsid w:val="00A66068"/>
    <w:rsid w:val="00A66A5F"/>
    <w:rsid w:val="00A66E1A"/>
    <w:rsid w:val="00A66EEA"/>
    <w:rsid w:val="00A67250"/>
    <w:rsid w:val="00A672A0"/>
    <w:rsid w:val="00A67970"/>
    <w:rsid w:val="00A67E0C"/>
    <w:rsid w:val="00A701D8"/>
    <w:rsid w:val="00A702DD"/>
    <w:rsid w:val="00A7053C"/>
    <w:rsid w:val="00A71829"/>
    <w:rsid w:val="00A71C53"/>
    <w:rsid w:val="00A71F28"/>
    <w:rsid w:val="00A72A31"/>
    <w:rsid w:val="00A72AD3"/>
    <w:rsid w:val="00A72E60"/>
    <w:rsid w:val="00A72E7F"/>
    <w:rsid w:val="00A7350B"/>
    <w:rsid w:val="00A73704"/>
    <w:rsid w:val="00A73A0E"/>
    <w:rsid w:val="00A73E04"/>
    <w:rsid w:val="00A73E82"/>
    <w:rsid w:val="00A7431A"/>
    <w:rsid w:val="00A74467"/>
    <w:rsid w:val="00A7489D"/>
    <w:rsid w:val="00A74C4A"/>
    <w:rsid w:val="00A74F3B"/>
    <w:rsid w:val="00A75020"/>
    <w:rsid w:val="00A7684D"/>
    <w:rsid w:val="00A76960"/>
    <w:rsid w:val="00A773F7"/>
    <w:rsid w:val="00A77953"/>
    <w:rsid w:val="00A804BB"/>
    <w:rsid w:val="00A807CC"/>
    <w:rsid w:val="00A80EE5"/>
    <w:rsid w:val="00A81CE8"/>
    <w:rsid w:val="00A81FC6"/>
    <w:rsid w:val="00A8291A"/>
    <w:rsid w:val="00A831B0"/>
    <w:rsid w:val="00A83233"/>
    <w:rsid w:val="00A8359D"/>
    <w:rsid w:val="00A838D7"/>
    <w:rsid w:val="00A83A12"/>
    <w:rsid w:val="00A83AB7"/>
    <w:rsid w:val="00A83D4B"/>
    <w:rsid w:val="00A84943"/>
    <w:rsid w:val="00A84A7B"/>
    <w:rsid w:val="00A84BDD"/>
    <w:rsid w:val="00A84F3F"/>
    <w:rsid w:val="00A850BE"/>
    <w:rsid w:val="00A85209"/>
    <w:rsid w:val="00A8594C"/>
    <w:rsid w:val="00A862BF"/>
    <w:rsid w:val="00A86CBB"/>
    <w:rsid w:val="00A8700E"/>
    <w:rsid w:val="00A8786A"/>
    <w:rsid w:val="00A87886"/>
    <w:rsid w:val="00A87CA3"/>
    <w:rsid w:val="00A87ECB"/>
    <w:rsid w:val="00A9022D"/>
    <w:rsid w:val="00A902DF"/>
    <w:rsid w:val="00A90499"/>
    <w:rsid w:val="00A90F3A"/>
    <w:rsid w:val="00A9146A"/>
    <w:rsid w:val="00A91FA5"/>
    <w:rsid w:val="00A92258"/>
    <w:rsid w:val="00A92574"/>
    <w:rsid w:val="00A92BA7"/>
    <w:rsid w:val="00A92C33"/>
    <w:rsid w:val="00A92EBB"/>
    <w:rsid w:val="00A92ED3"/>
    <w:rsid w:val="00A92F42"/>
    <w:rsid w:val="00A9339E"/>
    <w:rsid w:val="00A93504"/>
    <w:rsid w:val="00A93D64"/>
    <w:rsid w:val="00A94652"/>
    <w:rsid w:val="00A946CF"/>
    <w:rsid w:val="00A946D4"/>
    <w:rsid w:val="00A9489A"/>
    <w:rsid w:val="00A948C2"/>
    <w:rsid w:val="00A94A5B"/>
    <w:rsid w:val="00A94D7F"/>
    <w:rsid w:val="00A94EA6"/>
    <w:rsid w:val="00A95403"/>
    <w:rsid w:val="00A95832"/>
    <w:rsid w:val="00A95EFD"/>
    <w:rsid w:val="00A96435"/>
    <w:rsid w:val="00A967F3"/>
    <w:rsid w:val="00A969BA"/>
    <w:rsid w:val="00A96AFE"/>
    <w:rsid w:val="00A96F85"/>
    <w:rsid w:val="00A973CE"/>
    <w:rsid w:val="00A9799E"/>
    <w:rsid w:val="00A97B13"/>
    <w:rsid w:val="00A97FDE"/>
    <w:rsid w:val="00AA00A4"/>
    <w:rsid w:val="00AA0689"/>
    <w:rsid w:val="00AA07FA"/>
    <w:rsid w:val="00AA08D3"/>
    <w:rsid w:val="00AA13FE"/>
    <w:rsid w:val="00AA18E4"/>
    <w:rsid w:val="00AA1B8D"/>
    <w:rsid w:val="00AA29C6"/>
    <w:rsid w:val="00AA29E1"/>
    <w:rsid w:val="00AA2FF2"/>
    <w:rsid w:val="00AA3B6C"/>
    <w:rsid w:val="00AA3E9A"/>
    <w:rsid w:val="00AA444C"/>
    <w:rsid w:val="00AA46AF"/>
    <w:rsid w:val="00AA4AA7"/>
    <w:rsid w:val="00AA4B5D"/>
    <w:rsid w:val="00AA4F21"/>
    <w:rsid w:val="00AA5729"/>
    <w:rsid w:val="00AA576D"/>
    <w:rsid w:val="00AA6CA0"/>
    <w:rsid w:val="00AA737C"/>
    <w:rsid w:val="00AA746A"/>
    <w:rsid w:val="00AA746E"/>
    <w:rsid w:val="00AA7CB8"/>
    <w:rsid w:val="00AA7E88"/>
    <w:rsid w:val="00AB063F"/>
    <w:rsid w:val="00AB151E"/>
    <w:rsid w:val="00AB1A4A"/>
    <w:rsid w:val="00AB1C59"/>
    <w:rsid w:val="00AB255D"/>
    <w:rsid w:val="00AB26E0"/>
    <w:rsid w:val="00AB285F"/>
    <w:rsid w:val="00AB30AB"/>
    <w:rsid w:val="00AB3B09"/>
    <w:rsid w:val="00AB3B58"/>
    <w:rsid w:val="00AB3C14"/>
    <w:rsid w:val="00AB3F7E"/>
    <w:rsid w:val="00AB487F"/>
    <w:rsid w:val="00AB49E3"/>
    <w:rsid w:val="00AB4AC0"/>
    <w:rsid w:val="00AB4B31"/>
    <w:rsid w:val="00AB4B90"/>
    <w:rsid w:val="00AB51D0"/>
    <w:rsid w:val="00AB5B17"/>
    <w:rsid w:val="00AB5B73"/>
    <w:rsid w:val="00AB5C2F"/>
    <w:rsid w:val="00AB6141"/>
    <w:rsid w:val="00AB61F3"/>
    <w:rsid w:val="00AB6A73"/>
    <w:rsid w:val="00AB6AB5"/>
    <w:rsid w:val="00AB796F"/>
    <w:rsid w:val="00AB79D2"/>
    <w:rsid w:val="00AC0407"/>
    <w:rsid w:val="00AC0708"/>
    <w:rsid w:val="00AC0A26"/>
    <w:rsid w:val="00AC117B"/>
    <w:rsid w:val="00AC1596"/>
    <w:rsid w:val="00AC1A41"/>
    <w:rsid w:val="00AC1EAB"/>
    <w:rsid w:val="00AC1FEA"/>
    <w:rsid w:val="00AC1FF7"/>
    <w:rsid w:val="00AC256D"/>
    <w:rsid w:val="00AC2B3E"/>
    <w:rsid w:val="00AC2CC0"/>
    <w:rsid w:val="00AC35BC"/>
    <w:rsid w:val="00AC3C76"/>
    <w:rsid w:val="00AC484A"/>
    <w:rsid w:val="00AC49C1"/>
    <w:rsid w:val="00AC4C87"/>
    <w:rsid w:val="00AC51AC"/>
    <w:rsid w:val="00AC5246"/>
    <w:rsid w:val="00AC5298"/>
    <w:rsid w:val="00AC5353"/>
    <w:rsid w:val="00AC60D4"/>
    <w:rsid w:val="00AC620A"/>
    <w:rsid w:val="00AC76D1"/>
    <w:rsid w:val="00AC7ABF"/>
    <w:rsid w:val="00AD03F0"/>
    <w:rsid w:val="00AD0B4B"/>
    <w:rsid w:val="00AD0D35"/>
    <w:rsid w:val="00AD0DD1"/>
    <w:rsid w:val="00AD1986"/>
    <w:rsid w:val="00AD1E31"/>
    <w:rsid w:val="00AD1EA4"/>
    <w:rsid w:val="00AD20A6"/>
    <w:rsid w:val="00AD2B5B"/>
    <w:rsid w:val="00AD2D8E"/>
    <w:rsid w:val="00AD2E0E"/>
    <w:rsid w:val="00AD3951"/>
    <w:rsid w:val="00AD3DC4"/>
    <w:rsid w:val="00AD4025"/>
    <w:rsid w:val="00AD4216"/>
    <w:rsid w:val="00AD4F66"/>
    <w:rsid w:val="00AD55B9"/>
    <w:rsid w:val="00AD577F"/>
    <w:rsid w:val="00AD5A65"/>
    <w:rsid w:val="00AD5D08"/>
    <w:rsid w:val="00AD5D61"/>
    <w:rsid w:val="00AD5EA7"/>
    <w:rsid w:val="00AD626B"/>
    <w:rsid w:val="00AD703F"/>
    <w:rsid w:val="00AD7377"/>
    <w:rsid w:val="00AE0DB6"/>
    <w:rsid w:val="00AE0F21"/>
    <w:rsid w:val="00AE0F65"/>
    <w:rsid w:val="00AE1EED"/>
    <w:rsid w:val="00AE22A4"/>
    <w:rsid w:val="00AE28C2"/>
    <w:rsid w:val="00AE2AEB"/>
    <w:rsid w:val="00AE3A79"/>
    <w:rsid w:val="00AE3DA6"/>
    <w:rsid w:val="00AE3DE3"/>
    <w:rsid w:val="00AE3FCC"/>
    <w:rsid w:val="00AE4115"/>
    <w:rsid w:val="00AE411A"/>
    <w:rsid w:val="00AE41F5"/>
    <w:rsid w:val="00AE4564"/>
    <w:rsid w:val="00AE4A57"/>
    <w:rsid w:val="00AE4A86"/>
    <w:rsid w:val="00AE5493"/>
    <w:rsid w:val="00AE551E"/>
    <w:rsid w:val="00AE58C8"/>
    <w:rsid w:val="00AE5BA5"/>
    <w:rsid w:val="00AE5C90"/>
    <w:rsid w:val="00AE5EDC"/>
    <w:rsid w:val="00AE662C"/>
    <w:rsid w:val="00AE68CA"/>
    <w:rsid w:val="00AE6B3C"/>
    <w:rsid w:val="00AE6DA7"/>
    <w:rsid w:val="00AE7542"/>
    <w:rsid w:val="00AE7D04"/>
    <w:rsid w:val="00AE7E51"/>
    <w:rsid w:val="00AF0350"/>
    <w:rsid w:val="00AF0E74"/>
    <w:rsid w:val="00AF0EBD"/>
    <w:rsid w:val="00AF0F1D"/>
    <w:rsid w:val="00AF1224"/>
    <w:rsid w:val="00AF18FE"/>
    <w:rsid w:val="00AF1D67"/>
    <w:rsid w:val="00AF2AC5"/>
    <w:rsid w:val="00AF3238"/>
    <w:rsid w:val="00AF35E0"/>
    <w:rsid w:val="00AF393D"/>
    <w:rsid w:val="00AF3AE1"/>
    <w:rsid w:val="00AF4021"/>
    <w:rsid w:val="00AF4033"/>
    <w:rsid w:val="00AF469C"/>
    <w:rsid w:val="00AF4AC9"/>
    <w:rsid w:val="00AF4C00"/>
    <w:rsid w:val="00AF4C93"/>
    <w:rsid w:val="00AF4F29"/>
    <w:rsid w:val="00AF5625"/>
    <w:rsid w:val="00AF5D5B"/>
    <w:rsid w:val="00AF5DFE"/>
    <w:rsid w:val="00AF6046"/>
    <w:rsid w:val="00AF630E"/>
    <w:rsid w:val="00AF6612"/>
    <w:rsid w:val="00AF6701"/>
    <w:rsid w:val="00AF6783"/>
    <w:rsid w:val="00AF785B"/>
    <w:rsid w:val="00B007C3"/>
    <w:rsid w:val="00B008E6"/>
    <w:rsid w:val="00B00C28"/>
    <w:rsid w:val="00B01253"/>
    <w:rsid w:val="00B014FF"/>
    <w:rsid w:val="00B015AC"/>
    <w:rsid w:val="00B01BF4"/>
    <w:rsid w:val="00B01D33"/>
    <w:rsid w:val="00B0219F"/>
    <w:rsid w:val="00B0282E"/>
    <w:rsid w:val="00B02F69"/>
    <w:rsid w:val="00B03A44"/>
    <w:rsid w:val="00B03C37"/>
    <w:rsid w:val="00B041EC"/>
    <w:rsid w:val="00B042A5"/>
    <w:rsid w:val="00B04384"/>
    <w:rsid w:val="00B051C4"/>
    <w:rsid w:val="00B05705"/>
    <w:rsid w:val="00B058C0"/>
    <w:rsid w:val="00B06E43"/>
    <w:rsid w:val="00B078E8"/>
    <w:rsid w:val="00B07AC8"/>
    <w:rsid w:val="00B07C69"/>
    <w:rsid w:val="00B07D99"/>
    <w:rsid w:val="00B10304"/>
    <w:rsid w:val="00B106A4"/>
    <w:rsid w:val="00B10F5A"/>
    <w:rsid w:val="00B11175"/>
    <w:rsid w:val="00B1140B"/>
    <w:rsid w:val="00B11AB1"/>
    <w:rsid w:val="00B11B64"/>
    <w:rsid w:val="00B11BF8"/>
    <w:rsid w:val="00B11C3F"/>
    <w:rsid w:val="00B11C97"/>
    <w:rsid w:val="00B11E93"/>
    <w:rsid w:val="00B11FA5"/>
    <w:rsid w:val="00B124BF"/>
    <w:rsid w:val="00B13393"/>
    <w:rsid w:val="00B133ED"/>
    <w:rsid w:val="00B13469"/>
    <w:rsid w:val="00B13A39"/>
    <w:rsid w:val="00B13AED"/>
    <w:rsid w:val="00B13F83"/>
    <w:rsid w:val="00B143D6"/>
    <w:rsid w:val="00B146B7"/>
    <w:rsid w:val="00B14B56"/>
    <w:rsid w:val="00B14C39"/>
    <w:rsid w:val="00B15145"/>
    <w:rsid w:val="00B1524D"/>
    <w:rsid w:val="00B1589A"/>
    <w:rsid w:val="00B15956"/>
    <w:rsid w:val="00B15E83"/>
    <w:rsid w:val="00B165E2"/>
    <w:rsid w:val="00B16800"/>
    <w:rsid w:val="00B16CB0"/>
    <w:rsid w:val="00B16EB5"/>
    <w:rsid w:val="00B17148"/>
    <w:rsid w:val="00B17BE5"/>
    <w:rsid w:val="00B17DEF"/>
    <w:rsid w:val="00B20C31"/>
    <w:rsid w:val="00B20D50"/>
    <w:rsid w:val="00B20EE4"/>
    <w:rsid w:val="00B2129C"/>
    <w:rsid w:val="00B218E5"/>
    <w:rsid w:val="00B21AA4"/>
    <w:rsid w:val="00B22326"/>
    <w:rsid w:val="00B227F3"/>
    <w:rsid w:val="00B2295A"/>
    <w:rsid w:val="00B22D5A"/>
    <w:rsid w:val="00B22E40"/>
    <w:rsid w:val="00B22FB0"/>
    <w:rsid w:val="00B23156"/>
    <w:rsid w:val="00B2316F"/>
    <w:rsid w:val="00B234B3"/>
    <w:rsid w:val="00B23501"/>
    <w:rsid w:val="00B23565"/>
    <w:rsid w:val="00B2370E"/>
    <w:rsid w:val="00B23ABD"/>
    <w:rsid w:val="00B23B3E"/>
    <w:rsid w:val="00B23B68"/>
    <w:rsid w:val="00B23FF9"/>
    <w:rsid w:val="00B2405C"/>
    <w:rsid w:val="00B248FB"/>
    <w:rsid w:val="00B24B8B"/>
    <w:rsid w:val="00B25192"/>
    <w:rsid w:val="00B25589"/>
    <w:rsid w:val="00B2572C"/>
    <w:rsid w:val="00B25AD2"/>
    <w:rsid w:val="00B268A2"/>
    <w:rsid w:val="00B269B3"/>
    <w:rsid w:val="00B26EFF"/>
    <w:rsid w:val="00B271B4"/>
    <w:rsid w:val="00B2789A"/>
    <w:rsid w:val="00B27F73"/>
    <w:rsid w:val="00B306CA"/>
    <w:rsid w:val="00B30963"/>
    <w:rsid w:val="00B30A99"/>
    <w:rsid w:val="00B30AE1"/>
    <w:rsid w:val="00B30C4C"/>
    <w:rsid w:val="00B31621"/>
    <w:rsid w:val="00B316A1"/>
    <w:rsid w:val="00B31805"/>
    <w:rsid w:val="00B31A62"/>
    <w:rsid w:val="00B31B87"/>
    <w:rsid w:val="00B31F11"/>
    <w:rsid w:val="00B321FA"/>
    <w:rsid w:val="00B3235D"/>
    <w:rsid w:val="00B32655"/>
    <w:rsid w:val="00B33B04"/>
    <w:rsid w:val="00B33B7C"/>
    <w:rsid w:val="00B33C07"/>
    <w:rsid w:val="00B33E4D"/>
    <w:rsid w:val="00B33EF1"/>
    <w:rsid w:val="00B34020"/>
    <w:rsid w:val="00B340CF"/>
    <w:rsid w:val="00B345BD"/>
    <w:rsid w:val="00B345EA"/>
    <w:rsid w:val="00B34939"/>
    <w:rsid w:val="00B35A65"/>
    <w:rsid w:val="00B35BAE"/>
    <w:rsid w:val="00B35D52"/>
    <w:rsid w:val="00B36122"/>
    <w:rsid w:val="00B36358"/>
    <w:rsid w:val="00B367B2"/>
    <w:rsid w:val="00B368CF"/>
    <w:rsid w:val="00B36FC8"/>
    <w:rsid w:val="00B3739F"/>
    <w:rsid w:val="00B373BF"/>
    <w:rsid w:val="00B37494"/>
    <w:rsid w:val="00B37539"/>
    <w:rsid w:val="00B37E31"/>
    <w:rsid w:val="00B37EA7"/>
    <w:rsid w:val="00B40302"/>
    <w:rsid w:val="00B40307"/>
    <w:rsid w:val="00B4065E"/>
    <w:rsid w:val="00B40981"/>
    <w:rsid w:val="00B409C7"/>
    <w:rsid w:val="00B414C2"/>
    <w:rsid w:val="00B4174D"/>
    <w:rsid w:val="00B41A43"/>
    <w:rsid w:val="00B42D76"/>
    <w:rsid w:val="00B42E92"/>
    <w:rsid w:val="00B431EB"/>
    <w:rsid w:val="00B432C9"/>
    <w:rsid w:val="00B433DD"/>
    <w:rsid w:val="00B4341D"/>
    <w:rsid w:val="00B4353E"/>
    <w:rsid w:val="00B43AF3"/>
    <w:rsid w:val="00B43BDF"/>
    <w:rsid w:val="00B44C01"/>
    <w:rsid w:val="00B44C63"/>
    <w:rsid w:val="00B4516C"/>
    <w:rsid w:val="00B4534D"/>
    <w:rsid w:val="00B45A3C"/>
    <w:rsid w:val="00B4601E"/>
    <w:rsid w:val="00B46B56"/>
    <w:rsid w:val="00B46BBD"/>
    <w:rsid w:val="00B471F9"/>
    <w:rsid w:val="00B476E0"/>
    <w:rsid w:val="00B47CC7"/>
    <w:rsid w:val="00B50992"/>
    <w:rsid w:val="00B50D8C"/>
    <w:rsid w:val="00B50DD7"/>
    <w:rsid w:val="00B51142"/>
    <w:rsid w:val="00B51173"/>
    <w:rsid w:val="00B51849"/>
    <w:rsid w:val="00B526E6"/>
    <w:rsid w:val="00B52958"/>
    <w:rsid w:val="00B52993"/>
    <w:rsid w:val="00B52B86"/>
    <w:rsid w:val="00B52D18"/>
    <w:rsid w:val="00B53204"/>
    <w:rsid w:val="00B53649"/>
    <w:rsid w:val="00B53680"/>
    <w:rsid w:val="00B53B6F"/>
    <w:rsid w:val="00B53BB5"/>
    <w:rsid w:val="00B53CAD"/>
    <w:rsid w:val="00B53D90"/>
    <w:rsid w:val="00B543BF"/>
    <w:rsid w:val="00B545DD"/>
    <w:rsid w:val="00B54727"/>
    <w:rsid w:val="00B55050"/>
    <w:rsid w:val="00B5557D"/>
    <w:rsid w:val="00B557AA"/>
    <w:rsid w:val="00B55BCC"/>
    <w:rsid w:val="00B5649B"/>
    <w:rsid w:val="00B56B22"/>
    <w:rsid w:val="00B56B58"/>
    <w:rsid w:val="00B56BC3"/>
    <w:rsid w:val="00B56E2C"/>
    <w:rsid w:val="00B56EEF"/>
    <w:rsid w:val="00B571BD"/>
    <w:rsid w:val="00B572E8"/>
    <w:rsid w:val="00B575EA"/>
    <w:rsid w:val="00B577FC"/>
    <w:rsid w:val="00B57EDB"/>
    <w:rsid w:val="00B60770"/>
    <w:rsid w:val="00B608A3"/>
    <w:rsid w:val="00B61060"/>
    <w:rsid w:val="00B61292"/>
    <w:rsid w:val="00B614D7"/>
    <w:rsid w:val="00B61C8B"/>
    <w:rsid w:val="00B61E59"/>
    <w:rsid w:val="00B628F3"/>
    <w:rsid w:val="00B63E81"/>
    <w:rsid w:val="00B6414F"/>
    <w:rsid w:val="00B643E6"/>
    <w:rsid w:val="00B6443F"/>
    <w:rsid w:val="00B6469C"/>
    <w:rsid w:val="00B6486C"/>
    <w:rsid w:val="00B648B7"/>
    <w:rsid w:val="00B65324"/>
    <w:rsid w:val="00B6592B"/>
    <w:rsid w:val="00B65C17"/>
    <w:rsid w:val="00B65FC5"/>
    <w:rsid w:val="00B66202"/>
    <w:rsid w:val="00B663C8"/>
    <w:rsid w:val="00B66F90"/>
    <w:rsid w:val="00B6736F"/>
    <w:rsid w:val="00B6737E"/>
    <w:rsid w:val="00B674D9"/>
    <w:rsid w:val="00B67963"/>
    <w:rsid w:val="00B67E6E"/>
    <w:rsid w:val="00B67FD0"/>
    <w:rsid w:val="00B70A36"/>
    <w:rsid w:val="00B7189C"/>
    <w:rsid w:val="00B7196C"/>
    <w:rsid w:val="00B71BBB"/>
    <w:rsid w:val="00B72033"/>
    <w:rsid w:val="00B722F8"/>
    <w:rsid w:val="00B724DA"/>
    <w:rsid w:val="00B72CAD"/>
    <w:rsid w:val="00B72DF7"/>
    <w:rsid w:val="00B731E0"/>
    <w:rsid w:val="00B73838"/>
    <w:rsid w:val="00B73A44"/>
    <w:rsid w:val="00B747A7"/>
    <w:rsid w:val="00B747F4"/>
    <w:rsid w:val="00B74D1A"/>
    <w:rsid w:val="00B756E7"/>
    <w:rsid w:val="00B75C96"/>
    <w:rsid w:val="00B76640"/>
    <w:rsid w:val="00B76FAB"/>
    <w:rsid w:val="00B772A1"/>
    <w:rsid w:val="00B7797F"/>
    <w:rsid w:val="00B77B72"/>
    <w:rsid w:val="00B80BB7"/>
    <w:rsid w:val="00B80D75"/>
    <w:rsid w:val="00B80E8D"/>
    <w:rsid w:val="00B80F06"/>
    <w:rsid w:val="00B8100F"/>
    <w:rsid w:val="00B8118D"/>
    <w:rsid w:val="00B816FC"/>
    <w:rsid w:val="00B82071"/>
    <w:rsid w:val="00B84938"/>
    <w:rsid w:val="00B84A18"/>
    <w:rsid w:val="00B85977"/>
    <w:rsid w:val="00B85EC8"/>
    <w:rsid w:val="00B86263"/>
    <w:rsid w:val="00B86359"/>
    <w:rsid w:val="00B86DFA"/>
    <w:rsid w:val="00B87267"/>
    <w:rsid w:val="00B873E4"/>
    <w:rsid w:val="00B87B5A"/>
    <w:rsid w:val="00B87DD0"/>
    <w:rsid w:val="00B91324"/>
    <w:rsid w:val="00B91957"/>
    <w:rsid w:val="00B91BF3"/>
    <w:rsid w:val="00B91F11"/>
    <w:rsid w:val="00B92236"/>
    <w:rsid w:val="00B92996"/>
    <w:rsid w:val="00B930E3"/>
    <w:rsid w:val="00B934F0"/>
    <w:rsid w:val="00B936B3"/>
    <w:rsid w:val="00B9396E"/>
    <w:rsid w:val="00B93C51"/>
    <w:rsid w:val="00B93D5A"/>
    <w:rsid w:val="00B93E3E"/>
    <w:rsid w:val="00B951CA"/>
    <w:rsid w:val="00B962D7"/>
    <w:rsid w:val="00B96C6A"/>
    <w:rsid w:val="00B96DFC"/>
    <w:rsid w:val="00B9738E"/>
    <w:rsid w:val="00B97C4A"/>
    <w:rsid w:val="00B97E2C"/>
    <w:rsid w:val="00BA01EC"/>
    <w:rsid w:val="00BA0862"/>
    <w:rsid w:val="00BA0DE8"/>
    <w:rsid w:val="00BA13CA"/>
    <w:rsid w:val="00BA173D"/>
    <w:rsid w:val="00BA1D60"/>
    <w:rsid w:val="00BA1F09"/>
    <w:rsid w:val="00BA2650"/>
    <w:rsid w:val="00BA26D3"/>
    <w:rsid w:val="00BA287F"/>
    <w:rsid w:val="00BA2975"/>
    <w:rsid w:val="00BA2F53"/>
    <w:rsid w:val="00BA4390"/>
    <w:rsid w:val="00BA4619"/>
    <w:rsid w:val="00BA486D"/>
    <w:rsid w:val="00BA5763"/>
    <w:rsid w:val="00BA5B17"/>
    <w:rsid w:val="00BA5DD9"/>
    <w:rsid w:val="00BA6C87"/>
    <w:rsid w:val="00BA710A"/>
    <w:rsid w:val="00BA7538"/>
    <w:rsid w:val="00BA7556"/>
    <w:rsid w:val="00BA766E"/>
    <w:rsid w:val="00BA7CBE"/>
    <w:rsid w:val="00BA7EEB"/>
    <w:rsid w:val="00BA7F8F"/>
    <w:rsid w:val="00BB03AD"/>
    <w:rsid w:val="00BB05CA"/>
    <w:rsid w:val="00BB0798"/>
    <w:rsid w:val="00BB0930"/>
    <w:rsid w:val="00BB0AD6"/>
    <w:rsid w:val="00BB10E1"/>
    <w:rsid w:val="00BB1349"/>
    <w:rsid w:val="00BB135B"/>
    <w:rsid w:val="00BB140D"/>
    <w:rsid w:val="00BB1425"/>
    <w:rsid w:val="00BB1675"/>
    <w:rsid w:val="00BB1C3D"/>
    <w:rsid w:val="00BB1D4E"/>
    <w:rsid w:val="00BB2208"/>
    <w:rsid w:val="00BB2728"/>
    <w:rsid w:val="00BB2EE5"/>
    <w:rsid w:val="00BB2F5D"/>
    <w:rsid w:val="00BB3173"/>
    <w:rsid w:val="00BB31E0"/>
    <w:rsid w:val="00BB3CDA"/>
    <w:rsid w:val="00BB4789"/>
    <w:rsid w:val="00BB4A6C"/>
    <w:rsid w:val="00BB510A"/>
    <w:rsid w:val="00BB5243"/>
    <w:rsid w:val="00BB55C1"/>
    <w:rsid w:val="00BB5D24"/>
    <w:rsid w:val="00BB6424"/>
    <w:rsid w:val="00BB64B7"/>
    <w:rsid w:val="00BB65D9"/>
    <w:rsid w:val="00BB6D92"/>
    <w:rsid w:val="00BB6ED6"/>
    <w:rsid w:val="00BB70B9"/>
    <w:rsid w:val="00BB7D87"/>
    <w:rsid w:val="00BC010C"/>
    <w:rsid w:val="00BC06B9"/>
    <w:rsid w:val="00BC0AD0"/>
    <w:rsid w:val="00BC0D03"/>
    <w:rsid w:val="00BC0E35"/>
    <w:rsid w:val="00BC1BB0"/>
    <w:rsid w:val="00BC2390"/>
    <w:rsid w:val="00BC2409"/>
    <w:rsid w:val="00BC24C9"/>
    <w:rsid w:val="00BC2E77"/>
    <w:rsid w:val="00BC380B"/>
    <w:rsid w:val="00BC39F4"/>
    <w:rsid w:val="00BC3D45"/>
    <w:rsid w:val="00BC3E66"/>
    <w:rsid w:val="00BC3E92"/>
    <w:rsid w:val="00BC4021"/>
    <w:rsid w:val="00BC4066"/>
    <w:rsid w:val="00BC450E"/>
    <w:rsid w:val="00BC4D85"/>
    <w:rsid w:val="00BC4D87"/>
    <w:rsid w:val="00BC531B"/>
    <w:rsid w:val="00BC5445"/>
    <w:rsid w:val="00BC548B"/>
    <w:rsid w:val="00BC604C"/>
    <w:rsid w:val="00BC6C96"/>
    <w:rsid w:val="00BC71C9"/>
    <w:rsid w:val="00BC7A4E"/>
    <w:rsid w:val="00BD0769"/>
    <w:rsid w:val="00BD0887"/>
    <w:rsid w:val="00BD0AB1"/>
    <w:rsid w:val="00BD10EC"/>
    <w:rsid w:val="00BD2074"/>
    <w:rsid w:val="00BD214B"/>
    <w:rsid w:val="00BD21AB"/>
    <w:rsid w:val="00BD378A"/>
    <w:rsid w:val="00BD3B82"/>
    <w:rsid w:val="00BD4040"/>
    <w:rsid w:val="00BD43D6"/>
    <w:rsid w:val="00BD4538"/>
    <w:rsid w:val="00BD4965"/>
    <w:rsid w:val="00BD4B19"/>
    <w:rsid w:val="00BD4B75"/>
    <w:rsid w:val="00BD5521"/>
    <w:rsid w:val="00BD59C5"/>
    <w:rsid w:val="00BD5A84"/>
    <w:rsid w:val="00BD5C72"/>
    <w:rsid w:val="00BD68FF"/>
    <w:rsid w:val="00BD7056"/>
    <w:rsid w:val="00BD71D7"/>
    <w:rsid w:val="00BD7214"/>
    <w:rsid w:val="00BD7B25"/>
    <w:rsid w:val="00BD7DCB"/>
    <w:rsid w:val="00BE0354"/>
    <w:rsid w:val="00BE052B"/>
    <w:rsid w:val="00BE0A0D"/>
    <w:rsid w:val="00BE0CD1"/>
    <w:rsid w:val="00BE112F"/>
    <w:rsid w:val="00BE14AF"/>
    <w:rsid w:val="00BE186B"/>
    <w:rsid w:val="00BE1890"/>
    <w:rsid w:val="00BE1AD8"/>
    <w:rsid w:val="00BE1AFA"/>
    <w:rsid w:val="00BE27ED"/>
    <w:rsid w:val="00BE2DEA"/>
    <w:rsid w:val="00BE2F1B"/>
    <w:rsid w:val="00BE37DD"/>
    <w:rsid w:val="00BE3FDB"/>
    <w:rsid w:val="00BE4320"/>
    <w:rsid w:val="00BE47E1"/>
    <w:rsid w:val="00BE4FAB"/>
    <w:rsid w:val="00BE52EF"/>
    <w:rsid w:val="00BE55B0"/>
    <w:rsid w:val="00BE5604"/>
    <w:rsid w:val="00BE5633"/>
    <w:rsid w:val="00BE5D31"/>
    <w:rsid w:val="00BE5E2F"/>
    <w:rsid w:val="00BE65CE"/>
    <w:rsid w:val="00BE690B"/>
    <w:rsid w:val="00BE7226"/>
    <w:rsid w:val="00BE739E"/>
    <w:rsid w:val="00BE743B"/>
    <w:rsid w:val="00BE7517"/>
    <w:rsid w:val="00BE76E4"/>
    <w:rsid w:val="00BE7D09"/>
    <w:rsid w:val="00BE7D4F"/>
    <w:rsid w:val="00BF0E47"/>
    <w:rsid w:val="00BF1163"/>
    <w:rsid w:val="00BF146E"/>
    <w:rsid w:val="00BF1962"/>
    <w:rsid w:val="00BF1B58"/>
    <w:rsid w:val="00BF2143"/>
    <w:rsid w:val="00BF2496"/>
    <w:rsid w:val="00BF3165"/>
    <w:rsid w:val="00BF3310"/>
    <w:rsid w:val="00BF3311"/>
    <w:rsid w:val="00BF3739"/>
    <w:rsid w:val="00BF42AF"/>
    <w:rsid w:val="00BF44B0"/>
    <w:rsid w:val="00BF45A5"/>
    <w:rsid w:val="00BF4AED"/>
    <w:rsid w:val="00BF4DDC"/>
    <w:rsid w:val="00BF4ED6"/>
    <w:rsid w:val="00BF4F01"/>
    <w:rsid w:val="00BF5246"/>
    <w:rsid w:val="00BF527A"/>
    <w:rsid w:val="00BF5578"/>
    <w:rsid w:val="00BF568A"/>
    <w:rsid w:val="00BF5B5A"/>
    <w:rsid w:val="00BF6988"/>
    <w:rsid w:val="00BF6A3C"/>
    <w:rsid w:val="00BF6FCD"/>
    <w:rsid w:val="00BF70BC"/>
    <w:rsid w:val="00BF7587"/>
    <w:rsid w:val="00BF7800"/>
    <w:rsid w:val="00BF78AE"/>
    <w:rsid w:val="00BF7D15"/>
    <w:rsid w:val="00C00002"/>
    <w:rsid w:val="00C002CE"/>
    <w:rsid w:val="00C0049C"/>
    <w:rsid w:val="00C00972"/>
    <w:rsid w:val="00C00BCE"/>
    <w:rsid w:val="00C00CC1"/>
    <w:rsid w:val="00C01DFC"/>
    <w:rsid w:val="00C01F56"/>
    <w:rsid w:val="00C023E3"/>
    <w:rsid w:val="00C02EA8"/>
    <w:rsid w:val="00C02F48"/>
    <w:rsid w:val="00C02FBA"/>
    <w:rsid w:val="00C034FA"/>
    <w:rsid w:val="00C03877"/>
    <w:rsid w:val="00C038A1"/>
    <w:rsid w:val="00C03A74"/>
    <w:rsid w:val="00C03B25"/>
    <w:rsid w:val="00C03DFD"/>
    <w:rsid w:val="00C04493"/>
    <w:rsid w:val="00C04663"/>
    <w:rsid w:val="00C048AD"/>
    <w:rsid w:val="00C04D3F"/>
    <w:rsid w:val="00C04E3E"/>
    <w:rsid w:val="00C0501C"/>
    <w:rsid w:val="00C055FB"/>
    <w:rsid w:val="00C057CC"/>
    <w:rsid w:val="00C0584B"/>
    <w:rsid w:val="00C059EE"/>
    <w:rsid w:val="00C05A3B"/>
    <w:rsid w:val="00C06025"/>
    <w:rsid w:val="00C0608C"/>
    <w:rsid w:val="00C06333"/>
    <w:rsid w:val="00C06736"/>
    <w:rsid w:val="00C0687D"/>
    <w:rsid w:val="00C06915"/>
    <w:rsid w:val="00C06A1A"/>
    <w:rsid w:val="00C06FDD"/>
    <w:rsid w:val="00C071B8"/>
    <w:rsid w:val="00C07DF9"/>
    <w:rsid w:val="00C103CB"/>
    <w:rsid w:val="00C10621"/>
    <w:rsid w:val="00C1091A"/>
    <w:rsid w:val="00C10C3D"/>
    <w:rsid w:val="00C11047"/>
    <w:rsid w:val="00C115BA"/>
    <w:rsid w:val="00C11815"/>
    <w:rsid w:val="00C11A34"/>
    <w:rsid w:val="00C11F12"/>
    <w:rsid w:val="00C1213F"/>
    <w:rsid w:val="00C125EC"/>
    <w:rsid w:val="00C12872"/>
    <w:rsid w:val="00C12951"/>
    <w:rsid w:val="00C12F9E"/>
    <w:rsid w:val="00C13636"/>
    <w:rsid w:val="00C136F1"/>
    <w:rsid w:val="00C13D31"/>
    <w:rsid w:val="00C13F79"/>
    <w:rsid w:val="00C14129"/>
    <w:rsid w:val="00C145E9"/>
    <w:rsid w:val="00C146F2"/>
    <w:rsid w:val="00C14DFB"/>
    <w:rsid w:val="00C14FBF"/>
    <w:rsid w:val="00C150B0"/>
    <w:rsid w:val="00C152D0"/>
    <w:rsid w:val="00C15838"/>
    <w:rsid w:val="00C15C5A"/>
    <w:rsid w:val="00C15F6A"/>
    <w:rsid w:val="00C1640F"/>
    <w:rsid w:val="00C1679D"/>
    <w:rsid w:val="00C168B6"/>
    <w:rsid w:val="00C16CC2"/>
    <w:rsid w:val="00C16D04"/>
    <w:rsid w:val="00C16E75"/>
    <w:rsid w:val="00C17185"/>
    <w:rsid w:val="00C17188"/>
    <w:rsid w:val="00C177A7"/>
    <w:rsid w:val="00C17D64"/>
    <w:rsid w:val="00C20078"/>
    <w:rsid w:val="00C20242"/>
    <w:rsid w:val="00C204F0"/>
    <w:rsid w:val="00C2078F"/>
    <w:rsid w:val="00C207CF"/>
    <w:rsid w:val="00C2097E"/>
    <w:rsid w:val="00C212AE"/>
    <w:rsid w:val="00C214F1"/>
    <w:rsid w:val="00C21B13"/>
    <w:rsid w:val="00C21E89"/>
    <w:rsid w:val="00C221EE"/>
    <w:rsid w:val="00C221FA"/>
    <w:rsid w:val="00C22916"/>
    <w:rsid w:val="00C22DA9"/>
    <w:rsid w:val="00C236C0"/>
    <w:rsid w:val="00C23822"/>
    <w:rsid w:val="00C23B81"/>
    <w:rsid w:val="00C23D34"/>
    <w:rsid w:val="00C23E0D"/>
    <w:rsid w:val="00C24B00"/>
    <w:rsid w:val="00C24CD0"/>
    <w:rsid w:val="00C2538E"/>
    <w:rsid w:val="00C2552C"/>
    <w:rsid w:val="00C2555B"/>
    <w:rsid w:val="00C256E6"/>
    <w:rsid w:val="00C25FE7"/>
    <w:rsid w:val="00C26191"/>
    <w:rsid w:val="00C2681F"/>
    <w:rsid w:val="00C2687C"/>
    <w:rsid w:val="00C2695A"/>
    <w:rsid w:val="00C269CE"/>
    <w:rsid w:val="00C26CFB"/>
    <w:rsid w:val="00C26FBD"/>
    <w:rsid w:val="00C2736D"/>
    <w:rsid w:val="00C27772"/>
    <w:rsid w:val="00C27F33"/>
    <w:rsid w:val="00C30136"/>
    <w:rsid w:val="00C30745"/>
    <w:rsid w:val="00C30E76"/>
    <w:rsid w:val="00C30FA6"/>
    <w:rsid w:val="00C31158"/>
    <w:rsid w:val="00C311A8"/>
    <w:rsid w:val="00C315F7"/>
    <w:rsid w:val="00C31987"/>
    <w:rsid w:val="00C31FC0"/>
    <w:rsid w:val="00C32220"/>
    <w:rsid w:val="00C328A1"/>
    <w:rsid w:val="00C329EE"/>
    <w:rsid w:val="00C32A65"/>
    <w:rsid w:val="00C32E05"/>
    <w:rsid w:val="00C33159"/>
    <w:rsid w:val="00C3317C"/>
    <w:rsid w:val="00C33512"/>
    <w:rsid w:val="00C33F05"/>
    <w:rsid w:val="00C3440A"/>
    <w:rsid w:val="00C34489"/>
    <w:rsid w:val="00C350D7"/>
    <w:rsid w:val="00C35C92"/>
    <w:rsid w:val="00C35D8F"/>
    <w:rsid w:val="00C35E79"/>
    <w:rsid w:val="00C35EDE"/>
    <w:rsid w:val="00C36198"/>
    <w:rsid w:val="00C36845"/>
    <w:rsid w:val="00C36CD2"/>
    <w:rsid w:val="00C371C4"/>
    <w:rsid w:val="00C37691"/>
    <w:rsid w:val="00C37768"/>
    <w:rsid w:val="00C37777"/>
    <w:rsid w:val="00C377E9"/>
    <w:rsid w:val="00C37CE8"/>
    <w:rsid w:val="00C400F1"/>
    <w:rsid w:val="00C403BB"/>
    <w:rsid w:val="00C408F3"/>
    <w:rsid w:val="00C40C18"/>
    <w:rsid w:val="00C40C23"/>
    <w:rsid w:val="00C40C30"/>
    <w:rsid w:val="00C42669"/>
    <w:rsid w:val="00C426F8"/>
    <w:rsid w:val="00C4286C"/>
    <w:rsid w:val="00C429D9"/>
    <w:rsid w:val="00C42D69"/>
    <w:rsid w:val="00C4304F"/>
    <w:rsid w:val="00C4375F"/>
    <w:rsid w:val="00C43969"/>
    <w:rsid w:val="00C439A8"/>
    <w:rsid w:val="00C43FA6"/>
    <w:rsid w:val="00C443B7"/>
    <w:rsid w:val="00C44C83"/>
    <w:rsid w:val="00C44D8F"/>
    <w:rsid w:val="00C44DC3"/>
    <w:rsid w:val="00C450B4"/>
    <w:rsid w:val="00C4556A"/>
    <w:rsid w:val="00C46320"/>
    <w:rsid w:val="00C463D0"/>
    <w:rsid w:val="00C465B7"/>
    <w:rsid w:val="00C467E5"/>
    <w:rsid w:val="00C46F61"/>
    <w:rsid w:val="00C4775A"/>
    <w:rsid w:val="00C4781E"/>
    <w:rsid w:val="00C47C4F"/>
    <w:rsid w:val="00C47D35"/>
    <w:rsid w:val="00C50752"/>
    <w:rsid w:val="00C50958"/>
    <w:rsid w:val="00C50D6F"/>
    <w:rsid w:val="00C51068"/>
    <w:rsid w:val="00C511B3"/>
    <w:rsid w:val="00C51392"/>
    <w:rsid w:val="00C5160C"/>
    <w:rsid w:val="00C51637"/>
    <w:rsid w:val="00C51861"/>
    <w:rsid w:val="00C51939"/>
    <w:rsid w:val="00C51A88"/>
    <w:rsid w:val="00C51C0D"/>
    <w:rsid w:val="00C51EFE"/>
    <w:rsid w:val="00C5259E"/>
    <w:rsid w:val="00C525D8"/>
    <w:rsid w:val="00C52DD6"/>
    <w:rsid w:val="00C530B0"/>
    <w:rsid w:val="00C53302"/>
    <w:rsid w:val="00C53628"/>
    <w:rsid w:val="00C53FBA"/>
    <w:rsid w:val="00C53FD0"/>
    <w:rsid w:val="00C54C82"/>
    <w:rsid w:val="00C5515B"/>
    <w:rsid w:val="00C55559"/>
    <w:rsid w:val="00C558C1"/>
    <w:rsid w:val="00C55AA6"/>
    <w:rsid w:val="00C55B21"/>
    <w:rsid w:val="00C55C8F"/>
    <w:rsid w:val="00C55DC3"/>
    <w:rsid w:val="00C566F6"/>
    <w:rsid w:val="00C57011"/>
    <w:rsid w:val="00C57943"/>
    <w:rsid w:val="00C57A20"/>
    <w:rsid w:val="00C57BE4"/>
    <w:rsid w:val="00C57D2B"/>
    <w:rsid w:val="00C57F04"/>
    <w:rsid w:val="00C60503"/>
    <w:rsid w:val="00C60BD4"/>
    <w:rsid w:val="00C60D9B"/>
    <w:rsid w:val="00C61014"/>
    <w:rsid w:val="00C6170C"/>
    <w:rsid w:val="00C61718"/>
    <w:rsid w:val="00C6179B"/>
    <w:rsid w:val="00C61B25"/>
    <w:rsid w:val="00C61E66"/>
    <w:rsid w:val="00C61E71"/>
    <w:rsid w:val="00C62269"/>
    <w:rsid w:val="00C624F7"/>
    <w:rsid w:val="00C62909"/>
    <w:rsid w:val="00C6296C"/>
    <w:rsid w:val="00C6338D"/>
    <w:rsid w:val="00C635BB"/>
    <w:rsid w:val="00C6368F"/>
    <w:rsid w:val="00C63882"/>
    <w:rsid w:val="00C649EE"/>
    <w:rsid w:val="00C64D86"/>
    <w:rsid w:val="00C65700"/>
    <w:rsid w:val="00C65A9B"/>
    <w:rsid w:val="00C663C1"/>
    <w:rsid w:val="00C667DE"/>
    <w:rsid w:val="00C66859"/>
    <w:rsid w:val="00C66B4C"/>
    <w:rsid w:val="00C66C76"/>
    <w:rsid w:val="00C66DD3"/>
    <w:rsid w:val="00C6734F"/>
    <w:rsid w:val="00C67390"/>
    <w:rsid w:val="00C67D9E"/>
    <w:rsid w:val="00C67EC3"/>
    <w:rsid w:val="00C70460"/>
    <w:rsid w:val="00C7053D"/>
    <w:rsid w:val="00C71146"/>
    <w:rsid w:val="00C71C3A"/>
    <w:rsid w:val="00C71C6B"/>
    <w:rsid w:val="00C72801"/>
    <w:rsid w:val="00C72D44"/>
    <w:rsid w:val="00C72DA4"/>
    <w:rsid w:val="00C730F9"/>
    <w:rsid w:val="00C732E5"/>
    <w:rsid w:val="00C73380"/>
    <w:rsid w:val="00C73809"/>
    <w:rsid w:val="00C738ED"/>
    <w:rsid w:val="00C744D8"/>
    <w:rsid w:val="00C74761"/>
    <w:rsid w:val="00C747C1"/>
    <w:rsid w:val="00C749AE"/>
    <w:rsid w:val="00C7506D"/>
    <w:rsid w:val="00C75AE6"/>
    <w:rsid w:val="00C75BF7"/>
    <w:rsid w:val="00C75F69"/>
    <w:rsid w:val="00C7641B"/>
    <w:rsid w:val="00C7762C"/>
    <w:rsid w:val="00C77660"/>
    <w:rsid w:val="00C80000"/>
    <w:rsid w:val="00C8018E"/>
    <w:rsid w:val="00C8019E"/>
    <w:rsid w:val="00C802A4"/>
    <w:rsid w:val="00C80862"/>
    <w:rsid w:val="00C80B23"/>
    <w:rsid w:val="00C80C99"/>
    <w:rsid w:val="00C81091"/>
    <w:rsid w:val="00C81BE9"/>
    <w:rsid w:val="00C81E3D"/>
    <w:rsid w:val="00C82184"/>
    <w:rsid w:val="00C82287"/>
    <w:rsid w:val="00C82489"/>
    <w:rsid w:val="00C82B95"/>
    <w:rsid w:val="00C82C69"/>
    <w:rsid w:val="00C83853"/>
    <w:rsid w:val="00C83B52"/>
    <w:rsid w:val="00C83FCB"/>
    <w:rsid w:val="00C840A1"/>
    <w:rsid w:val="00C844EA"/>
    <w:rsid w:val="00C85061"/>
    <w:rsid w:val="00C852B1"/>
    <w:rsid w:val="00C854C3"/>
    <w:rsid w:val="00C8568D"/>
    <w:rsid w:val="00C859F1"/>
    <w:rsid w:val="00C85C3A"/>
    <w:rsid w:val="00C866EA"/>
    <w:rsid w:val="00C86C5F"/>
    <w:rsid w:val="00C87002"/>
    <w:rsid w:val="00C879B3"/>
    <w:rsid w:val="00C87D9A"/>
    <w:rsid w:val="00C902E0"/>
    <w:rsid w:val="00C909E8"/>
    <w:rsid w:val="00C90A12"/>
    <w:rsid w:val="00C914C8"/>
    <w:rsid w:val="00C9150F"/>
    <w:rsid w:val="00C9216D"/>
    <w:rsid w:val="00C926DF"/>
    <w:rsid w:val="00C92F0E"/>
    <w:rsid w:val="00C930F7"/>
    <w:rsid w:val="00C9311A"/>
    <w:rsid w:val="00C932AC"/>
    <w:rsid w:val="00C935AB"/>
    <w:rsid w:val="00C93A70"/>
    <w:rsid w:val="00C93AE4"/>
    <w:rsid w:val="00C93B21"/>
    <w:rsid w:val="00C93DB2"/>
    <w:rsid w:val="00C941EE"/>
    <w:rsid w:val="00C94265"/>
    <w:rsid w:val="00C94892"/>
    <w:rsid w:val="00C94A7C"/>
    <w:rsid w:val="00C952D1"/>
    <w:rsid w:val="00C95595"/>
    <w:rsid w:val="00C95A36"/>
    <w:rsid w:val="00C95AC1"/>
    <w:rsid w:val="00C95B2A"/>
    <w:rsid w:val="00C97036"/>
    <w:rsid w:val="00C973BA"/>
    <w:rsid w:val="00C97709"/>
    <w:rsid w:val="00C97B38"/>
    <w:rsid w:val="00C97ED5"/>
    <w:rsid w:val="00CA0056"/>
    <w:rsid w:val="00CA04CC"/>
    <w:rsid w:val="00CA0599"/>
    <w:rsid w:val="00CA0A47"/>
    <w:rsid w:val="00CA112A"/>
    <w:rsid w:val="00CA1333"/>
    <w:rsid w:val="00CA157D"/>
    <w:rsid w:val="00CA1DCB"/>
    <w:rsid w:val="00CA1E51"/>
    <w:rsid w:val="00CA2518"/>
    <w:rsid w:val="00CA25E2"/>
    <w:rsid w:val="00CA27BD"/>
    <w:rsid w:val="00CA2D76"/>
    <w:rsid w:val="00CA33DC"/>
    <w:rsid w:val="00CA49B2"/>
    <w:rsid w:val="00CA528B"/>
    <w:rsid w:val="00CA5E2B"/>
    <w:rsid w:val="00CA6460"/>
    <w:rsid w:val="00CA65BF"/>
    <w:rsid w:val="00CA668C"/>
    <w:rsid w:val="00CA69BF"/>
    <w:rsid w:val="00CA6AA2"/>
    <w:rsid w:val="00CA6B51"/>
    <w:rsid w:val="00CA6E93"/>
    <w:rsid w:val="00CA7A07"/>
    <w:rsid w:val="00CA7E6C"/>
    <w:rsid w:val="00CB05B1"/>
    <w:rsid w:val="00CB0EAA"/>
    <w:rsid w:val="00CB1012"/>
    <w:rsid w:val="00CB1183"/>
    <w:rsid w:val="00CB148C"/>
    <w:rsid w:val="00CB14B3"/>
    <w:rsid w:val="00CB1550"/>
    <w:rsid w:val="00CB1626"/>
    <w:rsid w:val="00CB1D08"/>
    <w:rsid w:val="00CB1D36"/>
    <w:rsid w:val="00CB1EB9"/>
    <w:rsid w:val="00CB25F1"/>
    <w:rsid w:val="00CB2739"/>
    <w:rsid w:val="00CB3B64"/>
    <w:rsid w:val="00CB3BBD"/>
    <w:rsid w:val="00CB40B2"/>
    <w:rsid w:val="00CB4192"/>
    <w:rsid w:val="00CB41A9"/>
    <w:rsid w:val="00CB453C"/>
    <w:rsid w:val="00CB54DB"/>
    <w:rsid w:val="00CB582D"/>
    <w:rsid w:val="00CB5D2D"/>
    <w:rsid w:val="00CB6027"/>
    <w:rsid w:val="00CB6A63"/>
    <w:rsid w:val="00CB6E42"/>
    <w:rsid w:val="00CB6E49"/>
    <w:rsid w:val="00CC025C"/>
    <w:rsid w:val="00CC0370"/>
    <w:rsid w:val="00CC0A26"/>
    <w:rsid w:val="00CC135F"/>
    <w:rsid w:val="00CC1E0F"/>
    <w:rsid w:val="00CC24FA"/>
    <w:rsid w:val="00CC26E8"/>
    <w:rsid w:val="00CC2B12"/>
    <w:rsid w:val="00CC33E1"/>
    <w:rsid w:val="00CC381A"/>
    <w:rsid w:val="00CC3D03"/>
    <w:rsid w:val="00CC41FD"/>
    <w:rsid w:val="00CC51CA"/>
    <w:rsid w:val="00CC565C"/>
    <w:rsid w:val="00CC5770"/>
    <w:rsid w:val="00CC601A"/>
    <w:rsid w:val="00CC6374"/>
    <w:rsid w:val="00CC6697"/>
    <w:rsid w:val="00CC6C60"/>
    <w:rsid w:val="00CC754C"/>
    <w:rsid w:val="00CC7BD1"/>
    <w:rsid w:val="00CC7C53"/>
    <w:rsid w:val="00CD07EA"/>
    <w:rsid w:val="00CD0A68"/>
    <w:rsid w:val="00CD1020"/>
    <w:rsid w:val="00CD1C47"/>
    <w:rsid w:val="00CD2274"/>
    <w:rsid w:val="00CD227E"/>
    <w:rsid w:val="00CD2283"/>
    <w:rsid w:val="00CD28FF"/>
    <w:rsid w:val="00CD301A"/>
    <w:rsid w:val="00CD34D3"/>
    <w:rsid w:val="00CD3AFF"/>
    <w:rsid w:val="00CD3CDC"/>
    <w:rsid w:val="00CD3DCB"/>
    <w:rsid w:val="00CD416B"/>
    <w:rsid w:val="00CD49B9"/>
    <w:rsid w:val="00CD4A6F"/>
    <w:rsid w:val="00CD4DEC"/>
    <w:rsid w:val="00CD4F24"/>
    <w:rsid w:val="00CD4F7C"/>
    <w:rsid w:val="00CD6330"/>
    <w:rsid w:val="00CD6760"/>
    <w:rsid w:val="00CD7A03"/>
    <w:rsid w:val="00CE1346"/>
    <w:rsid w:val="00CE1D33"/>
    <w:rsid w:val="00CE22EF"/>
    <w:rsid w:val="00CE24A4"/>
    <w:rsid w:val="00CE31D2"/>
    <w:rsid w:val="00CE33DC"/>
    <w:rsid w:val="00CE39DE"/>
    <w:rsid w:val="00CE42D1"/>
    <w:rsid w:val="00CE431E"/>
    <w:rsid w:val="00CE4428"/>
    <w:rsid w:val="00CE4833"/>
    <w:rsid w:val="00CE5044"/>
    <w:rsid w:val="00CE51C0"/>
    <w:rsid w:val="00CE57CF"/>
    <w:rsid w:val="00CE58A6"/>
    <w:rsid w:val="00CE592D"/>
    <w:rsid w:val="00CE5C93"/>
    <w:rsid w:val="00CE67B6"/>
    <w:rsid w:val="00CE6D68"/>
    <w:rsid w:val="00CE733B"/>
    <w:rsid w:val="00CE75BA"/>
    <w:rsid w:val="00CE7CCF"/>
    <w:rsid w:val="00CE7EBD"/>
    <w:rsid w:val="00CF00A2"/>
    <w:rsid w:val="00CF0463"/>
    <w:rsid w:val="00CF08A8"/>
    <w:rsid w:val="00CF0F66"/>
    <w:rsid w:val="00CF1097"/>
    <w:rsid w:val="00CF157D"/>
    <w:rsid w:val="00CF2660"/>
    <w:rsid w:val="00CF31E1"/>
    <w:rsid w:val="00CF3879"/>
    <w:rsid w:val="00CF3F4A"/>
    <w:rsid w:val="00CF43A4"/>
    <w:rsid w:val="00CF4AF8"/>
    <w:rsid w:val="00CF4E9C"/>
    <w:rsid w:val="00CF4FF3"/>
    <w:rsid w:val="00CF5218"/>
    <w:rsid w:val="00CF5911"/>
    <w:rsid w:val="00CF5B1B"/>
    <w:rsid w:val="00CF601A"/>
    <w:rsid w:val="00CF61ED"/>
    <w:rsid w:val="00CF6263"/>
    <w:rsid w:val="00CF70F3"/>
    <w:rsid w:val="00CF72C8"/>
    <w:rsid w:val="00CF7716"/>
    <w:rsid w:val="00CF7815"/>
    <w:rsid w:val="00CF7AB8"/>
    <w:rsid w:val="00CF7D51"/>
    <w:rsid w:val="00D0000D"/>
    <w:rsid w:val="00D018AA"/>
    <w:rsid w:val="00D01B14"/>
    <w:rsid w:val="00D01F21"/>
    <w:rsid w:val="00D0224C"/>
    <w:rsid w:val="00D02299"/>
    <w:rsid w:val="00D02370"/>
    <w:rsid w:val="00D02462"/>
    <w:rsid w:val="00D0256C"/>
    <w:rsid w:val="00D02AEC"/>
    <w:rsid w:val="00D02B1D"/>
    <w:rsid w:val="00D0311F"/>
    <w:rsid w:val="00D03B9F"/>
    <w:rsid w:val="00D04354"/>
    <w:rsid w:val="00D04594"/>
    <w:rsid w:val="00D0474D"/>
    <w:rsid w:val="00D04EAC"/>
    <w:rsid w:val="00D05608"/>
    <w:rsid w:val="00D05E7C"/>
    <w:rsid w:val="00D05EDA"/>
    <w:rsid w:val="00D05F65"/>
    <w:rsid w:val="00D0609F"/>
    <w:rsid w:val="00D06600"/>
    <w:rsid w:val="00D06A47"/>
    <w:rsid w:val="00D06B6C"/>
    <w:rsid w:val="00D0703D"/>
    <w:rsid w:val="00D07794"/>
    <w:rsid w:val="00D07B04"/>
    <w:rsid w:val="00D07EF6"/>
    <w:rsid w:val="00D102D1"/>
    <w:rsid w:val="00D10312"/>
    <w:rsid w:val="00D107D3"/>
    <w:rsid w:val="00D1087F"/>
    <w:rsid w:val="00D10AFB"/>
    <w:rsid w:val="00D10B6F"/>
    <w:rsid w:val="00D12C19"/>
    <w:rsid w:val="00D12F06"/>
    <w:rsid w:val="00D130E3"/>
    <w:rsid w:val="00D13588"/>
    <w:rsid w:val="00D13C85"/>
    <w:rsid w:val="00D13F3D"/>
    <w:rsid w:val="00D14762"/>
    <w:rsid w:val="00D14DFE"/>
    <w:rsid w:val="00D14FEE"/>
    <w:rsid w:val="00D15197"/>
    <w:rsid w:val="00D164B2"/>
    <w:rsid w:val="00D1654A"/>
    <w:rsid w:val="00D168F4"/>
    <w:rsid w:val="00D16D35"/>
    <w:rsid w:val="00D170E0"/>
    <w:rsid w:val="00D172BA"/>
    <w:rsid w:val="00D179CB"/>
    <w:rsid w:val="00D17B7D"/>
    <w:rsid w:val="00D17DFF"/>
    <w:rsid w:val="00D20AA3"/>
    <w:rsid w:val="00D20C8A"/>
    <w:rsid w:val="00D212F0"/>
    <w:rsid w:val="00D2130B"/>
    <w:rsid w:val="00D216BE"/>
    <w:rsid w:val="00D21E02"/>
    <w:rsid w:val="00D226BB"/>
    <w:rsid w:val="00D227ED"/>
    <w:rsid w:val="00D22A26"/>
    <w:rsid w:val="00D22C23"/>
    <w:rsid w:val="00D22C6A"/>
    <w:rsid w:val="00D22EFE"/>
    <w:rsid w:val="00D24427"/>
    <w:rsid w:val="00D24C72"/>
    <w:rsid w:val="00D251ED"/>
    <w:rsid w:val="00D2578D"/>
    <w:rsid w:val="00D261FB"/>
    <w:rsid w:val="00D26235"/>
    <w:rsid w:val="00D26C68"/>
    <w:rsid w:val="00D26D82"/>
    <w:rsid w:val="00D27058"/>
    <w:rsid w:val="00D27C49"/>
    <w:rsid w:val="00D27C95"/>
    <w:rsid w:val="00D3092A"/>
    <w:rsid w:val="00D316DF"/>
    <w:rsid w:val="00D31704"/>
    <w:rsid w:val="00D31B32"/>
    <w:rsid w:val="00D31BE4"/>
    <w:rsid w:val="00D32286"/>
    <w:rsid w:val="00D325CF"/>
    <w:rsid w:val="00D328F1"/>
    <w:rsid w:val="00D32B4A"/>
    <w:rsid w:val="00D330BE"/>
    <w:rsid w:val="00D33234"/>
    <w:rsid w:val="00D33DAE"/>
    <w:rsid w:val="00D33ECF"/>
    <w:rsid w:val="00D33F58"/>
    <w:rsid w:val="00D33FA4"/>
    <w:rsid w:val="00D33FD9"/>
    <w:rsid w:val="00D34413"/>
    <w:rsid w:val="00D34525"/>
    <w:rsid w:val="00D34552"/>
    <w:rsid w:val="00D346D3"/>
    <w:rsid w:val="00D34946"/>
    <w:rsid w:val="00D34969"/>
    <w:rsid w:val="00D34E1B"/>
    <w:rsid w:val="00D34E57"/>
    <w:rsid w:val="00D3558C"/>
    <w:rsid w:val="00D35752"/>
    <w:rsid w:val="00D35994"/>
    <w:rsid w:val="00D35A9B"/>
    <w:rsid w:val="00D35AA3"/>
    <w:rsid w:val="00D35E93"/>
    <w:rsid w:val="00D35F42"/>
    <w:rsid w:val="00D35FCF"/>
    <w:rsid w:val="00D35FD9"/>
    <w:rsid w:val="00D35FED"/>
    <w:rsid w:val="00D3631C"/>
    <w:rsid w:val="00D36390"/>
    <w:rsid w:val="00D36711"/>
    <w:rsid w:val="00D36ABE"/>
    <w:rsid w:val="00D3707F"/>
    <w:rsid w:val="00D373E6"/>
    <w:rsid w:val="00D37612"/>
    <w:rsid w:val="00D4001F"/>
    <w:rsid w:val="00D40039"/>
    <w:rsid w:val="00D401BC"/>
    <w:rsid w:val="00D40240"/>
    <w:rsid w:val="00D40355"/>
    <w:rsid w:val="00D40508"/>
    <w:rsid w:val="00D40634"/>
    <w:rsid w:val="00D40666"/>
    <w:rsid w:val="00D408B4"/>
    <w:rsid w:val="00D40F05"/>
    <w:rsid w:val="00D410CB"/>
    <w:rsid w:val="00D41282"/>
    <w:rsid w:val="00D41D7C"/>
    <w:rsid w:val="00D420A9"/>
    <w:rsid w:val="00D42B3B"/>
    <w:rsid w:val="00D42D1E"/>
    <w:rsid w:val="00D42EE0"/>
    <w:rsid w:val="00D430E9"/>
    <w:rsid w:val="00D4380E"/>
    <w:rsid w:val="00D43F20"/>
    <w:rsid w:val="00D43F30"/>
    <w:rsid w:val="00D446FF"/>
    <w:rsid w:val="00D449D0"/>
    <w:rsid w:val="00D4503C"/>
    <w:rsid w:val="00D454F9"/>
    <w:rsid w:val="00D45870"/>
    <w:rsid w:val="00D45CC4"/>
    <w:rsid w:val="00D46BD4"/>
    <w:rsid w:val="00D46DB3"/>
    <w:rsid w:val="00D46E2B"/>
    <w:rsid w:val="00D470DD"/>
    <w:rsid w:val="00D471DB"/>
    <w:rsid w:val="00D47944"/>
    <w:rsid w:val="00D50580"/>
    <w:rsid w:val="00D50827"/>
    <w:rsid w:val="00D509D9"/>
    <w:rsid w:val="00D5127E"/>
    <w:rsid w:val="00D51667"/>
    <w:rsid w:val="00D5186D"/>
    <w:rsid w:val="00D5191B"/>
    <w:rsid w:val="00D522A0"/>
    <w:rsid w:val="00D5243F"/>
    <w:rsid w:val="00D525B8"/>
    <w:rsid w:val="00D5340C"/>
    <w:rsid w:val="00D53AB2"/>
    <w:rsid w:val="00D53D7E"/>
    <w:rsid w:val="00D54091"/>
    <w:rsid w:val="00D54841"/>
    <w:rsid w:val="00D54C0B"/>
    <w:rsid w:val="00D54F43"/>
    <w:rsid w:val="00D5523A"/>
    <w:rsid w:val="00D555DB"/>
    <w:rsid w:val="00D55813"/>
    <w:rsid w:val="00D55AD0"/>
    <w:rsid w:val="00D55B7F"/>
    <w:rsid w:val="00D55FF9"/>
    <w:rsid w:val="00D560F1"/>
    <w:rsid w:val="00D56A6A"/>
    <w:rsid w:val="00D5749B"/>
    <w:rsid w:val="00D574AF"/>
    <w:rsid w:val="00D6008F"/>
    <w:rsid w:val="00D604E1"/>
    <w:rsid w:val="00D60BCE"/>
    <w:rsid w:val="00D614A0"/>
    <w:rsid w:val="00D61652"/>
    <w:rsid w:val="00D61B08"/>
    <w:rsid w:val="00D61D2E"/>
    <w:rsid w:val="00D61F1F"/>
    <w:rsid w:val="00D62B27"/>
    <w:rsid w:val="00D62B70"/>
    <w:rsid w:val="00D62CE1"/>
    <w:rsid w:val="00D62F29"/>
    <w:rsid w:val="00D63412"/>
    <w:rsid w:val="00D6389C"/>
    <w:rsid w:val="00D63B33"/>
    <w:rsid w:val="00D63CDD"/>
    <w:rsid w:val="00D642B6"/>
    <w:rsid w:val="00D6439C"/>
    <w:rsid w:val="00D64AAF"/>
    <w:rsid w:val="00D655E5"/>
    <w:rsid w:val="00D661FD"/>
    <w:rsid w:val="00D665D3"/>
    <w:rsid w:val="00D66CBB"/>
    <w:rsid w:val="00D67550"/>
    <w:rsid w:val="00D7139E"/>
    <w:rsid w:val="00D71CCA"/>
    <w:rsid w:val="00D7232B"/>
    <w:rsid w:val="00D724D3"/>
    <w:rsid w:val="00D726C7"/>
    <w:rsid w:val="00D731E5"/>
    <w:rsid w:val="00D73B5B"/>
    <w:rsid w:val="00D73E68"/>
    <w:rsid w:val="00D743A7"/>
    <w:rsid w:val="00D74EA5"/>
    <w:rsid w:val="00D74F17"/>
    <w:rsid w:val="00D75333"/>
    <w:rsid w:val="00D755C2"/>
    <w:rsid w:val="00D757AC"/>
    <w:rsid w:val="00D759D5"/>
    <w:rsid w:val="00D7624D"/>
    <w:rsid w:val="00D76307"/>
    <w:rsid w:val="00D764D4"/>
    <w:rsid w:val="00D76532"/>
    <w:rsid w:val="00D765D5"/>
    <w:rsid w:val="00D76755"/>
    <w:rsid w:val="00D76791"/>
    <w:rsid w:val="00D76B50"/>
    <w:rsid w:val="00D76BB1"/>
    <w:rsid w:val="00D76D46"/>
    <w:rsid w:val="00D77071"/>
    <w:rsid w:val="00D7731F"/>
    <w:rsid w:val="00D77373"/>
    <w:rsid w:val="00D77771"/>
    <w:rsid w:val="00D77A8B"/>
    <w:rsid w:val="00D77BA1"/>
    <w:rsid w:val="00D77F89"/>
    <w:rsid w:val="00D8051A"/>
    <w:rsid w:val="00D80DC5"/>
    <w:rsid w:val="00D80EDD"/>
    <w:rsid w:val="00D80FF8"/>
    <w:rsid w:val="00D81708"/>
    <w:rsid w:val="00D81828"/>
    <w:rsid w:val="00D81AF4"/>
    <w:rsid w:val="00D81C01"/>
    <w:rsid w:val="00D81D48"/>
    <w:rsid w:val="00D81E13"/>
    <w:rsid w:val="00D82064"/>
    <w:rsid w:val="00D822B3"/>
    <w:rsid w:val="00D824DF"/>
    <w:rsid w:val="00D8343F"/>
    <w:rsid w:val="00D844B7"/>
    <w:rsid w:val="00D845E7"/>
    <w:rsid w:val="00D848EA"/>
    <w:rsid w:val="00D849B9"/>
    <w:rsid w:val="00D84A1B"/>
    <w:rsid w:val="00D84B95"/>
    <w:rsid w:val="00D84CF4"/>
    <w:rsid w:val="00D8566E"/>
    <w:rsid w:val="00D860B8"/>
    <w:rsid w:val="00D864F0"/>
    <w:rsid w:val="00D867AB"/>
    <w:rsid w:val="00D86B96"/>
    <w:rsid w:val="00D86F5F"/>
    <w:rsid w:val="00D8731E"/>
    <w:rsid w:val="00D873FF"/>
    <w:rsid w:val="00D878B3"/>
    <w:rsid w:val="00D900E5"/>
    <w:rsid w:val="00D909B2"/>
    <w:rsid w:val="00D90C29"/>
    <w:rsid w:val="00D90DB1"/>
    <w:rsid w:val="00D914E7"/>
    <w:rsid w:val="00D92340"/>
    <w:rsid w:val="00D9257D"/>
    <w:rsid w:val="00D93626"/>
    <w:rsid w:val="00D93A24"/>
    <w:rsid w:val="00D9439E"/>
    <w:rsid w:val="00D94574"/>
    <w:rsid w:val="00D946DB"/>
    <w:rsid w:val="00D94805"/>
    <w:rsid w:val="00D94C4D"/>
    <w:rsid w:val="00D95160"/>
    <w:rsid w:val="00D95240"/>
    <w:rsid w:val="00D956BC"/>
    <w:rsid w:val="00D95853"/>
    <w:rsid w:val="00D95EE6"/>
    <w:rsid w:val="00D96282"/>
    <w:rsid w:val="00D96781"/>
    <w:rsid w:val="00D96ADF"/>
    <w:rsid w:val="00D96B22"/>
    <w:rsid w:val="00D97728"/>
    <w:rsid w:val="00D97874"/>
    <w:rsid w:val="00D979AE"/>
    <w:rsid w:val="00D97ECB"/>
    <w:rsid w:val="00DA0B11"/>
    <w:rsid w:val="00DA0FB0"/>
    <w:rsid w:val="00DA1229"/>
    <w:rsid w:val="00DA17CF"/>
    <w:rsid w:val="00DA1B84"/>
    <w:rsid w:val="00DA2445"/>
    <w:rsid w:val="00DA254C"/>
    <w:rsid w:val="00DA2E7A"/>
    <w:rsid w:val="00DA3127"/>
    <w:rsid w:val="00DA3860"/>
    <w:rsid w:val="00DA393F"/>
    <w:rsid w:val="00DA3DE7"/>
    <w:rsid w:val="00DA41BE"/>
    <w:rsid w:val="00DA42B9"/>
    <w:rsid w:val="00DA52EE"/>
    <w:rsid w:val="00DA5972"/>
    <w:rsid w:val="00DA5E70"/>
    <w:rsid w:val="00DA6252"/>
    <w:rsid w:val="00DA6F41"/>
    <w:rsid w:val="00DA72A8"/>
    <w:rsid w:val="00DA76D2"/>
    <w:rsid w:val="00DA7763"/>
    <w:rsid w:val="00DA7D9F"/>
    <w:rsid w:val="00DB0065"/>
    <w:rsid w:val="00DB04D7"/>
    <w:rsid w:val="00DB09D3"/>
    <w:rsid w:val="00DB0B7F"/>
    <w:rsid w:val="00DB158F"/>
    <w:rsid w:val="00DB1858"/>
    <w:rsid w:val="00DB1A2F"/>
    <w:rsid w:val="00DB1F1F"/>
    <w:rsid w:val="00DB1F80"/>
    <w:rsid w:val="00DB2405"/>
    <w:rsid w:val="00DB27DF"/>
    <w:rsid w:val="00DB2B9F"/>
    <w:rsid w:val="00DB2EEF"/>
    <w:rsid w:val="00DB34D5"/>
    <w:rsid w:val="00DB35A7"/>
    <w:rsid w:val="00DB3659"/>
    <w:rsid w:val="00DB3A2F"/>
    <w:rsid w:val="00DB4EB2"/>
    <w:rsid w:val="00DB4FA3"/>
    <w:rsid w:val="00DB5745"/>
    <w:rsid w:val="00DB5A79"/>
    <w:rsid w:val="00DB5AFA"/>
    <w:rsid w:val="00DB6067"/>
    <w:rsid w:val="00DB63DB"/>
    <w:rsid w:val="00DB6CFD"/>
    <w:rsid w:val="00DB6D3C"/>
    <w:rsid w:val="00DB7028"/>
    <w:rsid w:val="00DB75EB"/>
    <w:rsid w:val="00DB7784"/>
    <w:rsid w:val="00DC06C1"/>
    <w:rsid w:val="00DC077A"/>
    <w:rsid w:val="00DC08EF"/>
    <w:rsid w:val="00DC095E"/>
    <w:rsid w:val="00DC0F6B"/>
    <w:rsid w:val="00DC0FD3"/>
    <w:rsid w:val="00DC1307"/>
    <w:rsid w:val="00DC190C"/>
    <w:rsid w:val="00DC1912"/>
    <w:rsid w:val="00DC1ADD"/>
    <w:rsid w:val="00DC20A5"/>
    <w:rsid w:val="00DC21CA"/>
    <w:rsid w:val="00DC3637"/>
    <w:rsid w:val="00DC3C20"/>
    <w:rsid w:val="00DC4138"/>
    <w:rsid w:val="00DC43BD"/>
    <w:rsid w:val="00DC4AC6"/>
    <w:rsid w:val="00DC4BC5"/>
    <w:rsid w:val="00DC4D53"/>
    <w:rsid w:val="00DC4E77"/>
    <w:rsid w:val="00DC5153"/>
    <w:rsid w:val="00DC5289"/>
    <w:rsid w:val="00DC52E1"/>
    <w:rsid w:val="00DC56BF"/>
    <w:rsid w:val="00DC5D15"/>
    <w:rsid w:val="00DC61FF"/>
    <w:rsid w:val="00DC6213"/>
    <w:rsid w:val="00DC636A"/>
    <w:rsid w:val="00DC66BB"/>
    <w:rsid w:val="00DC6963"/>
    <w:rsid w:val="00DC6EDE"/>
    <w:rsid w:val="00DC7777"/>
    <w:rsid w:val="00DC7CE8"/>
    <w:rsid w:val="00DD0748"/>
    <w:rsid w:val="00DD0DCD"/>
    <w:rsid w:val="00DD1545"/>
    <w:rsid w:val="00DD1848"/>
    <w:rsid w:val="00DD1AFE"/>
    <w:rsid w:val="00DD2727"/>
    <w:rsid w:val="00DD27BB"/>
    <w:rsid w:val="00DD2BE3"/>
    <w:rsid w:val="00DD2FCF"/>
    <w:rsid w:val="00DD326E"/>
    <w:rsid w:val="00DD34E2"/>
    <w:rsid w:val="00DD388D"/>
    <w:rsid w:val="00DD3BAE"/>
    <w:rsid w:val="00DD3F2C"/>
    <w:rsid w:val="00DD45DE"/>
    <w:rsid w:val="00DD4881"/>
    <w:rsid w:val="00DD5099"/>
    <w:rsid w:val="00DD52E0"/>
    <w:rsid w:val="00DD53EA"/>
    <w:rsid w:val="00DD56C8"/>
    <w:rsid w:val="00DD5E3C"/>
    <w:rsid w:val="00DD6124"/>
    <w:rsid w:val="00DD61C2"/>
    <w:rsid w:val="00DD66A7"/>
    <w:rsid w:val="00DD66E7"/>
    <w:rsid w:val="00DD6987"/>
    <w:rsid w:val="00DD6C14"/>
    <w:rsid w:val="00DD7025"/>
    <w:rsid w:val="00DD7316"/>
    <w:rsid w:val="00DD7702"/>
    <w:rsid w:val="00DD7912"/>
    <w:rsid w:val="00DE0B77"/>
    <w:rsid w:val="00DE0F54"/>
    <w:rsid w:val="00DE101E"/>
    <w:rsid w:val="00DE1B1E"/>
    <w:rsid w:val="00DE2319"/>
    <w:rsid w:val="00DE24FC"/>
    <w:rsid w:val="00DE2596"/>
    <w:rsid w:val="00DE2A2A"/>
    <w:rsid w:val="00DE2DA9"/>
    <w:rsid w:val="00DE35EC"/>
    <w:rsid w:val="00DE4AA5"/>
    <w:rsid w:val="00DE4AAF"/>
    <w:rsid w:val="00DE5124"/>
    <w:rsid w:val="00DE57B0"/>
    <w:rsid w:val="00DE6CD8"/>
    <w:rsid w:val="00DE6DD3"/>
    <w:rsid w:val="00DE7A3E"/>
    <w:rsid w:val="00DE7E3E"/>
    <w:rsid w:val="00DF0A04"/>
    <w:rsid w:val="00DF0D05"/>
    <w:rsid w:val="00DF1446"/>
    <w:rsid w:val="00DF1452"/>
    <w:rsid w:val="00DF1F5F"/>
    <w:rsid w:val="00DF2235"/>
    <w:rsid w:val="00DF2701"/>
    <w:rsid w:val="00DF2A4D"/>
    <w:rsid w:val="00DF2F2A"/>
    <w:rsid w:val="00DF3ABE"/>
    <w:rsid w:val="00DF404D"/>
    <w:rsid w:val="00DF40AC"/>
    <w:rsid w:val="00DF41E3"/>
    <w:rsid w:val="00DF4BD3"/>
    <w:rsid w:val="00DF5263"/>
    <w:rsid w:val="00DF5D0C"/>
    <w:rsid w:val="00DF5E9F"/>
    <w:rsid w:val="00DF5FB5"/>
    <w:rsid w:val="00DF6535"/>
    <w:rsid w:val="00DF6786"/>
    <w:rsid w:val="00DF67F6"/>
    <w:rsid w:val="00DF6878"/>
    <w:rsid w:val="00DF68B8"/>
    <w:rsid w:val="00DF6A1D"/>
    <w:rsid w:val="00DF6AC7"/>
    <w:rsid w:val="00DF6EC6"/>
    <w:rsid w:val="00DF72D7"/>
    <w:rsid w:val="00DF7F76"/>
    <w:rsid w:val="00E00083"/>
    <w:rsid w:val="00E003AA"/>
    <w:rsid w:val="00E00761"/>
    <w:rsid w:val="00E00779"/>
    <w:rsid w:val="00E00AFE"/>
    <w:rsid w:val="00E00BDA"/>
    <w:rsid w:val="00E00CF6"/>
    <w:rsid w:val="00E013A0"/>
    <w:rsid w:val="00E013AB"/>
    <w:rsid w:val="00E01466"/>
    <w:rsid w:val="00E015C8"/>
    <w:rsid w:val="00E01762"/>
    <w:rsid w:val="00E0192E"/>
    <w:rsid w:val="00E01938"/>
    <w:rsid w:val="00E01C57"/>
    <w:rsid w:val="00E0241E"/>
    <w:rsid w:val="00E02985"/>
    <w:rsid w:val="00E02A90"/>
    <w:rsid w:val="00E02EFD"/>
    <w:rsid w:val="00E039DD"/>
    <w:rsid w:val="00E03BCB"/>
    <w:rsid w:val="00E03F86"/>
    <w:rsid w:val="00E0423E"/>
    <w:rsid w:val="00E0471A"/>
    <w:rsid w:val="00E04A18"/>
    <w:rsid w:val="00E04BF8"/>
    <w:rsid w:val="00E04E81"/>
    <w:rsid w:val="00E04F2B"/>
    <w:rsid w:val="00E050E7"/>
    <w:rsid w:val="00E05300"/>
    <w:rsid w:val="00E05C66"/>
    <w:rsid w:val="00E05D7E"/>
    <w:rsid w:val="00E05E8F"/>
    <w:rsid w:val="00E05F82"/>
    <w:rsid w:val="00E05FA2"/>
    <w:rsid w:val="00E0634A"/>
    <w:rsid w:val="00E06677"/>
    <w:rsid w:val="00E066FE"/>
    <w:rsid w:val="00E06B9E"/>
    <w:rsid w:val="00E07412"/>
    <w:rsid w:val="00E075ED"/>
    <w:rsid w:val="00E0762A"/>
    <w:rsid w:val="00E07760"/>
    <w:rsid w:val="00E0793A"/>
    <w:rsid w:val="00E07F21"/>
    <w:rsid w:val="00E10502"/>
    <w:rsid w:val="00E1059F"/>
    <w:rsid w:val="00E10971"/>
    <w:rsid w:val="00E10A23"/>
    <w:rsid w:val="00E10D0B"/>
    <w:rsid w:val="00E11420"/>
    <w:rsid w:val="00E11765"/>
    <w:rsid w:val="00E1183B"/>
    <w:rsid w:val="00E11AC0"/>
    <w:rsid w:val="00E11D2B"/>
    <w:rsid w:val="00E12AB2"/>
    <w:rsid w:val="00E130C3"/>
    <w:rsid w:val="00E1340E"/>
    <w:rsid w:val="00E1344D"/>
    <w:rsid w:val="00E136D2"/>
    <w:rsid w:val="00E13776"/>
    <w:rsid w:val="00E14713"/>
    <w:rsid w:val="00E15AF4"/>
    <w:rsid w:val="00E169D3"/>
    <w:rsid w:val="00E1767C"/>
    <w:rsid w:val="00E17F4D"/>
    <w:rsid w:val="00E2019A"/>
    <w:rsid w:val="00E209D0"/>
    <w:rsid w:val="00E217D3"/>
    <w:rsid w:val="00E21BD9"/>
    <w:rsid w:val="00E22162"/>
    <w:rsid w:val="00E22365"/>
    <w:rsid w:val="00E22428"/>
    <w:rsid w:val="00E224D0"/>
    <w:rsid w:val="00E2267F"/>
    <w:rsid w:val="00E22E7B"/>
    <w:rsid w:val="00E2392B"/>
    <w:rsid w:val="00E23DE6"/>
    <w:rsid w:val="00E23E9D"/>
    <w:rsid w:val="00E23FCA"/>
    <w:rsid w:val="00E24537"/>
    <w:rsid w:val="00E24899"/>
    <w:rsid w:val="00E24FDE"/>
    <w:rsid w:val="00E2504E"/>
    <w:rsid w:val="00E250B4"/>
    <w:rsid w:val="00E25326"/>
    <w:rsid w:val="00E254D8"/>
    <w:rsid w:val="00E25749"/>
    <w:rsid w:val="00E25922"/>
    <w:rsid w:val="00E25963"/>
    <w:rsid w:val="00E25CDE"/>
    <w:rsid w:val="00E25CE4"/>
    <w:rsid w:val="00E25EC8"/>
    <w:rsid w:val="00E2664E"/>
    <w:rsid w:val="00E269AA"/>
    <w:rsid w:val="00E26C16"/>
    <w:rsid w:val="00E2724B"/>
    <w:rsid w:val="00E27602"/>
    <w:rsid w:val="00E30607"/>
    <w:rsid w:val="00E30851"/>
    <w:rsid w:val="00E30BF0"/>
    <w:rsid w:val="00E310CF"/>
    <w:rsid w:val="00E31389"/>
    <w:rsid w:val="00E31BCD"/>
    <w:rsid w:val="00E31C68"/>
    <w:rsid w:val="00E31C73"/>
    <w:rsid w:val="00E31ED6"/>
    <w:rsid w:val="00E327DD"/>
    <w:rsid w:val="00E3375B"/>
    <w:rsid w:val="00E33B15"/>
    <w:rsid w:val="00E33CCB"/>
    <w:rsid w:val="00E34669"/>
    <w:rsid w:val="00E34B31"/>
    <w:rsid w:val="00E3524F"/>
    <w:rsid w:val="00E35C45"/>
    <w:rsid w:val="00E35C9D"/>
    <w:rsid w:val="00E35DF7"/>
    <w:rsid w:val="00E36C52"/>
    <w:rsid w:val="00E36E75"/>
    <w:rsid w:val="00E3720A"/>
    <w:rsid w:val="00E3739B"/>
    <w:rsid w:val="00E376BD"/>
    <w:rsid w:val="00E37C2D"/>
    <w:rsid w:val="00E37DD8"/>
    <w:rsid w:val="00E37E68"/>
    <w:rsid w:val="00E400BA"/>
    <w:rsid w:val="00E407F2"/>
    <w:rsid w:val="00E40D1A"/>
    <w:rsid w:val="00E40F6A"/>
    <w:rsid w:val="00E41709"/>
    <w:rsid w:val="00E42121"/>
    <w:rsid w:val="00E42513"/>
    <w:rsid w:val="00E426E9"/>
    <w:rsid w:val="00E42E06"/>
    <w:rsid w:val="00E43012"/>
    <w:rsid w:val="00E436F1"/>
    <w:rsid w:val="00E43F4D"/>
    <w:rsid w:val="00E44110"/>
    <w:rsid w:val="00E44623"/>
    <w:rsid w:val="00E44CA0"/>
    <w:rsid w:val="00E44EFD"/>
    <w:rsid w:val="00E44FEB"/>
    <w:rsid w:val="00E452B0"/>
    <w:rsid w:val="00E45723"/>
    <w:rsid w:val="00E4586E"/>
    <w:rsid w:val="00E45E1E"/>
    <w:rsid w:val="00E4641C"/>
    <w:rsid w:val="00E46997"/>
    <w:rsid w:val="00E46C39"/>
    <w:rsid w:val="00E46C69"/>
    <w:rsid w:val="00E46F9E"/>
    <w:rsid w:val="00E5026F"/>
    <w:rsid w:val="00E50857"/>
    <w:rsid w:val="00E50E94"/>
    <w:rsid w:val="00E50F4B"/>
    <w:rsid w:val="00E513FE"/>
    <w:rsid w:val="00E51556"/>
    <w:rsid w:val="00E51C43"/>
    <w:rsid w:val="00E52190"/>
    <w:rsid w:val="00E5219A"/>
    <w:rsid w:val="00E522A8"/>
    <w:rsid w:val="00E522F9"/>
    <w:rsid w:val="00E525EE"/>
    <w:rsid w:val="00E527DD"/>
    <w:rsid w:val="00E52AAE"/>
    <w:rsid w:val="00E52CA5"/>
    <w:rsid w:val="00E53136"/>
    <w:rsid w:val="00E5364D"/>
    <w:rsid w:val="00E5379B"/>
    <w:rsid w:val="00E54128"/>
    <w:rsid w:val="00E541C7"/>
    <w:rsid w:val="00E54217"/>
    <w:rsid w:val="00E5433A"/>
    <w:rsid w:val="00E544FE"/>
    <w:rsid w:val="00E54680"/>
    <w:rsid w:val="00E549B3"/>
    <w:rsid w:val="00E549B4"/>
    <w:rsid w:val="00E549F0"/>
    <w:rsid w:val="00E54E00"/>
    <w:rsid w:val="00E55606"/>
    <w:rsid w:val="00E5564C"/>
    <w:rsid w:val="00E55910"/>
    <w:rsid w:val="00E55E4F"/>
    <w:rsid w:val="00E567AE"/>
    <w:rsid w:val="00E56B7F"/>
    <w:rsid w:val="00E56C23"/>
    <w:rsid w:val="00E56DD3"/>
    <w:rsid w:val="00E57274"/>
    <w:rsid w:val="00E57656"/>
    <w:rsid w:val="00E5782D"/>
    <w:rsid w:val="00E60A38"/>
    <w:rsid w:val="00E60FDD"/>
    <w:rsid w:val="00E610A6"/>
    <w:rsid w:val="00E61C33"/>
    <w:rsid w:val="00E61E00"/>
    <w:rsid w:val="00E622E6"/>
    <w:rsid w:val="00E625BC"/>
    <w:rsid w:val="00E628A5"/>
    <w:rsid w:val="00E63D36"/>
    <w:rsid w:val="00E640C9"/>
    <w:rsid w:val="00E642FC"/>
    <w:rsid w:val="00E64302"/>
    <w:rsid w:val="00E644C6"/>
    <w:rsid w:val="00E64F16"/>
    <w:rsid w:val="00E6543D"/>
    <w:rsid w:val="00E65F97"/>
    <w:rsid w:val="00E65FBB"/>
    <w:rsid w:val="00E6606F"/>
    <w:rsid w:val="00E6677D"/>
    <w:rsid w:val="00E66A48"/>
    <w:rsid w:val="00E67811"/>
    <w:rsid w:val="00E6798D"/>
    <w:rsid w:val="00E67D4D"/>
    <w:rsid w:val="00E70345"/>
    <w:rsid w:val="00E7191F"/>
    <w:rsid w:val="00E71DAD"/>
    <w:rsid w:val="00E71E15"/>
    <w:rsid w:val="00E72050"/>
    <w:rsid w:val="00E7216F"/>
    <w:rsid w:val="00E72287"/>
    <w:rsid w:val="00E723C3"/>
    <w:rsid w:val="00E7352A"/>
    <w:rsid w:val="00E739FC"/>
    <w:rsid w:val="00E73DE4"/>
    <w:rsid w:val="00E73E86"/>
    <w:rsid w:val="00E74235"/>
    <w:rsid w:val="00E74A69"/>
    <w:rsid w:val="00E74F6F"/>
    <w:rsid w:val="00E751ED"/>
    <w:rsid w:val="00E75A35"/>
    <w:rsid w:val="00E761BF"/>
    <w:rsid w:val="00E76296"/>
    <w:rsid w:val="00E774F2"/>
    <w:rsid w:val="00E77ACD"/>
    <w:rsid w:val="00E77F21"/>
    <w:rsid w:val="00E80378"/>
    <w:rsid w:val="00E80A6F"/>
    <w:rsid w:val="00E80D72"/>
    <w:rsid w:val="00E81227"/>
    <w:rsid w:val="00E8185C"/>
    <w:rsid w:val="00E81F3C"/>
    <w:rsid w:val="00E82328"/>
    <w:rsid w:val="00E8242D"/>
    <w:rsid w:val="00E8265A"/>
    <w:rsid w:val="00E826BE"/>
    <w:rsid w:val="00E828E2"/>
    <w:rsid w:val="00E82E4E"/>
    <w:rsid w:val="00E83118"/>
    <w:rsid w:val="00E8313E"/>
    <w:rsid w:val="00E833DE"/>
    <w:rsid w:val="00E8386A"/>
    <w:rsid w:val="00E8423B"/>
    <w:rsid w:val="00E845C0"/>
    <w:rsid w:val="00E84856"/>
    <w:rsid w:val="00E84EB6"/>
    <w:rsid w:val="00E85976"/>
    <w:rsid w:val="00E85C09"/>
    <w:rsid w:val="00E85D6F"/>
    <w:rsid w:val="00E85F69"/>
    <w:rsid w:val="00E861EB"/>
    <w:rsid w:val="00E86448"/>
    <w:rsid w:val="00E86673"/>
    <w:rsid w:val="00E86818"/>
    <w:rsid w:val="00E86B8B"/>
    <w:rsid w:val="00E872FE"/>
    <w:rsid w:val="00E87A0A"/>
    <w:rsid w:val="00E87D33"/>
    <w:rsid w:val="00E90205"/>
    <w:rsid w:val="00E904C0"/>
    <w:rsid w:val="00E906AF"/>
    <w:rsid w:val="00E918E7"/>
    <w:rsid w:val="00E91B49"/>
    <w:rsid w:val="00E91EC4"/>
    <w:rsid w:val="00E9231A"/>
    <w:rsid w:val="00E924C2"/>
    <w:rsid w:val="00E92CFC"/>
    <w:rsid w:val="00E92D95"/>
    <w:rsid w:val="00E935F1"/>
    <w:rsid w:val="00E93902"/>
    <w:rsid w:val="00E93914"/>
    <w:rsid w:val="00E93BC7"/>
    <w:rsid w:val="00E93F0E"/>
    <w:rsid w:val="00E94A58"/>
    <w:rsid w:val="00E94C2B"/>
    <w:rsid w:val="00E94CA6"/>
    <w:rsid w:val="00E95174"/>
    <w:rsid w:val="00E95697"/>
    <w:rsid w:val="00E95A2A"/>
    <w:rsid w:val="00E95E91"/>
    <w:rsid w:val="00E95EA1"/>
    <w:rsid w:val="00E9649C"/>
    <w:rsid w:val="00E96B2F"/>
    <w:rsid w:val="00E9717E"/>
    <w:rsid w:val="00E97397"/>
    <w:rsid w:val="00E9796A"/>
    <w:rsid w:val="00E97DB3"/>
    <w:rsid w:val="00E97FAB"/>
    <w:rsid w:val="00EA044A"/>
    <w:rsid w:val="00EA05E9"/>
    <w:rsid w:val="00EA0A0B"/>
    <w:rsid w:val="00EA0B43"/>
    <w:rsid w:val="00EA1795"/>
    <w:rsid w:val="00EA1CB4"/>
    <w:rsid w:val="00EA1DC0"/>
    <w:rsid w:val="00EA1E4C"/>
    <w:rsid w:val="00EA25B5"/>
    <w:rsid w:val="00EA263E"/>
    <w:rsid w:val="00EA2ECF"/>
    <w:rsid w:val="00EA2F2D"/>
    <w:rsid w:val="00EA33B5"/>
    <w:rsid w:val="00EA3453"/>
    <w:rsid w:val="00EA3CF8"/>
    <w:rsid w:val="00EA3E47"/>
    <w:rsid w:val="00EA3E86"/>
    <w:rsid w:val="00EA4263"/>
    <w:rsid w:val="00EA44EA"/>
    <w:rsid w:val="00EA490D"/>
    <w:rsid w:val="00EA5266"/>
    <w:rsid w:val="00EA5B8F"/>
    <w:rsid w:val="00EA6977"/>
    <w:rsid w:val="00EA6FA8"/>
    <w:rsid w:val="00EA7037"/>
    <w:rsid w:val="00EA7094"/>
    <w:rsid w:val="00EA7AA4"/>
    <w:rsid w:val="00EA7BA6"/>
    <w:rsid w:val="00EA7BF2"/>
    <w:rsid w:val="00EA7FD3"/>
    <w:rsid w:val="00EB03B4"/>
    <w:rsid w:val="00EB0D14"/>
    <w:rsid w:val="00EB140F"/>
    <w:rsid w:val="00EB1948"/>
    <w:rsid w:val="00EB1A7F"/>
    <w:rsid w:val="00EB1BD7"/>
    <w:rsid w:val="00EB2566"/>
    <w:rsid w:val="00EB2BF4"/>
    <w:rsid w:val="00EB2CEB"/>
    <w:rsid w:val="00EB3453"/>
    <w:rsid w:val="00EB37BB"/>
    <w:rsid w:val="00EB38B9"/>
    <w:rsid w:val="00EB41C6"/>
    <w:rsid w:val="00EB436C"/>
    <w:rsid w:val="00EB4630"/>
    <w:rsid w:val="00EB5287"/>
    <w:rsid w:val="00EB592F"/>
    <w:rsid w:val="00EB5998"/>
    <w:rsid w:val="00EB5A3F"/>
    <w:rsid w:val="00EB6043"/>
    <w:rsid w:val="00EB6076"/>
    <w:rsid w:val="00EB638B"/>
    <w:rsid w:val="00EB6423"/>
    <w:rsid w:val="00EB6685"/>
    <w:rsid w:val="00EB7312"/>
    <w:rsid w:val="00EB73D2"/>
    <w:rsid w:val="00EB765C"/>
    <w:rsid w:val="00EB773B"/>
    <w:rsid w:val="00EB7CDD"/>
    <w:rsid w:val="00EC0530"/>
    <w:rsid w:val="00EC12DC"/>
    <w:rsid w:val="00EC186C"/>
    <w:rsid w:val="00EC1905"/>
    <w:rsid w:val="00EC2878"/>
    <w:rsid w:val="00EC2A44"/>
    <w:rsid w:val="00EC306F"/>
    <w:rsid w:val="00EC3088"/>
    <w:rsid w:val="00EC34BD"/>
    <w:rsid w:val="00EC354D"/>
    <w:rsid w:val="00EC37CE"/>
    <w:rsid w:val="00EC3836"/>
    <w:rsid w:val="00EC3BA1"/>
    <w:rsid w:val="00EC445F"/>
    <w:rsid w:val="00EC450A"/>
    <w:rsid w:val="00EC4A82"/>
    <w:rsid w:val="00EC5523"/>
    <w:rsid w:val="00EC5862"/>
    <w:rsid w:val="00EC60D3"/>
    <w:rsid w:val="00EC61E4"/>
    <w:rsid w:val="00EC7350"/>
    <w:rsid w:val="00EC77F9"/>
    <w:rsid w:val="00EC7DFA"/>
    <w:rsid w:val="00ED0217"/>
    <w:rsid w:val="00ED0A76"/>
    <w:rsid w:val="00ED0EDB"/>
    <w:rsid w:val="00ED10B6"/>
    <w:rsid w:val="00ED12ED"/>
    <w:rsid w:val="00ED1A8D"/>
    <w:rsid w:val="00ED2312"/>
    <w:rsid w:val="00ED260B"/>
    <w:rsid w:val="00ED2EB5"/>
    <w:rsid w:val="00ED3396"/>
    <w:rsid w:val="00ED34B4"/>
    <w:rsid w:val="00ED3C4A"/>
    <w:rsid w:val="00ED42AB"/>
    <w:rsid w:val="00ED4797"/>
    <w:rsid w:val="00ED4B04"/>
    <w:rsid w:val="00ED5658"/>
    <w:rsid w:val="00ED5FE9"/>
    <w:rsid w:val="00ED60BB"/>
    <w:rsid w:val="00ED6145"/>
    <w:rsid w:val="00ED62B3"/>
    <w:rsid w:val="00ED6514"/>
    <w:rsid w:val="00ED6E77"/>
    <w:rsid w:val="00ED70CE"/>
    <w:rsid w:val="00ED7316"/>
    <w:rsid w:val="00EE01FF"/>
    <w:rsid w:val="00EE0D05"/>
    <w:rsid w:val="00EE12B8"/>
    <w:rsid w:val="00EE1AE2"/>
    <w:rsid w:val="00EE21B4"/>
    <w:rsid w:val="00EE2D0B"/>
    <w:rsid w:val="00EE2EAE"/>
    <w:rsid w:val="00EE323B"/>
    <w:rsid w:val="00EE363C"/>
    <w:rsid w:val="00EE3682"/>
    <w:rsid w:val="00EE414A"/>
    <w:rsid w:val="00EE5096"/>
    <w:rsid w:val="00EE51BB"/>
    <w:rsid w:val="00EE5BBE"/>
    <w:rsid w:val="00EE61C4"/>
    <w:rsid w:val="00EE6566"/>
    <w:rsid w:val="00EE69A6"/>
    <w:rsid w:val="00EE69EC"/>
    <w:rsid w:val="00EE7265"/>
    <w:rsid w:val="00EE7C6E"/>
    <w:rsid w:val="00EE7E25"/>
    <w:rsid w:val="00EF0211"/>
    <w:rsid w:val="00EF02B4"/>
    <w:rsid w:val="00EF0D9F"/>
    <w:rsid w:val="00EF16CE"/>
    <w:rsid w:val="00EF1C2F"/>
    <w:rsid w:val="00EF1D15"/>
    <w:rsid w:val="00EF2049"/>
    <w:rsid w:val="00EF2299"/>
    <w:rsid w:val="00EF2A43"/>
    <w:rsid w:val="00EF2E86"/>
    <w:rsid w:val="00EF3549"/>
    <w:rsid w:val="00EF39AA"/>
    <w:rsid w:val="00EF3A0C"/>
    <w:rsid w:val="00EF3C5C"/>
    <w:rsid w:val="00EF4314"/>
    <w:rsid w:val="00EF43B2"/>
    <w:rsid w:val="00EF46CE"/>
    <w:rsid w:val="00EF4931"/>
    <w:rsid w:val="00EF4B16"/>
    <w:rsid w:val="00EF4B1B"/>
    <w:rsid w:val="00EF4D6F"/>
    <w:rsid w:val="00EF51BB"/>
    <w:rsid w:val="00EF5441"/>
    <w:rsid w:val="00EF568B"/>
    <w:rsid w:val="00EF589C"/>
    <w:rsid w:val="00EF5E38"/>
    <w:rsid w:val="00EF5FEC"/>
    <w:rsid w:val="00EF60D3"/>
    <w:rsid w:val="00EF6202"/>
    <w:rsid w:val="00EF6555"/>
    <w:rsid w:val="00EF66AB"/>
    <w:rsid w:val="00EF7096"/>
    <w:rsid w:val="00EF73E0"/>
    <w:rsid w:val="00EF7C02"/>
    <w:rsid w:val="00F000EB"/>
    <w:rsid w:val="00F00387"/>
    <w:rsid w:val="00F00A3A"/>
    <w:rsid w:val="00F00F86"/>
    <w:rsid w:val="00F01145"/>
    <w:rsid w:val="00F0199C"/>
    <w:rsid w:val="00F01B29"/>
    <w:rsid w:val="00F01F8D"/>
    <w:rsid w:val="00F01FA3"/>
    <w:rsid w:val="00F02146"/>
    <w:rsid w:val="00F0247B"/>
    <w:rsid w:val="00F02566"/>
    <w:rsid w:val="00F026F2"/>
    <w:rsid w:val="00F03217"/>
    <w:rsid w:val="00F03445"/>
    <w:rsid w:val="00F039EA"/>
    <w:rsid w:val="00F03A89"/>
    <w:rsid w:val="00F03ADE"/>
    <w:rsid w:val="00F03F19"/>
    <w:rsid w:val="00F041B1"/>
    <w:rsid w:val="00F04279"/>
    <w:rsid w:val="00F04547"/>
    <w:rsid w:val="00F048DA"/>
    <w:rsid w:val="00F04B11"/>
    <w:rsid w:val="00F04F6E"/>
    <w:rsid w:val="00F052F9"/>
    <w:rsid w:val="00F05333"/>
    <w:rsid w:val="00F053F6"/>
    <w:rsid w:val="00F0574E"/>
    <w:rsid w:val="00F064D2"/>
    <w:rsid w:val="00F067A0"/>
    <w:rsid w:val="00F06B37"/>
    <w:rsid w:val="00F06C39"/>
    <w:rsid w:val="00F06DCE"/>
    <w:rsid w:val="00F07521"/>
    <w:rsid w:val="00F076B1"/>
    <w:rsid w:val="00F07A5F"/>
    <w:rsid w:val="00F07AFB"/>
    <w:rsid w:val="00F07CAF"/>
    <w:rsid w:val="00F10894"/>
    <w:rsid w:val="00F10D8C"/>
    <w:rsid w:val="00F11224"/>
    <w:rsid w:val="00F116CE"/>
    <w:rsid w:val="00F11DAA"/>
    <w:rsid w:val="00F124F3"/>
    <w:rsid w:val="00F127F0"/>
    <w:rsid w:val="00F12F05"/>
    <w:rsid w:val="00F1330A"/>
    <w:rsid w:val="00F133BA"/>
    <w:rsid w:val="00F136BD"/>
    <w:rsid w:val="00F13D21"/>
    <w:rsid w:val="00F14B1E"/>
    <w:rsid w:val="00F14C51"/>
    <w:rsid w:val="00F1525B"/>
    <w:rsid w:val="00F15AB5"/>
    <w:rsid w:val="00F15BF9"/>
    <w:rsid w:val="00F15EDE"/>
    <w:rsid w:val="00F16024"/>
    <w:rsid w:val="00F1626D"/>
    <w:rsid w:val="00F1638B"/>
    <w:rsid w:val="00F16615"/>
    <w:rsid w:val="00F16FC4"/>
    <w:rsid w:val="00F17052"/>
    <w:rsid w:val="00F17636"/>
    <w:rsid w:val="00F1764F"/>
    <w:rsid w:val="00F2037F"/>
    <w:rsid w:val="00F20DF1"/>
    <w:rsid w:val="00F2121F"/>
    <w:rsid w:val="00F213AB"/>
    <w:rsid w:val="00F21593"/>
    <w:rsid w:val="00F223CF"/>
    <w:rsid w:val="00F2265A"/>
    <w:rsid w:val="00F2281D"/>
    <w:rsid w:val="00F22978"/>
    <w:rsid w:val="00F22B94"/>
    <w:rsid w:val="00F22E58"/>
    <w:rsid w:val="00F230C3"/>
    <w:rsid w:val="00F231D7"/>
    <w:rsid w:val="00F240ED"/>
    <w:rsid w:val="00F246F0"/>
    <w:rsid w:val="00F25192"/>
    <w:rsid w:val="00F25359"/>
    <w:rsid w:val="00F25546"/>
    <w:rsid w:val="00F259A5"/>
    <w:rsid w:val="00F260BD"/>
    <w:rsid w:val="00F263EF"/>
    <w:rsid w:val="00F265C7"/>
    <w:rsid w:val="00F267D7"/>
    <w:rsid w:val="00F26B3C"/>
    <w:rsid w:val="00F26E92"/>
    <w:rsid w:val="00F273A9"/>
    <w:rsid w:val="00F2770C"/>
    <w:rsid w:val="00F27751"/>
    <w:rsid w:val="00F27B49"/>
    <w:rsid w:val="00F27D9B"/>
    <w:rsid w:val="00F27E85"/>
    <w:rsid w:val="00F27EA3"/>
    <w:rsid w:val="00F30044"/>
    <w:rsid w:val="00F301ED"/>
    <w:rsid w:val="00F3042B"/>
    <w:rsid w:val="00F30767"/>
    <w:rsid w:val="00F30772"/>
    <w:rsid w:val="00F30786"/>
    <w:rsid w:val="00F30A05"/>
    <w:rsid w:val="00F30BFE"/>
    <w:rsid w:val="00F30CB8"/>
    <w:rsid w:val="00F30F8D"/>
    <w:rsid w:val="00F31185"/>
    <w:rsid w:val="00F31565"/>
    <w:rsid w:val="00F315FD"/>
    <w:rsid w:val="00F317EE"/>
    <w:rsid w:val="00F3262E"/>
    <w:rsid w:val="00F326D2"/>
    <w:rsid w:val="00F329FF"/>
    <w:rsid w:val="00F32CFB"/>
    <w:rsid w:val="00F32EBB"/>
    <w:rsid w:val="00F33D04"/>
    <w:rsid w:val="00F34484"/>
    <w:rsid w:val="00F34537"/>
    <w:rsid w:val="00F34AF1"/>
    <w:rsid w:val="00F34EEC"/>
    <w:rsid w:val="00F35185"/>
    <w:rsid w:val="00F3561D"/>
    <w:rsid w:val="00F35FB3"/>
    <w:rsid w:val="00F36396"/>
    <w:rsid w:val="00F366E9"/>
    <w:rsid w:val="00F36A43"/>
    <w:rsid w:val="00F36E24"/>
    <w:rsid w:val="00F371E0"/>
    <w:rsid w:val="00F3784A"/>
    <w:rsid w:val="00F402EC"/>
    <w:rsid w:val="00F403CE"/>
    <w:rsid w:val="00F4097A"/>
    <w:rsid w:val="00F40E9D"/>
    <w:rsid w:val="00F41370"/>
    <w:rsid w:val="00F415BC"/>
    <w:rsid w:val="00F41707"/>
    <w:rsid w:val="00F41E93"/>
    <w:rsid w:val="00F42484"/>
    <w:rsid w:val="00F4276F"/>
    <w:rsid w:val="00F42AFB"/>
    <w:rsid w:val="00F42F52"/>
    <w:rsid w:val="00F43716"/>
    <w:rsid w:val="00F43A7E"/>
    <w:rsid w:val="00F43D4E"/>
    <w:rsid w:val="00F43E01"/>
    <w:rsid w:val="00F43F42"/>
    <w:rsid w:val="00F4450A"/>
    <w:rsid w:val="00F44A88"/>
    <w:rsid w:val="00F4520B"/>
    <w:rsid w:val="00F455E3"/>
    <w:rsid w:val="00F45775"/>
    <w:rsid w:val="00F45838"/>
    <w:rsid w:val="00F461B4"/>
    <w:rsid w:val="00F4625A"/>
    <w:rsid w:val="00F4631B"/>
    <w:rsid w:val="00F469C5"/>
    <w:rsid w:val="00F4737A"/>
    <w:rsid w:val="00F47780"/>
    <w:rsid w:val="00F47A33"/>
    <w:rsid w:val="00F47F93"/>
    <w:rsid w:val="00F47FFE"/>
    <w:rsid w:val="00F50592"/>
    <w:rsid w:val="00F5071A"/>
    <w:rsid w:val="00F507D4"/>
    <w:rsid w:val="00F50C29"/>
    <w:rsid w:val="00F50E35"/>
    <w:rsid w:val="00F513AD"/>
    <w:rsid w:val="00F514D2"/>
    <w:rsid w:val="00F519CB"/>
    <w:rsid w:val="00F524A6"/>
    <w:rsid w:val="00F524C7"/>
    <w:rsid w:val="00F52943"/>
    <w:rsid w:val="00F52E86"/>
    <w:rsid w:val="00F53825"/>
    <w:rsid w:val="00F53CE9"/>
    <w:rsid w:val="00F541E9"/>
    <w:rsid w:val="00F545DB"/>
    <w:rsid w:val="00F547AA"/>
    <w:rsid w:val="00F5486B"/>
    <w:rsid w:val="00F549E1"/>
    <w:rsid w:val="00F54F7E"/>
    <w:rsid w:val="00F54FAF"/>
    <w:rsid w:val="00F55424"/>
    <w:rsid w:val="00F55477"/>
    <w:rsid w:val="00F55D02"/>
    <w:rsid w:val="00F55F2E"/>
    <w:rsid w:val="00F56212"/>
    <w:rsid w:val="00F5728F"/>
    <w:rsid w:val="00F57424"/>
    <w:rsid w:val="00F57801"/>
    <w:rsid w:val="00F579D3"/>
    <w:rsid w:val="00F579F3"/>
    <w:rsid w:val="00F57FD2"/>
    <w:rsid w:val="00F60A75"/>
    <w:rsid w:val="00F60D72"/>
    <w:rsid w:val="00F61054"/>
    <w:rsid w:val="00F61996"/>
    <w:rsid w:val="00F61BB5"/>
    <w:rsid w:val="00F62208"/>
    <w:rsid w:val="00F62238"/>
    <w:rsid w:val="00F62A1F"/>
    <w:rsid w:val="00F62AB6"/>
    <w:rsid w:val="00F62C68"/>
    <w:rsid w:val="00F63119"/>
    <w:rsid w:val="00F63720"/>
    <w:rsid w:val="00F63F0A"/>
    <w:rsid w:val="00F6471D"/>
    <w:rsid w:val="00F647D1"/>
    <w:rsid w:val="00F64943"/>
    <w:rsid w:val="00F64E49"/>
    <w:rsid w:val="00F65123"/>
    <w:rsid w:val="00F6560B"/>
    <w:rsid w:val="00F65693"/>
    <w:rsid w:val="00F657B2"/>
    <w:rsid w:val="00F65B35"/>
    <w:rsid w:val="00F662FF"/>
    <w:rsid w:val="00F668DE"/>
    <w:rsid w:val="00F66C7C"/>
    <w:rsid w:val="00F66C9E"/>
    <w:rsid w:val="00F67189"/>
    <w:rsid w:val="00F6740A"/>
    <w:rsid w:val="00F67656"/>
    <w:rsid w:val="00F67731"/>
    <w:rsid w:val="00F67C20"/>
    <w:rsid w:val="00F707EF"/>
    <w:rsid w:val="00F70B92"/>
    <w:rsid w:val="00F70DA4"/>
    <w:rsid w:val="00F7140B"/>
    <w:rsid w:val="00F71950"/>
    <w:rsid w:val="00F71D3F"/>
    <w:rsid w:val="00F71EB8"/>
    <w:rsid w:val="00F72A4E"/>
    <w:rsid w:val="00F731DD"/>
    <w:rsid w:val="00F73258"/>
    <w:rsid w:val="00F73369"/>
    <w:rsid w:val="00F73A85"/>
    <w:rsid w:val="00F73AA5"/>
    <w:rsid w:val="00F73B11"/>
    <w:rsid w:val="00F73B82"/>
    <w:rsid w:val="00F73F23"/>
    <w:rsid w:val="00F74667"/>
    <w:rsid w:val="00F74830"/>
    <w:rsid w:val="00F74C09"/>
    <w:rsid w:val="00F75642"/>
    <w:rsid w:val="00F7564B"/>
    <w:rsid w:val="00F75820"/>
    <w:rsid w:val="00F7593D"/>
    <w:rsid w:val="00F75977"/>
    <w:rsid w:val="00F75C2B"/>
    <w:rsid w:val="00F75C7F"/>
    <w:rsid w:val="00F75EB2"/>
    <w:rsid w:val="00F75FB8"/>
    <w:rsid w:val="00F7601B"/>
    <w:rsid w:val="00F765FF"/>
    <w:rsid w:val="00F7798B"/>
    <w:rsid w:val="00F77FFE"/>
    <w:rsid w:val="00F8054A"/>
    <w:rsid w:val="00F805BD"/>
    <w:rsid w:val="00F805EE"/>
    <w:rsid w:val="00F80751"/>
    <w:rsid w:val="00F815FC"/>
    <w:rsid w:val="00F81E7E"/>
    <w:rsid w:val="00F81F25"/>
    <w:rsid w:val="00F82170"/>
    <w:rsid w:val="00F82216"/>
    <w:rsid w:val="00F8228D"/>
    <w:rsid w:val="00F8271E"/>
    <w:rsid w:val="00F82735"/>
    <w:rsid w:val="00F82C2F"/>
    <w:rsid w:val="00F82D7F"/>
    <w:rsid w:val="00F82FFC"/>
    <w:rsid w:val="00F83AB6"/>
    <w:rsid w:val="00F83D77"/>
    <w:rsid w:val="00F84219"/>
    <w:rsid w:val="00F8498B"/>
    <w:rsid w:val="00F851CA"/>
    <w:rsid w:val="00F85816"/>
    <w:rsid w:val="00F85B1F"/>
    <w:rsid w:val="00F85B79"/>
    <w:rsid w:val="00F85B88"/>
    <w:rsid w:val="00F85C90"/>
    <w:rsid w:val="00F86137"/>
    <w:rsid w:val="00F86239"/>
    <w:rsid w:val="00F86295"/>
    <w:rsid w:val="00F862D5"/>
    <w:rsid w:val="00F863E0"/>
    <w:rsid w:val="00F869B6"/>
    <w:rsid w:val="00F87A50"/>
    <w:rsid w:val="00F87B8C"/>
    <w:rsid w:val="00F90592"/>
    <w:rsid w:val="00F918F7"/>
    <w:rsid w:val="00F91B1B"/>
    <w:rsid w:val="00F91BB5"/>
    <w:rsid w:val="00F91D51"/>
    <w:rsid w:val="00F91E4F"/>
    <w:rsid w:val="00F91FE9"/>
    <w:rsid w:val="00F92159"/>
    <w:rsid w:val="00F923EC"/>
    <w:rsid w:val="00F92476"/>
    <w:rsid w:val="00F92801"/>
    <w:rsid w:val="00F93325"/>
    <w:rsid w:val="00F93EAD"/>
    <w:rsid w:val="00F93FAE"/>
    <w:rsid w:val="00F941CC"/>
    <w:rsid w:val="00F957DA"/>
    <w:rsid w:val="00F96A8B"/>
    <w:rsid w:val="00F96AC5"/>
    <w:rsid w:val="00F96F59"/>
    <w:rsid w:val="00F970BF"/>
    <w:rsid w:val="00F9746A"/>
    <w:rsid w:val="00FA0114"/>
    <w:rsid w:val="00FA0688"/>
    <w:rsid w:val="00FA070E"/>
    <w:rsid w:val="00FA09AD"/>
    <w:rsid w:val="00FA208E"/>
    <w:rsid w:val="00FA20A2"/>
    <w:rsid w:val="00FA2305"/>
    <w:rsid w:val="00FA23AA"/>
    <w:rsid w:val="00FA2816"/>
    <w:rsid w:val="00FA303A"/>
    <w:rsid w:val="00FA3221"/>
    <w:rsid w:val="00FA33EC"/>
    <w:rsid w:val="00FA364C"/>
    <w:rsid w:val="00FA37C3"/>
    <w:rsid w:val="00FA3FBE"/>
    <w:rsid w:val="00FA3FCB"/>
    <w:rsid w:val="00FA425D"/>
    <w:rsid w:val="00FA4B06"/>
    <w:rsid w:val="00FA4B17"/>
    <w:rsid w:val="00FA58C5"/>
    <w:rsid w:val="00FA596C"/>
    <w:rsid w:val="00FA5F3F"/>
    <w:rsid w:val="00FA6320"/>
    <w:rsid w:val="00FA6721"/>
    <w:rsid w:val="00FA6CA3"/>
    <w:rsid w:val="00FA7326"/>
    <w:rsid w:val="00FA7D0B"/>
    <w:rsid w:val="00FA7DB6"/>
    <w:rsid w:val="00FA7F2C"/>
    <w:rsid w:val="00FA7FE0"/>
    <w:rsid w:val="00FB02B8"/>
    <w:rsid w:val="00FB035D"/>
    <w:rsid w:val="00FB04E6"/>
    <w:rsid w:val="00FB05E5"/>
    <w:rsid w:val="00FB05EA"/>
    <w:rsid w:val="00FB0701"/>
    <w:rsid w:val="00FB0740"/>
    <w:rsid w:val="00FB09CE"/>
    <w:rsid w:val="00FB0B69"/>
    <w:rsid w:val="00FB1532"/>
    <w:rsid w:val="00FB1E71"/>
    <w:rsid w:val="00FB222F"/>
    <w:rsid w:val="00FB22C6"/>
    <w:rsid w:val="00FB2918"/>
    <w:rsid w:val="00FB2C82"/>
    <w:rsid w:val="00FB2ED4"/>
    <w:rsid w:val="00FB3097"/>
    <w:rsid w:val="00FB43F9"/>
    <w:rsid w:val="00FB46D3"/>
    <w:rsid w:val="00FB48C8"/>
    <w:rsid w:val="00FB4911"/>
    <w:rsid w:val="00FB5190"/>
    <w:rsid w:val="00FB5A89"/>
    <w:rsid w:val="00FB5F7C"/>
    <w:rsid w:val="00FB60CB"/>
    <w:rsid w:val="00FB6671"/>
    <w:rsid w:val="00FB6EF6"/>
    <w:rsid w:val="00FB7FE8"/>
    <w:rsid w:val="00FC00AC"/>
    <w:rsid w:val="00FC0225"/>
    <w:rsid w:val="00FC0C63"/>
    <w:rsid w:val="00FC0C90"/>
    <w:rsid w:val="00FC0EDE"/>
    <w:rsid w:val="00FC1327"/>
    <w:rsid w:val="00FC19D2"/>
    <w:rsid w:val="00FC1E70"/>
    <w:rsid w:val="00FC1FF0"/>
    <w:rsid w:val="00FC26DE"/>
    <w:rsid w:val="00FC27F3"/>
    <w:rsid w:val="00FC2A56"/>
    <w:rsid w:val="00FC2B0E"/>
    <w:rsid w:val="00FC2B57"/>
    <w:rsid w:val="00FC2BEB"/>
    <w:rsid w:val="00FC2E0F"/>
    <w:rsid w:val="00FC3495"/>
    <w:rsid w:val="00FC3771"/>
    <w:rsid w:val="00FC3C07"/>
    <w:rsid w:val="00FC3CFC"/>
    <w:rsid w:val="00FC3DEA"/>
    <w:rsid w:val="00FC4405"/>
    <w:rsid w:val="00FC445B"/>
    <w:rsid w:val="00FC4604"/>
    <w:rsid w:val="00FC46B8"/>
    <w:rsid w:val="00FC48F6"/>
    <w:rsid w:val="00FC4DBC"/>
    <w:rsid w:val="00FC5189"/>
    <w:rsid w:val="00FC51AB"/>
    <w:rsid w:val="00FC5212"/>
    <w:rsid w:val="00FC57D0"/>
    <w:rsid w:val="00FC718E"/>
    <w:rsid w:val="00FD04F3"/>
    <w:rsid w:val="00FD09F8"/>
    <w:rsid w:val="00FD0D5D"/>
    <w:rsid w:val="00FD0DDC"/>
    <w:rsid w:val="00FD0F79"/>
    <w:rsid w:val="00FD1261"/>
    <w:rsid w:val="00FD129C"/>
    <w:rsid w:val="00FD1915"/>
    <w:rsid w:val="00FD2606"/>
    <w:rsid w:val="00FD2694"/>
    <w:rsid w:val="00FD2B88"/>
    <w:rsid w:val="00FD2D8A"/>
    <w:rsid w:val="00FD2DC8"/>
    <w:rsid w:val="00FD2FE1"/>
    <w:rsid w:val="00FD337D"/>
    <w:rsid w:val="00FD3432"/>
    <w:rsid w:val="00FD3434"/>
    <w:rsid w:val="00FD3A2E"/>
    <w:rsid w:val="00FD3B42"/>
    <w:rsid w:val="00FD3BA9"/>
    <w:rsid w:val="00FD407F"/>
    <w:rsid w:val="00FD416F"/>
    <w:rsid w:val="00FD439B"/>
    <w:rsid w:val="00FD4669"/>
    <w:rsid w:val="00FD4C16"/>
    <w:rsid w:val="00FD5270"/>
    <w:rsid w:val="00FD57BC"/>
    <w:rsid w:val="00FD59FB"/>
    <w:rsid w:val="00FD5BD4"/>
    <w:rsid w:val="00FD62D4"/>
    <w:rsid w:val="00FD6BF4"/>
    <w:rsid w:val="00FE0CF2"/>
    <w:rsid w:val="00FE16B2"/>
    <w:rsid w:val="00FE1B44"/>
    <w:rsid w:val="00FE213F"/>
    <w:rsid w:val="00FE23CB"/>
    <w:rsid w:val="00FE2D92"/>
    <w:rsid w:val="00FE3551"/>
    <w:rsid w:val="00FE364B"/>
    <w:rsid w:val="00FE367F"/>
    <w:rsid w:val="00FE3ECF"/>
    <w:rsid w:val="00FE507C"/>
    <w:rsid w:val="00FE50AF"/>
    <w:rsid w:val="00FE5AC5"/>
    <w:rsid w:val="00FE5B28"/>
    <w:rsid w:val="00FE60FA"/>
    <w:rsid w:val="00FE6D0B"/>
    <w:rsid w:val="00FE6E0C"/>
    <w:rsid w:val="00FE6E93"/>
    <w:rsid w:val="00FE743F"/>
    <w:rsid w:val="00FE7A11"/>
    <w:rsid w:val="00FF0888"/>
    <w:rsid w:val="00FF185C"/>
    <w:rsid w:val="00FF2056"/>
    <w:rsid w:val="00FF20F9"/>
    <w:rsid w:val="00FF2831"/>
    <w:rsid w:val="00FF29A6"/>
    <w:rsid w:val="00FF2C52"/>
    <w:rsid w:val="00FF31C6"/>
    <w:rsid w:val="00FF3533"/>
    <w:rsid w:val="00FF3A35"/>
    <w:rsid w:val="00FF3DF1"/>
    <w:rsid w:val="00FF443B"/>
    <w:rsid w:val="00FF4FEA"/>
    <w:rsid w:val="00FF5454"/>
    <w:rsid w:val="00FF56BE"/>
    <w:rsid w:val="00FF57C5"/>
    <w:rsid w:val="00FF5AD8"/>
    <w:rsid w:val="00FF628C"/>
    <w:rsid w:val="00FF660B"/>
    <w:rsid w:val="00FF69FD"/>
    <w:rsid w:val="00FF6A0A"/>
    <w:rsid w:val="00FF70DA"/>
    <w:rsid w:val="00FF7738"/>
    <w:rsid w:val="00FF7BC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66EDCE44"/>
  <w15:chartTrackingRefBased/>
  <w15:docId w15:val="{444D5ACE-A81D-4DB6-8410-6CE28DB3D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428AB"/>
    <w:rPr>
      <w:rFonts w:ascii="Arial" w:hAnsi="Arial"/>
      <w:sz w:val="24"/>
      <w:szCs w:val="22"/>
      <w:lang w:eastAsia="en-GB"/>
    </w:rPr>
  </w:style>
  <w:style w:type="paragraph" w:styleId="Heading1">
    <w:name w:val="heading 1"/>
    <w:next w:val="BodyText"/>
    <w:qFormat/>
    <w:rsid w:val="00094301"/>
    <w:pPr>
      <w:keepNext/>
      <w:keepLines/>
      <w:spacing w:before="720" w:after="200"/>
      <w:outlineLvl w:val="0"/>
    </w:pPr>
    <w:rPr>
      <w:rFonts w:ascii="Arial" w:hAnsi="Arial" w:cs="Arial"/>
      <w:b/>
      <w:bCs/>
      <w:color w:val="005984"/>
      <w:kern w:val="32"/>
      <w:sz w:val="37"/>
      <w:szCs w:val="32"/>
      <w:lang w:eastAsia="en-GB"/>
    </w:rPr>
  </w:style>
  <w:style w:type="paragraph" w:styleId="Heading2">
    <w:name w:val="heading 2"/>
    <w:basedOn w:val="Heading1"/>
    <w:next w:val="BodyText"/>
    <w:qFormat/>
    <w:rsid w:val="00094301"/>
    <w:pPr>
      <w:spacing w:before="640"/>
      <w:outlineLvl w:val="1"/>
    </w:pPr>
    <w:rPr>
      <w:bCs w:val="0"/>
      <w:iCs/>
      <w:sz w:val="31"/>
      <w:szCs w:val="28"/>
    </w:rPr>
  </w:style>
  <w:style w:type="paragraph" w:styleId="Heading3">
    <w:name w:val="heading 3"/>
    <w:basedOn w:val="Heading2"/>
    <w:next w:val="BodyText"/>
    <w:qFormat/>
    <w:rsid w:val="008438B6"/>
    <w:pPr>
      <w:spacing w:before="520"/>
      <w:outlineLvl w:val="2"/>
    </w:pPr>
    <w:rPr>
      <w:bCs/>
      <w:sz w:val="26"/>
      <w:szCs w:val="26"/>
    </w:rPr>
  </w:style>
  <w:style w:type="paragraph" w:styleId="Heading4">
    <w:name w:val="heading 4"/>
    <w:basedOn w:val="Heading3"/>
    <w:next w:val="BodyText"/>
    <w:qFormat/>
    <w:rsid w:val="006845B4"/>
    <w:pPr>
      <w:spacing w:before="240" w:after="180"/>
      <w:outlineLvl w:val="3"/>
    </w:pPr>
    <w:rPr>
      <w:bCs w:val="0"/>
      <w:i/>
      <w:sz w:val="23"/>
      <w:szCs w:val="28"/>
    </w:rPr>
  </w:style>
  <w:style w:type="paragraph" w:styleId="Heading5">
    <w:name w:val="heading 5"/>
    <w:basedOn w:val="Heading4"/>
    <w:next w:val="BodyText"/>
    <w:qFormat/>
    <w:rsid w:val="00335E48"/>
    <w:pPr>
      <w:spacing w:before="0"/>
      <w:outlineLvl w:val="4"/>
    </w:pPr>
    <w:rPr>
      <w:rFonts w:cs="Times New Roman"/>
      <w:b w:val="0"/>
      <w:kern w:val="0"/>
      <w:sz w:val="22"/>
      <w:szCs w:val="26"/>
    </w:rPr>
  </w:style>
  <w:style w:type="paragraph" w:styleId="Heading6">
    <w:name w:val="heading 6"/>
    <w:basedOn w:val="Heading5"/>
    <w:next w:val="BodyText"/>
    <w:qFormat/>
    <w:rsid w:val="00FC0C63"/>
    <w:pPr>
      <w:spacing w:before="240" w:after="60"/>
      <w:outlineLvl w:val="5"/>
    </w:pPr>
    <w:rPr>
      <w:bCs/>
      <w:sz w:val="18"/>
    </w:rPr>
  </w:style>
  <w:style w:type="paragraph" w:styleId="Heading7">
    <w:name w:val="heading 7"/>
    <w:basedOn w:val="Heading6"/>
    <w:next w:val="BodyText"/>
    <w:qFormat/>
    <w:rsid w:val="00FC0C63"/>
    <w:pPr>
      <w:outlineLvl w:val="6"/>
    </w:pPr>
    <w:rPr>
      <w:sz w:val="16"/>
      <w:szCs w:val="24"/>
    </w:rPr>
  </w:style>
  <w:style w:type="paragraph" w:styleId="Heading8">
    <w:name w:val="heading 8"/>
    <w:basedOn w:val="Heading7"/>
    <w:next w:val="BodyText"/>
    <w:qFormat/>
    <w:rsid w:val="00FC0C63"/>
    <w:pPr>
      <w:outlineLvl w:val="7"/>
    </w:pPr>
    <w:rPr>
      <w:iCs w:val="0"/>
      <w:sz w:val="14"/>
    </w:rPr>
  </w:style>
  <w:style w:type="paragraph" w:styleId="Heading9">
    <w:name w:val="heading 9"/>
    <w:basedOn w:val="Normal"/>
    <w:next w:val="Normal"/>
    <w:qFormat/>
    <w:rsid w:val="00C77660"/>
    <w:pPr>
      <w:spacing w:before="240" w:after="6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rsid w:val="00506C3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pPr>
    <w:rPr>
      <w:rFonts w:ascii="Arial" w:hAnsi="Arial"/>
      <w:sz w:val="24"/>
      <w:szCs w:val="22"/>
      <w:lang w:eastAsia="en-GB"/>
    </w:rPr>
  </w:style>
  <w:style w:type="paragraph" w:styleId="ListBullet">
    <w:name w:val="List Bullet"/>
    <w:basedOn w:val="BodyText"/>
    <w:rsid w:val="00CB582D"/>
    <w:pPr>
      <w:numPr>
        <w:numId w:val="1"/>
      </w:numPr>
    </w:pPr>
  </w:style>
  <w:style w:type="paragraph" w:styleId="ListBullet2">
    <w:name w:val="List Bullet 2"/>
    <w:basedOn w:val="ListBullet"/>
    <w:rsid w:val="00CB582D"/>
    <w:pPr>
      <w:numPr>
        <w:ilvl w:val="1"/>
      </w:numPr>
    </w:pPr>
  </w:style>
  <w:style w:type="paragraph" w:styleId="ListBullet3">
    <w:name w:val="List Bullet 3"/>
    <w:basedOn w:val="ListBullet2"/>
    <w:rsid w:val="00CB582D"/>
    <w:pPr>
      <w:numPr>
        <w:ilvl w:val="2"/>
      </w:numPr>
    </w:pPr>
  </w:style>
  <w:style w:type="paragraph" w:styleId="ListBullet4">
    <w:name w:val="List Bullet 4"/>
    <w:basedOn w:val="ListBullet3"/>
    <w:rsid w:val="00CB582D"/>
    <w:pPr>
      <w:numPr>
        <w:ilvl w:val="3"/>
      </w:numPr>
    </w:pPr>
  </w:style>
  <w:style w:type="paragraph" w:styleId="BodyText2">
    <w:name w:val="Body Text 2"/>
    <w:basedOn w:val="BodyText"/>
    <w:next w:val="BodyText"/>
    <w:semiHidden/>
    <w:rsid w:val="005973F1"/>
    <w:pPr>
      <w:ind w:left="284"/>
    </w:pPr>
  </w:style>
  <w:style w:type="paragraph" w:styleId="BodyText3">
    <w:name w:val="Body Text 3"/>
    <w:basedOn w:val="BodyText2"/>
    <w:next w:val="BodyText"/>
    <w:semiHidden/>
    <w:rsid w:val="00196F97"/>
    <w:pPr>
      <w:ind w:left="1134"/>
    </w:pPr>
    <w:rPr>
      <w:szCs w:val="16"/>
    </w:rPr>
  </w:style>
  <w:style w:type="paragraph" w:customStyle="1" w:styleId="Heading1-Pagebreakbefore">
    <w:name w:val="Heading 1-Pagebreak before"/>
    <w:basedOn w:val="Heading1"/>
    <w:next w:val="BodyText"/>
    <w:rsid w:val="005973F1"/>
    <w:pPr>
      <w:pageBreakBefore/>
      <w:spacing w:before="0"/>
    </w:pPr>
  </w:style>
  <w:style w:type="paragraph" w:styleId="ListContinue">
    <w:name w:val="List Continue"/>
    <w:basedOn w:val="BodyText"/>
    <w:rsid w:val="00CC26E8"/>
    <w:pPr>
      <w:numPr>
        <w:numId w:val="8"/>
      </w:numPr>
    </w:pPr>
  </w:style>
  <w:style w:type="paragraph" w:styleId="ListContinue2">
    <w:name w:val="List Continue 2"/>
    <w:basedOn w:val="ListContinue"/>
    <w:rsid w:val="00CC26E8"/>
    <w:pPr>
      <w:numPr>
        <w:ilvl w:val="1"/>
      </w:numPr>
    </w:pPr>
  </w:style>
  <w:style w:type="paragraph" w:styleId="ListContinue3">
    <w:name w:val="List Continue 3"/>
    <w:basedOn w:val="ListContinue2"/>
    <w:rsid w:val="00CC26E8"/>
    <w:pPr>
      <w:numPr>
        <w:ilvl w:val="2"/>
      </w:numPr>
    </w:pPr>
  </w:style>
  <w:style w:type="paragraph" w:styleId="ListContinue4">
    <w:name w:val="List Continue 4"/>
    <w:basedOn w:val="ListContinue3"/>
    <w:rsid w:val="00CC26E8"/>
    <w:pPr>
      <w:numPr>
        <w:ilvl w:val="3"/>
      </w:numPr>
    </w:pPr>
  </w:style>
  <w:style w:type="paragraph" w:styleId="ListBullet5">
    <w:name w:val="List Bullet 5"/>
    <w:basedOn w:val="ListBullet4"/>
    <w:rsid w:val="00CB582D"/>
    <w:pPr>
      <w:numPr>
        <w:ilvl w:val="4"/>
      </w:numPr>
    </w:pPr>
  </w:style>
  <w:style w:type="paragraph" w:styleId="ListContinue5">
    <w:name w:val="List Continue 5"/>
    <w:basedOn w:val="Normal"/>
    <w:rsid w:val="00CC26E8"/>
    <w:pPr>
      <w:numPr>
        <w:ilvl w:val="4"/>
        <w:numId w:val="8"/>
      </w:numPr>
      <w:spacing w:after="120"/>
    </w:pPr>
  </w:style>
  <w:style w:type="paragraph" w:styleId="List">
    <w:name w:val="List"/>
    <w:basedOn w:val="Normal"/>
    <w:semiHidden/>
    <w:rsid w:val="00A35236"/>
    <w:pPr>
      <w:ind w:left="283" w:hanging="283"/>
    </w:pPr>
  </w:style>
  <w:style w:type="paragraph" w:styleId="List2">
    <w:name w:val="List 2"/>
    <w:basedOn w:val="Normal"/>
    <w:semiHidden/>
    <w:rsid w:val="00A35236"/>
    <w:pPr>
      <w:ind w:left="566" w:hanging="283"/>
    </w:pPr>
  </w:style>
  <w:style w:type="paragraph" w:styleId="List3">
    <w:name w:val="List 3"/>
    <w:basedOn w:val="Normal"/>
    <w:semiHidden/>
    <w:rsid w:val="00A35236"/>
    <w:pPr>
      <w:ind w:left="849" w:hanging="283"/>
    </w:pPr>
  </w:style>
  <w:style w:type="paragraph" w:styleId="List4">
    <w:name w:val="List 4"/>
    <w:basedOn w:val="Normal"/>
    <w:semiHidden/>
    <w:rsid w:val="00A35236"/>
    <w:pPr>
      <w:ind w:left="1132" w:hanging="283"/>
    </w:pPr>
  </w:style>
  <w:style w:type="paragraph" w:styleId="List5">
    <w:name w:val="List 5"/>
    <w:basedOn w:val="Normal"/>
    <w:semiHidden/>
    <w:rsid w:val="00A35236"/>
    <w:pPr>
      <w:ind w:left="1415" w:hanging="283"/>
    </w:pPr>
  </w:style>
  <w:style w:type="character" w:styleId="HTMLAcronym">
    <w:name w:val="HTML Acronym"/>
    <w:basedOn w:val="DefaultParagraphFont"/>
    <w:semiHidden/>
    <w:rsid w:val="00A35236"/>
  </w:style>
  <w:style w:type="paragraph" w:styleId="HTMLAddress">
    <w:name w:val="HTML Address"/>
    <w:basedOn w:val="Normal"/>
    <w:semiHidden/>
    <w:rsid w:val="00A35236"/>
    <w:rPr>
      <w:i/>
      <w:iCs/>
    </w:rPr>
  </w:style>
  <w:style w:type="character" w:styleId="HTMLCite">
    <w:name w:val="HTML Cite"/>
    <w:semiHidden/>
    <w:rsid w:val="00A35236"/>
    <w:rPr>
      <w:i/>
      <w:iCs/>
    </w:rPr>
  </w:style>
  <w:style w:type="character" w:styleId="HTMLCode">
    <w:name w:val="HTML Code"/>
    <w:semiHidden/>
    <w:rsid w:val="00A35236"/>
    <w:rPr>
      <w:rFonts w:ascii="Courier New" w:hAnsi="Courier New" w:cs="Courier New"/>
      <w:sz w:val="20"/>
      <w:szCs w:val="20"/>
    </w:rPr>
  </w:style>
  <w:style w:type="character" w:styleId="HTMLDefinition">
    <w:name w:val="HTML Definition"/>
    <w:semiHidden/>
    <w:rsid w:val="00A35236"/>
    <w:rPr>
      <w:i/>
      <w:iCs/>
    </w:rPr>
  </w:style>
  <w:style w:type="character" w:styleId="HTMLKeyboard">
    <w:name w:val="HTML Keyboard"/>
    <w:semiHidden/>
    <w:rsid w:val="00A35236"/>
    <w:rPr>
      <w:rFonts w:ascii="Courier New" w:hAnsi="Courier New" w:cs="Courier New"/>
      <w:sz w:val="20"/>
      <w:szCs w:val="20"/>
    </w:rPr>
  </w:style>
  <w:style w:type="paragraph" w:styleId="HTMLPreformatted">
    <w:name w:val="HTML Preformatted"/>
    <w:basedOn w:val="Normal"/>
    <w:semiHidden/>
    <w:rsid w:val="00A35236"/>
    <w:rPr>
      <w:rFonts w:ascii="Courier New" w:hAnsi="Courier New" w:cs="Courier New"/>
      <w:sz w:val="20"/>
      <w:szCs w:val="20"/>
    </w:rPr>
  </w:style>
  <w:style w:type="character" w:styleId="HTMLSample">
    <w:name w:val="HTML Sample"/>
    <w:semiHidden/>
    <w:rsid w:val="00A35236"/>
    <w:rPr>
      <w:rFonts w:ascii="Courier New" w:hAnsi="Courier New" w:cs="Courier New"/>
    </w:rPr>
  </w:style>
  <w:style w:type="character" w:styleId="HTMLTypewriter">
    <w:name w:val="HTML Typewriter"/>
    <w:semiHidden/>
    <w:rsid w:val="00A35236"/>
    <w:rPr>
      <w:rFonts w:ascii="Courier New" w:hAnsi="Courier New" w:cs="Courier New"/>
      <w:sz w:val="20"/>
      <w:szCs w:val="20"/>
    </w:rPr>
  </w:style>
  <w:style w:type="character" w:styleId="HTMLVariable">
    <w:name w:val="HTML Variable"/>
    <w:semiHidden/>
    <w:rsid w:val="00A35236"/>
    <w:rPr>
      <w:i/>
      <w:iCs/>
    </w:rPr>
  </w:style>
  <w:style w:type="paragraph" w:styleId="BlockText">
    <w:name w:val="Block Text"/>
    <w:basedOn w:val="BodyText"/>
    <w:rsid w:val="006428AB"/>
    <w:pPr>
      <w:ind w:left="567" w:right="567"/>
    </w:pPr>
    <w:rPr>
      <w:sz w:val="22"/>
    </w:rPr>
  </w:style>
  <w:style w:type="paragraph" w:styleId="BodyTextFirstIndent">
    <w:name w:val="Body Text First Indent"/>
    <w:basedOn w:val="BodyText"/>
    <w:semiHidden/>
    <w:rsid w:val="00353455"/>
    <w:pPr>
      <w:spacing w:after="120"/>
      <w:ind w:firstLine="210"/>
    </w:pPr>
  </w:style>
  <w:style w:type="paragraph" w:styleId="BodyTextIndent">
    <w:name w:val="Body Text Indent"/>
    <w:basedOn w:val="Normal"/>
    <w:semiHidden/>
    <w:rsid w:val="00353455"/>
    <w:pPr>
      <w:spacing w:after="120"/>
      <w:ind w:left="283"/>
    </w:pPr>
  </w:style>
  <w:style w:type="paragraph" w:styleId="BodyTextFirstIndent2">
    <w:name w:val="Body Text First Indent 2"/>
    <w:basedOn w:val="BodyTextIndent"/>
    <w:semiHidden/>
    <w:rsid w:val="00353455"/>
    <w:pPr>
      <w:ind w:firstLine="210"/>
    </w:pPr>
  </w:style>
  <w:style w:type="paragraph" w:styleId="BodyTextIndent2">
    <w:name w:val="Body Text Indent 2"/>
    <w:basedOn w:val="Normal"/>
    <w:semiHidden/>
    <w:rsid w:val="00353455"/>
    <w:pPr>
      <w:spacing w:after="120" w:line="480" w:lineRule="auto"/>
      <w:ind w:left="283"/>
    </w:pPr>
  </w:style>
  <w:style w:type="paragraph" w:styleId="BodyTextIndent3">
    <w:name w:val="Body Text Indent 3"/>
    <w:basedOn w:val="Normal"/>
    <w:semiHidden/>
    <w:rsid w:val="00353455"/>
    <w:pPr>
      <w:spacing w:after="120"/>
      <w:ind w:left="283"/>
    </w:pPr>
    <w:rPr>
      <w:sz w:val="16"/>
      <w:szCs w:val="16"/>
    </w:rPr>
  </w:style>
  <w:style w:type="paragraph" w:styleId="EnvelopeAddress">
    <w:name w:val="envelope address"/>
    <w:basedOn w:val="Normal"/>
    <w:semiHidden/>
    <w:rsid w:val="008861E2"/>
    <w:pPr>
      <w:framePr w:w="7920" w:h="1980" w:hRule="exact" w:hSpace="180" w:wrap="auto" w:hAnchor="page" w:xAlign="center" w:yAlign="bottom"/>
      <w:ind w:left="2880"/>
    </w:pPr>
    <w:rPr>
      <w:rFonts w:cs="Arial"/>
      <w:szCs w:val="24"/>
    </w:rPr>
  </w:style>
  <w:style w:type="paragraph" w:styleId="EnvelopeReturn">
    <w:name w:val="envelope return"/>
    <w:basedOn w:val="Normal"/>
    <w:semiHidden/>
    <w:rsid w:val="008861E2"/>
    <w:rPr>
      <w:rFonts w:cs="Arial"/>
      <w:sz w:val="20"/>
      <w:szCs w:val="20"/>
    </w:rPr>
  </w:style>
  <w:style w:type="character" w:styleId="LineNumber">
    <w:name w:val="line number"/>
    <w:basedOn w:val="DefaultParagraphFont"/>
    <w:semiHidden/>
    <w:rsid w:val="008861E2"/>
  </w:style>
  <w:style w:type="paragraph" w:styleId="MessageHeader">
    <w:name w:val="Message Header"/>
    <w:basedOn w:val="Normal"/>
    <w:semiHidden/>
    <w:rsid w:val="008861E2"/>
    <w:pPr>
      <w:pBdr>
        <w:top w:val="single" w:sz="6" w:space="1" w:color="auto"/>
        <w:left w:val="single" w:sz="6" w:space="1" w:color="auto"/>
        <w:bottom w:val="single" w:sz="6" w:space="1" w:color="auto"/>
        <w:right w:val="single" w:sz="6" w:space="1" w:color="auto"/>
      </w:pBdr>
      <w:shd w:val="pct20" w:color="auto" w:fill="auto"/>
      <w:ind w:left="1134" w:hanging="1134"/>
    </w:pPr>
    <w:rPr>
      <w:rFonts w:cs="Arial"/>
      <w:szCs w:val="24"/>
    </w:rPr>
  </w:style>
  <w:style w:type="paragraph" w:styleId="NormalWeb">
    <w:name w:val="Normal (Web)"/>
    <w:basedOn w:val="Normal"/>
    <w:semiHidden/>
    <w:rsid w:val="008861E2"/>
    <w:rPr>
      <w:rFonts w:ascii="Times New Roman" w:hAnsi="Times New Roman"/>
      <w:szCs w:val="24"/>
    </w:rPr>
  </w:style>
  <w:style w:type="paragraph" w:styleId="NormalIndent">
    <w:name w:val="Normal Indent"/>
    <w:basedOn w:val="Normal"/>
    <w:semiHidden/>
    <w:rsid w:val="008861E2"/>
    <w:pPr>
      <w:ind w:left="720"/>
    </w:pPr>
  </w:style>
  <w:style w:type="paragraph" w:styleId="NoteHeading">
    <w:name w:val="Note Heading"/>
    <w:basedOn w:val="Normal"/>
    <w:next w:val="Normal"/>
    <w:semiHidden/>
    <w:rsid w:val="008861E2"/>
  </w:style>
  <w:style w:type="table" w:styleId="Table3Deffects1">
    <w:name w:val="Table 3D effects 1"/>
    <w:basedOn w:val="TableNormal"/>
    <w:semiHidden/>
    <w:rsid w:val="008861E2"/>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861E2"/>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861E2"/>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styleId="1ai">
    <w:name w:val="Outline List 1"/>
    <w:basedOn w:val="NoList"/>
    <w:semiHidden/>
    <w:rsid w:val="00CD07EA"/>
    <w:pPr>
      <w:numPr>
        <w:numId w:val="3"/>
      </w:numPr>
    </w:pPr>
  </w:style>
  <w:style w:type="numbering" w:styleId="ArticleSection">
    <w:name w:val="Outline List 3"/>
    <w:basedOn w:val="NoList"/>
    <w:semiHidden/>
    <w:rsid w:val="008861E2"/>
    <w:pPr>
      <w:numPr>
        <w:numId w:val="4"/>
      </w:numPr>
    </w:pPr>
  </w:style>
  <w:style w:type="paragraph" w:styleId="Closing">
    <w:name w:val="Closing"/>
    <w:basedOn w:val="Normal"/>
    <w:semiHidden/>
    <w:rsid w:val="008861E2"/>
    <w:pPr>
      <w:ind w:left="4252"/>
    </w:pPr>
  </w:style>
  <w:style w:type="paragraph" w:styleId="Date">
    <w:name w:val="Date"/>
    <w:basedOn w:val="Normal"/>
    <w:next w:val="Normal"/>
    <w:semiHidden/>
    <w:rsid w:val="008861E2"/>
  </w:style>
  <w:style w:type="paragraph" w:styleId="E-mailSignature">
    <w:name w:val="E-mail Signature"/>
    <w:basedOn w:val="Normal"/>
    <w:semiHidden/>
    <w:rsid w:val="008861E2"/>
  </w:style>
  <w:style w:type="paragraph" w:styleId="ListNumber5">
    <w:name w:val="List Number 5"/>
    <w:basedOn w:val="ListNumber4"/>
    <w:rsid w:val="00360728"/>
    <w:pPr>
      <w:numPr>
        <w:ilvl w:val="4"/>
      </w:numPr>
    </w:pPr>
  </w:style>
  <w:style w:type="paragraph" w:styleId="Salutation">
    <w:name w:val="Salutation"/>
    <w:basedOn w:val="Normal"/>
    <w:next w:val="Normal"/>
    <w:semiHidden/>
    <w:rsid w:val="008861E2"/>
  </w:style>
  <w:style w:type="paragraph" w:styleId="Signature">
    <w:name w:val="Signature"/>
    <w:basedOn w:val="Normal"/>
    <w:semiHidden/>
    <w:rsid w:val="008861E2"/>
    <w:pPr>
      <w:ind w:left="4252"/>
    </w:pPr>
  </w:style>
  <w:style w:type="table" w:styleId="TableWeb1">
    <w:name w:val="Table Web 1"/>
    <w:basedOn w:val="TableNormal"/>
    <w:semiHidden/>
    <w:rsid w:val="008861E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861E2"/>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861E2"/>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ListNumber">
    <w:name w:val="List Number"/>
    <w:basedOn w:val="BodyText"/>
    <w:rsid w:val="00360728"/>
    <w:pPr>
      <w:numPr>
        <w:numId w:val="2"/>
      </w:numPr>
    </w:pPr>
  </w:style>
  <w:style w:type="paragraph" w:styleId="ListNumber2">
    <w:name w:val="List Number 2"/>
    <w:basedOn w:val="ListNumber"/>
    <w:rsid w:val="00360728"/>
    <w:pPr>
      <w:numPr>
        <w:ilvl w:val="1"/>
      </w:numPr>
    </w:pPr>
  </w:style>
  <w:style w:type="paragraph" w:styleId="ListNumber3">
    <w:name w:val="List Number 3"/>
    <w:basedOn w:val="ListNumber2"/>
    <w:rsid w:val="00360728"/>
    <w:pPr>
      <w:numPr>
        <w:ilvl w:val="2"/>
      </w:numPr>
    </w:pPr>
  </w:style>
  <w:style w:type="paragraph" w:styleId="ListNumber4">
    <w:name w:val="List Number 4"/>
    <w:basedOn w:val="ListNumber3"/>
    <w:rsid w:val="00360728"/>
    <w:pPr>
      <w:numPr>
        <w:ilvl w:val="3"/>
      </w:numPr>
    </w:pPr>
  </w:style>
  <w:style w:type="numbering" w:styleId="111111">
    <w:name w:val="Outline List 2"/>
    <w:basedOn w:val="NoList"/>
    <w:semiHidden/>
    <w:rsid w:val="00AE3DA6"/>
    <w:pPr>
      <w:numPr>
        <w:numId w:val="5"/>
      </w:numPr>
    </w:pPr>
  </w:style>
  <w:style w:type="paragraph" w:styleId="Footer">
    <w:name w:val="footer"/>
    <w:basedOn w:val="Normal"/>
    <w:semiHidden/>
    <w:rsid w:val="00B82071"/>
    <w:pPr>
      <w:tabs>
        <w:tab w:val="center" w:pos="4153"/>
        <w:tab w:val="right" w:pos="8306"/>
      </w:tabs>
    </w:pPr>
  </w:style>
  <w:style w:type="paragraph" w:styleId="Header">
    <w:name w:val="header"/>
    <w:basedOn w:val="Normal"/>
    <w:semiHidden/>
    <w:rsid w:val="00B82071"/>
    <w:pPr>
      <w:tabs>
        <w:tab w:val="center" w:pos="4153"/>
        <w:tab w:val="right" w:pos="8306"/>
      </w:tabs>
    </w:pPr>
  </w:style>
  <w:style w:type="character" w:styleId="FootnoteReference">
    <w:name w:val="footnote reference"/>
    <w:rsid w:val="00336974"/>
    <w:rPr>
      <w:sz w:val="24"/>
      <w:vertAlign w:val="superscript"/>
    </w:rPr>
  </w:style>
  <w:style w:type="paragraph" w:styleId="FootnoteText">
    <w:name w:val="footnote text"/>
    <w:basedOn w:val="BodyText"/>
    <w:link w:val="FootnoteTextChar"/>
    <w:rsid w:val="00F136BD"/>
    <w:pPr>
      <w:tabs>
        <w:tab w:val="left" w:pos="284"/>
      </w:tabs>
      <w:spacing w:after="60"/>
      <w:ind w:left="284" w:hanging="284"/>
    </w:pPr>
    <w:rPr>
      <w:sz w:val="18"/>
      <w:szCs w:val="20"/>
    </w:rPr>
  </w:style>
  <w:style w:type="character" w:styleId="Emphasis">
    <w:name w:val="Emphasis"/>
    <w:qFormat/>
    <w:rsid w:val="00B04384"/>
    <w:rPr>
      <w:i/>
      <w:iCs/>
    </w:rPr>
  </w:style>
  <w:style w:type="character" w:styleId="Strong">
    <w:name w:val="Strong"/>
    <w:qFormat/>
    <w:rsid w:val="00B04384"/>
    <w:rPr>
      <w:b/>
      <w:bCs/>
    </w:rPr>
  </w:style>
  <w:style w:type="character" w:customStyle="1" w:styleId="Italic">
    <w:name w:val="Italic"/>
    <w:rsid w:val="00990ECE"/>
    <w:rPr>
      <w:i/>
      <w:iCs/>
    </w:rPr>
  </w:style>
  <w:style w:type="character" w:customStyle="1" w:styleId="Bold">
    <w:name w:val="Bold"/>
    <w:rsid w:val="006428AB"/>
    <w:rPr>
      <w:b/>
      <w:iCs/>
      <w:lang w:val="en-AU"/>
    </w:rPr>
  </w:style>
  <w:style w:type="character" w:styleId="FollowedHyperlink">
    <w:name w:val="FollowedHyperlink"/>
    <w:semiHidden/>
    <w:rsid w:val="00990ECE"/>
    <w:rPr>
      <w:color w:val="800080"/>
      <w:u w:val="single"/>
    </w:rPr>
  </w:style>
  <w:style w:type="character" w:styleId="Hyperlink">
    <w:name w:val="Hyperlink"/>
    <w:semiHidden/>
    <w:rsid w:val="00990ECE"/>
    <w:rPr>
      <w:color w:val="0000FF"/>
      <w:u w:val="single"/>
    </w:rPr>
  </w:style>
  <w:style w:type="paragraph" w:styleId="Title">
    <w:name w:val="Title"/>
    <w:qFormat/>
    <w:rsid w:val="00CB582D"/>
    <w:pPr>
      <w:spacing w:before="240" w:after="60"/>
      <w:jc w:val="center"/>
      <w:outlineLvl w:val="0"/>
    </w:pPr>
    <w:rPr>
      <w:rFonts w:ascii="Arial" w:hAnsi="Arial" w:cs="Arial"/>
      <w:b/>
      <w:bCs/>
      <w:color w:val="333333"/>
      <w:kern w:val="28"/>
      <w:sz w:val="40"/>
      <w:szCs w:val="32"/>
      <w:lang w:eastAsia="en-GB"/>
    </w:rPr>
  </w:style>
  <w:style w:type="paragraph" w:styleId="Subtitle">
    <w:name w:val="Subtitle"/>
    <w:basedOn w:val="Title"/>
    <w:qFormat/>
    <w:rsid w:val="002E40DF"/>
    <w:pPr>
      <w:spacing w:after="180"/>
      <w:outlineLvl w:val="1"/>
    </w:pPr>
    <w:rPr>
      <w:sz w:val="32"/>
      <w:szCs w:val="24"/>
    </w:rPr>
  </w:style>
  <w:style w:type="table" w:styleId="TableClassic2">
    <w:name w:val="Table Classic 2"/>
    <w:basedOn w:val="TableNormal"/>
    <w:semiHidden/>
    <w:rsid w:val="00797C1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797C1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797C1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797C1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797C1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797C1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797C1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797C1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797C1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797C1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797C1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797C1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797C1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7458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
    <w:tcPr>
      <w:tcMar>
        <w:left w:w="170" w:type="dxa"/>
        <w:right w:w="170" w:type="dxa"/>
      </w:tcMar>
    </w:tcPr>
  </w:style>
  <w:style w:type="table" w:styleId="TableGrid1">
    <w:name w:val="Table Grid 1"/>
    <w:basedOn w:val="TableNormal"/>
    <w:semiHidden/>
    <w:rsid w:val="00797C1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797C1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797C1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797C1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797C1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797C1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797C1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797C1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797C1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797C1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797C1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797C1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797C1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797C1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797C1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797C1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797C1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797C1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797C1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797C1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797C1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797C1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797C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semiHidden/>
    <w:rsid w:val="00802327"/>
  </w:style>
  <w:style w:type="table" w:styleId="TableClassic1">
    <w:name w:val="Table Classic 1"/>
    <w:basedOn w:val="TableNormal"/>
    <w:semiHidden/>
    <w:rsid w:val="006C108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heading">
    <w:name w:val="Table heading"/>
    <w:rsid w:val="00D10B6F"/>
    <w:pPr>
      <w:spacing w:before="80" w:after="60"/>
    </w:pPr>
    <w:rPr>
      <w:rFonts w:ascii="Arial" w:hAnsi="Arial"/>
      <w:b/>
      <w:szCs w:val="22"/>
      <w:lang w:eastAsia="en-GB"/>
    </w:rPr>
  </w:style>
  <w:style w:type="paragraph" w:customStyle="1" w:styleId="TableBody">
    <w:name w:val="Table Body"/>
    <w:basedOn w:val="BodyText"/>
    <w:rsid w:val="00D10B6F"/>
    <w:pPr>
      <w:spacing w:before="60" w:after="60"/>
    </w:pPr>
    <w:rPr>
      <w:sz w:val="20"/>
    </w:rPr>
  </w:style>
  <w:style w:type="character" w:styleId="PageNumber">
    <w:name w:val="page number"/>
    <w:rsid w:val="006428AB"/>
    <w:rPr>
      <w:sz w:val="24"/>
      <w:lang w:val="en-AU"/>
    </w:rPr>
  </w:style>
  <w:style w:type="character" w:customStyle="1" w:styleId="BodyTextChar">
    <w:name w:val="Body Text Char"/>
    <w:link w:val="BodyText"/>
    <w:rsid w:val="00506C38"/>
    <w:rPr>
      <w:rFonts w:ascii="Arial" w:hAnsi="Arial"/>
      <w:sz w:val="24"/>
      <w:szCs w:val="22"/>
      <w:lang w:val="en-AU" w:eastAsia="en-GB" w:bidi="ar-SA"/>
    </w:rPr>
  </w:style>
  <w:style w:type="paragraph" w:customStyle="1" w:styleId="BlockText-ListBullet">
    <w:name w:val="Block Text - List Bullet"/>
    <w:basedOn w:val="BlockText"/>
    <w:rsid w:val="00CB582D"/>
    <w:pPr>
      <w:numPr>
        <w:numId w:val="7"/>
      </w:numPr>
      <w:spacing w:after="160"/>
    </w:pPr>
  </w:style>
  <w:style w:type="paragraph" w:customStyle="1" w:styleId="Table-ListBullet">
    <w:name w:val="Table - List Bullet"/>
    <w:basedOn w:val="TableBody"/>
    <w:rsid w:val="00EA6977"/>
    <w:pPr>
      <w:numPr>
        <w:numId w:val="6"/>
      </w:numPr>
    </w:pPr>
  </w:style>
  <w:style w:type="paragraph" w:styleId="PlainText">
    <w:name w:val="Plain Text"/>
    <w:basedOn w:val="Normal"/>
    <w:rsid w:val="006428AB"/>
    <w:rPr>
      <w:rFonts w:ascii="Courier New" w:hAnsi="Courier New" w:cs="Courier New"/>
      <w:sz w:val="20"/>
      <w:szCs w:val="20"/>
    </w:rPr>
  </w:style>
  <w:style w:type="table" w:customStyle="1" w:styleId="RecommendationsBox">
    <w:name w:val="Recommendations Box"/>
    <w:basedOn w:val="TableGrid"/>
    <w:rsid w:val="000164F8"/>
    <w:tblPr>
      <w:tblBorders>
        <w:top w:val="single" w:sz="4" w:space="0" w:color="005984"/>
        <w:left w:val="single" w:sz="4" w:space="0" w:color="005984"/>
        <w:bottom w:val="single" w:sz="4" w:space="0" w:color="005984"/>
        <w:right w:val="single" w:sz="4" w:space="0" w:color="005984"/>
        <w:insideH w:val="none" w:sz="0" w:space="0" w:color="auto"/>
        <w:insideV w:val="none" w:sz="0" w:space="0" w:color="auto"/>
      </w:tblBorders>
    </w:tblPr>
    <w:trPr>
      <w:cantSplit/>
    </w:trPr>
  </w:style>
  <w:style w:type="paragraph" w:customStyle="1" w:styleId="Recommendationsheading">
    <w:name w:val="Recommendations heading"/>
    <w:rsid w:val="00F82735"/>
    <w:pPr>
      <w:spacing w:before="120" w:after="180"/>
    </w:pPr>
    <w:rPr>
      <w:rFonts w:ascii="Arial" w:hAnsi="Arial"/>
      <w:b/>
      <w:color w:val="005984"/>
      <w:sz w:val="24"/>
      <w:szCs w:val="22"/>
      <w:lang w:eastAsia="en-GB"/>
    </w:rPr>
  </w:style>
  <w:style w:type="paragraph" w:styleId="TOC1">
    <w:name w:val="toc 1"/>
    <w:next w:val="BodyText"/>
    <w:autoRedefine/>
    <w:rsid w:val="00422B55"/>
    <w:pPr>
      <w:spacing w:before="180"/>
    </w:pPr>
    <w:rPr>
      <w:rFonts w:ascii="Arial" w:hAnsi="Arial"/>
      <w:b/>
      <w:sz w:val="24"/>
      <w:szCs w:val="22"/>
      <w:lang w:eastAsia="en-GB"/>
    </w:rPr>
  </w:style>
  <w:style w:type="paragraph" w:styleId="TOC2">
    <w:name w:val="toc 2"/>
    <w:basedOn w:val="TOC1"/>
    <w:next w:val="BodyText"/>
    <w:autoRedefine/>
    <w:rsid w:val="00422B55"/>
    <w:pPr>
      <w:spacing w:before="100"/>
      <w:ind w:left="567"/>
    </w:pPr>
    <w:rPr>
      <w:b w:val="0"/>
    </w:rPr>
  </w:style>
  <w:style w:type="paragraph" w:styleId="TOC3">
    <w:name w:val="toc 3"/>
    <w:basedOn w:val="TOC2"/>
    <w:next w:val="BodyText"/>
    <w:autoRedefine/>
    <w:rsid w:val="00F70B92"/>
    <w:pPr>
      <w:ind w:left="1134"/>
    </w:pPr>
  </w:style>
  <w:style w:type="paragraph" w:styleId="TOC4">
    <w:name w:val="toc 4"/>
    <w:basedOn w:val="TOC3"/>
    <w:next w:val="BodyText"/>
    <w:autoRedefine/>
    <w:rsid w:val="00F70B92"/>
    <w:pPr>
      <w:ind w:left="1701"/>
    </w:pPr>
  </w:style>
  <w:style w:type="paragraph" w:styleId="TOC5">
    <w:name w:val="toc 5"/>
    <w:basedOn w:val="TOC4"/>
    <w:next w:val="BodyText"/>
    <w:autoRedefine/>
    <w:rsid w:val="00F70B92"/>
    <w:pPr>
      <w:ind w:left="2268"/>
    </w:pPr>
  </w:style>
  <w:style w:type="paragraph" w:styleId="TOC6">
    <w:name w:val="toc 6"/>
    <w:basedOn w:val="TOC5"/>
    <w:next w:val="BodyText"/>
    <w:autoRedefine/>
    <w:semiHidden/>
    <w:rsid w:val="00F70B92"/>
    <w:pPr>
      <w:ind w:left="1200"/>
    </w:pPr>
  </w:style>
  <w:style w:type="paragraph" w:styleId="TOC7">
    <w:name w:val="toc 7"/>
    <w:basedOn w:val="TOC6"/>
    <w:next w:val="BodyText"/>
    <w:autoRedefine/>
    <w:semiHidden/>
    <w:rsid w:val="00F70B92"/>
    <w:pPr>
      <w:ind w:left="1440"/>
    </w:pPr>
  </w:style>
  <w:style w:type="paragraph" w:styleId="TOC8">
    <w:name w:val="toc 8"/>
    <w:basedOn w:val="TOC7"/>
    <w:next w:val="BodyText"/>
    <w:autoRedefine/>
    <w:semiHidden/>
    <w:rsid w:val="00F70B92"/>
    <w:pPr>
      <w:ind w:left="1680"/>
    </w:pPr>
  </w:style>
  <w:style w:type="paragraph" w:styleId="TOC9">
    <w:name w:val="toc 9"/>
    <w:basedOn w:val="TOC8"/>
    <w:next w:val="BodyText"/>
    <w:autoRedefine/>
    <w:semiHidden/>
    <w:rsid w:val="00F70B92"/>
    <w:pPr>
      <w:ind w:left="1920"/>
    </w:pPr>
  </w:style>
  <w:style w:type="paragraph" w:customStyle="1" w:styleId="AcronymsList">
    <w:name w:val="Acronyms List"/>
    <w:basedOn w:val="BodyText"/>
    <w:rsid w:val="00776BAC"/>
    <w:pPr>
      <w:tabs>
        <w:tab w:val="clear" w:pos="567"/>
        <w:tab w:val="clear" w:pos="1134"/>
        <w:tab w:val="clear" w:pos="1701"/>
      </w:tabs>
      <w:ind w:left="2268" w:hanging="2268"/>
    </w:pPr>
  </w:style>
  <w:style w:type="paragraph" w:customStyle="1" w:styleId="ListLetter">
    <w:name w:val="List Letter"/>
    <w:basedOn w:val="BodyText"/>
    <w:rsid w:val="00360728"/>
    <w:pPr>
      <w:numPr>
        <w:numId w:val="9"/>
      </w:numPr>
    </w:pPr>
  </w:style>
  <w:style w:type="paragraph" w:customStyle="1" w:styleId="BlockText-ListBullet2">
    <w:name w:val="Block Text - List Bullet 2"/>
    <w:basedOn w:val="BlockText-ListBullet"/>
    <w:rsid w:val="00CB582D"/>
    <w:pPr>
      <w:numPr>
        <w:ilvl w:val="1"/>
      </w:numPr>
    </w:pPr>
  </w:style>
  <w:style w:type="paragraph" w:customStyle="1" w:styleId="BlockText-ListBullet3">
    <w:name w:val="Block Text - List Bullet 3"/>
    <w:basedOn w:val="BlockText-ListBullet2"/>
    <w:rsid w:val="00CB582D"/>
    <w:pPr>
      <w:numPr>
        <w:ilvl w:val="2"/>
      </w:numPr>
    </w:pPr>
  </w:style>
  <w:style w:type="paragraph" w:customStyle="1" w:styleId="BlockText-ListBullet4">
    <w:name w:val="Block Text - List Bullet 4"/>
    <w:basedOn w:val="BlockText-ListBullet3"/>
    <w:rsid w:val="00CB582D"/>
    <w:pPr>
      <w:numPr>
        <w:ilvl w:val="3"/>
      </w:numPr>
    </w:pPr>
  </w:style>
  <w:style w:type="paragraph" w:customStyle="1" w:styleId="BlockText-ListBullet5">
    <w:name w:val="Block Text - List Bullet 5"/>
    <w:basedOn w:val="BlockText-ListBullet4"/>
    <w:rsid w:val="00CB582D"/>
    <w:pPr>
      <w:numPr>
        <w:ilvl w:val="4"/>
      </w:numPr>
    </w:pPr>
  </w:style>
  <w:style w:type="paragraph" w:customStyle="1" w:styleId="ListLetter2">
    <w:name w:val="List Letter 2"/>
    <w:basedOn w:val="ListLetter"/>
    <w:rsid w:val="00360728"/>
    <w:pPr>
      <w:numPr>
        <w:ilvl w:val="1"/>
      </w:numPr>
    </w:pPr>
  </w:style>
  <w:style w:type="paragraph" w:customStyle="1" w:styleId="ListLetter3">
    <w:name w:val="List Letter 3"/>
    <w:basedOn w:val="ListLetter2"/>
    <w:rsid w:val="00360728"/>
    <w:pPr>
      <w:numPr>
        <w:ilvl w:val="2"/>
      </w:numPr>
    </w:pPr>
  </w:style>
  <w:style w:type="paragraph" w:customStyle="1" w:styleId="ListLetter4">
    <w:name w:val="List Letter 4"/>
    <w:basedOn w:val="ListLetter3"/>
    <w:rsid w:val="00360728"/>
    <w:pPr>
      <w:numPr>
        <w:ilvl w:val="3"/>
      </w:numPr>
    </w:pPr>
  </w:style>
  <w:style w:type="paragraph" w:customStyle="1" w:styleId="ListLetter5">
    <w:name w:val="List Letter 5"/>
    <w:basedOn w:val="ListLetter4"/>
    <w:rsid w:val="00360728"/>
    <w:pPr>
      <w:numPr>
        <w:ilvl w:val="4"/>
      </w:numPr>
    </w:pPr>
  </w:style>
  <w:style w:type="paragraph" w:customStyle="1" w:styleId="ListRoman">
    <w:name w:val="List Roman"/>
    <w:basedOn w:val="BodyText"/>
    <w:rsid w:val="00F36A43"/>
    <w:pPr>
      <w:numPr>
        <w:numId w:val="10"/>
      </w:numPr>
    </w:pPr>
  </w:style>
  <w:style w:type="paragraph" w:customStyle="1" w:styleId="ListRoman2">
    <w:name w:val="List Roman 2"/>
    <w:basedOn w:val="ListRoman"/>
    <w:rsid w:val="00F36A43"/>
    <w:pPr>
      <w:numPr>
        <w:ilvl w:val="1"/>
      </w:numPr>
    </w:pPr>
  </w:style>
  <w:style w:type="paragraph" w:customStyle="1" w:styleId="ListRoman3">
    <w:name w:val="List Roman 3"/>
    <w:basedOn w:val="ListRoman2"/>
    <w:rsid w:val="00F36A43"/>
    <w:pPr>
      <w:numPr>
        <w:ilvl w:val="2"/>
      </w:numPr>
    </w:pPr>
  </w:style>
  <w:style w:type="paragraph" w:customStyle="1" w:styleId="ListRoman4">
    <w:name w:val="List Roman 4"/>
    <w:basedOn w:val="ListRoman3"/>
    <w:rsid w:val="00F36A43"/>
    <w:pPr>
      <w:numPr>
        <w:ilvl w:val="3"/>
      </w:numPr>
    </w:pPr>
  </w:style>
  <w:style w:type="paragraph" w:customStyle="1" w:styleId="ListRoman5">
    <w:name w:val="List Roman 5"/>
    <w:basedOn w:val="ListRoman4"/>
    <w:rsid w:val="00F36A43"/>
    <w:pPr>
      <w:numPr>
        <w:ilvl w:val="4"/>
      </w:numPr>
    </w:pPr>
  </w:style>
  <w:style w:type="paragraph" w:customStyle="1" w:styleId="BlockText-ListNumber">
    <w:name w:val="Block Text - List Number"/>
    <w:basedOn w:val="BlockText"/>
    <w:rsid w:val="0042409B"/>
    <w:pPr>
      <w:numPr>
        <w:numId w:val="11"/>
      </w:numPr>
    </w:pPr>
  </w:style>
  <w:style w:type="paragraph" w:customStyle="1" w:styleId="BlockText-ListNumber2">
    <w:name w:val="Block Text - List Number 2"/>
    <w:basedOn w:val="BlockText-ListNumber"/>
    <w:rsid w:val="00CD7A03"/>
    <w:pPr>
      <w:numPr>
        <w:ilvl w:val="1"/>
      </w:numPr>
      <w:ind w:right="0"/>
    </w:pPr>
  </w:style>
  <w:style w:type="paragraph" w:customStyle="1" w:styleId="BlockText-ListNumber3">
    <w:name w:val="Block Text - List Number 3"/>
    <w:basedOn w:val="BlockText-ListNumber2"/>
    <w:rsid w:val="0042409B"/>
    <w:pPr>
      <w:numPr>
        <w:ilvl w:val="2"/>
      </w:numPr>
    </w:pPr>
  </w:style>
  <w:style w:type="paragraph" w:customStyle="1" w:styleId="BlockText-ListNumber4">
    <w:name w:val="Block Text - List Number 4"/>
    <w:basedOn w:val="BlockText-ListNumber3"/>
    <w:rsid w:val="0042409B"/>
    <w:pPr>
      <w:numPr>
        <w:ilvl w:val="3"/>
      </w:numPr>
    </w:pPr>
  </w:style>
  <w:style w:type="paragraph" w:customStyle="1" w:styleId="BlockText-ListNumber5">
    <w:name w:val="Block Text - List Number 5"/>
    <w:basedOn w:val="BlockText-ListNumber4"/>
    <w:rsid w:val="0042409B"/>
    <w:pPr>
      <w:numPr>
        <w:ilvl w:val="4"/>
      </w:numPr>
    </w:pPr>
  </w:style>
  <w:style w:type="paragraph" w:customStyle="1" w:styleId="BlockText-ListLetter">
    <w:name w:val="Block Text - List Letter"/>
    <w:basedOn w:val="BlockText"/>
    <w:rsid w:val="00274836"/>
    <w:pPr>
      <w:numPr>
        <w:numId w:val="12"/>
      </w:numPr>
    </w:pPr>
  </w:style>
  <w:style w:type="paragraph" w:customStyle="1" w:styleId="BlockText-ListLetter2">
    <w:name w:val="Block Text - List Letter 2"/>
    <w:basedOn w:val="BlockText-ListLetter"/>
    <w:rsid w:val="00CD7A03"/>
    <w:pPr>
      <w:numPr>
        <w:ilvl w:val="1"/>
      </w:numPr>
      <w:ind w:right="0"/>
    </w:pPr>
  </w:style>
  <w:style w:type="paragraph" w:customStyle="1" w:styleId="BlockText-ListLetter3">
    <w:name w:val="Block Text - List Letter 3"/>
    <w:basedOn w:val="BlockText-ListLetter2"/>
    <w:rsid w:val="00274836"/>
    <w:pPr>
      <w:numPr>
        <w:ilvl w:val="2"/>
      </w:numPr>
    </w:pPr>
  </w:style>
  <w:style w:type="paragraph" w:customStyle="1" w:styleId="BlockText-ListLetter4">
    <w:name w:val="Block Text - List Letter 4"/>
    <w:basedOn w:val="BlockText-ListLetter3"/>
    <w:rsid w:val="00274836"/>
    <w:pPr>
      <w:numPr>
        <w:ilvl w:val="3"/>
      </w:numPr>
    </w:pPr>
  </w:style>
  <w:style w:type="paragraph" w:customStyle="1" w:styleId="BlockText-ListLetter5">
    <w:name w:val="Block Text - List Letter 5"/>
    <w:basedOn w:val="BlockText-ListLetter4"/>
    <w:rsid w:val="00274836"/>
    <w:pPr>
      <w:numPr>
        <w:ilvl w:val="4"/>
      </w:numPr>
    </w:pPr>
  </w:style>
  <w:style w:type="paragraph" w:customStyle="1" w:styleId="BlockText-ListRoman">
    <w:name w:val="Block Text - List Roman"/>
    <w:basedOn w:val="BlockText"/>
    <w:rsid w:val="00806C7B"/>
    <w:pPr>
      <w:numPr>
        <w:numId w:val="13"/>
      </w:numPr>
    </w:pPr>
  </w:style>
  <w:style w:type="paragraph" w:customStyle="1" w:styleId="BlockText-ListRoman2">
    <w:name w:val="Block Text - List Roman 2"/>
    <w:basedOn w:val="BlockText-ListRoman"/>
    <w:rsid w:val="00CD7A03"/>
    <w:pPr>
      <w:numPr>
        <w:ilvl w:val="1"/>
      </w:numPr>
      <w:ind w:right="0"/>
    </w:pPr>
  </w:style>
  <w:style w:type="paragraph" w:customStyle="1" w:styleId="BlockText-ListRoman3">
    <w:name w:val="Block Text - List Roman 3"/>
    <w:basedOn w:val="BlockText-ListRoman2"/>
    <w:rsid w:val="00806C7B"/>
    <w:pPr>
      <w:numPr>
        <w:ilvl w:val="2"/>
      </w:numPr>
    </w:pPr>
  </w:style>
  <w:style w:type="paragraph" w:customStyle="1" w:styleId="BlockText-ListRoman4">
    <w:name w:val="Block Text - List Roman 4"/>
    <w:basedOn w:val="BlockText-ListRoman3"/>
    <w:rsid w:val="00806C7B"/>
    <w:pPr>
      <w:numPr>
        <w:ilvl w:val="3"/>
      </w:numPr>
    </w:pPr>
  </w:style>
  <w:style w:type="paragraph" w:customStyle="1" w:styleId="BlockText-ListRoman5">
    <w:name w:val="Block Text - List Roman 5"/>
    <w:basedOn w:val="BlockText-ListRoman4"/>
    <w:rsid w:val="00806C7B"/>
    <w:pPr>
      <w:numPr>
        <w:ilvl w:val="4"/>
      </w:numPr>
    </w:pPr>
  </w:style>
  <w:style w:type="paragraph" w:customStyle="1" w:styleId="Table-ListNumber">
    <w:name w:val="Table - List Number"/>
    <w:basedOn w:val="TableBody"/>
    <w:rsid w:val="005D1782"/>
    <w:pPr>
      <w:numPr>
        <w:numId w:val="14"/>
      </w:numPr>
    </w:pPr>
  </w:style>
  <w:style w:type="paragraph" w:customStyle="1" w:styleId="Table-ListLetter">
    <w:name w:val="Table - List Letter"/>
    <w:basedOn w:val="TableBody"/>
    <w:rsid w:val="005D1782"/>
    <w:pPr>
      <w:numPr>
        <w:numId w:val="15"/>
      </w:numPr>
    </w:pPr>
  </w:style>
  <w:style w:type="paragraph" w:customStyle="1" w:styleId="Table-ListBullet2">
    <w:name w:val="Table - List Bullet 2"/>
    <w:basedOn w:val="Table-ListBullet"/>
    <w:rsid w:val="00EA6977"/>
    <w:pPr>
      <w:numPr>
        <w:ilvl w:val="1"/>
      </w:numPr>
    </w:pPr>
  </w:style>
  <w:style w:type="paragraph" w:customStyle="1" w:styleId="Table-ListBullet3">
    <w:name w:val="Table - List Bullet 3"/>
    <w:basedOn w:val="Table-ListBullet2"/>
    <w:rsid w:val="00EA6977"/>
    <w:pPr>
      <w:numPr>
        <w:ilvl w:val="2"/>
      </w:numPr>
    </w:pPr>
  </w:style>
  <w:style w:type="paragraph" w:customStyle="1" w:styleId="Table-ListNumber2">
    <w:name w:val="Table - List Number 2"/>
    <w:basedOn w:val="Table-ListNumber"/>
    <w:rsid w:val="005D1782"/>
    <w:pPr>
      <w:numPr>
        <w:ilvl w:val="1"/>
      </w:numPr>
    </w:pPr>
  </w:style>
  <w:style w:type="paragraph" w:customStyle="1" w:styleId="Table-ListNumber3">
    <w:name w:val="Table - List Number 3"/>
    <w:basedOn w:val="Table-ListNumber2"/>
    <w:rsid w:val="005D1782"/>
    <w:pPr>
      <w:numPr>
        <w:ilvl w:val="2"/>
      </w:numPr>
    </w:pPr>
  </w:style>
  <w:style w:type="paragraph" w:customStyle="1" w:styleId="Table-ListLetter2">
    <w:name w:val="Table - List Letter 2"/>
    <w:basedOn w:val="Table-ListLetter"/>
    <w:rsid w:val="005D1782"/>
    <w:pPr>
      <w:numPr>
        <w:ilvl w:val="1"/>
      </w:numPr>
    </w:pPr>
  </w:style>
  <w:style w:type="paragraph" w:customStyle="1" w:styleId="Table-ListLetter3">
    <w:name w:val="Table - List Letter 3"/>
    <w:basedOn w:val="Table-ListLetter2"/>
    <w:rsid w:val="005D1782"/>
    <w:pPr>
      <w:numPr>
        <w:ilvl w:val="2"/>
      </w:numPr>
    </w:pPr>
  </w:style>
  <w:style w:type="paragraph" w:customStyle="1" w:styleId="Table-ListRoman">
    <w:name w:val="Table - List Roman"/>
    <w:basedOn w:val="TableBody"/>
    <w:rsid w:val="00CB6A63"/>
    <w:pPr>
      <w:numPr>
        <w:numId w:val="16"/>
      </w:numPr>
    </w:pPr>
  </w:style>
  <w:style w:type="paragraph" w:customStyle="1" w:styleId="Table-ListRoman2">
    <w:name w:val="Table - List Roman 2"/>
    <w:basedOn w:val="Table-ListRoman"/>
    <w:rsid w:val="00CB6A63"/>
    <w:pPr>
      <w:numPr>
        <w:ilvl w:val="1"/>
      </w:numPr>
    </w:pPr>
  </w:style>
  <w:style w:type="paragraph" w:customStyle="1" w:styleId="Table-ListRoman3">
    <w:name w:val="Table - List Roman 3"/>
    <w:basedOn w:val="Table-ListRoman2"/>
    <w:rsid w:val="00CB6A63"/>
    <w:pPr>
      <w:numPr>
        <w:ilvl w:val="2"/>
      </w:numPr>
    </w:pPr>
  </w:style>
  <w:style w:type="paragraph" w:customStyle="1" w:styleId="BlockText-ListContinue">
    <w:name w:val="Block Text - List Continue"/>
    <w:basedOn w:val="BlockText"/>
    <w:rsid w:val="00D76532"/>
    <w:pPr>
      <w:numPr>
        <w:numId w:val="23"/>
      </w:numPr>
    </w:pPr>
  </w:style>
  <w:style w:type="paragraph" w:customStyle="1" w:styleId="BlockText-ListContinue2">
    <w:name w:val="Block Text - List Continue 2"/>
    <w:basedOn w:val="BlockText-ListContinue"/>
    <w:rsid w:val="00D76532"/>
    <w:pPr>
      <w:numPr>
        <w:ilvl w:val="1"/>
      </w:numPr>
    </w:pPr>
  </w:style>
  <w:style w:type="paragraph" w:customStyle="1" w:styleId="BlockText-ListContinue3">
    <w:name w:val="Block Text - List Continue 3"/>
    <w:basedOn w:val="BlockText-ListContinue2"/>
    <w:rsid w:val="00D76532"/>
    <w:pPr>
      <w:numPr>
        <w:ilvl w:val="2"/>
      </w:numPr>
    </w:pPr>
  </w:style>
  <w:style w:type="paragraph" w:customStyle="1" w:styleId="BlockText-ListContinue4">
    <w:name w:val="Block Text - List Continue 4"/>
    <w:basedOn w:val="BlockText-ListContinue3"/>
    <w:rsid w:val="00D76532"/>
    <w:pPr>
      <w:numPr>
        <w:ilvl w:val="3"/>
      </w:numPr>
    </w:pPr>
  </w:style>
  <w:style w:type="paragraph" w:customStyle="1" w:styleId="BlockText-ListContinue5">
    <w:name w:val="Block Text - List Continue 5"/>
    <w:basedOn w:val="BlockText-ListContinue4"/>
    <w:rsid w:val="00D76532"/>
    <w:pPr>
      <w:numPr>
        <w:ilvl w:val="4"/>
      </w:numPr>
    </w:pPr>
  </w:style>
  <w:style w:type="paragraph" w:customStyle="1" w:styleId="Frontmatter">
    <w:name w:val="Frontmatter"/>
    <w:basedOn w:val="BodyText"/>
    <w:rsid w:val="0026498C"/>
    <w:pPr>
      <w:spacing w:after="120"/>
    </w:pPr>
    <w:rPr>
      <w:sz w:val="20"/>
    </w:rPr>
  </w:style>
  <w:style w:type="paragraph" w:customStyle="1" w:styleId="Titlepagetitle">
    <w:name w:val="Titlepage title"/>
    <w:rsid w:val="00F62238"/>
    <w:pPr>
      <w:spacing w:after="180" w:line="600" w:lineRule="exact"/>
      <w:jc w:val="center"/>
    </w:pPr>
    <w:rPr>
      <w:rFonts w:ascii="Arial" w:hAnsi="Arial" w:cs="Arial"/>
      <w:b/>
      <w:bCs/>
      <w:color w:val="333333"/>
      <w:kern w:val="28"/>
      <w:sz w:val="40"/>
      <w:szCs w:val="32"/>
      <w:lang w:eastAsia="en-GB"/>
    </w:rPr>
  </w:style>
  <w:style w:type="paragraph" w:customStyle="1" w:styleId="Titlepagesubtitle">
    <w:name w:val="Titlepage subtitle"/>
    <w:basedOn w:val="Titlepagetitle"/>
    <w:rsid w:val="0026498C"/>
    <w:pPr>
      <w:spacing w:before="320"/>
    </w:pPr>
    <w:rPr>
      <w:sz w:val="32"/>
    </w:rPr>
  </w:style>
  <w:style w:type="character" w:customStyle="1" w:styleId="Bolditalic">
    <w:name w:val="Bold italic"/>
    <w:rsid w:val="00ED2312"/>
    <w:rPr>
      <w:b/>
      <w:i/>
    </w:rPr>
  </w:style>
  <w:style w:type="paragraph" w:styleId="DocumentMap">
    <w:name w:val="Document Map"/>
    <w:basedOn w:val="Normal"/>
    <w:semiHidden/>
    <w:rsid w:val="00ED0217"/>
    <w:pPr>
      <w:shd w:val="clear" w:color="auto" w:fill="000080"/>
    </w:pPr>
    <w:rPr>
      <w:rFonts w:ascii="Tahoma" w:hAnsi="Tahoma" w:cs="Tahoma"/>
      <w:sz w:val="20"/>
      <w:szCs w:val="20"/>
    </w:rPr>
  </w:style>
  <w:style w:type="paragraph" w:customStyle="1" w:styleId="Wiki">
    <w:name w:val="Wiki"/>
    <w:basedOn w:val="BodyText"/>
    <w:semiHidden/>
    <w:rsid w:val="002973AB"/>
  </w:style>
  <w:style w:type="paragraph" w:styleId="Caption">
    <w:name w:val="caption"/>
    <w:basedOn w:val="BodyText"/>
    <w:next w:val="BodyText"/>
    <w:qFormat/>
    <w:rsid w:val="00D10B6F"/>
    <w:rPr>
      <w:b/>
      <w:bCs/>
      <w:sz w:val="20"/>
      <w:szCs w:val="20"/>
    </w:rPr>
  </w:style>
  <w:style w:type="paragraph" w:customStyle="1" w:styleId="Logo-Centred">
    <w:name w:val="Logo - Centred"/>
    <w:basedOn w:val="BodyText"/>
    <w:rsid w:val="00F62238"/>
    <w:pPr>
      <w:jc w:val="center"/>
    </w:pPr>
  </w:style>
  <w:style w:type="character" w:styleId="CommentReference">
    <w:name w:val="annotation reference"/>
    <w:semiHidden/>
    <w:rsid w:val="005913F7"/>
    <w:rPr>
      <w:sz w:val="16"/>
      <w:szCs w:val="16"/>
    </w:rPr>
  </w:style>
  <w:style w:type="paragraph" w:styleId="CommentText">
    <w:name w:val="annotation text"/>
    <w:basedOn w:val="Normal"/>
    <w:semiHidden/>
    <w:rsid w:val="005913F7"/>
    <w:rPr>
      <w:sz w:val="20"/>
      <w:szCs w:val="20"/>
    </w:rPr>
  </w:style>
  <w:style w:type="paragraph" w:styleId="BalloonText">
    <w:name w:val="Balloon Text"/>
    <w:basedOn w:val="Normal"/>
    <w:semiHidden/>
    <w:rsid w:val="005913F7"/>
    <w:rPr>
      <w:rFonts w:ascii="Tahoma" w:hAnsi="Tahoma" w:cs="Tahoma"/>
      <w:sz w:val="16"/>
      <w:szCs w:val="16"/>
    </w:rPr>
  </w:style>
  <w:style w:type="paragraph" w:styleId="CommentSubject">
    <w:name w:val="annotation subject"/>
    <w:basedOn w:val="CommentText"/>
    <w:next w:val="CommentText"/>
    <w:semiHidden/>
    <w:rsid w:val="00CB148C"/>
    <w:rPr>
      <w:b/>
      <w:bCs/>
    </w:rPr>
  </w:style>
  <w:style w:type="paragraph" w:customStyle="1" w:styleId="Letterhead">
    <w:name w:val="Letterhead"/>
    <w:rsid w:val="00D14762"/>
    <w:pPr>
      <w:jc w:val="right"/>
    </w:pPr>
    <w:rPr>
      <w:rFonts w:ascii="Arial Narrow" w:hAnsi="Arial Narrow"/>
      <w:color w:val="FFFFFF"/>
      <w:sz w:val="18"/>
      <w:szCs w:val="22"/>
      <w:lang w:eastAsia="en-GB"/>
    </w:rPr>
  </w:style>
  <w:style w:type="paragraph" w:customStyle="1" w:styleId="Letterheadlinks">
    <w:name w:val="Letterhead links"/>
    <w:basedOn w:val="Letterhead"/>
    <w:rsid w:val="00E0423E"/>
    <w:rPr>
      <w:sz w:val="19"/>
      <w:szCs w:val="20"/>
    </w:rPr>
  </w:style>
  <w:style w:type="character" w:styleId="UnresolvedMention">
    <w:name w:val="Unresolved Mention"/>
    <w:basedOn w:val="DefaultParagraphFont"/>
    <w:uiPriority w:val="99"/>
    <w:semiHidden/>
    <w:unhideWhenUsed/>
    <w:rsid w:val="007D017A"/>
    <w:rPr>
      <w:color w:val="605E5C"/>
      <w:shd w:val="clear" w:color="auto" w:fill="E1DFDD"/>
    </w:rPr>
  </w:style>
  <w:style w:type="paragraph" w:styleId="Quote">
    <w:name w:val="Quote"/>
    <w:basedOn w:val="Normal"/>
    <w:next w:val="Normal"/>
    <w:link w:val="QuoteChar"/>
    <w:uiPriority w:val="29"/>
    <w:qFormat/>
    <w:rsid w:val="00A47BFA"/>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A47BFA"/>
    <w:rPr>
      <w:rFonts w:ascii="Arial" w:hAnsi="Arial"/>
      <w:i/>
      <w:iCs/>
      <w:color w:val="404040" w:themeColor="text1" w:themeTint="BF"/>
      <w:sz w:val="24"/>
      <w:szCs w:val="22"/>
      <w:lang w:eastAsia="en-GB"/>
    </w:rPr>
  </w:style>
  <w:style w:type="paragraph" w:styleId="EndnoteText">
    <w:name w:val="endnote text"/>
    <w:basedOn w:val="Normal"/>
    <w:link w:val="EndnoteTextChar"/>
    <w:rsid w:val="001514AA"/>
    <w:rPr>
      <w:sz w:val="20"/>
      <w:szCs w:val="20"/>
    </w:rPr>
  </w:style>
  <w:style w:type="character" w:customStyle="1" w:styleId="EndnoteTextChar">
    <w:name w:val="Endnote Text Char"/>
    <w:basedOn w:val="DefaultParagraphFont"/>
    <w:link w:val="EndnoteText"/>
    <w:rsid w:val="001514AA"/>
    <w:rPr>
      <w:rFonts w:ascii="Arial" w:hAnsi="Arial"/>
      <w:lang w:eastAsia="en-GB"/>
    </w:rPr>
  </w:style>
  <w:style w:type="character" w:styleId="EndnoteReference">
    <w:name w:val="endnote reference"/>
    <w:basedOn w:val="DefaultParagraphFont"/>
    <w:rsid w:val="001514AA"/>
    <w:rPr>
      <w:vertAlign w:val="superscript"/>
    </w:rPr>
  </w:style>
  <w:style w:type="character" w:styleId="IntenseEmphasis">
    <w:name w:val="Intense Emphasis"/>
    <w:basedOn w:val="DefaultParagraphFont"/>
    <w:uiPriority w:val="21"/>
    <w:qFormat/>
    <w:rsid w:val="00024F48"/>
    <w:rPr>
      <w:i/>
      <w:iCs/>
      <w:color w:val="5B9BD5" w:themeColor="accent1"/>
    </w:rPr>
  </w:style>
  <w:style w:type="character" w:customStyle="1" w:styleId="FootnoteTextChar">
    <w:name w:val="Footnote Text Char"/>
    <w:basedOn w:val="DefaultParagraphFont"/>
    <w:link w:val="FootnoteText"/>
    <w:rsid w:val="001A79CB"/>
    <w:rPr>
      <w:rFonts w:ascii="Arial" w:hAnsi="Arial"/>
      <w:sz w:val="18"/>
      <w:lang w:eastAsia="en-GB"/>
    </w:rPr>
  </w:style>
  <w:style w:type="paragraph" w:styleId="ListParagraph">
    <w:name w:val="List Paragraph"/>
    <w:basedOn w:val="Normal"/>
    <w:uiPriority w:val="34"/>
    <w:qFormat/>
    <w:rsid w:val="00BB03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3862253">
      <w:bodyDiv w:val="1"/>
      <w:marLeft w:val="0"/>
      <w:marRight w:val="0"/>
      <w:marTop w:val="0"/>
      <w:marBottom w:val="0"/>
      <w:divBdr>
        <w:top w:val="none" w:sz="0" w:space="0" w:color="auto"/>
        <w:left w:val="none" w:sz="0" w:space="0" w:color="auto"/>
        <w:bottom w:val="none" w:sz="0" w:space="0" w:color="auto"/>
        <w:right w:val="none" w:sz="0" w:space="0" w:color="auto"/>
      </w:divBdr>
    </w:div>
    <w:div w:id="1573390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emf"/><Relationship Id="rId18" Type="http://schemas.openxmlformats.org/officeDocument/2006/relationships/footer" Target="footer1.xml"/><Relationship Id="rId3" Type="http://schemas.openxmlformats.org/officeDocument/2006/relationships/customXml" Target="../customXml/item2.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mailto:actcoss@actcoss.org.au" TargetMode="External"/><Relationship Id="rId17" Type="http://schemas.openxmlformats.org/officeDocument/2006/relationships/image" Target="media/image3.jpeg"/><Relationship Id="rId2" Type="http://schemas.openxmlformats.org/officeDocument/2006/relationships/customXml" Target="../customXml/item1.xml"/><Relationship Id="rId16" Type="http://schemas.openxmlformats.org/officeDocument/2006/relationships/hyperlink" Target="mailto:icrc@act.gov.au" TargetMode="Externa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image" Target="media/image2.emf"/><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mailto:actcoss@actcoss.org.au"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actcoss.org.au/publications/advocacy-publications/submission-icrc-retail-electricity-price-investigation-2020-24" TargetMode="External"/><Relationship Id="rId13" Type="http://schemas.openxmlformats.org/officeDocument/2006/relationships/hyperlink" Target="https://www.aer.gov.au/retail-markets/performance-reporting/retail-energy-market-performance-update-for-quarter-4-2019&#8211;20" TargetMode="External"/><Relationship Id="rId3" Type="http://schemas.openxmlformats.org/officeDocument/2006/relationships/hyperlink" Target="https://www.acoss.org.au/wp-content/uploads/2020/11/Joint-ACOSS-submission-to-ESB-post-2025-market-design-Final-26102020.pdf" TargetMode="External"/><Relationship Id="rId7" Type="http://schemas.openxmlformats.org/officeDocument/2006/relationships/hyperlink" Target="https://www.aer.gov.au/retail-markets/performance-reporting/retail-energy-market-performance-update-for-quarter-4-2019&#8211;20" TargetMode="External"/><Relationship Id="rId12" Type="http://schemas.openxmlformats.org/officeDocument/2006/relationships/hyperlink" Target="https://aemo.com.au/en/initiatives/major-programs/past-major-programs/nem-power-of-choice" TargetMode="External"/><Relationship Id="rId2" Type="http://schemas.openxmlformats.org/officeDocument/2006/relationships/hyperlink" Target="https://www.icrc.act.gov.au/energy/review-of-the-form-of-electricity-price-control" TargetMode="External"/><Relationship Id="rId16" Type="http://schemas.openxmlformats.org/officeDocument/2006/relationships/hyperlink" Target="https://www.aer.gov.au/retail-markets/performance-reporting/retail-energy-market-performance-update-for-quarter-4-2019&#8211;20" TargetMode="External"/><Relationship Id="rId1" Type="http://schemas.openxmlformats.org/officeDocument/2006/relationships/hyperlink" Target="https://www.icrc.act.gov.au/energy/review-of-the-form-of-electricity-price-control" TargetMode="External"/><Relationship Id="rId6" Type="http://schemas.openxmlformats.org/officeDocument/2006/relationships/hyperlink" Target="https://www.aer.gov.au/retail-markets/performance-reporting/annual-retail-markets-report-2019&#8211;20" TargetMode="External"/><Relationship Id="rId11" Type="http://schemas.openxmlformats.org/officeDocument/2006/relationships/hyperlink" Target="https://www.energymadeeasy.gov.au/article/electricity-tariffs" TargetMode="External"/><Relationship Id="rId5" Type="http://schemas.openxmlformats.org/officeDocument/2006/relationships/hyperlink" Target="https://www.cmtedd.act.gov.au/__data/assets/pdf_file/0003/1654077/Parliamentary-Agreement-for-the-10th-Legislative-Assembly.pdf" TargetMode="External"/><Relationship Id="rId15" Type="http://schemas.openxmlformats.org/officeDocument/2006/relationships/hyperlink" Target="https://cprc.org.au/projects/exploring-regulatory-approaches-to-consumer-vulnerability/" TargetMode="External"/><Relationship Id="rId10" Type="http://schemas.openxmlformats.org/officeDocument/2006/relationships/hyperlink" Target="https://www.energymadeeasy.gov.au/article/electricity-tariffs" TargetMode="External"/><Relationship Id="rId4" Type="http://schemas.openxmlformats.org/officeDocument/2006/relationships/hyperlink" Target="https://esb-post2025-market-design.aemc.gov.au/" TargetMode="External"/><Relationship Id="rId9" Type="http://schemas.openxmlformats.org/officeDocument/2006/relationships/hyperlink" Target="https://www.energymadeeasy.gov.au/article/electricity-tariffs" TargetMode="External"/><Relationship Id="rId14" Type="http://schemas.openxmlformats.org/officeDocument/2006/relationships/hyperlink" Target="https://www.aer.gov.au/retail-markets/performance-reporting/retail-energy-market-performance-update-for-quarter-4-2019&#8211;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393A2617EF7DB41893826E3ECAAB324" ma:contentTypeVersion="12" ma:contentTypeDescription="Create a new document." ma:contentTypeScope="" ma:versionID="01a138b6a95218183de8ebe80020cf6b">
  <xsd:schema xmlns:xsd="http://www.w3.org/2001/XMLSchema" xmlns:xs="http://www.w3.org/2001/XMLSchema" xmlns:p="http://schemas.microsoft.com/office/2006/metadata/properties" xmlns:ns2="32918964-d11d-4bda-ba04-9b8184f6a173" xmlns:ns3="ef2741e4-cc31-428c-aca2-d2da616e4ed0" targetNamespace="http://schemas.microsoft.com/office/2006/metadata/properties" ma:root="true" ma:fieldsID="431662d7eb09e2a557c59d4761d66a95" ns2:_="" ns3:_="">
    <xsd:import namespace="32918964-d11d-4bda-ba04-9b8184f6a173"/>
    <xsd:import namespace="ef2741e4-cc31-428c-aca2-d2da616e4ed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EventHashCode" minOccurs="0"/>
                <xsd:element ref="ns2:MediaServiceGenerationTime"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918964-d11d-4bda-ba04-9b8184f6a1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f2741e4-cc31-428c-aca2-d2da616e4ed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0FC7CF4-1FA6-4218-B61B-FF0A4A5462DC}">
  <ds:schemaRefs>
    <ds:schemaRef ds:uri="http://schemas.openxmlformats.org/officeDocument/2006/bibliography"/>
  </ds:schemaRefs>
</ds:datastoreItem>
</file>

<file path=customXml/itemProps2.xml><?xml version="1.0" encoding="utf-8"?>
<ds:datastoreItem xmlns:ds="http://schemas.openxmlformats.org/officeDocument/2006/customXml" ds:itemID="{39D335FF-DB65-4B0F-B6E1-0AB186B2CBDA}">
  <ds:schemaRefs>
    <ds:schemaRef ds:uri="http://schemas.microsoft.com/sharepoint/v3/contenttype/forms"/>
  </ds:schemaRefs>
</ds:datastoreItem>
</file>

<file path=customXml/itemProps3.xml><?xml version="1.0" encoding="utf-8"?>
<ds:datastoreItem xmlns:ds="http://schemas.openxmlformats.org/officeDocument/2006/customXml" ds:itemID="{FC050052-3E6F-4F9E-A45B-0D6BAED46B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918964-d11d-4bda-ba04-9b8184f6a173"/>
    <ds:schemaRef ds:uri="ef2741e4-cc31-428c-aca2-d2da616e4e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F78ABEB-AADE-4EE0-BB5B-A8F890637079}">
  <ds:schemaRefs>
    <ds:schemaRef ds:uri="http://schemas.microsoft.com/office/infopath/2007/PartnerControls"/>
    <ds:schemaRef ds:uri="http://purl.org/dc/elements/1.1/"/>
    <ds:schemaRef ds:uri="ef2741e4-cc31-428c-aca2-d2da616e4ed0"/>
    <ds:schemaRef ds:uri="32918964-d11d-4bda-ba04-9b8184f6a173"/>
    <ds:schemaRef ds:uri="http://purl.org/dc/terms/"/>
    <ds:schemaRef ds:uri="http://schemas.microsoft.com/office/2006/documentManagement/types"/>
    <ds:schemaRef ds:uri="http://schemas.microsoft.com/office/2006/metadata/propertie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1783</TotalTime>
  <Pages>16</Pages>
  <Words>3874</Words>
  <Characters>21811</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LTR</vt:lpstr>
    </vt:vector>
  </TitlesOfParts>
  <Company>ACT Council of Social Service</Company>
  <LinksUpToDate>false</LinksUpToDate>
  <CharactersWithSpaces>25634</CharactersWithSpaces>
  <SharedDoc>false</SharedDoc>
  <HLinks>
    <vt:vector size="6" baseType="variant">
      <vt:variant>
        <vt:i4>721016</vt:i4>
      </vt:variant>
      <vt:variant>
        <vt:i4>0</vt:i4>
      </vt:variant>
      <vt:variant>
        <vt:i4>0</vt:i4>
      </vt:variant>
      <vt:variant>
        <vt:i4>5</vt:i4>
      </vt:variant>
      <vt:variant>
        <vt:lpwstr>mailto:actcoss@actcoss.org.au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to Issues Paper on the Review of the Retail Electricity Form of Price Control</dc:title>
  <dc:subject/>
  <dc:creator/>
  <cp:keywords/>
  <cp:lastModifiedBy>Suzanne Richardson</cp:lastModifiedBy>
  <cp:revision>1134</cp:revision>
  <cp:lastPrinted>2011-07-22T03:29:00Z</cp:lastPrinted>
  <dcterms:created xsi:type="dcterms:W3CDTF">2020-12-07T22:43:00Z</dcterms:created>
  <dcterms:modified xsi:type="dcterms:W3CDTF">2021-01-27T00:09:00Z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completed">
    <vt:filetime>2010-02-07T13:00:00Z</vt:filetime>
  </property>
  <property fmtid="{D5CDD505-2E9C-101B-9397-08002B2CF9AE}" pid="3" name="ContentTypeId">
    <vt:lpwstr>0x010100A393A2617EF7DB41893826E3ECAAB324</vt:lpwstr>
  </property>
  <property fmtid="{D5CDD505-2E9C-101B-9397-08002B2CF9AE}" pid="4" name="Order">
    <vt:r8>633600</vt:r8>
  </property>
</Properties>
</file>