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CE44" w14:textId="72DA7629" w:rsidR="00EC2A44" w:rsidRDefault="007369B0" w:rsidP="00EC2A44">
      <w:pPr>
        <w:rPr>
          <w:noProof/>
          <w:lang w:eastAsia="en-AU"/>
        </w:rPr>
      </w:pPr>
      <w:bookmarkStart w:id="0" w:name="Text1"/>
      <w:r>
        <w:rPr>
          <w:noProof/>
          <w:lang w:eastAsia="en-AU"/>
        </w:rPr>
        <mc:AlternateContent>
          <mc:Choice Requires="wpg">
            <w:drawing>
              <wp:anchor distT="0" distB="0" distL="114300" distR="114300" simplePos="0" relativeHeight="251657728"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1/6 Gritten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07460B"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7728"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1/6 Gritten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07460B" w:rsidP="00E0423E">
                        <w:pPr>
                          <w:pStyle w:val="Letterheadlinks"/>
                        </w:pPr>
                        <w:hyperlink r:id="rId13"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
                </v:shape>
              </v:group>
            </w:pict>
          </mc:Fallback>
        </mc:AlternateContent>
      </w:r>
      <w:bookmarkStart w:id="1" w:name="Text2"/>
      <w:bookmarkEnd w:id="0"/>
      <w:r w:rsidR="00E50472">
        <w:rPr>
          <w:noProof/>
          <w:lang w:eastAsia="en-AU"/>
        </w:rPr>
        <w:t>Mr</w:t>
      </w:r>
      <w:r w:rsidR="000F4CB7" w:rsidRPr="000F4CB7">
        <w:rPr>
          <w:noProof/>
          <w:lang w:eastAsia="en-AU"/>
        </w:rPr>
        <w:t xml:space="preserve"> Joe Dimasi</w:t>
      </w:r>
    </w:p>
    <w:p w14:paraId="41F3EB92" w14:textId="7E0BB804" w:rsidR="00E50472" w:rsidRDefault="00E50472" w:rsidP="00EC2A44">
      <w:r>
        <w:rPr>
          <w:noProof/>
          <w:lang w:eastAsia="en-AU"/>
        </w:rPr>
        <w:t>Senior Commissioner</w:t>
      </w:r>
    </w:p>
    <w:p w14:paraId="4DCA609D" w14:textId="77777777" w:rsidR="005B4C3F" w:rsidRDefault="005B4C3F" w:rsidP="00EC2A44">
      <w:bookmarkStart w:id="2" w:name="Text3"/>
      <w:bookmarkEnd w:id="1"/>
      <w:r w:rsidRPr="005B4C3F">
        <w:t xml:space="preserve">Independent Competition and Regulatory Commission </w:t>
      </w:r>
    </w:p>
    <w:p w14:paraId="7C34B2D3" w14:textId="77777777" w:rsidR="007A7C1A" w:rsidRDefault="005B4C3F" w:rsidP="005B4C3F">
      <w:r w:rsidRPr="005B4C3F">
        <w:t xml:space="preserve">PO Box 161 </w:t>
      </w:r>
    </w:p>
    <w:p w14:paraId="66EDCE48" w14:textId="40724E5A" w:rsidR="00E0423E" w:rsidRDefault="005B4C3F" w:rsidP="005B4C3F">
      <w:r w:rsidRPr="005B4C3F">
        <w:t xml:space="preserve">Civic Square ACT 2608 </w:t>
      </w:r>
      <w:bookmarkEnd w:id="2"/>
    </w:p>
    <w:p w14:paraId="5E189376" w14:textId="77777777" w:rsidR="005B4C3F" w:rsidRDefault="005B4C3F" w:rsidP="005B4C3F"/>
    <w:p w14:paraId="66EDCE49" w14:textId="30A29D8A" w:rsidR="00E0423E" w:rsidRDefault="00E0423E" w:rsidP="00C12F9E">
      <w:pPr>
        <w:pStyle w:val="BodyText"/>
      </w:pPr>
      <w:r>
        <w:t xml:space="preserve">Via email: </w:t>
      </w:r>
      <w:r w:rsidR="009D4F6E">
        <w:t>icrc@act.gov.au</w:t>
      </w:r>
    </w:p>
    <w:p w14:paraId="66EDCE4A" w14:textId="77777777" w:rsidR="00E0423E" w:rsidRDefault="00E0423E" w:rsidP="00C12F9E">
      <w:pPr>
        <w:pStyle w:val="BodyText"/>
      </w:pPr>
    </w:p>
    <w:p w14:paraId="66EDCE4C" w14:textId="214B23D3" w:rsidR="00E0423E" w:rsidRDefault="00E0423E" w:rsidP="00C12F9E">
      <w:pPr>
        <w:pStyle w:val="BodyText"/>
      </w:pPr>
      <w:r>
        <w:t xml:space="preserve">Dear </w:t>
      </w:r>
      <w:r w:rsidR="009D4F6E">
        <w:t xml:space="preserve">Mr </w:t>
      </w:r>
      <w:proofErr w:type="spellStart"/>
      <w:r w:rsidR="009D4F6E">
        <w:t>Dimasi</w:t>
      </w:r>
      <w:proofErr w:type="spellEnd"/>
    </w:p>
    <w:p w14:paraId="66EDCE4D" w14:textId="456B820B" w:rsidR="00E0423E" w:rsidRPr="00E0423E" w:rsidRDefault="009D4F6E" w:rsidP="00C12F9E">
      <w:pPr>
        <w:pStyle w:val="BodyText"/>
        <w:rPr>
          <w:rStyle w:val="Bold"/>
        </w:rPr>
      </w:pPr>
      <w:r>
        <w:rPr>
          <w:rStyle w:val="Bold"/>
        </w:rPr>
        <w:t xml:space="preserve">Submission to </w:t>
      </w:r>
      <w:r w:rsidR="0062615B">
        <w:rPr>
          <w:rStyle w:val="Bold"/>
        </w:rPr>
        <w:t xml:space="preserve">ICRC </w:t>
      </w:r>
      <w:r w:rsidR="00314BBC">
        <w:rPr>
          <w:rStyle w:val="Bold"/>
        </w:rPr>
        <w:t xml:space="preserve">Issues Paper: </w:t>
      </w:r>
      <w:r w:rsidR="00EF408A" w:rsidRPr="00EF408A">
        <w:rPr>
          <w:rStyle w:val="Bold"/>
        </w:rPr>
        <w:t>Review of Methodologies for the Weighted Average Cost of Capital</w:t>
      </w:r>
    </w:p>
    <w:p w14:paraId="66EDCE4E" w14:textId="49DEC532" w:rsidR="00E0423E" w:rsidRDefault="00EF408A" w:rsidP="00C12F9E">
      <w:pPr>
        <w:pStyle w:val="BodyText"/>
      </w:pPr>
      <w:r>
        <w:t xml:space="preserve">The ACT Council of Social Service (ACTCOSS) represents not-for-profit community organisations and advocates for social justice in the ACT. </w:t>
      </w:r>
      <w:r w:rsidR="00135248">
        <w:t>ACTCOSS</w:t>
      </w:r>
      <w:r w:rsidR="00B4591B">
        <w:t>’s</w:t>
      </w:r>
      <w:r w:rsidR="00135248">
        <w:t xml:space="preserve"> advocacy work includes a focus on poverty, inequality, and the cost of living for low-income households in the ACT.</w:t>
      </w:r>
    </w:p>
    <w:p w14:paraId="21E0E77A" w14:textId="65A2C593" w:rsidR="00135248" w:rsidRDefault="001061EC" w:rsidP="00C12F9E">
      <w:pPr>
        <w:pStyle w:val="BodyText"/>
      </w:pPr>
      <w:r>
        <w:t xml:space="preserve">We welcome the opportunity to respond to the Independent Competition and Regulatory Commission’s (ICRC’s) Issues Paper on </w:t>
      </w:r>
      <w:r w:rsidR="00C5443F">
        <w:t xml:space="preserve">the review of methodologies for the weighted average cost of capital. </w:t>
      </w:r>
    </w:p>
    <w:p w14:paraId="3CDF9AA9" w14:textId="77777777" w:rsidR="007F0E75" w:rsidRDefault="007F0E75" w:rsidP="00C12F9E">
      <w:pPr>
        <w:pStyle w:val="BodyText"/>
      </w:pPr>
      <w:r>
        <w:t xml:space="preserve">As set out in the Issues Paper, the </w:t>
      </w:r>
      <w:r w:rsidR="00E41323">
        <w:t xml:space="preserve">ICRC’s </w:t>
      </w:r>
      <w:r w:rsidR="004040AD" w:rsidRPr="004040AD">
        <w:t xml:space="preserve">review of the methodology for </w:t>
      </w:r>
      <w:r w:rsidR="00E41323">
        <w:t xml:space="preserve">the </w:t>
      </w:r>
      <w:r>
        <w:t xml:space="preserve">weighted average cost of capital (WACC) for </w:t>
      </w:r>
      <w:r w:rsidR="004040AD" w:rsidRPr="004040AD">
        <w:t xml:space="preserve">water and sewerage services </w:t>
      </w:r>
    </w:p>
    <w:p w14:paraId="30828127" w14:textId="6EB6FED5" w:rsidR="004040AD" w:rsidRDefault="007F0E75" w:rsidP="007F0E75">
      <w:pPr>
        <w:pStyle w:val="Quote"/>
        <w:jc w:val="left"/>
      </w:pPr>
      <w:r>
        <w:t xml:space="preserve">… </w:t>
      </w:r>
      <w:r w:rsidR="004040AD" w:rsidRPr="004040AD">
        <w:t xml:space="preserve">seeks to ensure that the </w:t>
      </w:r>
      <w:r>
        <w:t>[ICRC’s]</w:t>
      </w:r>
      <w:r w:rsidR="004040AD" w:rsidRPr="004040AD">
        <w:t xml:space="preserve"> approach to determining water and sewerage services prices provides an appropriate return on Icon Water’s investments and encourages prudent and efficient investments for delivering services. It also ensures the Commission’s regulatory framework continues to be consistent with the Commission’s objectives in the Independent Competition and Regulatory Commission Act 1997 (the ICRC Act).</w:t>
      </w:r>
    </w:p>
    <w:p w14:paraId="7D5B35B3" w14:textId="455BAB35" w:rsidR="00BC2BC2" w:rsidRPr="00BC2BC2" w:rsidRDefault="00BC2BC2" w:rsidP="00A45EB0">
      <w:r>
        <w:t xml:space="preserve">ACTCOSS supports the review of the WACC methodology for water and sewerage services to </w:t>
      </w:r>
      <w:r w:rsidR="00A45EB0">
        <w:t>ensure that it</w:t>
      </w:r>
      <w:r w:rsidR="00A45EB0" w:rsidRPr="00A45EB0">
        <w:t xml:space="preserve"> </w:t>
      </w:r>
      <w:r w:rsidR="00A45EB0">
        <w:t>is fit</w:t>
      </w:r>
      <w:r w:rsidR="00EE335B">
        <w:t>-</w:t>
      </w:r>
      <w:r w:rsidR="00A45EB0">
        <w:t>for</w:t>
      </w:r>
      <w:r w:rsidR="00EE335B">
        <w:t>-</w:t>
      </w:r>
      <w:r w:rsidR="00A45EB0">
        <w:t>purpose</w:t>
      </w:r>
      <w:r w:rsidR="00041669">
        <w:t>. ACTCOSS</w:t>
      </w:r>
      <w:r w:rsidR="00A45EB0">
        <w:t xml:space="preserve"> considers stability and consistency of the WACC </w:t>
      </w:r>
      <w:r w:rsidR="006F1FDA">
        <w:t>is</w:t>
      </w:r>
      <w:r w:rsidR="00A45EB0">
        <w:t xml:space="preserve"> generally a positive</w:t>
      </w:r>
      <w:r w:rsidR="004A0E71">
        <w:t xml:space="preserve"> </w:t>
      </w:r>
      <w:r w:rsidR="00A45EB0">
        <w:t xml:space="preserve">outcome for consumers, </w:t>
      </w:r>
      <w:r w:rsidR="001D6A6E">
        <w:t>though we stress</w:t>
      </w:r>
      <w:r w:rsidR="00A45EB0">
        <w:t xml:space="preserve"> the importance of keeping </w:t>
      </w:r>
      <w:r w:rsidR="004A0E71">
        <w:t xml:space="preserve">the </w:t>
      </w:r>
      <w:r w:rsidR="00A45EB0">
        <w:t>WACC no higher than</w:t>
      </w:r>
      <w:r w:rsidR="001D6A6E">
        <w:t xml:space="preserve"> necessary</w:t>
      </w:r>
      <w:r w:rsidR="00A45EB0">
        <w:t>, particularly in the interest of supporting affordability and allowing</w:t>
      </w:r>
      <w:r w:rsidR="001D6A6E">
        <w:t xml:space="preserve"> </w:t>
      </w:r>
      <w:r w:rsidR="00A45EB0">
        <w:t>households to budget effectively for the essential service of water.</w:t>
      </w:r>
    </w:p>
    <w:p w14:paraId="1C912895" w14:textId="6781788B" w:rsidR="007F0E75" w:rsidRDefault="00407FD7" w:rsidP="007C4F4E">
      <w:pPr>
        <w:pStyle w:val="Heading4"/>
      </w:pPr>
      <w:r>
        <w:lastRenderedPageBreak/>
        <w:t xml:space="preserve">Keeping </w:t>
      </w:r>
      <w:r w:rsidR="004D5DBB">
        <w:t xml:space="preserve">social and community impact at the centre </w:t>
      </w:r>
      <w:r w:rsidR="007C4F4E">
        <w:t>of the review</w:t>
      </w:r>
    </w:p>
    <w:p w14:paraId="6CFA68CD" w14:textId="08062D75" w:rsidR="007C4F4E" w:rsidRDefault="00C65056" w:rsidP="007C4F4E">
      <w:pPr>
        <w:pStyle w:val="BodyText"/>
      </w:pPr>
      <w:r>
        <w:t>The ICRC’s issues paper proposes the following assessment criteria for the review</w:t>
      </w:r>
      <w:r w:rsidR="00DB0322">
        <w:t>:</w:t>
      </w:r>
    </w:p>
    <w:p w14:paraId="744A97B3" w14:textId="5C0D4C74" w:rsidR="00DB0322" w:rsidRDefault="00DB0322" w:rsidP="00DB0322">
      <w:pPr>
        <w:pStyle w:val="ListNumber"/>
      </w:pPr>
      <w:r>
        <w:t xml:space="preserve">Reliance on sound methods and robust analysis </w:t>
      </w:r>
    </w:p>
    <w:p w14:paraId="6CAAA89C" w14:textId="41E5E620" w:rsidR="00DB0322" w:rsidRDefault="00DB0322" w:rsidP="00DB0322">
      <w:pPr>
        <w:pStyle w:val="ListNumber"/>
      </w:pPr>
      <w:r>
        <w:t>Transparency and replicability</w:t>
      </w:r>
    </w:p>
    <w:p w14:paraId="6A1348CD" w14:textId="2BBA3F74" w:rsidR="00DB0322" w:rsidRDefault="00DB0322" w:rsidP="00DB0322">
      <w:pPr>
        <w:pStyle w:val="ListNumber"/>
      </w:pPr>
      <w:r>
        <w:t>Stability over time</w:t>
      </w:r>
    </w:p>
    <w:p w14:paraId="41BDF8D7" w14:textId="30AD8579" w:rsidR="00DB0322" w:rsidRDefault="00DB0322" w:rsidP="00DB0322">
      <w:pPr>
        <w:pStyle w:val="ListNumber"/>
      </w:pPr>
      <w:r>
        <w:t>Consistency with best regulatory practice.</w:t>
      </w:r>
    </w:p>
    <w:p w14:paraId="0BE6533E" w14:textId="04D2B875" w:rsidR="002D51CC" w:rsidRDefault="002D51CC" w:rsidP="00B30515">
      <w:pPr>
        <w:pStyle w:val="BodyText"/>
      </w:pPr>
      <w:r>
        <w:t>ACTCOSS</w:t>
      </w:r>
      <w:r w:rsidR="00906717">
        <w:t xml:space="preserve"> supports the assessment criteria proposed by the ICRC based on our understanding that th</w:t>
      </w:r>
      <w:r w:rsidR="007C5392">
        <w:t>ese will address the ICRC’s legislative objectives and the</w:t>
      </w:r>
      <w:r w:rsidR="00B30515">
        <w:t xml:space="preserve"> ICRC’s regulatory objectives and pricing principles</w:t>
      </w:r>
      <w:r w:rsidR="00D841DE">
        <w:t xml:space="preserve"> – including those that </w:t>
      </w:r>
      <w:r w:rsidR="00327B19">
        <w:t xml:space="preserve">require the ICRC to </w:t>
      </w:r>
      <w:r w:rsidR="00A43221">
        <w:t xml:space="preserve">consider </w:t>
      </w:r>
      <w:r w:rsidR="007F3C11">
        <w:t>the social and economic impact of decisions.</w:t>
      </w:r>
    </w:p>
    <w:p w14:paraId="31EA693C" w14:textId="172D3C3E" w:rsidR="006856E7" w:rsidRDefault="00A67E38" w:rsidP="00DB0322">
      <w:pPr>
        <w:pStyle w:val="ListNumber"/>
        <w:numPr>
          <w:ilvl w:val="0"/>
          <w:numId w:val="0"/>
        </w:numPr>
        <w:ind w:left="567" w:hanging="567"/>
      </w:pPr>
      <w:r>
        <w:t>The</w:t>
      </w:r>
      <w:r w:rsidR="006856E7">
        <w:t xml:space="preserve"> ICRC</w:t>
      </w:r>
      <w:r>
        <w:t>’s issues paper states that</w:t>
      </w:r>
      <w:r w:rsidR="009201AA">
        <w:t xml:space="preserve"> it</w:t>
      </w:r>
    </w:p>
    <w:p w14:paraId="700A8C10" w14:textId="7F81A0D3" w:rsidR="00DB0322" w:rsidRPr="007C4F4E" w:rsidRDefault="006856E7" w:rsidP="006856E7">
      <w:pPr>
        <w:pStyle w:val="Quote"/>
        <w:jc w:val="left"/>
      </w:pPr>
      <w:r>
        <w:t xml:space="preserve">… </w:t>
      </w:r>
      <w:r w:rsidRPr="006856E7">
        <w:t>considers that these criteria will address the Commission’s legislative objectives and the matters that it is required to consider under section 20(2) of the ICRC Act. The rate of return must be set to promote efficient investment in, and the efficient operation and use of, regulated services for the long-term interests of consumers.</w:t>
      </w:r>
      <w:r w:rsidR="00DB0322">
        <w:t xml:space="preserve"> </w:t>
      </w:r>
    </w:p>
    <w:p w14:paraId="16CF5A88" w14:textId="6D2F8340" w:rsidR="007C4F4E" w:rsidRDefault="00DA0267" w:rsidP="00C12F9E">
      <w:pPr>
        <w:pStyle w:val="BodyText"/>
      </w:pPr>
      <w:r>
        <w:t xml:space="preserve">As identified in the issues paper, the objectives </w:t>
      </w:r>
      <w:r w:rsidR="0031289A">
        <w:t>under the ICRC Act include</w:t>
      </w:r>
      <w:r>
        <w:t>:</w:t>
      </w:r>
    </w:p>
    <w:p w14:paraId="10FDEE63" w14:textId="6E716C7A" w:rsidR="00DA0267" w:rsidRDefault="0063662F" w:rsidP="002E3808">
      <w:pPr>
        <w:pStyle w:val="ListBullet"/>
      </w:pPr>
      <w:r w:rsidRPr="0063662F">
        <w:t>to promote effective competition in the interests of consumers</w:t>
      </w:r>
      <w:r>
        <w:t xml:space="preserve"> (section 7(a))</w:t>
      </w:r>
    </w:p>
    <w:p w14:paraId="1A7C0E1B" w14:textId="105B7B9C" w:rsidR="00F0179E" w:rsidRDefault="00F0179E" w:rsidP="002E3808">
      <w:pPr>
        <w:pStyle w:val="ListBullet"/>
      </w:pPr>
      <w:r>
        <w:t>t</w:t>
      </w:r>
      <w:r w:rsidRPr="00F0179E">
        <w:t>o promote the efficient investment in, and efficient operation and use of regulated services for the long-term interests of consumers in relation to the price, quality, safety, reliability and security of the service</w:t>
      </w:r>
      <w:r>
        <w:t xml:space="preserve"> (section </w:t>
      </w:r>
      <w:r w:rsidR="002E3808">
        <w:t>19L)</w:t>
      </w:r>
    </w:p>
    <w:p w14:paraId="7CCB049C" w14:textId="20A1C9BE" w:rsidR="002E3808" w:rsidRDefault="0031289A" w:rsidP="002E3808">
      <w:pPr>
        <w:pStyle w:val="ListBullet"/>
      </w:pPr>
      <w:r>
        <w:t xml:space="preserve">[consider] </w:t>
      </w:r>
      <w:r w:rsidR="00793C30" w:rsidRPr="00793C30">
        <w:t>the protection of consumers from abuses of monopoly power in terms of prices, pricing policies (including policies relating to the level or structure of prices for services) and standard of regulated services</w:t>
      </w:r>
      <w:r w:rsidR="00793C30">
        <w:t xml:space="preserve"> (section 20(2)(a))</w:t>
      </w:r>
    </w:p>
    <w:p w14:paraId="431143E3" w14:textId="79C54F18" w:rsidR="00793C30" w:rsidRDefault="0031289A" w:rsidP="002E3808">
      <w:pPr>
        <w:pStyle w:val="ListBullet"/>
      </w:pPr>
      <w:r>
        <w:t xml:space="preserve">[consider] </w:t>
      </w:r>
      <w:r w:rsidR="00B96606" w:rsidRPr="00B96606">
        <w:t>the need for greater efficiency in the provision of regulated services to reduce costs to consumers and taxpayers</w:t>
      </w:r>
      <w:r w:rsidR="00B96606">
        <w:t xml:space="preserve"> (section 20(2)(c))</w:t>
      </w:r>
    </w:p>
    <w:p w14:paraId="7E0FE86A" w14:textId="21783A17" w:rsidR="0031289A" w:rsidRDefault="0031289A" w:rsidP="002D1FA6">
      <w:pPr>
        <w:pStyle w:val="ListBullet"/>
      </w:pPr>
      <w:r>
        <w:lastRenderedPageBreak/>
        <w:t xml:space="preserve">[consider] </w:t>
      </w:r>
      <w:r w:rsidRPr="0031289A">
        <w:t>the social impacts of the decision</w:t>
      </w:r>
      <w:r>
        <w:t xml:space="preserve"> (section 20(2)(g)).</w:t>
      </w:r>
    </w:p>
    <w:p w14:paraId="260940AB" w14:textId="7E681814" w:rsidR="0031289A" w:rsidRDefault="00E950E5" w:rsidP="00E950E5">
      <w:pPr>
        <w:pStyle w:val="BodyText"/>
      </w:pPr>
      <w:r>
        <w:t>The regulatory objectives and pricing principles for the water and sewerage tariffs include:</w:t>
      </w:r>
    </w:p>
    <w:p w14:paraId="7A70B0B9" w14:textId="4C800BDC" w:rsidR="00E950E5" w:rsidRDefault="00DA67AE" w:rsidP="00DA67AE">
      <w:pPr>
        <w:pStyle w:val="ListBullet"/>
      </w:pPr>
      <w:r w:rsidRPr="00DA67AE">
        <w:t>Community impact – gradual adjustment</w:t>
      </w:r>
      <w:r>
        <w:t xml:space="preserve">: </w:t>
      </w:r>
      <w:r w:rsidRPr="00DA67AE">
        <w:t>Any change to prices or other regulatory arrangements that will have substantial consumer impacts should be phased in over a transition period to allow reasonable time for consumers to adjust to the change</w:t>
      </w:r>
    </w:p>
    <w:p w14:paraId="6753D627" w14:textId="22FB048C" w:rsidR="00DA67AE" w:rsidRDefault="002D51CC" w:rsidP="00DA67AE">
      <w:pPr>
        <w:pStyle w:val="ListBullet"/>
      </w:pPr>
      <w:r w:rsidRPr="002D51CC">
        <w:t>Community impact – fair outcomes for low-income households</w:t>
      </w:r>
      <w:r>
        <w:t xml:space="preserve">: </w:t>
      </w:r>
      <w:r w:rsidRPr="002D51CC">
        <w:t>Adverse impacts on households with low incomes need to be limited or moderated by phasing and other compensating mechanisms or limits on changes to regulated prices or other regulatory arrangements.</w:t>
      </w:r>
    </w:p>
    <w:p w14:paraId="12EA3080" w14:textId="73EA14B6" w:rsidR="00A43221" w:rsidRDefault="00A43221" w:rsidP="000173FF">
      <w:pPr>
        <w:pStyle w:val="BodyText"/>
      </w:pPr>
      <w:r>
        <w:t xml:space="preserve">ACTCOSS welcomed the statement </w:t>
      </w:r>
      <w:r w:rsidR="000173FF">
        <w:t xml:space="preserve">at the ICRC WACC Review Workshop </w:t>
      </w:r>
      <w:r w:rsidR="000915D1">
        <w:t>on 20 October 2020, that consideration of the social and community impact</w:t>
      </w:r>
      <w:r w:rsidR="000F3D7D">
        <w:t>s</w:t>
      </w:r>
      <w:r w:rsidR="000915D1">
        <w:t xml:space="preserve"> </w:t>
      </w:r>
      <w:r w:rsidR="00BC5500">
        <w:t>is</w:t>
      </w:r>
      <w:r w:rsidR="004C147A">
        <w:t xml:space="preserve"> part of the ICRC’s DNA. We also welcomed the acknowledgement that consumer and community advocates</w:t>
      </w:r>
      <w:r w:rsidR="00CA0A35">
        <w:t xml:space="preserve"> are often limited in their ability to engage in </w:t>
      </w:r>
      <w:r w:rsidR="00131555">
        <w:t>regulatory decision</w:t>
      </w:r>
      <w:r w:rsidR="004355CD">
        <w:t>-</w:t>
      </w:r>
      <w:r w:rsidR="00131555">
        <w:t>making</w:t>
      </w:r>
      <w:r w:rsidR="007E2C77">
        <w:t xml:space="preserve"> processe</w:t>
      </w:r>
      <w:r w:rsidR="004355CD">
        <w:t xml:space="preserve">s. It is important that the asymmetry </w:t>
      </w:r>
      <w:r w:rsidR="00F91049">
        <w:t xml:space="preserve">that exists </w:t>
      </w:r>
      <w:r w:rsidR="003571EC">
        <w:t xml:space="preserve">between </w:t>
      </w:r>
      <w:r w:rsidR="00F91049">
        <w:t xml:space="preserve">consumer and community advocates </w:t>
      </w:r>
      <w:r w:rsidR="0007024F">
        <w:t>and</w:t>
      </w:r>
      <w:r w:rsidR="003571EC">
        <w:t xml:space="preserve"> utility businesses and governments</w:t>
      </w:r>
      <w:r w:rsidR="0007024F">
        <w:t xml:space="preserve"> is acknowledged and addressed in such </w:t>
      </w:r>
      <w:r w:rsidR="00FC430C">
        <w:t>consultation</w:t>
      </w:r>
      <w:r w:rsidR="000F3D7D">
        <w:t xml:space="preserve"> </w:t>
      </w:r>
      <w:r w:rsidR="0007024F">
        <w:t>processes.</w:t>
      </w:r>
      <w:r w:rsidR="00747BFF">
        <w:t xml:space="preserve"> ACTCOSS welcomes the ICRC’s </w:t>
      </w:r>
      <w:r w:rsidR="00BC5500">
        <w:t>recognition of</w:t>
      </w:r>
      <w:r w:rsidR="00747BFF">
        <w:t xml:space="preserve"> </w:t>
      </w:r>
      <w:r w:rsidR="00FC430C">
        <w:t>this.</w:t>
      </w:r>
    </w:p>
    <w:p w14:paraId="5B62DDB2" w14:textId="77777777" w:rsidR="00F033B7" w:rsidRDefault="00160398" w:rsidP="00160398">
      <w:pPr>
        <w:pStyle w:val="BodyText"/>
      </w:pPr>
      <w:r>
        <w:t xml:space="preserve">ACTCOSS </w:t>
      </w:r>
      <w:r w:rsidR="006435F8">
        <w:t xml:space="preserve">recommends that the review </w:t>
      </w:r>
      <w:r w:rsidR="00756D2B">
        <w:t xml:space="preserve">include </w:t>
      </w:r>
      <w:r w:rsidR="00993E25">
        <w:t>information</w:t>
      </w:r>
      <w:r w:rsidR="00B05631">
        <w:t xml:space="preserve"> </w:t>
      </w:r>
      <w:r w:rsidR="00F033B7">
        <w:t>that would</w:t>
      </w:r>
      <w:r w:rsidR="00AE69A5">
        <w:t xml:space="preserve"> </w:t>
      </w:r>
      <w:r w:rsidR="00B05631">
        <w:t xml:space="preserve">support consumers, community members, and their advocates to </w:t>
      </w:r>
      <w:r w:rsidR="00993E25">
        <w:t xml:space="preserve">understand the </w:t>
      </w:r>
      <w:r w:rsidR="00AE4382">
        <w:t xml:space="preserve">impact of any changes to the WACC methodology. </w:t>
      </w:r>
    </w:p>
    <w:p w14:paraId="54F6C30A" w14:textId="77777777" w:rsidR="00F033B7" w:rsidRDefault="00AE4382" w:rsidP="00160398">
      <w:pPr>
        <w:pStyle w:val="BodyText"/>
      </w:pPr>
      <w:r>
        <w:t>One option could be for the ICRC to</w:t>
      </w:r>
      <w:r w:rsidR="00160398">
        <w:t xml:space="preserve"> develop one or a number of representative price determinations to</w:t>
      </w:r>
      <w:r>
        <w:t xml:space="preserve"> </w:t>
      </w:r>
      <w:r w:rsidR="00160398">
        <w:t>demonstrate the impact of any proposed change in WACC methodology.</w:t>
      </w:r>
      <w:r>
        <w:t xml:space="preserve"> </w:t>
      </w:r>
      <w:r w:rsidR="00160398">
        <w:t>Doing so would allow stakeholders to better compare</w:t>
      </w:r>
      <w:r>
        <w:t xml:space="preserve"> </w:t>
      </w:r>
      <w:r w:rsidR="00160398">
        <w:t>the effect of any proposed changes against the current WACC method and</w:t>
      </w:r>
      <w:r>
        <w:t xml:space="preserve"> </w:t>
      </w:r>
      <w:r w:rsidR="00160398">
        <w:t>understand the</w:t>
      </w:r>
      <w:r>
        <w:t xml:space="preserve"> </w:t>
      </w:r>
      <w:r w:rsidR="0017487E">
        <w:t>benefit of</w:t>
      </w:r>
      <w:r w:rsidR="00160398">
        <w:t xml:space="preserve"> any changes. </w:t>
      </w:r>
    </w:p>
    <w:p w14:paraId="2FC5F59A" w14:textId="2EB76DE0" w:rsidR="00160398" w:rsidRDefault="00F033B7" w:rsidP="00160398">
      <w:pPr>
        <w:pStyle w:val="BodyText"/>
      </w:pPr>
      <w:r>
        <w:t>Utility</w:t>
      </w:r>
      <w:r w:rsidR="00160398">
        <w:t xml:space="preserve"> businesses</w:t>
      </w:r>
      <w:r>
        <w:t xml:space="preserve"> such as Icon Water</w:t>
      </w:r>
      <w:r w:rsidR="00B92B54">
        <w:t xml:space="preserve"> are likely to</w:t>
      </w:r>
      <w:r w:rsidR="00160398">
        <w:t xml:space="preserve"> conduct</w:t>
      </w:r>
      <w:r w:rsidR="00AE4382">
        <w:t xml:space="preserve"> </w:t>
      </w:r>
      <w:r w:rsidR="00160398">
        <w:t>similar modelling on the impact to their own businesses</w:t>
      </w:r>
      <w:r w:rsidR="00B92B54">
        <w:t>. As was acknowledged at the ICRC WACC Review Workshop, it</w:t>
      </w:r>
      <w:r w:rsidR="00160398">
        <w:t xml:space="preserve"> is not practical for consumers</w:t>
      </w:r>
      <w:r w:rsidR="00AE4382">
        <w:t xml:space="preserve"> </w:t>
      </w:r>
      <w:r w:rsidR="00160398">
        <w:t xml:space="preserve">and consumer advocates to do </w:t>
      </w:r>
      <w:r w:rsidR="00A2725A">
        <w:t>this</w:t>
      </w:r>
      <w:r w:rsidR="00160398">
        <w:t xml:space="preserve">. </w:t>
      </w:r>
      <w:r w:rsidR="00A2725A">
        <w:t xml:space="preserve">ACTCOSS </w:t>
      </w:r>
      <w:r w:rsidR="00160398">
        <w:t xml:space="preserve">appreciates the potential complexity of this, </w:t>
      </w:r>
      <w:r w:rsidR="00D1583D">
        <w:t xml:space="preserve">but </w:t>
      </w:r>
      <w:r w:rsidR="00160398">
        <w:t xml:space="preserve">we </w:t>
      </w:r>
      <w:r w:rsidR="006858AE">
        <w:t>believe</w:t>
      </w:r>
      <w:r w:rsidR="00160398">
        <w:t xml:space="preserve"> this</w:t>
      </w:r>
      <w:r w:rsidR="00AE4382">
        <w:t xml:space="preserve"> </w:t>
      </w:r>
      <w:r w:rsidR="00160398">
        <w:t>would be worthwhile</w:t>
      </w:r>
      <w:r w:rsidR="006858AE">
        <w:t xml:space="preserve"> in </w:t>
      </w:r>
      <w:r w:rsidR="008822A9">
        <w:t>assessing social and community impact</w:t>
      </w:r>
      <w:r w:rsidR="00160398">
        <w:t>.</w:t>
      </w:r>
    </w:p>
    <w:p w14:paraId="0F43A214" w14:textId="6FAD950E" w:rsidR="002D51CC" w:rsidRDefault="000A1F08" w:rsidP="000A1F08">
      <w:pPr>
        <w:pStyle w:val="Heading4"/>
      </w:pPr>
      <w:r>
        <w:lastRenderedPageBreak/>
        <w:t xml:space="preserve">Stability over time </w:t>
      </w:r>
      <w:r w:rsidR="00701D11">
        <w:t>through</w:t>
      </w:r>
      <w:r>
        <w:t xml:space="preserve"> gradual adjustment in prices</w:t>
      </w:r>
    </w:p>
    <w:p w14:paraId="10D984FC" w14:textId="038169A6" w:rsidR="000A1F08" w:rsidRDefault="00FF5D98" w:rsidP="006E0E35">
      <w:pPr>
        <w:pStyle w:val="BodyText"/>
      </w:pPr>
      <w:r w:rsidRPr="00FF5D98">
        <w:t>ACTCOSS supports the inclusion of stability over time in the assessment criteria</w:t>
      </w:r>
      <w:r>
        <w:t xml:space="preserve">. </w:t>
      </w:r>
      <w:r w:rsidR="006E0E35">
        <w:t xml:space="preserve">The predictability of price outcomes is important to many consumers – but especially </w:t>
      </w:r>
      <w:r w:rsidR="000578AD">
        <w:t xml:space="preserve">households with </w:t>
      </w:r>
      <w:r w:rsidR="006E0E35">
        <w:t xml:space="preserve">low-income </w:t>
      </w:r>
      <w:r w:rsidR="000578AD">
        <w:t>or experiencing other forms of hardship</w:t>
      </w:r>
      <w:r w:rsidR="006E0E35">
        <w:t>.</w:t>
      </w:r>
      <w:r>
        <w:t xml:space="preserve"> </w:t>
      </w:r>
      <w:r w:rsidR="008C6D83">
        <w:t xml:space="preserve">ACTCOSS supports the </w:t>
      </w:r>
      <w:r w:rsidR="005C2689">
        <w:t>achievement of this through t</w:t>
      </w:r>
      <w:r w:rsidR="008C6D83">
        <w:t>he community impact pricing principle of gradual adjustment</w:t>
      </w:r>
      <w:r w:rsidR="005C2689">
        <w:t xml:space="preserve"> – ensuring that a</w:t>
      </w:r>
      <w:r w:rsidR="005C2689" w:rsidRPr="005C2689">
        <w:t xml:space="preserve">ny change to prices or other regulatory arrangements that will have substantial consumer impacts </w:t>
      </w:r>
      <w:r w:rsidR="005C2689">
        <w:t>are</w:t>
      </w:r>
      <w:r w:rsidR="005C2689" w:rsidRPr="005C2689">
        <w:t xml:space="preserve"> phased in over a transition period to allow reasonable time for consumers to adjust to the change.</w:t>
      </w:r>
    </w:p>
    <w:p w14:paraId="16BEBFE7" w14:textId="3EA114F8" w:rsidR="005C2689" w:rsidRDefault="00620877" w:rsidP="00BC6A1E">
      <w:pPr>
        <w:pStyle w:val="Heading4"/>
      </w:pPr>
      <w:r>
        <w:t xml:space="preserve">Benchmarking </w:t>
      </w:r>
    </w:p>
    <w:p w14:paraId="5E259E1D" w14:textId="50BDEF9B" w:rsidR="00BA115A" w:rsidRDefault="004C3C92" w:rsidP="00BA115A">
      <w:pPr>
        <w:pStyle w:val="BodyText"/>
      </w:pPr>
      <w:r>
        <w:t>ACTCOSS recommends that</w:t>
      </w:r>
      <w:r w:rsidR="000B3377">
        <w:t xml:space="preserve"> any</w:t>
      </w:r>
      <w:r>
        <w:t xml:space="preserve"> benchmarking against other utility businesses and </w:t>
      </w:r>
      <w:r w:rsidR="000B3377">
        <w:t>regulators</w:t>
      </w:r>
      <w:r w:rsidR="001A370B">
        <w:t xml:space="preserve"> is clear about </w:t>
      </w:r>
      <w:r w:rsidR="00A3779D">
        <w:t>the</w:t>
      </w:r>
      <w:r w:rsidR="00F21923">
        <w:t xml:space="preserve">ir comparability. </w:t>
      </w:r>
      <w:r w:rsidR="00BA115A">
        <w:t>For example</w:t>
      </w:r>
      <w:r w:rsidR="008D2783">
        <w:t>:</w:t>
      </w:r>
    </w:p>
    <w:p w14:paraId="72F62B99" w14:textId="114F5662" w:rsidR="00BA115A" w:rsidRDefault="00B4400C" w:rsidP="00BA115A">
      <w:pPr>
        <w:pStyle w:val="ListBullet"/>
      </w:pPr>
      <w:r>
        <w:t xml:space="preserve">How does </w:t>
      </w:r>
      <w:r w:rsidR="00D9436D">
        <w:t xml:space="preserve">Icon Water’s </w:t>
      </w:r>
      <w:r w:rsidR="00593BBC">
        <w:t>status as</w:t>
      </w:r>
      <w:r w:rsidR="00593BBC" w:rsidRPr="00593BBC">
        <w:t xml:space="preserve"> an unlisted public company owned by the ACT Government</w:t>
      </w:r>
      <w:r w:rsidR="00394532">
        <w:t xml:space="preserve"> impact on comparability with benchmark efficient firms</w:t>
      </w:r>
      <w:r w:rsidR="00BA115A">
        <w:t>?</w:t>
      </w:r>
    </w:p>
    <w:p w14:paraId="2BB1A161" w14:textId="7236578D" w:rsidR="00BA115A" w:rsidRDefault="002B6F09" w:rsidP="00BA115A">
      <w:pPr>
        <w:pStyle w:val="ListBullet"/>
      </w:pPr>
      <w:r>
        <w:t>How do the ICRC’s legislative objectives, regulatory objectives</w:t>
      </w:r>
      <w:r w:rsidR="00086D0F">
        <w:t>,</w:t>
      </w:r>
      <w:r>
        <w:t xml:space="preserve"> and pricing principles impact on comparability </w:t>
      </w:r>
      <w:r w:rsidR="00D30F24">
        <w:t xml:space="preserve">with other regulators’ </w:t>
      </w:r>
      <w:r w:rsidR="00086D0F">
        <w:t xml:space="preserve">choice of </w:t>
      </w:r>
      <w:r w:rsidR="00D30F24">
        <w:t>WACC methodology?</w:t>
      </w:r>
    </w:p>
    <w:p w14:paraId="29C9AA38" w14:textId="2C1A6316" w:rsidR="00086D0F" w:rsidRDefault="004274E7" w:rsidP="004274E7">
      <w:pPr>
        <w:pStyle w:val="Heading4"/>
      </w:pPr>
      <w:r>
        <w:t>Continued engagement</w:t>
      </w:r>
    </w:p>
    <w:p w14:paraId="0A041B71" w14:textId="005A40DC" w:rsidR="00FC48DB" w:rsidRDefault="00600A29" w:rsidP="00612F15">
      <w:pPr>
        <w:pStyle w:val="BodyText"/>
      </w:pPr>
      <w:r>
        <w:t xml:space="preserve">ACTCOSS </w:t>
      </w:r>
      <w:r w:rsidR="00334FA6">
        <w:t>supports the overall approach the ICRC has pro</w:t>
      </w:r>
      <w:r w:rsidR="00612F15">
        <w:t>posed to adopt for its review of the WACC methodology for water and sewerage services. We look forward to engaging with</w:t>
      </w:r>
      <w:r w:rsidR="00D53274">
        <w:t xml:space="preserve"> the ICRC’s Draft Report expected to be released in January 2021, and we would be keen to a participate in a workshop if </w:t>
      </w:r>
      <w:r w:rsidR="00FC48DB">
        <w:t>one is held in February 2021.</w:t>
      </w:r>
      <w:r w:rsidR="00146A82">
        <w:t xml:space="preserve"> </w:t>
      </w:r>
      <w:r w:rsidR="00FC48DB">
        <w:t xml:space="preserve">We thank the ICRC for ensuring ACTCOSS was aware of this review </w:t>
      </w:r>
      <w:r w:rsidR="009E5EC9">
        <w:t>and</w:t>
      </w:r>
      <w:r w:rsidR="001E2FD0">
        <w:t xml:space="preserve"> for</w:t>
      </w:r>
      <w:r w:rsidR="009E5EC9">
        <w:t xml:space="preserve"> inviting us to participate in the ICRC WACC Review Workshop</w:t>
      </w:r>
      <w:r w:rsidR="000260B4">
        <w:t xml:space="preserve"> held on 20 October 2020</w:t>
      </w:r>
      <w:r w:rsidR="00635447">
        <w:t xml:space="preserve">. </w:t>
      </w:r>
      <w:r w:rsidR="000260B4">
        <w:t>ACTCOSS is</w:t>
      </w:r>
      <w:r w:rsidR="00635447">
        <w:t xml:space="preserve"> keen to engage further in the review to support an outcome that </w:t>
      </w:r>
      <w:r w:rsidR="00332CE0">
        <w:t>is in the long-term interests of consumers, especially those on low-incomes or experiencing other forms of hardship.</w:t>
      </w:r>
    </w:p>
    <w:p w14:paraId="66EDCE4F" w14:textId="1A585CE5" w:rsidR="00E0423E" w:rsidRDefault="00E0423E" w:rsidP="00C12F9E">
      <w:pPr>
        <w:pStyle w:val="BodyText"/>
      </w:pPr>
      <w:r>
        <w:t>Yours sincerely</w:t>
      </w:r>
    </w:p>
    <w:p w14:paraId="66EDCE54" w14:textId="407EF19B" w:rsidR="00097C11" w:rsidRPr="00D14762" w:rsidRDefault="00174F30" w:rsidP="00C12F9E">
      <w:pPr>
        <w:pStyle w:val="BodyText"/>
      </w:pPr>
      <w:bookmarkStart w:id="3" w:name="Text10"/>
      <w:r>
        <w:t>Geoff Buchanan</w:t>
      </w:r>
      <w:r w:rsidR="00C12F9E">
        <w:br/>
      </w:r>
      <w:bookmarkEnd w:id="3"/>
      <w:r>
        <w:t>Senior Policy Officer</w:t>
      </w:r>
      <w:r w:rsidR="000755C6">
        <w:br/>
      </w:r>
      <w:r w:rsidR="00E0423E">
        <w:t xml:space="preserve">Email: </w:t>
      </w:r>
      <w:hyperlink r:id="rId15" w:history="1">
        <w:r w:rsidR="00E50472" w:rsidRPr="00722FAE">
          <w:rPr>
            <w:rStyle w:val="Hyperlink"/>
          </w:rPr>
          <w:t>geoff.buchanan@actcoss.org.au</w:t>
        </w:r>
      </w:hyperlink>
      <w:r w:rsidR="00E50472">
        <w:br/>
        <w:t>Ph: 02 6202 7200</w:t>
      </w:r>
      <w:r w:rsidR="00D615C2">
        <w:br/>
      </w:r>
      <w:r>
        <w:t>22 October 2020</w:t>
      </w:r>
    </w:p>
    <w:sectPr w:rsidR="00097C11" w:rsidRPr="00D14762" w:rsidSect="003C6B4E">
      <w:footerReference w:type="even" r:id="rId16"/>
      <w:footerReference w:type="default" r:id="rId17"/>
      <w:pgSz w:w="11906" w:h="16838" w:code="9"/>
      <w:pgMar w:top="2835" w:right="1701" w:bottom="1418" w:left="3119"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EIA" wne:acdName="acd0" wne:fciIndexBasedOn="0065"/>
    <wne:acd wne:argValue="AQAAAFQA" wne:acdName="acd1" wne:fciIndexBasedOn="0065"/>
    <wne:acd wne:argValue="AgBCAG8AbABkAA==" wne:acdName="acd2" wne:fciIndexBasedOn="0065"/>
    <wne:acd wne:argValue="AQAAAAEA" wne:acdName="acd3" wne:fciIndexBasedOn="0065"/>
    <wne:acd wne:argValue="AgBIAGUAYQBkAGkAbgBnACAAMQAtAFAAYQBnAGUAYgByAGUAYQBrACAAYgBlAGYAbwByAGUA" wne:acdName="acd4" wne:fciIndexBasedOn="0065"/>
    <wne:acd wne:argValue="AQAAAAIA" wne:acdName="acd5" wne:fciIndexBasedOn="0065"/>
    <wne:acd wne:argValue="AQAAAAMA" wne:acdName="acd6" wne:fciIndexBasedOn="0065"/>
    <wne:acd wne:argValue="AgBJAHQAYQBsAGkAYwA=" wne:acdName="acd7" wne:fciIndexBasedOn="0065"/>
    <wne:acd wne:argValue="AQAAADAA" wne:acdName="acd8" wne:fciIndexBasedOn="0065"/>
    <wne:acd wne:argValue="AQAAADEA" wne:acdName="acd9" wne:fciIndexBasedOn="0065"/>
    <wne:acd wne:argValue="AQAAAJoA" wne:acdName="acd10" wne:fciIndexBasedOn="0065"/>
    <wne:acd wne:argValue="AgBSAGUAYwBvAG0AbQBlAG4AZABhAHQAaQBvAG4AcwAgAEIAbwB4AA==" wne:acdName="acd11" wne:fciIndexBasedOn="0065"/>
    <wne:acd wne:argValue="AgBSAGUAYwBvAG0AbQBlAG4AZABhAHQAaQBvAG4AcwAgAGgAZQBhAGQAaQBuAGcA" wne:acdName="acd12" wne:fciIndexBasedOn="0065"/>
    <wne:acd wne:argValue="AgBUAGEAYgBsAGUAIABCAG8AZAB5AA==" wne:acdName="acd13" wne:fciIndexBasedOn="0065"/>
    <wne:acd wne:argValue="AgBUAGEAYgBsAGUAIABoAGUAYQBkAGkAbgBn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F2089" w14:textId="77777777" w:rsidR="003E7001" w:rsidRDefault="003E7001">
      <w:r>
        <w:separator/>
      </w:r>
    </w:p>
  </w:endnote>
  <w:endnote w:type="continuationSeparator" w:id="0">
    <w:p w14:paraId="41E37FE6" w14:textId="77777777" w:rsidR="003E7001" w:rsidRDefault="003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59D4" w14:textId="77777777" w:rsidR="003E7001" w:rsidRDefault="003E7001">
      <w:r>
        <w:separator/>
      </w:r>
    </w:p>
  </w:footnote>
  <w:footnote w:type="continuationSeparator" w:id="0">
    <w:p w14:paraId="084A8CE5" w14:textId="77777777" w:rsidR="003E7001" w:rsidRDefault="003E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3FF"/>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0B4"/>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669"/>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8AD"/>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24F"/>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C6"/>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0F"/>
    <w:rsid w:val="00086DBE"/>
    <w:rsid w:val="00086E1B"/>
    <w:rsid w:val="00087011"/>
    <w:rsid w:val="00087369"/>
    <w:rsid w:val="000900A1"/>
    <w:rsid w:val="00090209"/>
    <w:rsid w:val="000909A8"/>
    <w:rsid w:val="000909FD"/>
    <w:rsid w:val="00090A4F"/>
    <w:rsid w:val="000910AE"/>
    <w:rsid w:val="000915C3"/>
    <w:rsid w:val="000915D1"/>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1F08"/>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377"/>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39F4"/>
    <w:rsid w:val="000F3D7D"/>
    <w:rsid w:val="000F4692"/>
    <w:rsid w:val="000F4CB7"/>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1EC"/>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555"/>
    <w:rsid w:val="00131965"/>
    <w:rsid w:val="00131AFB"/>
    <w:rsid w:val="00131D3F"/>
    <w:rsid w:val="00131D95"/>
    <w:rsid w:val="001320F0"/>
    <w:rsid w:val="00132190"/>
    <w:rsid w:val="00132552"/>
    <w:rsid w:val="00132F5E"/>
    <w:rsid w:val="0013344D"/>
    <w:rsid w:val="00133C57"/>
    <w:rsid w:val="001347CA"/>
    <w:rsid w:val="00134B44"/>
    <w:rsid w:val="00134D46"/>
    <w:rsid w:val="00135248"/>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A82"/>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39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487E"/>
    <w:rsid w:val="00174F30"/>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0B"/>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B7D5F"/>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4D4B"/>
    <w:rsid w:val="001D50B3"/>
    <w:rsid w:val="001D52A0"/>
    <w:rsid w:val="001D5767"/>
    <w:rsid w:val="001D5CCF"/>
    <w:rsid w:val="001D6A6E"/>
    <w:rsid w:val="001D6D28"/>
    <w:rsid w:val="001D6EEF"/>
    <w:rsid w:val="001E05EA"/>
    <w:rsid w:val="001E1035"/>
    <w:rsid w:val="001E1990"/>
    <w:rsid w:val="001E1A2C"/>
    <w:rsid w:val="001E1F60"/>
    <w:rsid w:val="001E20E6"/>
    <w:rsid w:val="001E2886"/>
    <w:rsid w:val="001E2FD0"/>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B37"/>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D31"/>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2FF"/>
    <w:rsid w:val="0024387E"/>
    <w:rsid w:val="0024420E"/>
    <w:rsid w:val="00245019"/>
    <w:rsid w:val="00245475"/>
    <w:rsid w:val="00245A7F"/>
    <w:rsid w:val="00245ADA"/>
    <w:rsid w:val="00246869"/>
    <w:rsid w:val="00246C9A"/>
    <w:rsid w:val="002478AE"/>
    <w:rsid w:val="002478E4"/>
    <w:rsid w:val="002479B4"/>
    <w:rsid w:val="00250702"/>
    <w:rsid w:val="002507B5"/>
    <w:rsid w:val="00250999"/>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B6F09"/>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1CC"/>
    <w:rsid w:val="002D532B"/>
    <w:rsid w:val="002D5925"/>
    <w:rsid w:val="002D5A24"/>
    <w:rsid w:val="002D5AA3"/>
    <w:rsid w:val="002D73AC"/>
    <w:rsid w:val="002D761B"/>
    <w:rsid w:val="002D7706"/>
    <w:rsid w:val="002D79D5"/>
    <w:rsid w:val="002E0255"/>
    <w:rsid w:val="002E0CC1"/>
    <w:rsid w:val="002E0EBA"/>
    <w:rsid w:val="002E1BD6"/>
    <w:rsid w:val="002E2751"/>
    <w:rsid w:val="002E2779"/>
    <w:rsid w:val="002E27A1"/>
    <w:rsid w:val="002E3808"/>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89A"/>
    <w:rsid w:val="00312D6B"/>
    <w:rsid w:val="00312DD3"/>
    <w:rsid w:val="00312FD5"/>
    <w:rsid w:val="00313593"/>
    <w:rsid w:val="003139E1"/>
    <w:rsid w:val="003148CD"/>
    <w:rsid w:val="00314BBC"/>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B19"/>
    <w:rsid w:val="00327C3F"/>
    <w:rsid w:val="00330021"/>
    <w:rsid w:val="00330266"/>
    <w:rsid w:val="00330300"/>
    <w:rsid w:val="003308F2"/>
    <w:rsid w:val="00330F22"/>
    <w:rsid w:val="00332647"/>
    <w:rsid w:val="0033271E"/>
    <w:rsid w:val="0033277D"/>
    <w:rsid w:val="00332781"/>
    <w:rsid w:val="00332BBB"/>
    <w:rsid w:val="00332CE0"/>
    <w:rsid w:val="00333131"/>
    <w:rsid w:val="00333145"/>
    <w:rsid w:val="0033392C"/>
    <w:rsid w:val="00334558"/>
    <w:rsid w:val="003348F4"/>
    <w:rsid w:val="00334FA6"/>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1EC"/>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292"/>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532"/>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BB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001"/>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0AD"/>
    <w:rsid w:val="00404BBB"/>
    <w:rsid w:val="00405862"/>
    <w:rsid w:val="00405982"/>
    <w:rsid w:val="00405DE5"/>
    <w:rsid w:val="00405F16"/>
    <w:rsid w:val="004061CE"/>
    <w:rsid w:val="00406872"/>
    <w:rsid w:val="004072EF"/>
    <w:rsid w:val="004075DA"/>
    <w:rsid w:val="004077E3"/>
    <w:rsid w:val="00407D9B"/>
    <w:rsid w:val="00407DF6"/>
    <w:rsid w:val="00407FD7"/>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7"/>
    <w:rsid w:val="004274EE"/>
    <w:rsid w:val="00427C27"/>
    <w:rsid w:val="00427CCC"/>
    <w:rsid w:val="004300CB"/>
    <w:rsid w:val="00430453"/>
    <w:rsid w:val="00430BCC"/>
    <w:rsid w:val="0043295B"/>
    <w:rsid w:val="0043367B"/>
    <w:rsid w:val="004336E9"/>
    <w:rsid w:val="00433981"/>
    <w:rsid w:val="00433AAE"/>
    <w:rsid w:val="00433F23"/>
    <w:rsid w:val="00434C95"/>
    <w:rsid w:val="0043510A"/>
    <w:rsid w:val="004355CD"/>
    <w:rsid w:val="0043628A"/>
    <w:rsid w:val="0043646E"/>
    <w:rsid w:val="004371D7"/>
    <w:rsid w:val="00437437"/>
    <w:rsid w:val="0043750A"/>
    <w:rsid w:val="004378BC"/>
    <w:rsid w:val="00437DAA"/>
    <w:rsid w:val="0044013B"/>
    <w:rsid w:val="00440C17"/>
    <w:rsid w:val="00440E91"/>
    <w:rsid w:val="00441A68"/>
    <w:rsid w:val="00441E0E"/>
    <w:rsid w:val="00442249"/>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1EED"/>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927"/>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A13"/>
    <w:rsid w:val="00497CE6"/>
    <w:rsid w:val="00497F1E"/>
    <w:rsid w:val="004A0E71"/>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7A"/>
    <w:rsid w:val="004C14C0"/>
    <w:rsid w:val="004C1D53"/>
    <w:rsid w:val="004C20B8"/>
    <w:rsid w:val="004C2935"/>
    <w:rsid w:val="004C2B94"/>
    <w:rsid w:val="004C33E8"/>
    <w:rsid w:val="004C3C92"/>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5DBB"/>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105"/>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3BBC"/>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4C3F"/>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689"/>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A29"/>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15"/>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877"/>
    <w:rsid w:val="00620994"/>
    <w:rsid w:val="00622604"/>
    <w:rsid w:val="006227DD"/>
    <w:rsid w:val="00622F82"/>
    <w:rsid w:val="0062336D"/>
    <w:rsid w:val="00623DA3"/>
    <w:rsid w:val="00623F4C"/>
    <w:rsid w:val="006245DC"/>
    <w:rsid w:val="0062536F"/>
    <w:rsid w:val="00625492"/>
    <w:rsid w:val="00625A21"/>
    <w:rsid w:val="0062605B"/>
    <w:rsid w:val="0062615B"/>
    <w:rsid w:val="0062623D"/>
    <w:rsid w:val="00626355"/>
    <w:rsid w:val="006270C7"/>
    <w:rsid w:val="006270EB"/>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5447"/>
    <w:rsid w:val="0063662F"/>
    <w:rsid w:val="006368BF"/>
    <w:rsid w:val="00636AAA"/>
    <w:rsid w:val="00636B6B"/>
    <w:rsid w:val="00636CB0"/>
    <w:rsid w:val="00637310"/>
    <w:rsid w:val="00637572"/>
    <w:rsid w:val="0063766D"/>
    <w:rsid w:val="00637673"/>
    <w:rsid w:val="00637DDD"/>
    <w:rsid w:val="00637F03"/>
    <w:rsid w:val="006408E8"/>
    <w:rsid w:val="006409BD"/>
    <w:rsid w:val="00640FF1"/>
    <w:rsid w:val="0064113E"/>
    <w:rsid w:val="00641156"/>
    <w:rsid w:val="00641B60"/>
    <w:rsid w:val="0064266E"/>
    <w:rsid w:val="006428AB"/>
    <w:rsid w:val="00643008"/>
    <w:rsid w:val="006435F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6A2C"/>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6E7"/>
    <w:rsid w:val="006858AE"/>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DD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AB9"/>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E35"/>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1FDA"/>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11"/>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84A"/>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BFF"/>
    <w:rsid w:val="00747CD7"/>
    <w:rsid w:val="00750154"/>
    <w:rsid w:val="0075028E"/>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D2B"/>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C30"/>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A7C1A"/>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4F4E"/>
    <w:rsid w:val="007C5392"/>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2C77"/>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0E75"/>
    <w:rsid w:val="007F1074"/>
    <w:rsid w:val="007F13D0"/>
    <w:rsid w:val="007F14A5"/>
    <w:rsid w:val="007F1553"/>
    <w:rsid w:val="007F1B5B"/>
    <w:rsid w:val="007F2141"/>
    <w:rsid w:val="007F2984"/>
    <w:rsid w:val="007F2A49"/>
    <w:rsid w:val="007F2B1C"/>
    <w:rsid w:val="007F2EB1"/>
    <w:rsid w:val="007F2FBE"/>
    <w:rsid w:val="007F3851"/>
    <w:rsid w:val="007F3ACD"/>
    <w:rsid w:val="007F3C11"/>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2A9"/>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83"/>
    <w:rsid w:val="008C6DEF"/>
    <w:rsid w:val="008C7124"/>
    <w:rsid w:val="008C727B"/>
    <w:rsid w:val="008C75CD"/>
    <w:rsid w:val="008C7CB3"/>
    <w:rsid w:val="008D0084"/>
    <w:rsid w:val="008D04E5"/>
    <w:rsid w:val="008D05B4"/>
    <w:rsid w:val="008D0796"/>
    <w:rsid w:val="008D223D"/>
    <w:rsid w:val="008D2358"/>
    <w:rsid w:val="008D244A"/>
    <w:rsid w:val="008D2783"/>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6717"/>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1AA"/>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27E31"/>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6F8"/>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3E25"/>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1D"/>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4F6E"/>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5EC9"/>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25A"/>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79D"/>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221"/>
    <w:rsid w:val="00A4396D"/>
    <w:rsid w:val="00A4434C"/>
    <w:rsid w:val="00A4454B"/>
    <w:rsid w:val="00A44AC1"/>
    <w:rsid w:val="00A44FA8"/>
    <w:rsid w:val="00A457DD"/>
    <w:rsid w:val="00A45BEF"/>
    <w:rsid w:val="00A45EB0"/>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67E38"/>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DCB"/>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095"/>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382"/>
    <w:rsid w:val="00AE4564"/>
    <w:rsid w:val="00AE4A57"/>
    <w:rsid w:val="00AE4A86"/>
    <w:rsid w:val="00AE5493"/>
    <w:rsid w:val="00AE551E"/>
    <w:rsid w:val="00AE58C8"/>
    <w:rsid w:val="00AE5BA5"/>
    <w:rsid w:val="00AE5C90"/>
    <w:rsid w:val="00AE662C"/>
    <w:rsid w:val="00AE68CA"/>
    <w:rsid w:val="00AE69A5"/>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631"/>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515"/>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00C"/>
    <w:rsid w:val="00B44C63"/>
    <w:rsid w:val="00B4516C"/>
    <w:rsid w:val="00B4591B"/>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2B54"/>
    <w:rsid w:val="00B930E3"/>
    <w:rsid w:val="00B934F0"/>
    <w:rsid w:val="00B936B3"/>
    <w:rsid w:val="00B9396E"/>
    <w:rsid w:val="00B93C51"/>
    <w:rsid w:val="00B93D5A"/>
    <w:rsid w:val="00B93E3E"/>
    <w:rsid w:val="00B951CA"/>
    <w:rsid w:val="00B962D7"/>
    <w:rsid w:val="00B96606"/>
    <w:rsid w:val="00B96C6A"/>
    <w:rsid w:val="00B96DFC"/>
    <w:rsid w:val="00B9738E"/>
    <w:rsid w:val="00B97C4A"/>
    <w:rsid w:val="00BA01EC"/>
    <w:rsid w:val="00BA0DE8"/>
    <w:rsid w:val="00BA115A"/>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2BC2"/>
    <w:rsid w:val="00BC380B"/>
    <w:rsid w:val="00BC39F4"/>
    <w:rsid w:val="00BC3D45"/>
    <w:rsid w:val="00BC3E66"/>
    <w:rsid w:val="00BC3E92"/>
    <w:rsid w:val="00BC4021"/>
    <w:rsid w:val="00BC4066"/>
    <w:rsid w:val="00BC450E"/>
    <w:rsid w:val="00BC4D85"/>
    <w:rsid w:val="00BC531B"/>
    <w:rsid w:val="00BC548B"/>
    <w:rsid w:val="00BC5500"/>
    <w:rsid w:val="00BC604C"/>
    <w:rsid w:val="00BC6A1E"/>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77"/>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43F"/>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05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9E3"/>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AF7"/>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35"/>
    <w:rsid w:val="00CA0A47"/>
    <w:rsid w:val="00CA1333"/>
    <w:rsid w:val="00CA187A"/>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274"/>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583D"/>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0F24"/>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AA1"/>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274"/>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5C2"/>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1DE"/>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36D"/>
    <w:rsid w:val="00D94574"/>
    <w:rsid w:val="00D946DB"/>
    <w:rsid w:val="00D94805"/>
    <w:rsid w:val="00D94C4D"/>
    <w:rsid w:val="00D95160"/>
    <w:rsid w:val="00D95240"/>
    <w:rsid w:val="00D956BC"/>
    <w:rsid w:val="00D96282"/>
    <w:rsid w:val="00D96781"/>
    <w:rsid w:val="00D97874"/>
    <w:rsid w:val="00D979AE"/>
    <w:rsid w:val="00DA0267"/>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7AE"/>
    <w:rsid w:val="00DA6F41"/>
    <w:rsid w:val="00DA72A8"/>
    <w:rsid w:val="00DA7763"/>
    <w:rsid w:val="00DB0065"/>
    <w:rsid w:val="00DB0322"/>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323"/>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472"/>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196"/>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0B2"/>
    <w:rsid w:val="00E950E5"/>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2FCE"/>
    <w:rsid w:val="00EE323B"/>
    <w:rsid w:val="00EE335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08A"/>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120"/>
    <w:rsid w:val="00F0179E"/>
    <w:rsid w:val="00F0199C"/>
    <w:rsid w:val="00F01B29"/>
    <w:rsid w:val="00F01F8D"/>
    <w:rsid w:val="00F01FA3"/>
    <w:rsid w:val="00F02146"/>
    <w:rsid w:val="00F0247B"/>
    <w:rsid w:val="00F02566"/>
    <w:rsid w:val="00F026F2"/>
    <w:rsid w:val="00F033B7"/>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192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049"/>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30C"/>
    <w:rsid w:val="00FC4405"/>
    <w:rsid w:val="00FC445B"/>
    <w:rsid w:val="00FC4604"/>
    <w:rsid w:val="00FC46B8"/>
    <w:rsid w:val="00FC48DB"/>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5D9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6EDCE44"/>
  <w15:chartTrackingRefBased/>
  <w15:docId w15:val="{444D5ACE-A81D-4DB6-8410-6CE28DB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paragraph" w:styleId="Quote">
    <w:name w:val="Quote"/>
    <w:basedOn w:val="Normal"/>
    <w:next w:val="Normal"/>
    <w:link w:val="QuoteChar"/>
    <w:uiPriority w:val="29"/>
    <w:qFormat/>
    <w:rsid w:val="007F0E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E75"/>
    <w:rPr>
      <w:rFonts w:ascii="Arial" w:hAnsi="Arial"/>
      <w:i/>
      <w:iCs/>
      <w:color w:val="404040" w:themeColor="text1" w:themeTint="BF"/>
      <w:sz w:val="24"/>
      <w:szCs w:val="22"/>
      <w:lang w:eastAsia="en-GB"/>
    </w:rPr>
  </w:style>
  <w:style w:type="character" w:styleId="UnresolvedMention">
    <w:name w:val="Unresolved Mention"/>
    <w:basedOn w:val="DefaultParagraphFont"/>
    <w:uiPriority w:val="99"/>
    <w:semiHidden/>
    <w:unhideWhenUsed/>
    <w:rsid w:val="00656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actcoss@actcoss.org.au" TargetMode="External"/><Relationship Id="rId5" Type="http://schemas.openxmlformats.org/officeDocument/2006/relationships/numbering" Target="numbering.xml"/><Relationship Id="rId15" Type="http://schemas.openxmlformats.org/officeDocument/2006/relationships/hyperlink" Target="mailto:geoff.buchanan@actcoss.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2.xml><?xml version="1.0" encoding="utf-8"?>
<ds:datastoreItem xmlns:ds="http://schemas.openxmlformats.org/officeDocument/2006/customXml" ds:itemID="{E182BC43-5879-4D3F-86FF-09BCEA7D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8ABEB-AADE-4EE0-BB5B-A8F890637079}">
  <ds:schemaRefs>
    <ds:schemaRef ds:uri="32918964-d11d-4bda-ba04-9b8184f6a17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7536</CharactersWithSpaces>
  <SharedDoc>false</SharedDoc>
  <HLinks>
    <vt:vector size="6" baseType="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ICRC Issues Paper: Review of Methodologies for the Weighted Average Cost of Capital</dc:title>
  <dc:subject/>
  <dc:creator/>
  <cp:keywords/>
  <cp:lastModifiedBy>Suzanne</cp:lastModifiedBy>
  <cp:revision>4</cp:revision>
  <cp:lastPrinted>2020-10-22T09:20:00Z</cp:lastPrinted>
  <dcterms:created xsi:type="dcterms:W3CDTF">2020-11-19T04:24:00Z</dcterms:created>
  <dcterms:modified xsi:type="dcterms:W3CDTF">2020-11-20T02:16:00Z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