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D8A49" w14:textId="065EAF2E" w:rsidR="00253644" w:rsidRDefault="006A52A2" w:rsidP="00A14800">
      <w:pPr>
        <w:pStyle w:val="Title"/>
        <w:spacing w:after="120"/>
        <w:contextualSpacing w:val="0"/>
        <w:rPr>
          <w:color w:val="7F7F7F" w:themeColor="text1" w:themeTint="80"/>
          <w:sz w:val="40"/>
          <w:szCs w:val="40"/>
        </w:rPr>
      </w:pPr>
      <w:bookmarkStart w:id="0" w:name="_GoBack"/>
      <w:bookmarkEnd w:id="0"/>
      <w:r>
        <w:rPr>
          <w:noProof/>
        </w:rPr>
        <w:drawing>
          <wp:anchor distT="0" distB="0" distL="114300" distR="114300" simplePos="0" relativeHeight="251662336" behindDoc="0" locked="0" layoutInCell="1" allowOverlap="1" wp14:anchorId="26965CB1" wp14:editId="6D743D89">
            <wp:simplePos x="0" y="0"/>
            <wp:positionH relativeFrom="column">
              <wp:posOffset>-177800</wp:posOffset>
            </wp:positionH>
            <wp:positionV relativeFrom="paragraph">
              <wp:posOffset>-283210</wp:posOffset>
            </wp:positionV>
            <wp:extent cx="2137410" cy="802640"/>
            <wp:effectExtent l="0" t="0" r="0" b="0"/>
            <wp:wrapNone/>
            <wp:docPr id="5" name="Picture 5"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TCOSS-logo-standard-version-teal-(RGB)-8cm-945px-300dpi-transparentB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7410" cy="802640"/>
                    </a:xfrm>
                    <a:prstGeom prst="rect">
                      <a:avLst/>
                    </a:prstGeom>
                  </pic:spPr>
                </pic:pic>
              </a:graphicData>
            </a:graphic>
            <wp14:sizeRelH relativeFrom="page">
              <wp14:pctWidth>0</wp14:pctWidth>
            </wp14:sizeRelH>
            <wp14:sizeRelV relativeFrom="page">
              <wp14:pctHeight>0</wp14:pctHeight>
            </wp14:sizeRelV>
          </wp:anchor>
        </w:drawing>
      </w:r>
      <w:r w:rsidR="00282504">
        <w:rPr>
          <w:noProof/>
        </w:rPr>
        <w:drawing>
          <wp:anchor distT="0" distB="0" distL="114300" distR="114300" simplePos="0" relativeHeight="251661312" behindDoc="0" locked="0" layoutInCell="1" allowOverlap="1" wp14:anchorId="3A1557C5" wp14:editId="4EDD1D9A">
            <wp:simplePos x="0" y="0"/>
            <wp:positionH relativeFrom="column">
              <wp:posOffset>4999990</wp:posOffset>
            </wp:positionH>
            <wp:positionV relativeFrom="paragraph">
              <wp:posOffset>-323850</wp:posOffset>
            </wp:positionV>
            <wp:extent cx="810260" cy="810260"/>
            <wp:effectExtent l="0" t="0" r="8890" b="8890"/>
            <wp:wrapNone/>
            <wp:docPr id="3" name="Picture 3" descr="Better Ren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Better Rent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0260" cy="810260"/>
                    </a:xfrm>
                    <a:prstGeom prst="rect">
                      <a:avLst/>
                    </a:prstGeom>
                  </pic:spPr>
                </pic:pic>
              </a:graphicData>
            </a:graphic>
            <wp14:sizeRelH relativeFrom="page">
              <wp14:pctWidth>0</wp14:pctWidth>
            </wp14:sizeRelH>
            <wp14:sizeRelV relativeFrom="page">
              <wp14:pctHeight>0</wp14:pctHeight>
            </wp14:sizeRelV>
          </wp:anchor>
        </w:drawing>
      </w:r>
      <w:r w:rsidR="00282504">
        <w:rPr>
          <w:noProof/>
        </w:rPr>
        <w:drawing>
          <wp:anchor distT="0" distB="0" distL="114300" distR="114300" simplePos="0" relativeHeight="251660288" behindDoc="0" locked="0" layoutInCell="1" allowOverlap="1" wp14:anchorId="61F5288C" wp14:editId="79732976">
            <wp:simplePos x="0" y="0"/>
            <wp:positionH relativeFrom="column">
              <wp:posOffset>2762250</wp:posOffset>
            </wp:positionH>
            <wp:positionV relativeFrom="paragraph">
              <wp:posOffset>-323850</wp:posOffset>
            </wp:positionV>
            <wp:extent cx="1194435" cy="782320"/>
            <wp:effectExtent l="0" t="0" r="5715" b="0"/>
            <wp:wrapNone/>
            <wp:docPr id="2" name="Picture 2" descr="Care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4435" cy="782320"/>
                    </a:xfrm>
                    <a:prstGeom prst="rect">
                      <a:avLst/>
                    </a:prstGeom>
                  </pic:spPr>
                </pic:pic>
              </a:graphicData>
            </a:graphic>
            <wp14:sizeRelH relativeFrom="page">
              <wp14:pctWidth>0</wp14:pctWidth>
            </wp14:sizeRelH>
            <wp14:sizeRelV relativeFrom="page">
              <wp14:pctHeight>0</wp14:pctHeight>
            </wp14:sizeRelV>
          </wp:anchor>
        </w:drawing>
      </w:r>
    </w:p>
    <w:p w14:paraId="105151ED" w14:textId="20FD2ED2" w:rsidR="00253644" w:rsidRDefault="00253644" w:rsidP="00A14800">
      <w:pPr>
        <w:pStyle w:val="Title"/>
        <w:spacing w:after="120"/>
        <w:contextualSpacing w:val="0"/>
        <w:rPr>
          <w:color w:val="7F7F7F" w:themeColor="text1" w:themeTint="80"/>
          <w:sz w:val="40"/>
          <w:szCs w:val="40"/>
        </w:rPr>
      </w:pPr>
    </w:p>
    <w:p w14:paraId="3AFF3541" w14:textId="00DEECC3" w:rsidR="00C47A1B" w:rsidRDefault="00C47A1B" w:rsidP="00C47A1B"/>
    <w:p w14:paraId="0BFDE280" w14:textId="000157CD" w:rsidR="00C47A1B" w:rsidRPr="00C47A1B" w:rsidRDefault="001867EF" w:rsidP="00C47A1B">
      <w:r>
        <w:rPr>
          <w:noProof/>
        </w:rPr>
        <mc:AlternateContent>
          <mc:Choice Requires="wps">
            <w:drawing>
              <wp:anchor distT="0" distB="0" distL="114300" distR="114300" simplePos="0" relativeHeight="251669504" behindDoc="1" locked="0" layoutInCell="1" allowOverlap="1" wp14:anchorId="029C44E1" wp14:editId="355B7D3D">
                <wp:simplePos x="0" y="0"/>
                <wp:positionH relativeFrom="column">
                  <wp:posOffset>-177800</wp:posOffset>
                </wp:positionH>
                <wp:positionV relativeFrom="paragraph">
                  <wp:posOffset>98425</wp:posOffset>
                </wp:positionV>
                <wp:extent cx="5991225" cy="81280"/>
                <wp:effectExtent l="0" t="0" r="9525"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1225" cy="8128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27AAA" id="Rectangle 10" o:spid="_x0000_s1026" style="position:absolute;margin-left:-14pt;margin-top:7.75pt;width:471.75pt;height:6.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" fillcolor="#fbe4d5 [661]" stroked="f" strokeweight="1pt"/>
            </w:pict>
          </mc:Fallback>
        </mc:AlternateContent>
      </w:r>
    </w:p>
    <w:p w14:paraId="11C2F5BC" w14:textId="01DFC125" w:rsidR="00B97B7B" w:rsidRPr="005669B6" w:rsidRDefault="0008017B" w:rsidP="00A14800">
      <w:pPr>
        <w:pStyle w:val="Title"/>
        <w:spacing w:after="120"/>
        <w:contextualSpacing w:val="0"/>
        <w:rPr>
          <w:sz w:val="40"/>
          <w:szCs w:val="40"/>
        </w:rPr>
      </w:pPr>
      <w:r w:rsidRPr="00A14800">
        <w:rPr>
          <w:color w:val="7F7F7F" w:themeColor="text1" w:themeTint="80"/>
          <w:sz w:val="40"/>
          <w:szCs w:val="40"/>
        </w:rPr>
        <w:t xml:space="preserve">ACT </w:t>
      </w:r>
      <w:proofErr w:type="spellStart"/>
      <w:r w:rsidRPr="00A14800">
        <w:rPr>
          <w:color w:val="7F7F7F" w:themeColor="text1" w:themeTint="80"/>
          <w:sz w:val="40"/>
          <w:szCs w:val="40"/>
        </w:rPr>
        <w:t>Energised</w:t>
      </w:r>
      <w:proofErr w:type="spellEnd"/>
      <w:r w:rsidRPr="00A14800">
        <w:rPr>
          <w:color w:val="7F7F7F" w:themeColor="text1" w:themeTint="80"/>
          <w:sz w:val="40"/>
          <w:szCs w:val="40"/>
        </w:rPr>
        <w:t xml:space="preserve"> Consumers Project Partners</w:t>
      </w:r>
      <w:r w:rsidR="000B4A0A" w:rsidRPr="00A14800">
        <w:rPr>
          <w:color w:val="7F7F7F" w:themeColor="text1" w:themeTint="80"/>
          <w:sz w:val="40"/>
          <w:szCs w:val="40"/>
        </w:rPr>
        <w:t>’</w:t>
      </w:r>
      <w:r w:rsidR="000519EB" w:rsidRPr="00A14800">
        <w:rPr>
          <w:color w:val="7F7F7F" w:themeColor="text1" w:themeTint="80"/>
          <w:sz w:val="40"/>
          <w:szCs w:val="40"/>
        </w:rPr>
        <w:t xml:space="preserve"> </w:t>
      </w:r>
      <w:r w:rsidR="00EC6221" w:rsidRPr="00A14800">
        <w:rPr>
          <w:color w:val="7F7F7F" w:themeColor="text1" w:themeTint="80"/>
          <w:sz w:val="40"/>
          <w:szCs w:val="40"/>
        </w:rPr>
        <w:t>s</w:t>
      </w:r>
      <w:r w:rsidR="000519EB" w:rsidRPr="00A14800">
        <w:rPr>
          <w:color w:val="7F7F7F" w:themeColor="text1" w:themeTint="80"/>
          <w:sz w:val="40"/>
          <w:szCs w:val="40"/>
        </w:rPr>
        <w:t>ubmission to</w:t>
      </w:r>
    </w:p>
    <w:p w14:paraId="7DC93C77" w14:textId="77777777" w:rsidR="00D703B5" w:rsidRPr="00D703B5" w:rsidRDefault="00A37136" w:rsidP="0042637A">
      <w:pPr>
        <w:pStyle w:val="Title"/>
        <w:rPr>
          <w:color w:val="C45911" w:themeColor="accent2" w:themeShade="BF"/>
          <w:sz w:val="48"/>
          <w:szCs w:val="48"/>
        </w:rPr>
      </w:pPr>
      <w:r w:rsidRPr="00D703B5">
        <w:rPr>
          <w:color w:val="C45911" w:themeColor="accent2" w:themeShade="BF"/>
          <w:sz w:val="48"/>
          <w:szCs w:val="48"/>
        </w:rPr>
        <w:t xml:space="preserve">ICRC </w:t>
      </w:r>
      <w:r w:rsidR="00BF2E70" w:rsidRPr="00D703B5">
        <w:rPr>
          <w:color w:val="C45911" w:themeColor="accent2" w:themeShade="BF"/>
          <w:sz w:val="48"/>
          <w:szCs w:val="48"/>
        </w:rPr>
        <w:t xml:space="preserve">Retail </w:t>
      </w:r>
      <w:r w:rsidRPr="00D703B5">
        <w:rPr>
          <w:color w:val="C45911" w:themeColor="accent2" w:themeShade="BF"/>
          <w:sz w:val="48"/>
          <w:szCs w:val="48"/>
        </w:rPr>
        <w:t xml:space="preserve">Electricity Price Investigation </w:t>
      </w:r>
      <w:r w:rsidR="00C23A3C" w:rsidRPr="00D703B5">
        <w:rPr>
          <w:color w:val="C45911" w:themeColor="accent2" w:themeShade="BF"/>
          <w:sz w:val="48"/>
          <w:szCs w:val="48"/>
        </w:rPr>
        <w:t xml:space="preserve">2020-24 </w:t>
      </w:r>
    </w:p>
    <w:p w14:paraId="4BFBC3AC" w14:textId="3CF13A0E" w:rsidR="000519EB" w:rsidRDefault="00C23A3C" w:rsidP="0042637A">
      <w:pPr>
        <w:pStyle w:val="Title"/>
        <w:rPr>
          <w:color w:val="C45911" w:themeColor="accent2" w:themeShade="BF"/>
          <w:sz w:val="36"/>
          <w:szCs w:val="36"/>
        </w:rPr>
      </w:pPr>
      <w:r w:rsidRPr="005654FF">
        <w:rPr>
          <w:color w:val="C45911" w:themeColor="accent2" w:themeShade="BF"/>
          <w:sz w:val="36"/>
          <w:szCs w:val="36"/>
        </w:rPr>
        <w:t>Draft Report</w:t>
      </w:r>
      <w:r w:rsidR="00D703B5" w:rsidRPr="005654FF">
        <w:rPr>
          <w:color w:val="C45911" w:themeColor="accent2" w:themeShade="BF"/>
          <w:sz w:val="36"/>
          <w:szCs w:val="36"/>
        </w:rPr>
        <w:t xml:space="preserve">, </w:t>
      </w:r>
      <w:r w:rsidR="00B72E4E" w:rsidRPr="005654FF">
        <w:rPr>
          <w:color w:val="C45911" w:themeColor="accent2" w:themeShade="BF"/>
          <w:sz w:val="36"/>
          <w:szCs w:val="36"/>
        </w:rPr>
        <w:t>February 2020</w:t>
      </w:r>
    </w:p>
    <w:p w14:paraId="0D4CFBF0" w14:textId="165E76A7" w:rsidR="006A52A2" w:rsidRDefault="006A52A2" w:rsidP="006A52A2"/>
    <w:p w14:paraId="40FA900D" w14:textId="5A2CB7D6" w:rsidR="006A52A2" w:rsidRPr="006A52A2" w:rsidRDefault="006A52A2" w:rsidP="006A52A2">
      <w:pPr>
        <w:rPr>
          <w:rFonts w:asciiTheme="majorHAnsi" w:hAnsiTheme="majorHAnsi" w:cstheme="majorHAnsi"/>
          <w:color w:val="595959" w:themeColor="text1" w:themeTint="A6"/>
          <w:sz w:val="32"/>
          <w:szCs w:val="32"/>
        </w:rPr>
      </w:pPr>
      <w:r w:rsidRPr="006A52A2">
        <w:rPr>
          <w:rFonts w:asciiTheme="majorHAnsi" w:hAnsiTheme="majorHAnsi" w:cstheme="majorHAnsi"/>
          <w:color w:val="595959" w:themeColor="text1" w:themeTint="A6"/>
          <w:sz w:val="32"/>
          <w:szCs w:val="32"/>
        </w:rPr>
        <w:t>March 2020</w:t>
      </w:r>
    </w:p>
    <w:p w14:paraId="621A51B0" w14:textId="006F76D8" w:rsidR="000519EB" w:rsidRDefault="00DD07EE" w:rsidP="0042637A">
      <w:r>
        <w:rPr>
          <w:noProof/>
        </w:rPr>
        <mc:AlternateContent>
          <mc:Choice Requires="wps">
            <w:drawing>
              <wp:anchor distT="0" distB="0" distL="114300" distR="114300" simplePos="0" relativeHeight="251665408" behindDoc="1" locked="0" layoutInCell="1" allowOverlap="1" wp14:anchorId="1CBEDE35" wp14:editId="67CC3E5F">
                <wp:simplePos x="0" y="0"/>
                <wp:positionH relativeFrom="column">
                  <wp:posOffset>-177165</wp:posOffset>
                </wp:positionH>
                <wp:positionV relativeFrom="paragraph">
                  <wp:posOffset>108585</wp:posOffset>
                </wp:positionV>
                <wp:extent cx="5991225" cy="81280"/>
                <wp:effectExtent l="0" t="0" r="952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1225" cy="8128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42907" id="Rectangle 7" o:spid="_x0000_s1026" style="position:absolute;margin-left:-13.95pt;margin-top:8.55pt;width:471.75pt;height: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" fillcolor="#fbe4d5 [661]" stroked="f" strokeweight="1pt"/>
            </w:pict>
          </mc:Fallback>
        </mc:AlternateContent>
      </w:r>
    </w:p>
    <w:p w14:paraId="1CE76893" w14:textId="79B2D303" w:rsidR="000519EB" w:rsidRPr="000519EB" w:rsidRDefault="000519EB" w:rsidP="0042637A"/>
    <w:p w14:paraId="6F0D02BC" w14:textId="77777777" w:rsidR="004863FB" w:rsidRPr="000815A0" w:rsidRDefault="000519EB" w:rsidP="00CE3EC0">
      <w:pPr>
        <w:rPr>
          <w:color w:val="595959" w:themeColor="text1" w:themeTint="A6"/>
          <w:sz w:val="28"/>
          <w:szCs w:val="28"/>
        </w:rPr>
      </w:pPr>
      <w:r w:rsidRPr="000815A0">
        <w:rPr>
          <w:color w:val="595959" w:themeColor="text1" w:themeTint="A6"/>
          <w:sz w:val="28"/>
          <w:szCs w:val="28"/>
        </w:rPr>
        <w:t xml:space="preserve">ACT </w:t>
      </w:r>
      <w:proofErr w:type="spellStart"/>
      <w:r w:rsidR="00CB0C5E" w:rsidRPr="000815A0">
        <w:rPr>
          <w:color w:val="595959" w:themeColor="text1" w:themeTint="A6"/>
          <w:sz w:val="28"/>
          <w:szCs w:val="28"/>
        </w:rPr>
        <w:t>Energised</w:t>
      </w:r>
      <w:proofErr w:type="spellEnd"/>
      <w:r w:rsidR="00CB0C5E" w:rsidRPr="000815A0">
        <w:rPr>
          <w:color w:val="595959" w:themeColor="text1" w:themeTint="A6"/>
          <w:sz w:val="28"/>
          <w:szCs w:val="28"/>
        </w:rPr>
        <w:t xml:space="preserve"> Consumers Project Partners</w:t>
      </w:r>
      <w:r w:rsidRPr="000815A0">
        <w:rPr>
          <w:color w:val="595959" w:themeColor="text1" w:themeTint="A6"/>
          <w:sz w:val="28"/>
          <w:szCs w:val="28"/>
        </w:rPr>
        <w:t>:</w:t>
      </w:r>
    </w:p>
    <w:p w14:paraId="4F2E3EE5" w14:textId="1945089A" w:rsidR="004863FB" w:rsidRDefault="002F127B" w:rsidP="00CE3EC0">
      <w:pPr>
        <w:rPr>
          <w:rStyle w:val="Hyperlink"/>
          <w:sz w:val="28"/>
          <w:szCs w:val="28"/>
        </w:rPr>
      </w:pPr>
      <w:hyperlink r:id="rId14" w:history="1">
        <w:r w:rsidR="000519EB" w:rsidRPr="00F80025">
          <w:rPr>
            <w:rStyle w:val="Hyperlink"/>
            <w:sz w:val="28"/>
            <w:szCs w:val="28"/>
          </w:rPr>
          <w:t>ACT Council of Social Service (ACTCOSS)</w:t>
        </w:r>
      </w:hyperlink>
    </w:p>
    <w:p w14:paraId="40C4540A" w14:textId="5C82E5A5" w:rsidR="004863FB" w:rsidRDefault="002F127B" w:rsidP="00CE3EC0">
      <w:pPr>
        <w:rPr>
          <w:rStyle w:val="Hyperlink"/>
          <w:sz w:val="28"/>
          <w:szCs w:val="28"/>
        </w:rPr>
      </w:pPr>
      <w:hyperlink r:id="rId15" w:history="1">
        <w:r w:rsidR="000519EB" w:rsidRPr="00F80025">
          <w:rPr>
            <w:rStyle w:val="Hyperlink"/>
            <w:sz w:val="28"/>
            <w:szCs w:val="28"/>
          </w:rPr>
          <w:t>Care Financial Counselling Service</w:t>
        </w:r>
      </w:hyperlink>
    </w:p>
    <w:p w14:paraId="69CE185F" w14:textId="2042A830" w:rsidR="000519EB" w:rsidRPr="00F80025" w:rsidRDefault="002F127B" w:rsidP="00CE3EC0">
      <w:pPr>
        <w:rPr>
          <w:sz w:val="28"/>
          <w:szCs w:val="28"/>
        </w:rPr>
      </w:pPr>
      <w:hyperlink r:id="rId16" w:history="1">
        <w:r w:rsidR="00CB0C5E" w:rsidRPr="00F80025">
          <w:rPr>
            <w:rStyle w:val="Hyperlink"/>
            <w:sz w:val="28"/>
            <w:szCs w:val="28"/>
          </w:rPr>
          <w:t>Better Renting</w:t>
        </w:r>
      </w:hyperlink>
      <w:r w:rsidR="00CB0C5E" w:rsidRPr="00F80025">
        <w:rPr>
          <w:rStyle w:val="Hyperlink"/>
          <w:sz w:val="28"/>
          <w:szCs w:val="28"/>
        </w:rPr>
        <w:br/>
      </w:r>
    </w:p>
    <w:p w14:paraId="2C92295B" w14:textId="65213C67" w:rsidR="000519EB" w:rsidRPr="000815A0" w:rsidRDefault="000519EB" w:rsidP="0042637A">
      <w:pPr>
        <w:rPr>
          <w:color w:val="595959" w:themeColor="text1" w:themeTint="A6"/>
        </w:rPr>
      </w:pPr>
      <w:r w:rsidRPr="000815A0">
        <w:rPr>
          <w:color w:val="595959" w:themeColor="text1" w:themeTint="A6"/>
        </w:rPr>
        <w:t>Contact Officer:</w:t>
      </w:r>
    </w:p>
    <w:p w14:paraId="4D72C6CB" w14:textId="2E46AD3B" w:rsidR="000519EB" w:rsidRPr="000815A0" w:rsidRDefault="00F95149" w:rsidP="0042637A">
      <w:pPr>
        <w:rPr>
          <w:color w:val="595959" w:themeColor="text1" w:themeTint="A6"/>
        </w:rPr>
      </w:pPr>
      <w:r w:rsidRPr="000815A0">
        <w:rPr>
          <w:color w:val="595959" w:themeColor="text1" w:themeTint="A6"/>
        </w:rPr>
        <w:t>Geoff Buchanan</w:t>
      </w:r>
      <w:r w:rsidR="000519EB" w:rsidRPr="000815A0">
        <w:rPr>
          <w:color w:val="595959" w:themeColor="text1" w:themeTint="A6"/>
        </w:rPr>
        <w:br/>
      </w:r>
      <w:r w:rsidRPr="000815A0">
        <w:rPr>
          <w:color w:val="595959" w:themeColor="text1" w:themeTint="A6"/>
        </w:rPr>
        <w:t>Senior Policy Officer</w:t>
      </w:r>
      <w:r w:rsidR="000519EB" w:rsidRPr="000815A0">
        <w:rPr>
          <w:color w:val="595959" w:themeColor="text1" w:themeTint="A6"/>
        </w:rPr>
        <w:br/>
      </w:r>
      <w:r w:rsidR="00FB14D9" w:rsidRPr="000815A0">
        <w:rPr>
          <w:color w:val="595959" w:themeColor="text1" w:themeTint="A6"/>
        </w:rPr>
        <w:t>ACT Council of Social Service</w:t>
      </w:r>
    </w:p>
    <w:p w14:paraId="626F22ED" w14:textId="68708241" w:rsidR="00180727" w:rsidRDefault="006A52A2" w:rsidP="004D19FF">
      <w:r w:rsidRPr="000815A0">
        <w:rPr>
          <w:noProof/>
          <w:color w:val="595959" w:themeColor="text1" w:themeTint="A6"/>
        </w:rPr>
        <mc:AlternateContent>
          <mc:Choice Requires="wps">
            <w:drawing>
              <wp:anchor distT="45720" distB="45720" distL="114300" distR="114300" simplePos="0" relativeHeight="251667456" behindDoc="0" locked="0" layoutInCell="1" allowOverlap="1" wp14:anchorId="01298C6D" wp14:editId="4479FDED">
                <wp:simplePos x="0" y="0"/>
                <wp:positionH relativeFrom="column">
                  <wp:posOffset>-180975</wp:posOffset>
                </wp:positionH>
                <wp:positionV relativeFrom="page">
                  <wp:posOffset>8347710</wp:posOffset>
                </wp:positionV>
                <wp:extent cx="59904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400" cy="1404620"/>
                        </a:xfrm>
                        <a:prstGeom prst="rect">
                          <a:avLst/>
                        </a:prstGeom>
                        <a:solidFill>
                          <a:srgbClr val="FCEEE4"/>
                        </a:solidFill>
                        <a:ln w="9525">
                          <a:noFill/>
                          <a:miter lim="800000"/>
                          <a:headEnd/>
                          <a:tailEnd/>
                        </a:ln>
                      </wps:spPr>
                      <wps:txbx>
                        <w:txbxContent>
                          <w:p w14:paraId="78D243E9" w14:textId="127BCFCC" w:rsidR="00C47A1B" w:rsidRDefault="00C47A1B" w:rsidP="00282504">
                            <w:pPr>
                              <w:spacing w:before="200"/>
                              <w:ind w:left="113" w:right="113"/>
                            </w:pPr>
                            <w:r>
                              <w:t xml:space="preserve">The </w:t>
                            </w:r>
                            <w:proofErr w:type="spellStart"/>
                            <w:r>
                              <w:t>Energised</w:t>
                            </w:r>
                            <w:proofErr w:type="spellEnd"/>
                            <w:r>
                              <w:t xml:space="preserve"> Consumer Project is funded by Energy Consumers Australia Limited (</w:t>
                            </w:r>
                            <w:hyperlink r:id="rId17" w:history="1">
                              <w:r w:rsidRPr="0065363B">
                                <w:rPr>
                                  <w:rStyle w:val="Hyperlink"/>
                                </w:rPr>
                                <w:t>energyconsumersaustralia.com.au</w:t>
                              </w:r>
                            </w:hyperlink>
                            <w:r>
                              <w:t>) and the ACT Government, as part of the Energy Consumers Australia’s grant process for consumer advocacy projects and research projects for the benefit of consumers of electricity and natural gas.</w:t>
                            </w:r>
                          </w:p>
                          <w:p w14:paraId="2D6AC857" w14:textId="10124986" w:rsidR="00C47A1B" w:rsidRDefault="00C47A1B" w:rsidP="00282504">
                            <w:pPr>
                              <w:spacing w:before="200"/>
                              <w:ind w:left="113" w:right="113"/>
                            </w:pPr>
                            <w:r>
                              <w:t>The views expressed in this document do not necessarily reflect the views of Energy Consumers Australia nor the ACT Government.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298C6D" id="_x0000_t202" coordsize="21600,21600" o:spt="202" path="m,l,21600r21600,l21600,xe">
                <v:stroke joinstyle="miter"/>
                <v:path gradientshapeok="t" o:connecttype="rect"/>
              </v:shapetype>
              <v:shape id="Text Box 2" o:spid="_x0000_s1026" type="#_x0000_t202" style="position:absolute;margin-left:-14.25pt;margin-top:657.3pt;width:471.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" fillcolor="#fceee4" stroked="f">
                <v:textbox style="mso-fit-shape-to-text:t">
                  <w:txbxContent>
                    <w:p w14:paraId="78D243E9" w14:textId="127BCFCC" w:rsidR="00C47A1B" w:rsidRDefault="00C47A1B" w:rsidP="00282504">
                      <w:pPr>
                        <w:spacing w:before="200"/>
                        <w:ind w:left="113" w:right="113"/>
                      </w:pPr>
                      <w:r>
                        <w:t xml:space="preserve">The </w:t>
                      </w:r>
                      <w:proofErr w:type="spellStart"/>
                      <w:r>
                        <w:t>Energised</w:t>
                      </w:r>
                      <w:proofErr w:type="spellEnd"/>
                      <w:r>
                        <w:t xml:space="preserve"> Consumer Project is funded by Energy Consumers Australia Limited (</w:t>
                      </w:r>
                      <w:hyperlink r:id="rId18" w:history="1">
                        <w:r w:rsidRPr="0065363B">
                          <w:rPr>
                            <w:rStyle w:val="Hyperlink"/>
                          </w:rPr>
                          <w:t>energyconsumersaustralia.com.au</w:t>
                        </w:r>
                      </w:hyperlink>
                      <w:r>
                        <w:t>) and the ACT Government, as part of the Energy Consumers Australia’s grant process for consumer advocacy projects and research projects for the benefit of consumers of electricity and natural gas.</w:t>
                      </w:r>
                    </w:p>
                    <w:p w14:paraId="2D6AC857" w14:textId="10124986" w:rsidR="00C47A1B" w:rsidRDefault="00C47A1B" w:rsidP="00282504">
                      <w:pPr>
                        <w:spacing w:before="200"/>
                        <w:ind w:left="113" w:right="113"/>
                      </w:pPr>
                      <w:r>
                        <w:t>The views expressed in this document do not necessarily reflect the views of Energy Consumers Australia nor the ACT Government.</w:t>
                      </w:r>
                    </w:p>
                  </w:txbxContent>
                </v:textbox>
                <w10:wrap anchory="page"/>
              </v:shape>
            </w:pict>
          </mc:Fallback>
        </mc:AlternateContent>
      </w:r>
      <w:r w:rsidR="00FB14D9" w:rsidRPr="000815A0">
        <w:rPr>
          <w:color w:val="595959" w:themeColor="text1" w:themeTint="A6"/>
        </w:rPr>
        <w:t xml:space="preserve">1/6 </w:t>
      </w:r>
      <w:proofErr w:type="spellStart"/>
      <w:r w:rsidR="00FB14D9" w:rsidRPr="000815A0">
        <w:rPr>
          <w:color w:val="595959" w:themeColor="text1" w:themeTint="A6"/>
        </w:rPr>
        <w:t>Gritten</w:t>
      </w:r>
      <w:proofErr w:type="spellEnd"/>
      <w:r w:rsidR="00FB14D9" w:rsidRPr="000815A0">
        <w:rPr>
          <w:color w:val="595959" w:themeColor="text1" w:themeTint="A6"/>
        </w:rPr>
        <w:t xml:space="preserve"> St</w:t>
      </w:r>
      <w:r w:rsidR="000519EB" w:rsidRPr="000815A0">
        <w:rPr>
          <w:color w:val="595959" w:themeColor="text1" w:themeTint="A6"/>
        </w:rPr>
        <w:br/>
      </w:r>
      <w:r w:rsidR="00FB14D9" w:rsidRPr="000815A0">
        <w:rPr>
          <w:color w:val="595959" w:themeColor="text1" w:themeTint="A6"/>
        </w:rPr>
        <w:t>Weston ACT 2611</w:t>
      </w:r>
      <w:r w:rsidR="000519EB" w:rsidRPr="000815A0">
        <w:rPr>
          <w:color w:val="595959" w:themeColor="text1" w:themeTint="A6"/>
        </w:rPr>
        <w:br/>
        <w:t xml:space="preserve">Ph: 02 </w:t>
      </w:r>
      <w:r w:rsidR="00FB14D9" w:rsidRPr="000815A0">
        <w:rPr>
          <w:color w:val="595959" w:themeColor="text1" w:themeTint="A6"/>
        </w:rPr>
        <w:t>6202 72</w:t>
      </w:r>
      <w:r w:rsidR="0008017B" w:rsidRPr="000815A0">
        <w:rPr>
          <w:color w:val="595959" w:themeColor="text1" w:themeTint="A6"/>
        </w:rPr>
        <w:t>22</w:t>
      </w:r>
      <w:r w:rsidR="00D314CC" w:rsidRPr="00D314CC">
        <w:rPr>
          <w:noProof/>
        </w:rPr>
        <w:t xml:space="preserve"> </w:t>
      </w:r>
    </w:p>
    <w:p w14:paraId="7175F669" w14:textId="0B584C85" w:rsidR="0096085C" w:rsidRPr="00A722F2" w:rsidRDefault="0090073E" w:rsidP="00C47A1B">
      <w:pPr>
        <w:pageBreakBefore/>
        <w:ind w:left="391" w:hanging="391"/>
        <w:rPr>
          <w:color w:val="595959" w:themeColor="text1" w:themeTint="A6"/>
          <w:sz w:val="22"/>
          <w:szCs w:val="22"/>
        </w:rPr>
      </w:pPr>
      <w:r>
        <w:rPr>
          <w:color w:val="595959" w:themeColor="text1" w:themeTint="A6"/>
          <w:sz w:val="22"/>
          <w:szCs w:val="22"/>
        </w:rPr>
        <w:lastRenderedPageBreak/>
        <w:t xml:space="preserve">To: </w:t>
      </w:r>
      <w:r w:rsidR="00CF588E">
        <w:rPr>
          <w:color w:val="595959" w:themeColor="text1" w:themeTint="A6"/>
          <w:sz w:val="22"/>
          <w:szCs w:val="22"/>
        </w:rPr>
        <w:tab/>
      </w:r>
      <w:r w:rsidR="00921DC5" w:rsidRPr="00A722F2">
        <w:rPr>
          <w:color w:val="595959" w:themeColor="text1" w:themeTint="A6"/>
          <w:sz w:val="22"/>
          <w:szCs w:val="22"/>
        </w:rPr>
        <w:t xml:space="preserve">ICRC </w:t>
      </w:r>
      <w:r w:rsidR="004551DA" w:rsidRPr="00A722F2">
        <w:rPr>
          <w:color w:val="595959" w:themeColor="text1" w:themeTint="A6"/>
          <w:sz w:val="22"/>
          <w:szCs w:val="22"/>
        </w:rPr>
        <w:t xml:space="preserve">Retail </w:t>
      </w:r>
      <w:r w:rsidR="00921DC5" w:rsidRPr="00A722F2">
        <w:rPr>
          <w:color w:val="595959" w:themeColor="text1" w:themeTint="A6"/>
          <w:sz w:val="22"/>
          <w:szCs w:val="22"/>
        </w:rPr>
        <w:t>Electricity Price Investigation 2020-24</w:t>
      </w:r>
      <w:r w:rsidR="00CF1B36" w:rsidRPr="00A722F2">
        <w:rPr>
          <w:color w:val="595959" w:themeColor="text1" w:themeTint="A6"/>
          <w:sz w:val="22"/>
          <w:szCs w:val="22"/>
        </w:rPr>
        <w:t xml:space="preserve"> </w:t>
      </w:r>
      <w:r w:rsidR="00CF1B36" w:rsidRPr="00A722F2">
        <w:rPr>
          <w:color w:val="595959" w:themeColor="text1" w:themeTint="A6"/>
          <w:sz w:val="22"/>
          <w:szCs w:val="22"/>
        </w:rPr>
        <w:br/>
      </w:r>
      <w:r w:rsidR="00921DC5" w:rsidRPr="00A722F2">
        <w:rPr>
          <w:color w:val="595959" w:themeColor="text1" w:themeTint="A6"/>
          <w:sz w:val="22"/>
          <w:szCs w:val="22"/>
        </w:rPr>
        <w:t>Draft Report</w:t>
      </w:r>
      <w:r w:rsidR="00240FE8">
        <w:rPr>
          <w:color w:val="595959" w:themeColor="text1" w:themeTint="A6"/>
          <w:sz w:val="22"/>
          <w:szCs w:val="22"/>
        </w:rPr>
        <w:t>,</w:t>
      </w:r>
      <w:r w:rsidR="00921DC5" w:rsidRPr="00A722F2">
        <w:rPr>
          <w:color w:val="595959" w:themeColor="text1" w:themeTint="A6"/>
          <w:sz w:val="22"/>
          <w:szCs w:val="22"/>
        </w:rPr>
        <w:t xml:space="preserve"> </w:t>
      </w:r>
      <w:r w:rsidR="003B0C4E" w:rsidRPr="00A722F2">
        <w:rPr>
          <w:color w:val="595959" w:themeColor="text1" w:themeTint="A6"/>
          <w:sz w:val="22"/>
          <w:szCs w:val="22"/>
        </w:rPr>
        <w:t>February 2020</w:t>
      </w:r>
      <w:r w:rsidR="00CF1B36" w:rsidRPr="00A722F2">
        <w:rPr>
          <w:color w:val="595959" w:themeColor="text1" w:themeTint="A6"/>
          <w:sz w:val="22"/>
          <w:szCs w:val="22"/>
        </w:rPr>
        <w:t xml:space="preserve"> </w:t>
      </w:r>
      <w:r w:rsidR="00CF1B36" w:rsidRPr="00A722F2">
        <w:rPr>
          <w:color w:val="595959" w:themeColor="text1" w:themeTint="A6"/>
          <w:sz w:val="22"/>
          <w:szCs w:val="22"/>
        </w:rPr>
        <w:br/>
        <w:t xml:space="preserve">Submissions </w:t>
      </w:r>
    </w:p>
    <w:p w14:paraId="557B11E1" w14:textId="729C67A1" w:rsidR="0096085C" w:rsidRPr="00A722F2" w:rsidRDefault="00A23177" w:rsidP="00C60186">
      <w:pPr>
        <w:ind w:left="392"/>
        <w:rPr>
          <w:color w:val="595959" w:themeColor="text1" w:themeTint="A6"/>
          <w:sz w:val="22"/>
          <w:szCs w:val="22"/>
        </w:rPr>
      </w:pPr>
      <w:r w:rsidRPr="00A722F2">
        <w:rPr>
          <w:color w:val="595959" w:themeColor="text1" w:themeTint="A6"/>
          <w:sz w:val="22"/>
          <w:szCs w:val="22"/>
        </w:rPr>
        <w:t>Independent Competition and Regulatory Commission</w:t>
      </w:r>
      <w:r w:rsidR="00A41AFC" w:rsidRPr="00A722F2">
        <w:rPr>
          <w:color w:val="595959" w:themeColor="text1" w:themeTint="A6"/>
          <w:sz w:val="22"/>
          <w:szCs w:val="22"/>
        </w:rPr>
        <w:br/>
      </w:r>
      <w:r w:rsidRPr="00A722F2">
        <w:rPr>
          <w:color w:val="595959" w:themeColor="text1" w:themeTint="A6"/>
          <w:sz w:val="22"/>
          <w:szCs w:val="22"/>
        </w:rPr>
        <w:t>PO Box 161</w:t>
      </w:r>
      <w:r w:rsidR="00A41AFC" w:rsidRPr="00A722F2">
        <w:rPr>
          <w:color w:val="595959" w:themeColor="text1" w:themeTint="A6"/>
          <w:sz w:val="22"/>
          <w:szCs w:val="22"/>
        </w:rPr>
        <w:br/>
      </w:r>
      <w:r w:rsidRPr="00A722F2">
        <w:rPr>
          <w:color w:val="595959" w:themeColor="text1" w:themeTint="A6"/>
          <w:sz w:val="22"/>
          <w:szCs w:val="22"/>
        </w:rPr>
        <w:t>Civic Square ACT 2608</w:t>
      </w:r>
      <w:r w:rsidR="00CF1B36" w:rsidRPr="00A722F2">
        <w:rPr>
          <w:color w:val="595959" w:themeColor="text1" w:themeTint="A6"/>
          <w:sz w:val="22"/>
          <w:szCs w:val="22"/>
        </w:rPr>
        <w:br/>
      </w:r>
      <w:r w:rsidR="00F47724" w:rsidRPr="00A722F2">
        <w:rPr>
          <w:color w:val="595959" w:themeColor="text1" w:themeTint="A6"/>
          <w:sz w:val="22"/>
          <w:szCs w:val="22"/>
        </w:rPr>
        <w:t xml:space="preserve">Email: </w:t>
      </w:r>
      <w:hyperlink r:id="rId19" w:history="1">
        <w:r w:rsidR="005E00A8" w:rsidRPr="00A722F2">
          <w:rPr>
            <w:rStyle w:val="Hyperlink"/>
            <w:sz w:val="22"/>
            <w:szCs w:val="22"/>
          </w:rPr>
          <w:t>icrc@act.gov.au</w:t>
        </w:r>
      </w:hyperlink>
      <w:r w:rsidR="005E00A8" w:rsidRPr="00A722F2">
        <w:rPr>
          <w:color w:val="595959" w:themeColor="text1" w:themeTint="A6"/>
          <w:sz w:val="22"/>
          <w:szCs w:val="22"/>
        </w:rPr>
        <w:t xml:space="preserve"> </w:t>
      </w:r>
    </w:p>
    <w:p w14:paraId="691CDC85" w14:textId="77777777" w:rsidR="00A949B5" w:rsidRDefault="00A949B5" w:rsidP="0042637A"/>
    <w:p w14:paraId="6BE936AE" w14:textId="38FF748A" w:rsidR="00FC4131" w:rsidRDefault="009807B7" w:rsidP="005669B6">
      <w:r>
        <w:t xml:space="preserve">The </w:t>
      </w:r>
      <w:r w:rsidR="00735091" w:rsidRPr="00735091">
        <w:t>ACT Council of Social Service (ACTCOSS)</w:t>
      </w:r>
      <w:r w:rsidR="00E42E80">
        <w:t>, C</w:t>
      </w:r>
      <w:r w:rsidR="00735091" w:rsidRPr="00735091">
        <w:t>are Financial Counselling Service</w:t>
      </w:r>
      <w:r w:rsidR="00735091">
        <w:t>,</w:t>
      </w:r>
      <w:r>
        <w:t xml:space="preserve"> and</w:t>
      </w:r>
      <w:r w:rsidR="00735091">
        <w:t xml:space="preserve"> </w:t>
      </w:r>
      <w:r w:rsidR="00735091" w:rsidRPr="00735091">
        <w:t>Better Renting</w:t>
      </w:r>
      <w:r w:rsidR="006B4D2A" w:rsidRPr="00A4747E">
        <w:t xml:space="preserve"> </w:t>
      </w:r>
      <w:r w:rsidR="00F80E22">
        <w:t>welcome the opportunity</w:t>
      </w:r>
      <w:r w:rsidR="00CF1B36" w:rsidRPr="00A4747E">
        <w:t xml:space="preserve"> </w:t>
      </w:r>
      <w:r>
        <w:t xml:space="preserve">to </w:t>
      </w:r>
      <w:r w:rsidR="00CF1B36" w:rsidRPr="00A4747E">
        <w:t xml:space="preserve">make a </w:t>
      </w:r>
      <w:r w:rsidR="00E42E80">
        <w:t>s</w:t>
      </w:r>
      <w:r w:rsidR="00CF1B36" w:rsidRPr="00A4747E">
        <w:t xml:space="preserve">ubmission </w:t>
      </w:r>
      <w:r>
        <w:t xml:space="preserve">in response </w:t>
      </w:r>
      <w:r w:rsidR="00CF1B36" w:rsidRPr="00A4747E">
        <w:t xml:space="preserve">to the </w:t>
      </w:r>
      <w:r w:rsidR="00F80E22">
        <w:t>I</w:t>
      </w:r>
      <w:r>
        <w:t>ndependent Competition and Regulatory Commission</w:t>
      </w:r>
      <w:r w:rsidR="00F80E22">
        <w:t>’s</w:t>
      </w:r>
      <w:r>
        <w:t xml:space="preserve"> (ICRC’s)</w:t>
      </w:r>
      <w:r w:rsidR="004551DA">
        <w:t xml:space="preserve"> Retail</w:t>
      </w:r>
      <w:r w:rsidR="00F80E22">
        <w:t xml:space="preserve"> Electricity Price Investigation </w:t>
      </w:r>
      <w:r w:rsidR="00561484">
        <w:t>2020-24 Draft Report</w:t>
      </w:r>
      <w:r w:rsidR="00CF1B36" w:rsidRPr="00A4747E">
        <w:t>.</w:t>
      </w:r>
      <w:r w:rsidR="00AC031C">
        <w:t xml:space="preserve"> </w:t>
      </w:r>
      <w:r w:rsidR="00931B49">
        <w:t xml:space="preserve">Our organisations work in partnership through the </w:t>
      </w:r>
      <w:proofErr w:type="spellStart"/>
      <w:r w:rsidR="007D4143">
        <w:t>Energised</w:t>
      </w:r>
      <w:proofErr w:type="spellEnd"/>
      <w:r w:rsidR="007D4143">
        <w:t xml:space="preserve"> Consumers Project funded by Energy Consumers Australia</w:t>
      </w:r>
      <w:r w:rsidR="00107F56">
        <w:t>. This project</w:t>
      </w:r>
      <w:r w:rsidR="007757C0">
        <w:t xml:space="preserve"> support</w:t>
      </w:r>
      <w:r w:rsidR="00107F56">
        <w:t>s</w:t>
      </w:r>
      <w:r w:rsidR="007757C0">
        <w:t xml:space="preserve"> ACT low-income</w:t>
      </w:r>
      <w:r w:rsidR="00623C0F">
        <w:t xml:space="preserve"> household</w:t>
      </w:r>
      <w:r w:rsidR="007757C0">
        <w:t xml:space="preserve">, </w:t>
      </w:r>
      <w:r w:rsidR="00CF4C31">
        <w:t xml:space="preserve">non-government </w:t>
      </w:r>
      <w:proofErr w:type="spellStart"/>
      <w:r w:rsidR="00CF4C31">
        <w:t>organisation</w:t>
      </w:r>
      <w:proofErr w:type="spellEnd"/>
      <w:r w:rsidR="00CF4C31">
        <w:t xml:space="preserve"> and small business consumers to participate </w:t>
      </w:r>
      <w:r w:rsidR="00900411">
        <w:t xml:space="preserve">in </w:t>
      </w:r>
      <w:r w:rsidR="0048441F">
        <w:t>decision making on energy issues</w:t>
      </w:r>
      <w:r w:rsidR="0039181A">
        <w:t xml:space="preserve"> to achieve better </w:t>
      </w:r>
      <w:r w:rsidR="003C50F5">
        <w:t xml:space="preserve">consumer </w:t>
      </w:r>
      <w:r w:rsidR="0039181A">
        <w:t>outcomes</w:t>
      </w:r>
      <w:r w:rsidR="000E75A7">
        <w:t xml:space="preserve"> in terms</w:t>
      </w:r>
      <w:r w:rsidR="006F721B">
        <w:t xml:space="preserve"> of affordable, reliable, safe, and clean energy as an essential service.</w:t>
      </w:r>
    </w:p>
    <w:p w14:paraId="7962B45B" w14:textId="74F4BC50" w:rsidR="006E147B" w:rsidRPr="00A949B5" w:rsidRDefault="006E147B" w:rsidP="00FC4131">
      <w:pPr>
        <w:pStyle w:val="Heading1"/>
        <w:rPr>
          <w:rFonts w:cstheme="minorHAnsi"/>
          <w:sz w:val="23"/>
          <w:szCs w:val="23"/>
        </w:rPr>
      </w:pPr>
      <w:r w:rsidRPr="00A949B5">
        <w:rPr>
          <w:rStyle w:val="Heading1Char"/>
        </w:rPr>
        <w:t>Introduction</w:t>
      </w:r>
    </w:p>
    <w:p w14:paraId="31B7EF52" w14:textId="395A41B7" w:rsidR="008E19F9" w:rsidRDefault="00070F94" w:rsidP="0042637A">
      <w:r>
        <w:t>ACTCOSS, Care</w:t>
      </w:r>
      <w:r w:rsidR="00CE33F2">
        <w:t>,</w:t>
      </w:r>
      <w:r>
        <w:t xml:space="preserve"> and Better Renting</w:t>
      </w:r>
      <w:r w:rsidR="00064329">
        <w:t xml:space="preserve"> </w:t>
      </w:r>
      <w:r w:rsidR="00F635A9">
        <w:t xml:space="preserve">welcome the </w:t>
      </w:r>
      <w:r w:rsidR="005E4ECF">
        <w:t xml:space="preserve">ICRC’s </w:t>
      </w:r>
      <w:r w:rsidR="005040E5">
        <w:t>R</w:t>
      </w:r>
      <w:r w:rsidR="00510B44">
        <w:t xml:space="preserve">etail </w:t>
      </w:r>
      <w:r w:rsidR="005040E5">
        <w:t>E</w:t>
      </w:r>
      <w:r w:rsidR="00510B44">
        <w:t xml:space="preserve">lectricity </w:t>
      </w:r>
      <w:r w:rsidR="005040E5">
        <w:t>P</w:t>
      </w:r>
      <w:r w:rsidR="00510B44">
        <w:t xml:space="preserve">rice </w:t>
      </w:r>
      <w:r w:rsidR="005040E5">
        <w:t>I</w:t>
      </w:r>
      <w:r w:rsidR="00510B44">
        <w:t xml:space="preserve">nvestigation 2020-24 </w:t>
      </w:r>
      <w:r w:rsidR="005040E5">
        <w:t>D</w:t>
      </w:r>
      <w:r w:rsidR="005E4ECF">
        <w:t xml:space="preserve">raft </w:t>
      </w:r>
      <w:r w:rsidR="005040E5">
        <w:t>R</w:t>
      </w:r>
      <w:r w:rsidR="005E4ECF">
        <w:t>eport</w:t>
      </w:r>
      <w:r w:rsidR="00510B44">
        <w:t xml:space="preserve">. </w:t>
      </w:r>
      <w:r w:rsidR="006B5F36">
        <w:t xml:space="preserve">The </w:t>
      </w:r>
      <w:r w:rsidR="00CE3B09">
        <w:t>ICRC’s draft decision</w:t>
      </w:r>
      <w:r w:rsidR="006B5F36">
        <w:t xml:space="preserve"> </w:t>
      </w:r>
      <w:r w:rsidR="00D614DA">
        <w:t xml:space="preserve">indicates </w:t>
      </w:r>
      <w:r w:rsidR="005040E5">
        <w:t xml:space="preserve">that </w:t>
      </w:r>
      <w:r w:rsidR="00A92E42">
        <w:t xml:space="preserve">ACT consumers </w:t>
      </w:r>
      <w:r w:rsidR="005E3578">
        <w:t>will benefit from a reduction in</w:t>
      </w:r>
      <w:r w:rsidR="00963E17">
        <w:t xml:space="preserve"> </w:t>
      </w:r>
      <w:r w:rsidR="00D614DA">
        <w:t xml:space="preserve">electricity </w:t>
      </w:r>
      <w:r w:rsidR="00963E17">
        <w:t>prices</w:t>
      </w:r>
      <w:r w:rsidR="00CE3B09">
        <w:t>. It</w:t>
      </w:r>
      <w:r w:rsidR="00A84B4B">
        <w:t xml:space="preserve"> recommends</w:t>
      </w:r>
      <w:r w:rsidR="00382E81">
        <w:t xml:space="preserve"> much-needed</w:t>
      </w:r>
      <w:r w:rsidR="00D614DA">
        <w:t xml:space="preserve"> </w:t>
      </w:r>
      <w:r w:rsidR="00CE3B09">
        <w:t>measures to improve the</w:t>
      </w:r>
      <w:r w:rsidR="00D614DA">
        <w:t xml:space="preserve"> transparency and comparability of </w:t>
      </w:r>
      <w:r w:rsidR="00235871">
        <w:t xml:space="preserve">electricity </w:t>
      </w:r>
      <w:r w:rsidR="00B80361">
        <w:t>offers and</w:t>
      </w:r>
      <w:r w:rsidR="00CE33F2">
        <w:t xml:space="preserve"> increase</w:t>
      </w:r>
      <w:r w:rsidR="00CE3B09">
        <w:t xml:space="preserve"> the responsibility and accountability of retailers</w:t>
      </w:r>
      <w:r w:rsidR="00235871">
        <w:t>.</w:t>
      </w:r>
      <w:r w:rsidR="00EE5CB9">
        <w:t xml:space="preserve"> </w:t>
      </w:r>
      <w:r w:rsidR="00EE5CB9" w:rsidRPr="00EE5CB9">
        <w:t xml:space="preserve">We </w:t>
      </w:r>
      <w:r w:rsidR="00382E81">
        <w:t>thank the</w:t>
      </w:r>
      <w:r w:rsidR="00EE5CB9" w:rsidRPr="00EE5CB9">
        <w:t xml:space="preserve"> ICRC</w:t>
      </w:r>
      <w:r w:rsidR="00382E81">
        <w:t xml:space="preserve"> for the efforts it has taken</w:t>
      </w:r>
      <w:r w:rsidR="00EE5CB9" w:rsidRPr="00EE5CB9">
        <w:t xml:space="preserve"> to engage with consumer groups and financial counsellors</w:t>
      </w:r>
      <w:r w:rsidR="00CE33F2">
        <w:t>,</w:t>
      </w:r>
      <w:r w:rsidR="00EE5CB9" w:rsidRPr="00EE5CB9">
        <w:t xml:space="preserve"> and to survey consumers to inform</w:t>
      </w:r>
      <w:r w:rsidR="00382E81">
        <w:t xml:space="preserve"> its</w:t>
      </w:r>
      <w:r w:rsidR="00EE5CB9" w:rsidRPr="00EE5CB9">
        <w:t xml:space="preserve"> draft decision</w:t>
      </w:r>
      <w:r w:rsidR="0060142C">
        <w:t>.</w:t>
      </w:r>
    </w:p>
    <w:p w14:paraId="37FF80C1" w14:textId="6A53225C" w:rsidR="004715E1" w:rsidRDefault="00735C95" w:rsidP="0042637A">
      <w:r>
        <w:t>We have</w:t>
      </w:r>
      <w:r w:rsidR="00382E81">
        <w:t xml:space="preserve"> developed</w:t>
      </w:r>
      <w:r>
        <w:t xml:space="preserve"> our </w:t>
      </w:r>
      <w:r w:rsidR="004715E1">
        <w:t xml:space="preserve">submission based on </w:t>
      </w:r>
      <w:r w:rsidR="00382E81">
        <w:t>the following</w:t>
      </w:r>
      <w:r w:rsidR="004715E1">
        <w:t xml:space="preserve"> principles</w:t>
      </w:r>
      <w:r w:rsidR="00382E81">
        <w:t xml:space="preserve"> and policy objectives</w:t>
      </w:r>
      <w:r w:rsidR="004715E1">
        <w:t>:</w:t>
      </w:r>
    </w:p>
    <w:p w14:paraId="74EA75C6" w14:textId="62C27B70" w:rsidR="004715E1" w:rsidRPr="005669B6" w:rsidRDefault="004715E1" w:rsidP="005669B6">
      <w:pPr>
        <w:pStyle w:val="ListParagraph"/>
      </w:pPr>
      <w:r w:rsidRPr="005669B6">
        <w:t>Energy is an essential service</w:t>
      </w:r>
      <w:r w:rsidR="002F3088" w:rsidRPr="005669B6">
        <w:t xml:space="preserve"> – it is</w:t>
      </w:r>
      <w:r w:rsidRPr="005669B6">
        <w:t xml:space="preserve"> not a discretionary purchase</w:t>
      </w:r>
    </w:p>
    <w:p w14:paraId="72EA2061" w14:textId="77777777" w:rsidR="0016310F" w:rsidRPr="005669B6" w:rsidRDefault="0016310F" w:rsidP="005669B6">
      <w:pPr>
        <w:pStyle w:val="ListParagraph"/>
      </w:pPr>
      <w:r w:rsidRPr="005669B6">
        <w:t xml:space="preserve">The promised benefits of </w:t>
      </w:r>
      <w:proofErr w:type="spellStart"/>
      <w:r w:rsidRPr="005669B6">
        <w:t>privatisation</w:t>
      </w:r>
      <w:proofErr w:type="spellEnd"/>
      <w:r w:rsidRPr="005669B6">
        <w:t xml:space="preserve"> and market competition in energy services have not been </w:t>
      </w:r>
      <w:proofErr w:type="spellStart"/>
      <w:r w:rsidRPr="005669B6">
        <w:t>realised</w:t>
      </w:r>
      <w:proofErr w:type="spellEnd"/>
    </w:p>
    <w:p w14:paraId="5A066B13" w14:textId="1AE90FBE" w:rsidR="0016310F" w:rsidRPr="005669B6" w:rsidRDefault="0016310F" w:rsidP="005669B6">
      <w:pPr>
        <w:pStyle w:val="ListParagraph"/>
      </w:pPr>
      <w:r w:rsidRPr="005669B6">
        <w:t>Retailers should not make excessive margins off the provision of essential energy services</w:t>
      </w:r>
    </w:p>
    <w:p w14:paraId="749F778C" w14:textId="21835CD1" w:rsidR="008C3398" w:rsidRPr="005669B6" w:rsidRDefault="008C3398" w:rsidP="005669B6">
      <w:pPr>
        <w:pStyle w:val="ListParagraph"/>
      </w:pPr>
      <w:r w:rsidRPr="005669B6">
        <w:t xml:space="preserve">All </w:t>
      </w:r>
      <w:r w:rsidR="00CE3B09" w:rsidRPr="005669B6">
        <w:t>households</w:t>
      </w:r>
      <w:r w:rsidRPr="005669B6">
        <w:t xml:space="preserve"> must have access to energy at a fair price</w:t>
      </w:r>
    </w:p>
    <w:p w14:paraId="66C6152E" w14:textId="0312FD63" w:rsidR="008C3398" w:rsidRPr="005669B6" w:rsidRDefault="008C3398" w:rsidP="005669B6">
      <w:pPr>
        <w:pStyle w:val="ListParagraph"/>
      </w:pPr>
      <w:r w:rsidRPr="005669B6">
        <w:t xml:space="preserve">It should be easy for consumers to determine the best energy </w:t>
      </w:r>
      <w:r w:rsidR="002F3088" w:rsidRPr="005669B6">
        <w:t>offer</w:t>
      </w:r>
      <w:r w:rsidRPr="005669B6">
        <w:t xml:space="preserve"> </w:t>
      </w:r>
      <w:r w:rsidR="002F3088" w:rsidRPr="005669B6">
        <w:t>for</w:t>
      </w:r>
      <w:r w:rsidRPr="005669B6">
        <w:t xml:space="preserve"> their </w:t>
      </w:r>
      <w:r w:rsidR="002F3088" w:rsidRPr="005669B6">
        <w:t>circumstances</w:t>
      </w:r>
      <w:r w:rsidR="0016310F" w:rsidRPr="005669B6">
        <w:t>.</w:t>
      </w:r>
    </w:p>
    <w:p w14:paraId="4793BCF1" w14:textId="4A72826A" w:rsidR="00ED5B9E" w:rsidRPr="00ED5B9E" w:rsidRDefault="00ED5B9E" w:rsidP="0042637A">
      <w:r>
        <w:t xml:space="preserve">We </w:t>
      </w:r>
      <w:r w:rsidR="006D386D">
        <w:t>believe</w:t>
      </w:r>
      <w:r>
        <w:t xml:space="preserve"> </w:t>
      </w:r>
      <w:r w:rsidR="00331A3A">
        <w:t>tha</w:t>
      </w:r>
      <w:r w:rsidR="00294015">
        <w:t>t the ICRC’s price regulation</w:t>
      </w:r>
      <w:r w:rsidR="00463C6F">
        <w:t xml:space="preserve"> has been</w:t>
      </w:r>
      <w:r w:rsidR="00294015">
        <w:t xml:space="preserve"> </w:t>
      </w:r>
      <w:r w:rsidR="0065545A">
        <w:t>beneficial to</w:t>
      </w:r>
      <w:r w:rsidR="00294015">
        <w:t xml:space="preserve"> low-income and vulnerable </w:t>
      </w:r>
      <w:r w:rsidR="00963C37">
        <w:t>consumers</w:t>
      </w:r>
      <w:r w:rsidR="00390870">
        <w:t xml:space="preserve"> in the ACT</w:t>
      </w:r>
      <w:r w:rsidR="00963C37">
        <w:t xml:space="preserve">, and </w:t>
      </w:r>
      <w:r w:rsidR="007C7829">
        <w:t xml:space="preserve">that </w:t>
      </w:r>
      <w:r w:rsidR="00963C37">
        <w:t>it has</w:t>
      </w:r>
      <w:r w:rsidR="00314482">
        <w:t xml:space="preserve"> </w:t>
      </w:r>
      <w:r w:rsidR="00A43A87">
        <w:t>made an important contribution to keeping</w:t>
      </w:r>
      <w:r w:rsidR="00416C69">
        <w:t xml:space="preserve"> </w:t>
      </w:r>
      <w:r w:rsidR="006A787B">
        <w:t xml:space="preserve">ACT residential </w:t>
      </w:r>
      <w:r w:rsidR="00736537">
        <w:t>electricity prices</w:t>
      </w:r>
      <w:r w:rsidR="007C7829">
        <w:t xml:space="preserve"> </w:t>
      </w:r>
      <w:r w:rsidR="006A787B">
        <w:t>lower than in other jurisdictions</w:t>
      </w:r>
      <w:r w:rsidR="00A75AD5">
        <w:t>.</w:t>
      </w:r>
    </w:p>
    <w:p w14:paraId="4FAAC2EA" w14:textId="3D775BA4" w:rsidR="00E86F2A" w:rsidRDefault="00735C95" w:rsidP="0042637A">
      <w:r w:rsidRPr="00A75AD5">
        <w:lastRenderedPageBreak/>
        <w:t>We welcome</w:t>
      </w:r>
      <w:r w:rsidR="00E86F2A">
        <w:t xml:space="preserve"> the ICRC’s draft decision </w:t>
      </w:r>
      <w:r w:rsidR="00382E81">
        <w:t xml:space="preserve">which provides </w:t>
      </w:r>
      <w:r w:rsidR="00E86F2A">
        <w:t xml:space="preserve">for an average nominal decrease of 6.75% in </w:t>
      </w:r>
      <w:proofErr w:type="spellStart"/>
      <w:r w:rsidR="00E86F2A">
        <w:t>ActewAGL’s</w:t>
      </w:r>
      <w:proofErr w:type="spellEnd"/>
      <w:r w:rsidR="00E86F2A">
        <w:t xml:space="preserve"> basket of regulated tariffs, pending the Australian Energy Regulator’s (AER’s) determination on network costs in May 2020. </w:t>
      </w:r>
    </w:p>
    <w:p w14:paraId="78B3792C" w14:textId="6AC5311D" w:rsidR="00E86F2A" w:rsidRDefault="00735C95" w:rsidP="0042637A">
      <w:r w:rsidRPr="00A75AD5">
        <w:t>We strongly support</w:t>
      </w:r>
      <w:r w:rsidR="00E86F2A">
        <w:t xml:space="preserve"> the</w:t>
      </w:r>
      <w:r w:rsidR="00382E81">
        <w:t xml:space="preserve"> </w:t>
      </w:r>
      <w:r w:rsidR="000E483F">
        <w:t xml:space="preserve">two draft recommendations </w:t>
      </w:r>
      <w:r w:rsidR="00382E81">
        <w:t>in the draft decision</w:t>
      </w:r>
      <w:r w:rsidR="000E483F">
        <w:t>:</w:t>
      </w:r>
    </w:p>
    <w:p w14:paraId="4CCC70A9" w14:textId="0CB65371" w:rsidR="000E483F" w:rsidRPr="000E483F" w:rsidRDefault="003D1127" w:rsidP="000157C1">
      <w:pPr>
        <w:pStyle w:val="ListLetters"/>
      </w:pPr>
      <w:r w:rsidRPr="003D1127">
        <w:t>A reference bill amount should be developed to provide ACT consumers with a common point of comparison for assessing electricity offers. The reference bill should be based on existing regulated standing offer prices</w:t>
      </w:r>
    </w:p>
    <w:p w14:paraId="56D184CB" w14:textId="4CCE9D3F" w:rsidR="000E483F" w:rsidRDefault="00D7454A" w:rsidP="000157C1">
      <w:pPr>
        <w:pStyle w:val="ListLetters"/>
      </w:pPr>
      <w:r w:rsidRPr="00D7454A">
        <w:t>The ACT Government should consider imposing a new regulatory obligation on retailers to regularly notify their customers whether they are on the best offer and how much can be saved by switching, taking account of the customers’ circumstances</w:t>
      </w:r>
      <w:r w:rsidR="000E483F" w:rsidRPr="000E483F">
        <w:t>.</w:t>
      </w:r>
    </w:p>
    <w:p w14:paraId="29C17539" w14:textId="75BC76EF" w:rsidR="000E483F" w:rsidRDefault="000E483F" w:rsidP="0042637A">
      <w:r>
        <w:t xml:space="preserve">We recommend that these </w:t>
      </w:r>
      <w:r w:rsidR="00A61709">
        <w:t xml:space="preserve">two recommendations </w:t>
      </w:r>
      <w:r w:rsidR="002F3088">
        <w:t>be developed</w:t>
      </w:r>
      <w:r>
        <w:t xml:space="preserve"> further</w:t>
      </w:r>
      <w:r w:rsidR="00382E81">
        <w:t>,</w:t>
      </w:r>
      <w:r>
        <w:t xml:space="preserve"> </w:t>
      </w:r>
      <w:r w:rsidR="002F3088">
        <w:t>drawing</w:t>
      </w:r>
      <w:r>
        <w:t xml:space="preserve"> on the Victorian Default Offer</w:t>
      </w:r>
      <w:r w:rsidR="004715E1">
        <w:t xml:space="preserve"> (VDO)</w:t>
      </w:r>
      <w:r>
        <w:t xml:space="preserve"> and new customer entitlements in the retail energy market</w:t>
      </w:r>
      <w:r w:rsidR="00382E81">
        <w:t xml:space="preserve"> developed by the Essential Services Commission (ESC) in Victoria</w:t>
      </w:r>
      <w:r>
        <w:t xml:space="preserve">. </w:t>
      </w:r>
    </w:p>
    <w:p w14:paraId="76CADA5D" w14:textId="4928363A" w:rsidR="000E483F" w:rsidRDefault="00735C95" w:rsidP="0042637A">
      <w:r w:rsidRPr="00A75AD5">
        <w:t>We recommend</w:t>
      </w:r>
      <w:r w:rsidR="000E483F">
        <w:t xml:space="preserve"> that</w:t>
      </w:r>
      <w:r w:rsidR="004715E1">
        <w:t xml:space="preserve"> the ICRC’s recommendations</w:t>
      </w:r>
      <w:r w:rsidR="00382E81">
        <w:t xml:space="preserve"> in its final decision</w:t>
      </w:r>
      <w:r w:rsidR="004715E1">
        <w:t xml:space="preserve"> include</w:t>
      </w:r>
      <w:r w:rsidR="00382E81">
        <w:t xml:space="preserve"> that</w:t>
      </w:r>
      <w:r w:rsidR="000E483F">
        <w:t>:</w:t>
      </w:r>
    </w:p>
    <w:p w14:paraId="3A40F5DC" w14:textId="5C38BD90" w:rsidR="000E483F" w:rsidRPr="001474CC" w:rsidRDefault="00AE3892" w:rsidP="001474CC">
      <w:pPr>
        <w:pStyle w:val="ListLetters"/>
        <w:numPr>
          <w:ilvl w:val="0"/>
          <w:numId w:val="19"/>
        </w:numPr>
        <w:ind w:left="426" w:hanging="426"/>
      </w:pPr>
      <w:r w:rsidRPr="001474CC">
        <w:t>In addition to a reference bill amount, t</w:t>
      </w:r>
      <w:r w:rsidR="000E483F" w:rsidRPr="001474CC">
        <w:t xml:space="preserve">he ACT Government consider introducing a Basic Service Offer </w:t>
      </w:r>
      <w:r w:rsidR="004715E1" w:rsidRPr="001474CC">
        <w:t xml:space="preserve">(BSO) </w:t>
      </w:r>
      <w:r w:rsidR="000E483F" w:rsidRPr="001474CC">
        <w:t xml:space="preserve">for ACT electricity consumers in line with the </w:t>
      </w:r>
      <w:r w:rsidRPr="001474CC">
        <w:t>VDO</w:t>
      </w:r>
      <w:r w:rsidR="004715E1" w:rsidRPr="001474CC">
        <w:t>, whereby the ICRC would determine what is a fair price for electricity, and all electricity retailers would be required to offer the BSO to everyone</w:t>
      </w:r>
    </w:p>
    <w:p w14:paraId="46BBD635" w14:textId="496ADE41" w:rsidR="00CE3B09" w:rsidRPr="001474CC" w:rsidRDefault="004715E1" w:rsidP="001474CC">
      <w:pPr>
        <w:pStyle w:val="ListLetters"/>
      </w:pPr>
      <w:r w:rsidRPr="001474CC">
        <w:t>In addition to the ‘</w:t>
      </w:r>
      <w:r w:rsidR="00017F4D" w:rsidRPr="001474CC">
        <w:t>b</w:t>
      </w:r>
      <w:r w:rsidRPr="001474CC">
        <w:t xml:space="preserve">est </w:t>
      </w:r>
      <w:r w:rsidR="00017F4D" w:rsidRPr="001474CC">
        <w:t>o</w:t>
      </w:r>
      <w:r w:rsidRPr="001474CC">
        <w:t xml:space="preserve">ffer </w:t>
      </w:r>
      <w:r w:rsidR="00017F4D" w:rsidRPr="001474CC">
        <w:t>n</w:t>
      </w:r>
      <w:r w:rsidRPr="001474CC">
        <w:t xml:space="preserve">otification’, the </w:t>
      </w:r>
      <w:r w:rsidR="002F3088" w:rsidRPr="001474CC">
        <w:t xml:space="preserve">development of a </w:t>
      </w:r>
      <w:r w:rsidRPr="001474CC">
        <w:t xml:space="preserve">new regulatory obligation </w:t>
      </w:r>
      <w:r w:rsidR="00376F61" w:rsidRPr="001474CC">
        <w:t xml:space="preserve">should </w:t>
      </w:r>
      <w:r w:rsidR="002F3088" w:rsidRPr="001474CC">
        <w:t>also require</w:t>
      </w:r>
      <w:r w:rsidRPr="001474CC">
        <w:t xml:space="preserve"> </w:t>
      </w:r>
      <w:r w:rsidR="00376F61" w:rsidRPr="001474CC">
        <w:t>retailers to provide</w:t>
      </w:r>
      <w:r w:rsidR="00CE3B09" w:rsidRPr="001474CC">
        <w:t>:</w:t>
      </w:r>
    </w:p>
    <w:p w14:paraId="05CC8487" w14:textId="285919B1" w:rsidR="00CE3B09" w:rsidRDefault="004715E1" w:rsidP="001474CC">
      <w:pPr>
        <w:pStyle w:val="ListParagraph"/>
        <w:numPr>
          <w:ilvl w:val="1"/>
          <w:numId w:val="6"/>
        </w:numPr>
        <w:ind w:left="854" w:hanging="434"/>
      </w:pPr>
      <w:r w:rsidRPr="002F3088">
        <w:t xml:space="preserve">Clear </w:t>
      </w:r>
      <w:r w:rsidR="00CE3B09">
        <w:t>a</w:t>
      </w:r>
      <w:r w:rsidRPr="002F3088">
        <w:t xml:space="preserve">dvice </w:t>
      </w:r>
      <w:r w:rsidR="00CE3B09">
        <w:t>e</w:t>
      </w:r>
      <w:r w:rsidRPr="002F3088">
        <w:t>ntitlement</w:t>
      </w:r>
    </w:p>
    <w:p w14:paraId="0F4B5534" w14:textId="4F6F9929" w:rsidR="00CE3B09" w:rsidRPr="00CE3B09" w:rsidRDefault="00CE3B09" w:rsidP="001474CC">
      <w:pPr>
        <w:pStyle w:val="ListParagraph"/>
        <w:numPr>
          <w:ilvl w:val="1"/>
          <w:numId w:val="6"/>
        </w:numPr>
        <w:ind w:left="854" w:hanging="434"/>
      </w:pPr>
      <w:r w:rsidRPr="00CE3B09">
        <w:t>Bi</w:t>
      </w:r>
      <w:r w:rsidR="004715E1" w:rsidRPr="00CE3B09">
        <w:t xml:space="preserve">ll </w:t>
      </w:r>
      <w:r>
        <w:t>c</w:t>
      </w:r>
      <w:r w:rsidR="004715E1" w:rsidRPr="00CE3B09">
        <w:t xml:space="preserve">hange </w:t>
      </w:r>
      <w:r>
        <w:t>n</w:t>
      </w:r>
      <w:r w:rsidR="004715E1" w:rsidRPr="00CE3B09">
        <w:t>otice</w:t>
      </w:r>
      <w:r w:rsidRPr="00CE3B09">
        <w:t>s</w:t>
      </w:r>
    </w:p>
    <w:p w14:paraId="7DB933F1" w14:textId="528B3F63" w:rsidR="00E86F2A" w:rsidRPr="002F3088" w:rsidRDefault="00CE3B09" w:rsidP="001474CC">
      <w:pPr>
        <w:pStyle w:val="ListParagraph"/>
        <w:numPr>
          <w:ilvl w:val="1"/>
          <w:numId w:val="6"/>
        </w:numPr>
        <w:ind w:left="854" w:hanging="434"/>
      </w:pPr>
      <w:r>
        <w:t>I</w:t>
      </w:r>
      <w:r w:rsidR="00376F61">
        <w:t xml:space="preserve">nformation about how the customer can access the Australian Government’s </w:t>
      </w:r>
      <w:r w:rsidRPr="00CE3B09">
        <w:rPr>
          <w:i/>
        </w:rPr>
        <w:t>Energy Made Easy</w:t>
      </w:r>
      <w:r>
        <w:t xml:space="preserve"> </w:t>
      </w:r>
      <w:r w:rsidR="00376F61">
        <w:t>comparator website on all bills</w:t>
      </w:r>
      <w:r w:rsidR="004715E1" w:rsidRPr="002F3088">
        <w:t>.</w:t>
      </w:r>
    </w:p>
    <w:p w14:paraId="3FD01C70" w14:textId="233B44A1" w:rsidR="0006285F" w:rsidRDefault="00041D62" w:rsidP="0042637A">
      <w:pPr>
        <w:pStyle w:val="Heading1"/>
      </w:pPr>
      <w:r w:rsidRPr="00041D62">
        <w:t>Retail Electricity Pricing</w:t>
      </w:r>
      <w:r w:rsidR="00B409EA">
        <w:t xml:space="preserve"> 2020-24</w:t>
      </w:r>
    </w:p>
    <w:p w14:paraId="0E0C86E5" w14:textId="4C5B0841" w:rsidR="00D677C9" w:rsidRDefault="00D677C9" w:rsidP="0042637A">
      <w:r>
        <w:t>The introduction of competition into the electricity market has not provided consumers with the intended benefit of more affordable energy</w:t>
      </w:r>
      <w:r w:rsidR="00D667E7">
        <w:t>. I</w:t>
      </w:r>
      <w:r>
        <w:t>nstead</w:t>
      </w:r>
      <w:r w:rsidR="00D667E7">
        <w:t>,</w:t>
      </w:r>
      <w:r>
        <w:t xml:space="preserve"> consumers have experienced increased complexity and significant price increases. The draft decision highlights the value to ACT energy consumers</w:t>
      </w:r>
      <w:r w:rsidR="00625134">
        <w:t xml:space="preserve"> – especially low-income and vulnerable consumers – of </w:t>
      </w:r>
      <w:r>
        <w:t xml:space="preserve">ongoing regulation of electricity prices by the ICRC </w:t>
      </w:r>
      <w:r w:rsidR="00D667E7">
        <w:t>as it at</w:t>
      </w:r>
      <w:r>
        <w:t xml:space="preserve"> least limit</w:t>
      </w:r>
      <w:r w:rsidR="00D667E7">
        <w:t>s</w:t>
      </w:r>
      <w:r>
        <w:t xml:space="preserve"> retailers’ ability to inflate standing offer rates.</w:t>
      </w:r>
    </w:p>
    <w:p w14:paraId="15392E7D" w14:textId="75B8B7A0" w:rsidR="00AE3892" w:rsidRDefault="008E1CD1" w:rsidP="0042637A">
      <w:r w:rsidRPr="008E1CD1">
        <w:t xml:space="preserve">The </w:t>
      </w:r>
      <w:r w:rsidR="00DA24D9">
        <w:t>draft decision</w:t>
      </w:r>
      <w:r w:rsidRPr="008E1CD1">
        <w:t xml:space="preserve"> estimate</w:t>
      </w:r>
      <w:r w:rsidR="00F11BC1">
        <w:t>s</w:t>
      </w:r>
      <w:r w:rsidRPr="008E1CD1">
        <w:t xml:space="preserve"> a 6.75% reduction in the average price of </w:t>
      </w:r>
      <w:proofErr w:type="spellStart"/>
      <w:r w:rsidRPr="008E1CD1">
        <w:t>ActewAGL’s</w:t>
      </w:r>
      <w:proofErr w:type="spellEnd"/>
      <w:r w:rsidRPr="008E1CD1">
        <w:t xml:space="preserve"> basket of regulated tariffs in 2020-21</w:t>
      </w:r>
      <w:r w:rsidR="00AE3892">
        <w:t xml:space="preserve">, with </w:t>
      </w:r>
      <w:r w:rsidR="00D667E7">
        <w:t>welcome</w:t>
      </w:r>
      <w:r w:rsidR="00AE3892">
        <w:t xml:space="preserve"> reductions for </w:t>
      </w:r>
      <w:r w:rsidR="00B409EA">
        <w:t xml:space="preserve">ACT energy consumers. The estimated </w:t>
      </w:r>
      <w:r w:rsidR="00AE3892">
        <w:t xml:space="preserve">annual bill change </w:t>
      </w:r>
      <w:r w:rsidR="00B409EA">
        <w:t>is</w:t>
      </w:r>
      <w:r w:rsidR="00AE3892">
        <w:t xml:space="preserve"> $113 for the average household and $436 for non-residential customers (including not-for-profit organisations and small businesses). </w:t>
      </w:r>
      <w:r w:rsidR="000870C5">
        <w:t xml:space="preserve"> </w:t>
      </w:r>
    </w:p>
    <w:p w14:paraId="174BDB47" w14:textId="0407C752" w:rsidR="00AE3892" w:rsidRDefault="0031706B" w:rsidP="0042637A">
      <w:r>
        <w:lastRenderedPageBreak/>
        <w:t>The draft decision indicates</w:t>
      </w:r>
      <w:r w:rsidR="00AE3892">
        <w:t xml:space="preserve"> that </w:t>
      </w:r>
      <w:r w:rsidR="008E1CD1" w:rsidRPr="008E1CD1">
        <w:t>ACT consumers will get some</w:t>
      </w:r>
      <w:r>
        <w:t xml:space="preserve"> </w:t>
      </w:r>
      <w:r w:rsidR="008E1CD1" w:rsidRPr="008E1CD1">
        <w:t xml:space="preserve">relief after a decade of significant </w:t>
      </w:r>
      <w:r>
        <w:t xml:space="preserve">electricity </w:t>
      </w:r>
      <w:r w:rsidR="008E1CD1" w:rsidRPr="008E1CD1">
        <w:t xml:space="preserve">price increases. </w:t>
      </w:r>
      <w:r w:rsidR="001457EA">
        <w:t>Based on</w:t>
      </w:r>
      <w:r w:rsidR="00961D19">
        <w:t xml:space="preserve"> </w:t>
      </w:r>
      <w:r w:rsidR="008E1CD1" w:rsidRPr="008E1CD1">
        <w:t>Consumer Price Index (CPI)</w:t>
      </w:r>
      <w:r w:rsidR="00961D19">
        <w:t xml:space="preserve"> figures, electricity prices</w:t>
      </w:r>
      <w:r w:rsidR="008E1CD1" w:rsidRPr="008E1CD1">
        <w:t xml:space="preserve"> in Canberra</w:t>
      </w:r>
      <w:r w:rsidR="00961D19">
        <w:t xml:space="preserve"> have increased by 25.1% over the past five years</w:t>
      </w:r>
      <w:r w:rsidR="00BD52DE">
        <w:t xml:space="preserve"> </w:t>
      </w:r>
      <w:r w:rsidR="00C43603">
        <w:t>and increased by</w:t>
      </w:r>
      <w:r w:rsidR="006A4323">
        <w:t xml:space="preserve"> </w:t>
      </w:r>
      <w:r w:rsidR="00AC149F">
        <w:t>0.4</w:t>
      </w:r>
      <w:r w:rsidR="008E1CD1" w:rsidRPr="008E1CD1">
        <w:t>% in the past 12 months.</w:t>
      </w:r>
    </w:p>
    <w:p w14:paraId="7DA6D82B" w14:textId="582BECFF" w:rsidR="00041D62" w:rsidRDefault="008E1CD1" w:rsidP="0042637A">
      <w:r w:rsidRPr="008E1CD1">
        <w:t>Late last year the national expert energy policy adviser, the Australian Energy Market Commission (AEMC), estimated that electricity bills will fall by 7% in the ACT over the next three years due in part to increases in renewable energy generation.</w:t>
      </w:r>
      <w:r w:rsidR="00C27E49">
        <w:rPr>
          <w:rStyle w:val="FootnoteReference"/>
          <w:sz w:val="23"/>
        </w:rPr>
        <w:footnoteReference w:id="2"/>
      </w:r>
      <w:r w:rsidRPr="008E1CD1">
        <w:t xml:space="preserve"> The </w:t>
      </w:r>
      <w:r w:rsidR="00526427">
        <w:t xml:space="preserve">ICRC’s draft report </w:t>
      </w:r>
      <w:r w:rsidRPr="008E1CD1">
        <w:t>notes that a key driver of lower wholesale electricity prices</w:t>
      </w:r>
      <w:r w:rsidR="00AE3892">
        <w:t xml:space="preserve"> </w:t>
      </w:r>
      <w:r w:rsidRPr="008E1CD1">
        <w:t xml:space="preserve">is the growth of renewable energy </w:t>
      </w:r>
      <w:r w:rsidR="00971951">
        <w:t xml:space="preserve">generation, and it has acknowledged that the </w:t>
      </w:r>
      <w:r w:rsidR="00932A5C">
        <w:t>ACT Government</w:t>
      </w:r>
      <w:r w:rsidR="00F400E8">
        <w:t xml:space="preserve">’s 100% renewable electricity </w:t>
      </w:r>
      <w:r w:rsidR="00197635">
        <w:t xml:space="preserve">target </w:t>
      </w:r>
      <w:r w:rsidR="00971951">
        <w:t>contributed to</w:t>
      </w:r>
      <w:r w:rsidR="00F400E8">
        <w:t xml:space="preserve"> this</w:t>
      </w:r>
      <w:r w:rsidR="00FF7212">
        <w:t>.</w:t>
      </w:r>
      <w:r w:rsidR="001A6B80">
        <w:rPr>
          <w:rStyle w:val="FootnoteReference"/>
          <w:sz w:val="23"/>
        </w:rPr>
        <w:footnoteReference w:id="3"/>
      </w:r>
      <w:r w:rsidR="00FF7212">
        <w:t xml:space="preserve"> </w:t>
      </w:r>
      <w:r w:rsidRPr="008E1CD1">
        <w:t xml:space="preserve">These are </w:t>
      </w:r>
      <w:r w:rsidR="00B409EA">
        <w:t>welcome</w:t>
      </w:r>
      <w:r w:rsidRPr="008E1CD1">
        <w:t xml:space="preserve"> signs that </w:t>
      </w:r>
      <w:r w:rsidR="00B409EA">
        <w:t>mitigating</w:t>
      </w:r>
      <w:r w:rsidRPr="008E1CD1">
        <w:t xml:space="preserve"> climate change and improvements in energy affordability can be linked as part of a just transition to zero net greenhouse gas emissions in the ACT by 2045.</w:t>
      </w:r>
    </w:p>
    <w:p w14:paraId="23BD381F" w14:textId="27703FA1" w:rsidR="00AE3892" w:rsidRDefault="00AE3892" w:rsidP="0042637A">
      <w:r>
        <w:t>We welcome the ICRC’s draft decision to introduce a</w:t>
      </w:r>
      <w:r w:rsidR="0031706B">
        <w:t>n upper-bound</w:t>
      </w:r>
      <w:r>
        <w:t xml:space="preserve"> side constraint whereby </w:t>
      </w:r>
      <w:r w:rsidR="0031706B">
        <w:t>‘</w:t>
      </w:r>
      <w:r>
        <w:t>an increase in any individual charge for a regulated standing offer tariff must not exceed 2.0 percentage points above the regulated weighted average price change</w:t>
      </w:r>
      <w:r w:rsidR="0031706B">
        <w:t>’.</w:t>
      </w:r>
      <w:r w:rsidR="00C27E49">
        <w:rPr>
          <w:rStyle w:val="FootnoteReference"/>
          <w:sz w:val="23"/>
        </w:rPr>
        <w:footnoteReference w:id="4"/>
      </w:r>
      <w:r w:rsidR="0031706B">
        <w:t xml:space="preserve"> This restriction is welcome in providing price stability for consumers</w:t>
      </w:r>
      <w:r w:rsidR="00B409EA">
        <w:t>,</w:t>
      </w:r>
      <w:r w:rsidR="0031706B">
        <w:t xml:space="preserve"> avoiding sharp increases in </w:t>
      </w:r>
      <w:proofErr w:type="spellStart"/>
      <w:r w:rsidR="0031706B">
        <w:t>favour</w:t>
      </w:r>
      <w:proofErr w:type="spellEnd"/>
      <w:r w:rsidR="0031706B">
        <w:t xml:space="preserve"> of allowing </w:t>
      </w:r>
      <w:r w:rsidR="00B409EA">
        <w:t xml:space="preserve">any </w:t>
      </w:r>
      <w:r w:rsidR="0031706B">
        <w:t>cost-reflective tariff increases to be spread over a number of years.</w:t>
      </w:r>
      <w:r w:rsidR="00EB60DF">
        <w:t xml:space="preserve"> </w:t>
      </w:r>
      <w:r w:rsidR="00747A18">
        <w:t>This measure</w:t>
      </w:r>
      <w:r w:rsidR="00EB60DF">
        <w:t xml:space="preserve"> will </w:t>
      </w:r>
      <w:r w:rsidR="00DD44F5">
        <w:t>go some way to protecting consumers from unfair price increases.</w:t>
      </w:r>
    </w:p>
    <w:p w14:paraId="1845BE62" w14:textId="48A142AC" w:rsidR="00525CBA" w:rsidRDefault="00D200F5" w:rsidP="0042637A">
      <w:r>
        <w:t xml:space="preserve">We </w:t>
      </w:r>
      <w:r w:rsidR="009A47A9">
        <w:t>encourage the ICRC to</w:t>
      </w:r>
      <w:r w:rsidR="008D7483">
        <w:t xml:space="preserve"> include </w:t>
      </w:r>
      <w:r w:rsidR="00C247BC">
        <w:t>the approval of fees and charges under the regulator</w:t>
      </w:r>
      <w:r w:rsidR="009F639B">
        <w:t>y framework</w:t>
      </w:r>
      <w:r w:rsidR="00957FC0">
        <w:t xml:space="preserve">. </w:t>
      </w:r>
      <w:r w:rsidR="00FC152B">
        <w:t xml:space="preserve">Relatively high fees and charges have potential to impact </w:t>
      </w:r>
      <w:r w:rsidR="00A07F42">
        <w:t>significantly on</w:t>
      </w:r>
      <w:r w:rsidR="00E24074">
        <w:t xml:space="preserve"> vulnerable consumers</w:t>
      </w:r>
      <w:r w:rsidR="00A07F42">
        <w:t xml:space="preserve"> in the ACT.</w:t>
      </w:r>
    </w:p>
    <w:p w14:paraId="6D87ADCD" w14:textId="1A314B00" w:rsidR="00741F31" w:rsidRDefault="00741F31" w:rsidP="0042637A">
      <w:r>
        <w:t xml:space="preserve">We welcome the ICRC’s </w:t>
      </w:r>
      <w:r w:rsidR="00053D3F">
        <w:t xml:space="preserve">consideration of equity </w:t>
      </w:r>
      <w:r w:rsidR="000D7192">
        <w:t xml:space="preserve">and fairness </w:t>
      </w:r>
      <w:r w:rsidR="00053D3F">
        <w:t xml:space="preserve">in relation to the </w:t>
      </w:r>
      <w:r w:rsidR="00671DB9">
        <w:t>smearing of smart meter costs</w:t>
      </w:r>
      <w:r w:rsidR="00173836">
        <w:t>. The ICRC notes the</w:t>
      </w:r>
      <w:r w:rsidR="00C13E81">
        <w:t xml:space="preserve"> </w:t>
      </w:r>
      <w:r w:rsidR="004E529C">
        <w:t>potential adverse effects</w:t>
      </w:r>
      <w:r w:rsidR="00116B5F">
        <w:t xml:space="preserve"> of cross-</w:t>
      </w:r>
      <w:proofErr w:type="spellStart"/>
      <w:r w:rsidR="00116B5F">
        <w:t>subsidisation</w:t>
      </w:r>
      <w:proofErr w:type="spellEnd"/>
      <w:r w:rsidR="004E529C">
        <w:t xml:space="preserve"> on low-income and vulnerable customers. </w:t>
      </w:r>
      <w:r w:rsidR="008050BB">
        <w:t>This issue may be worth further investigation</w:t>
      </w:r>
      <w:r w:rsidR="00E42EE4">
        <w:t xml:space="preserve"> during the 2020</w:t>
      </w:r>
      <w:r w:rsidR="00DA1FB1">
        <w:t xml:space="preserve">-24 regulatory period. One concern is </w:t>
      </w:r>
      <w:r w:rsidR="0064777D">
        <w:t xml:space="preserve">that </w:t>
      </w:r>
      <w:r w:rsidR="007C5845">
        <w:t>a growing number of</w:t>
      </w:r>
      <w:r w:rsidR="0064777D">
        <w:t xml:space="preserve"> low-income and vulnerable customers may </w:t>
      </w:r>
      <w:r w:rsidR="00173836">
        <w:t xml:space="preserve">now </w:t>
      </w:r>
      <w:r w:rsidR="009A0224">
        <w:t xml:space="preserve">be required to have a smart meter </w:t>
      </w:r>
      <w:r w:rsidR="00102654">
        <w:t>where the</w:t>
      </w:r>
      <w:r w:rsidR="0027666A">
        <w:t>ir</w:t>
      </w:r>
      <w:r w:rsidR="005F48E3">
        <w:t xml:space="preserve"> analogue</w:t>
      </w:r>
      <w:r w:rsidR="00102654">
        <w:t xml:space="preserve"> </w:t>
      </w:r>
      <w:r w:rsidR="00116B5F">
        <w:t xml:space="preserve">meter is replaced due to </w:t>
      </w:r>
      <w:r w:rsidR="00102654">
        <w:t xml:space="preserve">a fault or </w:t>
      </w:r>
      <w:r w:rsidR="00F72B82">
        <w:t>where</w:t>
      </w:r>
      <w:r w:rsidR="00116B5F">
        <w:t xml:space="preserve"> they </w:t>
      </w:r>
      <w:r w:rsidR="007677E3">
        <w:t>have newly</w:t>
      </w:r>
      <w:r w:rsidR="007C5845">
        <w:t>-</w:t>
      </w:r>
      <w:r w:rsidR="007677E3">
        <w:t xml:space="preserve">built accommodation as a result </w:t>
      </w:r>
      <w:r w:rsidR="00116B5F">
        <w:t>of the public housing renewal program.</w:t>
      </w:r>
      <w:r w:rsidR="00173836">
        <w:t xml:space="preserve"> </w:t>
      </w:r>
      <w:r w:rsidR="00144317">
        <w:t>Sm</w:t>
      </w:r>
      <w:r w:rsidR="00931617">
        <w:t xml:space="preserve">earing of smart meter costs </w:t>
      </w:r>
      <w:r w:rsidR="00144317">
        <w:t>could potentially be</w:t>
      </w:r>
      <w:r w:rsidR="00022329">
        <w:t xml:space="preserve"> equitable and fair </w:t>
      </w:r>
      <w:r w:rsidR="002B3980">
        <w:t>where</w:t>
      </w:r>
      <w:r w:rsidR="00CD32ED">
        <w:t xml:space="preserve"> a growing number of</w:t>
      </w:r>
      <w:r w:rsidR="005A42CC">
        <w:t xml:space="preserve"> low-income households </w:t>
      </w:r>
      <w:r w:rsidR="00197291">
        <w:t xml:space="preserve">are required to have </w:t>
      </w:r>
      <w:r w:rsidR="006B261C">
        <w:t>smart meters</w:t>
      </w:r>
      <w:r w:rsidR="0016019A">
        <w:t xml:space="preserve"> </w:t>
      </w:r>
      <w:r w:rsidR="00095E11">
        <w:t xml:space="preserve">and are </w:t>
      </w:r>
      <w:r w:rsidR="00367035">
        <w:t>face</w:t>
      </w:r>
      <w:r w:rsidR="00095E11">
        <w:t>d with</w:t>
      </w:r>
      <w:r w:rsidR="00367035">
        <w:t xml:space="preserve"> significantly higher electricity costs as a result.</w:t>
      </w:r>
    </w:p>
    <w:p w14:paraId="2D5EDECB" w14:textId="329E4CCC" w:rsidR="00F47819" w:rsidRPr="0016636C" w:rsidRDefault="0016636C" w:rsidP="0042637A">
      <w:pPr>
        <w:pStyle w:val="Heading1"/>
      </w:pPr>
      <w:r w:rsidRPr="0016636C">
        <w:lastRenderedPageBreak/>
        <w:t>Transparency and comparability of electricity offers in the ACT</w:t>
      </w:r>
    </w:p>
    <w:p w14:paraId="7DDB68F6" w14:textId="5E6F2EF3" w:rsidR="00245EA5" w:rsidRPr="00245EA5" w:rsidRDefault="00E4649D" w:rsidP="0042637A">
      <w:pPr>
        <w:rPr>
          <w:vertAlign w:val="superscript"/>
        </w:rPr>
      </w:pPr>
      <w:r>
        <w:t>E</w:t>
      </w:r>
      <w:r w:rsidR="001457EA">
        <w:t>xtensive investigations into the retail electricity market nationally and in Victoria</w:t>
      </w:r>
      <w:r w:rsidR="00523844">
        <w:t xml:space="preserve"> have identified and attempted to address the </w:t>
      </w:r>
      <w:r>
        <w:t>loss of consumer trust and confidence in the retail electricity market</w:t>
      </w:r>
      <w:r w:rsidR="001457EA">
        <w:t>.</w:t>
      </w:r>
      <w:r w:rsidR="001457EA">
        <w:rPr>
          <w:rStyle w:val="FootnoteReference"/>
          <w:sz w:val="23"/>
        </w:rPr>
        <w:footnoteReference w:id="5"/>
      </w:r>
      <w:r w:rsidR="001457EA" w:rsidRPr="001457EA">
        <w:rPr>
          <w:vertAlign w:val="superscript"/>
        </w:rPr>
        <w:t>,</w:t>
      </w:r>
      <w:r w:rsidR="001457EA">
        <w:rPr>
          <w:rStyle w:val="FootnoteReference"/>
          <w:sz w:val="23"/>
        </w:rPr>
        <w:footnoteReference w:id="6"/>
      </w:r>
      <w:r w:rsidR="00245EA5">
        <w:rPr>
          <w:vertAlign w:val="superscript"/>
        </w:rPr>
        <w:t>,</w:t>
      </w:r>
      <w:r w:rsidR="00245EA5">
        <w:rPr>
          <w:rStyle w:val="FootnoteReference"/>
          <w:sz w:val="23"/>
        </w:rPr>
        <w:footnoteReference w:id="7"/>
      </w:r>
      <w:r>
        <w:rPr>
          <w:vertAlign w:val="superscript"/>
        </w:rPr>
        <w:t xml:space="preserve"> </w:t>
      </w:r>
      <w:r>
        <w:t xml:space="preserve"> </w:t>
      </w:r>
      <w:r w:rsidR="00DB14AE">
        <w:t>T</w:t>
      </w:r>
      <w:r>
        <w:t>rust and confidence</w:t>
      </w:r>
      <w:r w:rsidR="009E2352">
        <w:t xml:space="preserve"> </w:t>
      </w:r>
      <w:r>
        <w:t>have been eroded by increasing electricity prices and greater complexity in retail offers.</w:t>
      </w:r>
      <w:r w:rsidR="009E2352">
        <w:t xml:space="preserve"> </w:t>
      </w:r>
      <w:r w:rsidR="00847039">
        <w:t>These investigations have raised critical questions about how the retail electricity market can deliver this essential service at a fair price to everyone who needs it.</w:t>
      </w:r>
      <w:r w:rsidR="00433A6A">
        <w:t xml:space="preserve"> They have </w:t>
      </w:r>
      <w:r w:rsidR="0015587C">
        <w:t xml:space="preserve">shown how </w:t>
      </w:r>
      <w:r w:rsidR="009124F3">
        <w:t xml:space="preserve">complexity </w:t>
      </w:r>
      <w:r w:rsidR="00B11838">
        <w:t>in comparing market offers</w:t>
      </w:r>
      <w:r w:rsidR="0015587C">
        <w:t xml:space="preserve"> has acted as</w:t>
      </w:r>
      <w:r w:rsidR="009124F3">
        <w:t xml:space="preserve"> a </w:t>
      </w:r>
      <w:r w:rsidR="0015587C">
        <w:t xml:space="preserve">significant </w:t>
      </w:r>
      <w:r w:rsidR="009124F3">
        <w:t xml:space="preserve">barrier to </w:t>
      </w:r>
      <w:r w:rsidR="00B11838">
        <w:t>active consumer engagement</w:t>
      </w:r>
      <w:r w:rsidR="0015587C">
        <w:t xml:space="preserve"> and</w:t>
      </w:r>
      <w:r w:rsidR="001D5C15">
        <w:t>,</w:t>
      </w:r>
      <w:r w:rsidR="0015587C">
        <w:t xml:space="preserve"> as a result</w:t>
      </w:r>
      <w:r w:rsidR="00724076">
        <w:t>, a barrier to</w:t>
      </w:r>
      <w:r w:rsidR="0015587C">
        <w:t xml:space="preserve"> better consumer outcomes</w:t>
      </w:r>
      <w:r w:rsidR="001C270D">
        <w:t xml:space="preserve"> in terms of affordability.</w:t>
      </w:r>
    </w:p>
    <w:p w14:paraId="2812F653" w14:textId="05A45085" w:rsidR="00081656" w:rsidRDefault="00081656" w:rsidP="0042637A">
      <w:r w:rsidRPr="00081656">
        <w:t xml:space="preserve">For most people, comparing electricity offers is difficult and confusing. The ICRC’s </w:t>
      </w:r>
      <w:r w:rsidR="00847039">
        <w:t>draft decision</w:t>
      </w:r>
      <w:r w:rsidRPr="00081656">
        <w:t xml:space="preserve"> identifies a clear need to support consumers to be able to determine what electricity offer will work best for them. The ICRC’s </w:t>
      </w:r>
      <w:proofErr w:type="spellStart"/>
      <w:r w:rsidRPr="007E2C56">
        <w:rPr>
          <w:i/>
        </w:rPr>
        <w:t>YourSay</w:t>
      </w:r>
      <w:proofErr w:type="spellEnd"/>
      <w:r w:rsidRPr="00081656">
        <w:t xml:space="preserve"> community panel survey findings align with the results of consumer surveys undertaken by Care Financial Counselling Service </w:t>
      </w:r>
      <w:r w:rsidR="00C44F21">
        <w:t>over</w:t>
      </w:r>
      <w:r w:rsidRPr="00081656">
        <w:t xml:space="preserve"> six months</w:t>
      </w:r>
      <w:r w:rsidR="00D71A3D">
        <w:t xml:space="preserve"> as part of the </w:t>
      </w:r>
      <w:r w:rsidR="00DB265A">
        <w:t>Energy</w:t>
      </w:r>
      <w:r w:rsidR="006033E9">
        <w:t xml:space="preserve"> Voucher Support scheme</w:t>
      </w:r>
      <w:r w:rsidRPr="00081656">
        <w:t xml:space="preserve">. Combined, these surveys have found that: people lack confidence that they are on the best offer; most do not know what electricity plan or tariff they are on; most find it difficult to compare electricity plans; and most are not aware of the Australian Government’s </w:t>
      </w:r>
      <w:r w:rsidRPr="001C270D">
        <w:rPr>
          <w:i/>
          <w:iCs/>
        </w:rPr>
        <w:t>Energy Made Easy</w:t>
      </w:r>
      <w:r w:rsidRPr="00081656">
        <w:t xml:space="preserve"> website tool to compare electricity offers.</w:t>
      </w:r>
    </w:p>
    <w:p w14:paraId="49739F73" w14:textId="2D9CD732" w:rsidR="004B77E1" w:rsidRDefault="00FE4A34" w:rsidP="0042637A">
      <w:r>
        <w:t xml:space="preserve">Demand tariffs </w:t>
      </w:r>
      <w:proofErr w:type="gramStart"/>
      <w:r>
        <w:t>in particular require</w:t>
      </w:r>
      <w:proofErr w:type="gramEnd"/>
      <w:r>
        <w:t xml:space="preserve"> the consumer to be very engaged. </w:t>
      </w:r>
      <w:r w:rsidR="004B77E1">
        <w:t>The ICRC’s draft decision draws attention to a</w:t>
      </w:r>
      <w:r w:rsidR="004312E1">
        <w:t xml:space="preserve"> concerning</w:t>
      </w:r>
      <w:r w:rsidR="004B77E1">
        <w:t xml:space="preserve"> lack of understanding among consumers in relation to demand tariffs.</w:t>
      </w:r>
      <w:r w:rsidR="00C16226">
        <w:t xml:space="preserve"> This issue is </w:t>
      </w:r>
      <w:r w:rsidR="008A0343">
        <w:t xml:space="preserve">worthy of further exploration, particularly in terms of </w:t>
      </w:r>
      <w:r w:rsidR="009B4C1F">
        <w:t xml:space="preserve">the </w:t>
      </w:r>
      <w:r w:rsidR="003661CE">
        <w:t>suitability of demand tariffs for low-income and vulnerable households</w:t>
      </w:r>
      <w:r>
        <w:t>.</w:t>
      </w:r>
    </w:p>
    <w:p w14:paraId="1282F805" w14:textId="7BFE1EDC" w:rsidR="000B2132" w:rsidRDefault="007E2C56" w:rsidP="0042637A">
      <w:r>
        <w:t>O</w:t>
      </w:r>
      <w:r w:rsidR="000B2132">
        <w:t xml:space="preserve">nly a small proportion of consumers actively engage to find their best deal. Some consumers face entrenched engagement barriers, including limited English literacy, digital exclusion, and difficult life circumstances. </w:t>
      </w:r>
      <w:r>
        <w:t>Energy justice requires that</w:t>
      </w:r>
      <w:r w:rsidR="000B2132">
        <w:t xml:space="preserve"> low-income and vulnerable consumers have ready access to electricity at a fair price</w:t>
      </w:r>
      <w:r>
        <w:t xml:space="preserve"> </w:t>
      </w:r>
      <w:r w:rsidR="000B2132">
        <w:t>– they should not be forced to shop around for an essential service</w:t>
      </w:r>
      <w:r>
        <w:t>.</w:t>
      </w:r>
      <w:r w:rsidR="00276E8A">
        <w:t xml:space="preserve"> </w:t>
      </w:r>
      <w:r w:rsidR="00D34F90">
        <w:t>To achieve energy justice,</w:t>
      </w:r>
      <w:r w:rsidR="00794222">
        <w:t xml:space="preserve"> we</w:t>
      </w:r>
      <w:r w:rsidR="00276E8A">
        <w:t xml:space="preserve"> see value in a Basic Service Offer</w:t>
      </w:r>
      <w:r w:rsidR="00794222">
        <w:t xml:space="preserve"> </w:t>
      </w:r>
      <w:r w:rsidR="00276E8A">
        <w:t>along the lines of the VDO</w:t>
      </w:r>
      <w:r w:rsidR="00D34F90">
        <w:t>, providing ‘</w:t>
      </w:r>
      <w:r w:rsidR="00276E8A" w:rsidRPr="00276E8A">
        <w:t xml:space="preserve">a simple, trusted and reasonably </w:t>
      </w:r>
      <w:r w:rsidR="00276E8A" w:rsidRPr="00276E8A">
        <w:lastRenderedPageBreak/>
        <w:t>priced electricity option that safeguards consumers unable or unwilling to engage in the electricity retail market</w:t>
      </w:r>
      <w:r w:rsidR="00D34F90">
        <w:t>’</w:t>
      </w:r>
      <w:r w:rsidR="00276E8A" w:rsidRPr="00276E8A">
        <w:t>.</w:t>
      </w:r>
      <w:r w:rsidR="00276E8A">
        <w:rPr>
          <w:rStyle w:val="FootnoteReference"/>
          <w:sz w:val="23"/>
        </w:rPr>
        <w:footnoteReference w:id="8"/>
      </w:r>
    </w:p>
    <w:p w14:paraId="53F39523" w14:textId="4CADD9A2" w:rsidR="00A949B5" w:rsidRDefault="00794222" w:rsidP="0042637A">
      <w:r>
        <w:t>We</w:t>
      </w:r>
      <w:r w:rsidR="00A949B5" w:rsidRPr="00081656">
        <w:t xml:space="preserve"> strongly support the ICRC’s </w:t>
      </w:r>
      <w:r w:rsidR="00D34F90">
        <w:t xml:space="preserve">draft decision </w:t>
      </w:r>
      <w:r w:rsidR="00A949B5" w:rsidRPr="00081656">
        <w:t xml:space="preserve">recommendations to improve the transparency and comparability of retail electricity offers in the ACT. Providing </w:t>
      </w:r>
      <w:r w:rsidR="00A949B5">
        <w:t xml:space="preserve">a </w:t>
      </w:r>
      <w:r w:rsidR="00A949B5" w:rsidRPr="00081656">
        <w:t xml:space="preserve">common point of comparison for assessing electricity offers, raising awareness of the </w:t>
      </w:r>
      <w:r w:rsidR="00A949B5" w:rsidRPr="00794222">
        <w:rPr>
          <w:i/>
          <w:iCs/>
        </w:rPr>
        <w:t>Energy Made Easy</w:t>
      </w:r>
      <w:r w:rsidR="00A949B5" w:rsidRPr="00081656">
        <w:t xml:space="preserve"> comparison site, and requiring retailers to regularly notify their customers whether they are on the best offer based on their circumstances will put more power in electricity consumers hands.</w:t>
      </w:r>
      <w:r w:rsidR="00692B7D">
        <w:t xml:space="preserve"> Importantly, it also places more responsibility and accountability on retailers.</w:t>
      </w:r>
    </w:p>
    <w:p w14:paraId="230016C9" w14:textId="0989242C" w:rsidR="00850A3B" w:rsidRDefault="00692B7D" w:rsidP="0042637A">
      <w:r>
        <w:t>We</w:t>
      </w:r>
      <w:r w:rsidR="00D34F90">
        <w:t xml:space="preserve"> recommend developing the</w:t>
      </w:r>
      <w:r>
        <w:t xml:space="preserve"> ICRC’s</w:t>
      </w:r>
      <w:r w:rsidR="00D34F90">
        <w:t xml:space="preserve"> draft decision recommendations further, incorporating the following.</w:t>
      </w:r>
    </w:p>
    <w:p w14:paraId="5D24F51E" w14:textId="5000C81D" w:rsidR="00AE27E5" w:rsidRDefault="000D195C" w:rsidP="0042637A">
      <w:pPr>
        <w:pStyle w:val="Heading2"/>
      </w:pPr>
      <w:r>
        <w:t>A Basic Service Offer for ACT electricity customers</w:t>
      </w:r>
    </w:p>
    <w:p w14:paraId="011DB1AE" w14:textId="65135BF4" w:rsidR="00C17C73" w:rsidRDefault="00314A94" w:rsidP="0042637A">
      <w:r>
        <w:t>We</w:t>
      </w:r>
      <w:r w:rsidR="00870D98">
        <w:t xml:space="preserve"> recommend that the ACT Government consider the</w:t>
      </w:r>
      <w:r w:rsidR="005155B3">
        <w:t xml:space="preserve"> development</w:t>
      </w:r>
      <w:r w:rsidR="00870D98">
        <w:t xml:space="preserve"> of a Basic Service Offer</w:t>
      </w:r>
      <w:r w:rsidR="00990F4A">
        <w:t xml:space="preserve"> </w:t>
      </w:r>
      <w:r w:rsidR="00870D98">
        <w:t>in the AC</w:t>
      </w:r>
      <w:r w:rsidR="0050175D">
        <w:t>T. We recommend the VDO as a possible model for the ACT</w:t>
      </w:r>
      <w:r w:rsidR="00E149F5">
        <w:t xml:space="preserve">, </w:t>
      </w:r>
      <w:r w:rsidR="00990F4A">
        <w:t>whereby the</w:t>
      </w:r>
      <w:r w:rsidR="00990F4A" w:rsidRPr="00990F4A">
        <w:t xml:space="preserve"> </w:t>
      </w:r>
      <w:r w:rsidR="00990F4A">
        <w:t>ICRC</w:t>
      </w:r>
      <w:r w:rsidR="00990F4A" w:rsidRPr="00990F4A">
        <w:t xml:space="preserve"> would determine what is a fair price for energy, and all energy companies would be required to offer the B</w:t>
      </w:r>
      <w:r>
        <w:t xml:space="preserve">asic </w:t>
      </w:r>
      <w:r w:rsidR="0098009C">
        <w:t>Service Offer</w:t>
      </w:r>
      <w:r w:rsidR="00990F4A" w:rsidRPr="00990F4A">
        <w:t xml:space="preserve"> to everyone. </w:t>
      </w:r>
      <w:r w:rsidR="00B02EE1">
        <w:t>We</w:t>
      </w:r>
      <w:r w:rsidR="00C17C73">
        <w:t xml:space="preserve"> would also </w:t>
      </w:r>
      <w:r w:rsidR="001E72C6">
        <w:t>welcome</w:t>
      </w:r>
      <w:r w:rsidR="00C17C73">
        <w:t xml:space="preserve"> consider</w:t>
      </w:r>
      <w:r w:rsidR="001E72C6">
        <w:t>ation</w:t>
      </w:r>
      <w:r w:rsidR="00C17C73">
        <w:t xml:space="preserve"> </w:t>
      </w:r>
      <w:r w:rsidR="00784E6F">
        <w:t xml:space="preserve">of </w:t>
      </w:r>
      <w:r w:rsidR="00B02EE1">
        <w:t xml:space="preserve">development of </w:t>
      </w:r>
      <w:r w:rsidR="00784E6F">
        <w:t>a ‘social tariff’ for low-income households</w:t>
      </w:r>
      <w:r w:rsidR="00B02EE1">
        <w:t xml:space="preserve"> that would ensure </w:t>
      </w:r>
      <w:r w:rsidR="00435928">
        <w:t>these households</w:t>
      </w:r>
      <w:r w:rsidR="00F653F4">
        <w:t xml:space="preserve"> had access </w:t>
      </w:r>
      <w:r w:rsidR="00435928">
        <w:t>to</w:t>
      </w:r>
      <w:r w:rsidR="00F653F4">
        <w:t xml:space="preserve"> electricity</w:t>
      </w:r>
      <w:r w:rsidR="00435928">
        <w:t xml:space="preserve"> at an affordable price</w:t>
      </w:r>
      <w:r w:rsidR="00F653F4">
        <w:t xml:space="preserve"> </w:t>
      </w:r>
      <w:r w:rsidR="00B97595">
        <w:t>in relation to their level of income</w:t>
      </w:r>
      <w:r w:rsidR="00C17C73">
        <w:t>.</w:t>
      </w:r>
    </w:p>
    <w:p w14:paraId="0A3C10F3" w14:textId="62185CD7" w:rsidR="0086348F" w:rsidRDefault="00A8222D" w:rsidP="0042637A">
      <w:r>
        <w:t xml:space="preserve">In recommending this, we acknowledge the ICRC’s </w:t>
      </w:r>
      <w:r w:rsidR="00492216">
        <w:t>view that</w:t>
      </w:r>
      <w:r w:rsidR="00AA387D">
        <w:t>:</w:t>
      </w:r>
      <w:r w:rsidR="00492216">
        <w:t xml:space="preserve"> </w:t>
      </w:r>
    </w:p>
    <w:p w14:paraId="4909EA55" w14:textId="5D48677B" w:rsidR="000D195C" w:rsidRDefault="0086348F" w:rsidP="0042637A">
      <w:pPr>
        <w:pStyle w:val="Quote"/>
      </w:pPr>
      <w:r>
        <w:t xml:space="preserve">… </w:t>
      </w:r>
      <w:r w:rsidR="00DE5D3F" w:rsidRPr="00DE5D3F">
        <w:t>some of the issues identified in deregulated markets in other jurisdictions that provided the motivation for the DMO and VDO may not be as prevalent in the ACT. In particular, the ongoing price regulation in the ACT has meant that retailers have had less ability to increase standing offer rates compared to those in other jurisdictions. It has also meant that retailers in the ACT have been unable to use inflated standing offer rates as a reference point for discounting, which contributed to consumer confusion in other jurisdictions. This is evidenced by the fact that electricity prices in the ACT are among the lowest in Australia.</w:t>
      </w:r>
      <w:r>
        <w:rPr>
          <w:rStyle w:val="FootnoteReference"/>
        </w:rPr>
        <w:footnoteReference w:id="9"/>
      </w:r>
      <w:r w:rsidR="00290A35">
        <w:t xml:space="preserve"> </w:t>
      </w:r>
    </w:p>
    <w:p w14:paraId="1F5A10EF" w14:textId="5CE829E6" w:rsidR="0086348F" w:rsidRDefault="0098009C" w:rsidP="0042637A">
      <w:r>
        <w:t>We value</w:t>
      </w:r>
      <w:r w:rsidR="00B97595">
        <w:t xml:space="preserve"> the</w:t>
      </w:r>
      <w:r w:rsidR="00BE572E">
        <w:t xml:space="preserve"> impact</w:t>
      </w:r>
      <w:r w:rsidR="00545A51">
        <w:t xml:space="preserve"> that regulation has had in the ACT compared to other jurisdictions</w:t>
      </w:r>
      <w:r w:rsidR="00BF2118">
        <w:t xml:space="preserve">. </w:t>
      </w:r>
      <w:r>
        <w:t>But, d</w:t>
      </w:r>
      <w:r w:rsidR="00A5282D">
        <w:t>espite this</w:t>
      </w:r>
      <w:r>
        <w:t xml:space="preserve"> positive impact</w:t>
      </w:r>
      <w:r w:rsidR="00A5282D">
        <w:t xml:space="preserve">, </w:t>
      </w:r>
      <w:r w:rsidR="0024594A">
        <w:t>ACT consumers</w:t>
      </w:r>
      <w:r w:rsidR="00BF2118">
        <w:t xml:space="preserve"> have still experienced significant </w:t>
      </w:r>
      <w:r w:rsidR="00162A6C">
        <w:t>increases</w:t>
      </w:r>
      <w:r w:rsidR="00BF2118">
        <w:t xml:space="preserve"> in electricity prices</w:t>
      </w:r>
      <w:r w:rsidR="0024594A">
        <w:t xml:space="preserve"> and </w:t>
      </w:r>
      <w:r w:rsidR="008F3D0C">
        <w:t>faced significant</w:t>
      </w:r>
      <w:r w:rsidR="002B1E0D">
        <w:t xml:space="preserve"> </w:t>
      </w:r>
      <w:r w:rsidR="00FC0A6C">
        <w:t xml:space="preserve">barriers to engaging </w:t>
      </w:r>
      <w:r w:rsidR="00BB77BF">
        <w:t>with the market to</w:t>
      </w:r>
      <w:r w:rsidR="00733B01">
        <w:t xml:space="preserve"> </w:t>
      </w:r>
      <w:r w:rsidR="000556C5">
        <w:t xml:space="preserve">access the best deal </w:t>
      </w:r>
      <w:r w:rsidR="008F3D0C">
        <w:t xml:space="preserve">based on </w:t>
      </w:r>
      <w:r w:rsidR="000556C5">
        <w:t>their circumstances.</w:t>
      </w:r>
    </w:p>
    <w:p w14:paraId="07C042BB" w14:textId="1B49A515" w:rsidR="00FE7F21" w:rsidRPr="0086348F" w:rsidRDefault="003924FA" w:rsidP="0042637A">
      <w:r>
        <w:t>The introduction of a best offer no</w:t>
      </w:r>
      <w:r w:rsidR="0098009C">
        <w:t xml:space="preserve">tification </w:t>
      </w:r>
      <w:r>
        <w:t>and other n</w:t>
      </w:r>
      <w:r w:rsidR="00771716">
        <w:t>ew</w:t>
      </w:r>
      <w:r w:rsidR="00FE7F21">
        <w:t xml:space="preserve"> customer entitlements </w:t>
      </w:r>
      <w:r w:rsidR="0098009C">
        <w:t>would</w:t>
      </w:r>
      <w:r w:rsidR="00FE7F21">
        <w:t xml:space="preserve"> provide </w:t>
      </w:r>
      <w:r w:rsidR="00FE1DEF">
        <w:t>a nudge for consumers to engage</w:t>
      </w:r>
      <w:r w:rsidR="000E3531">
        <w:t xml:space="preserve"> </w:t>
      </w:r>
      <w:r w:rsidR="00FE1DEF">
        <w:t xml:space="preserve">and </w:t>
      </w:r>
      <w:r w:rsidR="0098009C">
        <w:t xml:space="preserve">would </w:t>
      </w:r>
      <w:r w:rsidR="000E3531">
        <w:t xml:space="preserve">make </w:t>
      </w:r>
      <w:r w:rsidR="0098009C">
        <w:t>finding</w:t>
      </w:r>
      <w:r w:rsidR="00296E2B">
        <w:t xml:space="preserve"> their best offer</w:t>
      </w:r>
      <w:r w:rsidR="00FE1DEF">
        <w:t xml:space="preserve"> easier</w:t>
      </w:r>
      <w:r>
        <w:t xml:space="preserve">. </w:t>
      </w:r>
      <w:r>
        <w:lastRenderedPageBreak/>
        <w:t xml:space="preserve">Ultimately, </w:t>
      </w:r>
      <w:r w:rsidR="0001435F">
        <w:t>there remains a need for a</w:t>
      </w:r>
      <w:r w:rsidR="00EB73D8">
        <w:t xml:space="preserve"> </w:t>
      </w:r>
      <w:r w:rsidR="00EB73D8" w:rsidRPr="00EB73D8">
        <w:t>safeguard</w:t>
      </w:r>
      <w:r w:rsidR="00EB73D8">
        <w:t xml:space="preserve"> for </w:t>
      </w:r>
      <w:r w:rsidR="00EB73D8" w:rsidRPr="00EB73D8">
        <w:t>consumers</w:t>
      </w:r>
      <w:r w:rsidR="00BB0956">
        <w:t xml:space="preserve"> – especially those who are on low incomes or otherwise vulnerable – </w:t>
      </w:r>
      <w:r w:rsidR="00EB73D8">
        <w:t xml:space="preserve">who </w:t>
      </w:r>
      <w:r w:rsidR="00BB017A">
        <w:t xml:space="preserve">experience </w:t>
      </w:r>
      <w:r w:rsidR="00C446BF">
        <w:t>barriers</w:t>
      </w:r>
      <w:r w:rsidR="00EB73D8" w:rsidRPr="00EB73D8">
        <w:t xml:space="preserve"> to engag</w:t>
      </w:r>
      <w:r w:rsidR="00C446BF">
        <w:t>ing</w:t>
      </w:r>
      <w:r w:rsidR="00EB73D8" w:rsidRPr="00EB73D8">
        <w:t xml:space="preserve"> in the electricity retail market</w:t>
      </w:r>
      <w:r w:rsidR="0001435F">
        <w:t xml:space="preserve"> </w:t>
      </w:r>
      <w:r w:rsidR="00FD7400">
        <w:t xml:space="preserve">to ensure </w:t>
      </w:r>
      <w:r w:rsidR="00547110">
        <w:t>that they have</w:t>
      </w:r>
      <w:r w:rsidR="00D220FB">
        <w:t xml:space="preserve"> access </w:t>
      </w:r>
      <w:r w:rsidR="00547110">
        <w:t xml:space="preserve">to </w:t>
      </w:r>
      <w:r w:rsidR="00435928">
        <w:t>electricity as an</w:t>
      </w:r>
      <w:r w:rsidR="000E3531">
        <w:t xml:space="preserve"> essential service </w:t>
      </w:r>
      <w:r w:rsidR="00435928">
        <w:t>at a fair price</w:t>
      </w:r>
      <w:r w:rsidR="000E3531">
        <w:t>.</w:t>
      </w:r>
    </w:p>
    <w:p w14:paraId="3CDFF73C" w14:textId="41DEEDCE" w:rsidR="00D34F90" w:rsidRDefault="00D34F90" w:rsidP="0042637A">
      <w:pPr>
        <w:pStyle w:val="Heading2"/>
      </w:pPr>
      <w:r>
        <w:t xml:space="preserve">Alignment with </w:t>
      </w:r>
      <w:r w:rsidR="00540E1B">
        <w:t>Victoria</w:t>
      </w:r>
      <w:r w:rsidR="00BE6476">
        <w:t>n customer entitlements in the retail energy market</w:t>
      </w:r>
    </w:p>
    <w:p w14:paraId="2048C4D6" w14:textId="7F92683E" w:rsidR="00800F07" w:rsidRDefault="00540E1B" w:rsidP="0042637A">
      <w:r>
        <w:t xml:space="preserve">As far as is practicable, </w:t>
      </w:r>
      <w:r w:rsidR="00FD7400">
        <w:t>we</w:t>
      </w:r>
      <w:r>
        <w:t xml:space="preserve"> recommend developing new customer entitlements in line with measures in place in Victoria</w:t>
      </w:r>
      <w:r w:rsidR="00800F07">
        <w:t xml:space="preserve"> as outlined in the ESC’s final decision</w:t>
      </w:r>
      <w:r w:rsidR="00C27E49">
        <w:t xml:space="preserve"> on building trust through new customer entitlements in the retail energy market</w:t>
      </w:r>
      <w:r>
        <w:t>.</w:t>
      </w:r>
      <w:r w:rsidR="00800F07">
        <w:rPr>
          <w:rStyle w:val="FootnoteReference"/>
        </w:rPr>
        <w:footnoteReference w:id="10"/>
      </w:r>
      <w:r>
        <w:t xml:space="preserve"> </w:t>
      </w:r>
      <w:r w:rsidR="00800F07">
        <w:t xml:space="preserve">We believe that this would provide consumers with more agency while also providing electricity retailers with consistency – as most, if not all, </w:t>
      </w:r>
      <w:r w:rsidR="00FD7400">
        <w:t xml:space="preserve">ACT electricity </w:t>
      </w:r>
      <w:r w:rsidR="00800F07">
        <w:t>retailers operate in Victoria</w:t>
      </w:r>
      <w:r w:rsidR="004B77E1">
        <w:t>. In addition to translating the Victorian measures to the ACT setting, we see value in learning from the experience of Victorian consumers, retailers</w:t>
      </w:r>
      <w:r w:rsidR="00FD7400">
        <w:t>,</w:t>
      </w:r>
      <w:r w:rsidR="004B77E1">
        <w:t xml:space="preserve"> and </w:t>
      </w:r>
      <w:r w:rsidR="00FD7400">
        <w:t xml:space="preserve">the </w:t>
      </w:r>
      <w:r w:rsidR="004B77E1">
        <w:t>regulator to inform the development and implementation</w:t>
      </w:r>
      <w:r w:rsidR="00FD7400">
        <w:t xml:space="preserve"> of similar measures here</w:t>
      </w:r>
      <w:r w:rsidR="004B77E1">
        <w:t>.</w:t>
      </w:r>
    </w:p>
    <w:p w14:paraId="58894836" w14:textId="50888450" w:rsidR="00D34F90" w:rsidRDefault="00800F07" w:rsidP="0042637A">
      <w:r>
        <w:t>T</w:t>
      </w:r>
      <w:r w:rsidR="00540E1B">
        <w:t>his would include:</w:t>
      </w:r>
    </w:p>
    <w:p w14:paraId="44439396" w14:textId="0D8BB02A" w:rsidR="00540E1B" w:rsidRPr="00ED2805" w:rsidRDefault="00540E1B" w:rsidP="00ED2805">
      <w:pPr>
        <w:pStyle w:val="ListParagraph"/>
      </w:pPr>
      <w:r w:rsidRPr="00ED2805">
        <w:t>Best offer notification</w:t>
      </w:r>
    </w:p>
    <w:p w14:paraId="42F1E092" w14:textId="1912B07E" w:rsidR="00540E1B" w:rsidRPr="00ED2805" w:rsidRDefault="00540E1B" w:rsidP="00ED2805">
      <w:pPr>
        <w:pStyle w:val="ListParagraph"/>
      </w:pPr>
      <w:r w:rsidRPr="00ED2805">
        <w:t>Clear advice entitlement</w:t>
      </w:r>
    </w:p>
    <w:p w14:paraId="7D099FC5" w14:textId="46F94F30" w:rsidR="00540E1B" w:rsidRPr="00ED2805" w:rsidRDefault="00800F07" w:rsidP="00ED2805">
      <w:pPr>
        <w:pStyle w:val="ListParagraph"/>
      </w:pPr>
      <w:r w:rsidRPr="00ED2805">
        <w:t>Bill change notice</w:t>
      </w:r>
    </w:p>
    <w:p w14:paraId="655FC5EB" w14:textId="3D73DD9A" w:rsidR="00800F07" w:rsidRPr="00ED2805" w:rsidRDefault="00DA38BB" w:rsidP="00ED2805">
      <w:pPr>
        <w:pStyle w:val="ListParagraph"/>
      </w:pPr>
      <w:r w:rsidRPr="00ED2805">
        <w:t xml:space="preserve">All customer bills must include information about how the customer can access the Australian Government’s </w:t>
      </w:r>
      <w:r w:rsidRPr="00ED2805">
        <w:rPr>
          <w:i/>
          <w:iCs/>
        </w:rPr>
        <w:t>Energy Made Easy</w:t>
      </w:r>
      <w:r w:rsidRPr="00ED2805">
        <w:t xml:space="preserve"> comparator website.</w:t>
      </w:r>
    </w:p>
    <w:p w14:paraId="6EEBB748" w14:textId="2FECC602" w:rsidR="00265EA3" w:rsidRDefault="00265EA3" w:rsidP="0042637A">
      <w:pPr>
        <w:pStyle w:val="Heading3"/>
      </w:pPr>
      <w:r>
        <w:t>Best offer notification</w:t>
      </w:r>
    </w:p>
    <w:p w14:paraId="1C0ED35E" w14:textId="7091BF3A" w:rsidR="003D0407" w:rsidRDefault="00265EA3" w:rsidP="0042637A">
      <w:r>
        <w:t>We support basing this on the</w:t>
      </w:r>
      <w:r w:rsidR="00BE6476">
        <w:t xml:space="preserve"> approach outlined in the</w:t>
      </w:r>
      <w:r>
        <w:t xml:space="preserve"> ESC’s final </w:t>
      </w:r>
      <w:r w:rsidR="00BE6476">
        <w:t>decision</w:t>
      </w:r>
      <w:r w:rsidR="004B77E1">
        <w:t xml:space="preserve"> on building trust through new customer entitlements in the retail energy market</w:t>
      </w:r>
      <w:r>
        <w:t>.</w:t>
      </w:r>
      <w:r w:rsidR="00BE6476">
        <w:rPr>
          <w:rStyle w:val="FootnoteReference"/>
        </w:rPr>
        <w:footnoteReference w:id="11"/>
      </w:r>
    </w:p>
    <w:p w14:paraId="279C29E5" w14:textId="12B1E08E" w:rsidR="00265EA3" w:rsidRDefault="00265EA3" w:rsidP="0042637A">
      <w:r>
        <w:t>We recommend requiring retailers to display the best offer entitlement on email bill notifications</w:t>
      </w:r>
      <w:r w:rsidR="00B225A7">
        <w:t xml:space="preserve"> and online accounts</w:t>
      </w:r>
      <w:r w:rsidR="00256D55">
        <w:t>,</w:t>
      </w:r>
      <w:r>
        <w:t xml:space="preserve"> as well as on the electricity bill itself</w:t>
      </w:r>
      <w:r w:rsidR="004B77E1">
        <w:t xml:space="preserve"> (pdf or hard copy)</w:t>
      </w:r>
      <w:r>
        <w:t>. Electricity bills sent by email may allow the customer to click-to-pay without opening the bill itself</w:t>
      </w:r>
      <w:r w:rsidR="00B225A7">
        <w:t xml:space="preserve"> – do</w:t>
      </w:r>
      <w:r w:rsidR="004B77E1">
        <w:t>ing</w:t>
      </w:r>
      <w:r w:rsidR="00B225A7">
        <w:t xml:space="preserve"> so reflect</w:t>
      </w:r>
      <w:r w:rsidR="004B77E1">
        <w:t>s</w:t>
      </w:r>
      <w:r w:rsidR="00B225A7">
        <w:t xml:space="preserve"> </w:t>
      </w:r>
      <w:r w:rsidR="004B77E1">
        <w:t xml:space="preserve">a level of </w:t>
      </w:r>
      <w:r w:rsidR="00B225A7">
        <w:t xml:space="preserve">consumer disengagement. Displaying </w:t>
      </w:r>
      <w:r>
        <w:t xml:space="preserve">the best offer notification prominently in </w:t>
      </w:r>
      <w:r w:rsidR="00B225A7">
        <w:t xml:space="preserve">electricity bill </w:t>
      </w:r>
      <w:r>
        <w:t>email message</w:t>
      </w:r>
      <w:r w:rsidR="00B225A7">
        <w:t xml:space="preserve">s and on customers’ online accounts would </w:t>
      </w:r>
      <w:r w:rsidR="00101C0F">
        <w:t>improve the chances that</w:t>
      </w:r>
      <w:r w:rsidR="00B225A7">
        <w:t xml:space="preserve"> disengaged customers </w:t>
      </w:r>
      <w:r w:rsidR="00B73EE6">
        <w:t xml:space="preserve">will </w:t>
      </w:r>
      <w:r w:rsidR="00B225A7">
        <w:t>receive the intended nudge.</w:t>
      </w:r>
    </w:p>
    <w:p w14:paraId="61CEF46B" w14:textId="7E3DC75D" w:rsidR="00B225A7" w:rsidRDefault="00B225A7" w:rsidP="0042637A">
      <w:pPr>
        <w:pStyle w:val="Heading3"/>
      </w:pPr>
      <w:r>
        <w:t>Clear advice entitlement</w:t>
      </w:r>
    </w:p>
    <w:p w14:paraId="2F7E5D50" w14:textId="3BC98E43" w:rsidR="00051014" w:rsidRDefault="00DA38BB" w:rsidP="0042637A">
      <w:r>
        <w:t>We see a clear advice entitlement as a</w:t>
      </w:r>
      <w:r w:rsidR="00B225A7">
        <w:t xml:space="preserve"> critical companion to the best offer notification</w:t>
      </w:r>
      <w:r>
        <w:t xml:space="preserve">. </w:t>
      </w:r>
      <w:r w:rsidR="00B225A7">
        <w:t>This</w:t>
      </w:r>
      <w:r>
        <w:t xml:space="preserve"> measure goes beyond transparency</w:t>
      </w:r>
      <w:r w:rsidR="00B225A7">
        <w:t xml:space="preserve"> </w:t>
      </w:r>
      <w:r w:rsidR="00051014">
        <w:t>towards</w:t>
      </w:r>
      <w:r w:rsidR="00265EA3">
        <w:t xml:space="preserve"> the ESC’s approach of ‘responsibility based regulation’</w:t>
      </w:r>
      <w:r w:rsidR="0036646D">
        <w:t xml:space="preserve"> – </w:t>
      </w:r>
      <w:r w:rsidR="00265EA3">
        <w:t xml:space="preserve">‘requiring retailers to take responsibility for helping customers navigate their </w:t>
      </w:r>
      <w:r w:rsidR="00265EA3">
        <w:lastRenderedPageBreak/>
        <w:t>way to the retailer’s most suitable energy plan’.</w:t>
      </w:r>
      <w:r w:rsidR="00265EA3">
        <w:rPr>
          <w:rStyle w:val="FootnoteReference"/>
        </w:rPr>
        <w:footnoteReference w:id="12"/>
      </w:r>
      <w:r w:rsidR="00B225A7">
        <w:t xml:space="preserve"> We welcome retailers</w:t>
      </w:r>
      <w:r w:rsidR="00037EF0">
        <w:t>’</w:t>
      </w:r>
      <w:r w:rsidR="00B225A7">
        <w:t xml:space="preserve"> own efforts to take this responsibility through </w:t>
      </w:r>
      <w:r w:rsidR="00B225A7" w:rsidRPr="00B225A7">
        <w:rPr>
          <w:i/>
        </w:rPr>
        <w:t>The Energy Charter</w:t>
      </w:r>
      <w:r w:rsidR="00B225A7">
        <w:t>.</w:t>
      </w:r>
      <w:r w:rsidR="0023755B">
        <w:rPr>
          <w:rStyle w:val="FootnoteReference"/>
        </w:rPr>
        <w:footnoteReference w:id="13"/>
      </w:r>
      <w:r w:rsidR="00CF609B">
        <w:t xml:space="preserve"> The clear advice entitlement would</w:t>
      </w:r>
      <w:r w:rsidR="0036646D">
        <w:t>:</w:t>
      </w:r>
    </w:p>
    <w:p w14:paraId="1860CF0B" w14:textId="3760B171" w:rsidR="00051014" w:rsidRDefault="00051014" w:rsidP="0042637A">
      <w:pPr>
        <w:pStyle w:val="Quote"/>
      </w:pPr>
      <w:r>
        <w:t xml:space="preserve">… </w:t>
      </w:r>
      <w:r w:rsidR="00CF609B" w:rsidRPr="00CF609B">
        <w:t xml:space="preserve">ensure </w:t>
      </w:r>
      <w:r w:rsidR="00CF609B">
        <w:t xml:space="preserve">[customers] </w:t>
      </w:r>
      <w:r w:rsidR="00CF609B" w:rsidRPr="00CF609B">
        <w:t>are made aware of, at the point of entering a contract, the dollar cost implications of all terms and conditions that influence the costs they will face over the term of the contract, and of any other offers the retailer believes may be more suitable for the customer.</w:t>
      </w:r>
      <w:r w:rsidR="00CF609B">
        <w:rPr>
          <w:rStyle w:val="FootnoteReference"/>
        </w:rPr>
        <w:footnoteReference w:id="14"/>
      </w:r>
      <w:r w:rsidR="00CF609B">
        <w:t xml:space="preserve"> </w:t>
      </w:r>
    </w:p>
    <w:p w14:paraId="3B7427A3" w14:textId="59B2B4A2" w:rsidR="00540E1B" w:rsidRDefault="00CF609B" w:rsidP="0042637A">
      <w:r>
        <w:t>This provides a much-needed check, particularly for people at risk of financial stress. It also creates an incentive for retailers to reduce the complexity of their offers.</w:t>
      </w:r>
    </w:p>
    <w:p w14:paraId="4A980CDA" w14:textId="3DD9D6BF" w:rsidR="00CF609B" w:rsidRDefault="00CF609B" w:rsidP="0042637A">
      <w:pPr>
        <w:pStyle w:val="Heading3"/>
      </w:pPr>
      <w:r>
        <w:t>Bill change notices</w:t>
      </w:r>
    </w:p>
    <w:p w14:paraId="7207FA14" w14:textId="73ACDC2D" w:rsidR="00CF609B" w:rsidRDefault="00CF609B" w:rsidP="0042637A">
      <w:r>
        <w:t xml:space="preserve">We see bill change notices as a necessary reform in improving transparency and </w:t>
      </w:r>
      <w:proofErr w:type="gramStart"/>
      <w:r>
        <w:t>comparability</w:t>
      </w:r>
      <w:r w:rsidR="00D21D1F">
        <w:t>,</w:t>
      </w:r>
      <w:r>
        <w:t xml:space="preserve"> </w:t>
      </w:r>
      <w:r w:rsidR="003D0407">
        <w:t>and</w:t>
      </w:r>
      <w:proofErr w:type="gramEnd"/>
      <w:r>
        <w:t xml:space="preserve"> building consumers’ trust and confidence. It is essential that consumers are advised of price and/or b</w:t>
      </w:r>
      <w:r w:rsidR="003D0407">
        <w:t xml:space="preserve">enefit changes so they can make an informed decision. This can help avoid or reduce the number of consumers who unknowingly default onto poor value offers and effectively pay a ‘loyalty tax’ – sticking with their retailer </w:t>
      </w:r>
      <w:r w:rsidR="00E97A2E">
        <w:t xml:space="preserve">for years but </w:t>
      </w:r>
      <w:r w:rsidR="003D0407">
        <w:t>ending up on the most expensive offers.</w:t>
      </w:r>
    </w:p>
    <w:p w14:paraId="047628EE" w14:textId="5E448DB8" w:rsidR="003D0407" w:rsidRDefault="003D0407" w:rsidP="0042637A">
      <w:r>
        <w:t>We also see value in using bill change notices to prompt people to</w:t>
      </w:r>
      <w:r w:rsidR="00915B83">
        <w:t xml:space="preserve"> advise </w:t>
      </w:r>
      <w:r w:rsidR="00673E15">
        <w:t>or to</w:t>
      </w:r>
      <w:r>
        <w:t xml:space="preserve"> update their concession eligibility when facing the removal of a concession discount.</w:t>
      </w:r>
      <w:r w:rsidR="00673E15">
        <w:t xml:space="preserve"> Through the Energy Voucher Program, Care Financial Counselling Service</w:t>
      </w:r>
      <w:r w:rsidR="00624184">
        <w:t xml:space="preserve"> has</w:t>
      </w:r>
      <w:r w:rsidR="00673E15">
        <w:t xml:space="preserve"> identified a </w:t>
      </w:r>
      <w:r w:rsidR="00624184">
        <w:t>significant</w:t>
      </w:r>
      <w:r w:rsidR="00673E15">
        <w:t xml:space="preserve"> number of consumers who </w:t>
      </w:r>
      <w:r w:rsidR="002B6FED">
        <w:t xml:space="preserve">were not receiving their </w:t>
      </w:r>
      <w:r w:rsidR="00253F19">
        <w:t>concession</w:t>
      </w:r>
      <w:r w:rsidR="002B6FED">
        <w:t xml:space="preserve"> entitlements</w:t>
      </w:r>
      <w:r w:rsidR="004217E2">
        <w:t>,</w:t>
      </w:r>
      <w:r w:rsidR="002B6FED">
        <w:t xml:space="preserve"> and </w:t>
      </w:r>
      <w:r w:rsidR="00624184">
        <w:t xml:space="preserve">subsequently </w:t>
      </w:r>
      <w:r w:rsidR="00253F19">
        <w:t>supported them to get the</w:t>
      </w:r>
      <w:r w:rsidR="00624184">
        <w:t>ir entitlements</w:t>
      </w:r>
      <w:r w:rsidR="00253F19">
        <w:t xml:space="preserve"> backdated.</w:t>
      </w:r>
    </w:p>
    <w:p w14:paraId="1E0A32DF" w14:textId="41757D06" w:rsidR="003D0407" w:rsidRDefault="003D0407" w:rsidP="0042637A">
      <w:pPr>
        <w:pStyle w:val="Heading3"/>
      </w:pPr>
      <w:r w:rsidRPr="004B77E1">
        <w:rPr>
          <w:i/>
        </w:rPr>
        <w:t>Energy Made Easy</w:t>
      </w:r>
      <w:r>
        <w:t xml:space="preserve"> information</w:t>
      </w:r>
      <w:r w:rsidR="00624184">
        <w:t xml:space="preserve"> on bills</w:t>
      </w:r>
    </w:p>
    <w:p w14:paraId="2FAFB777" w14:textId="43C648D3" w:rsidR="00540E1B" w:rsidRDefault="003D0407" w:rsidP="0042637A">
      <w:r>
        <w:t xml:space="preserve">We recommend that </w:t>
      </w:r>
      <w:r w:rsidR="00BE6476">
        <w:t xml:space="preserve">the ICRC’s final decision recommends requiring retailers to regularly notify their customers that they can visit the Australian Government’s </w:t>
      </w:r>
      <w:r w:rsidR="00BE6476" w:rsidRPr="00BE6476">
        <w:rPr>
          <w:i/>
        </w:rPr>
        <w:t>Energy Made Easy</w:t>
      </w:r>
      <w:r w:rsidR="00BE6476">
        <w:t xml:space="preserve"> website to check whether better offers are available from other retailers. While 70% of respondents to the ICRC customer survey said a comparison website would help, only 17% had used </w:t>
      </w:r>
      <w:r w:rsidR="00BE6476" w:rsidRPr="00BE6476">
        <w:rPr>
          <w:i/>
        </w:rPr>
        <w:t>Energy Made Easy</w:t>
      </w:r>
      <w:r w:rsidR="00BE6476">
        <w:t xml:space="preserve"> to compare electricity plans.</w:t>
      </w:r>
      <w:r w:rsidR="00C062C0">
        <w:t xml:space="preserve"> </w:t>
      </w:r>
      <w:r w:rsidR="00855DF9">
        <w:t xml:space="preserve">Care’s survey </w:t>
      </w:r>
      <w:r w:rsidR="0047246B">
        <w:t xml:space="preserve">of </w:t>
      </w:r>
      <w:r w:rsidR="00DF4E44">
        <w:t>Energy Support Voucher</w:t>
      </w:r>
      <w:r w:rsidR="0047246B">
        <w:t xml:space="preserve"> recipients</w:t>
      </w:r>
      <w:r w:rsidR="00DF4E44">
        <w:t xml:space="preserve"> between </w:t>
      </w:r>
      <w:r w:rsidR="005E4FB4">
        <w:t>July-December 2019 found that</w:t>
      </w:r>
      <w:r w:rsidR="0047246B">
        <w:t xml:space="preserve"> </w:t>
      </w:r>
      <w:r w:rsidR="00613CB0">
        <w:t>397 out of</w:t>
      </w:r>
      <w:r w:rsidR="0047246B">
        <w:t xml:space="preserve"> 453 respon</w:t>
      </w:r>
      <w:r w:rsidR="00613CB0">
        <w:t>ders</w:t>
      </w:r>
      <w:r w:rsidR="005E4FB4">
        <w:t xml:space="preserve"> </w:t>
      </w:r>
      <w:r w:rsidR="00274585">
        <w:t>(</w:t>
      </w:r>
      <w:r w:rsidR="007B0B75">
        <w:t>88</w:t>
      </w:r>
      <w:r w:rsidR="00DC5DEC">
        <w:t>%)</w:t>
      </w:r>
      <w:r w:rsidR="00D02277">
        <w:t xml:space="preserve"> </w:t>
      </w:r>
      <w:r w:rsidR="00DC5DEC">
        <w:t>did not know</w:t>
      </w:r>
      <w:r w:rsidR="00C92D8D">
        <w:t xml:space="preserve"> about the </w:t>
      </w:r>
      <w:r w:rsidR="00C92D8D" w:rsidRPr="00C92D8D">
        <w:rPr>
          <w:i/>
          <w:iCs/>
        </w:rPr>
        <w:t>Energy Made Easy</w:t>
      </w:r>
      <w:r w:rsidR="00C92D8D">
        <w:t xml:space="preserve"> website.</w:t>
      </w:r>
      <w:r w:rsidR="00BE6476">
        <w:t xml:space="preserve"> Including information </w:t>
      </w:r>
      <w:r w:rsidR="00DC5DEC">
        <w:t xml:space="preserve">about </w:t>
      </w:r>
      <w:r w:rsidR="00DC5DEC" w:rsidRPr="00DC5DEC">
        <w:rPr>
          <w:i/>
          <w:iCs/>
        </w:rPr>
        <w:t>Energy Made Easy</w:t>
      </w:r>
      <w:r w:rsidR="00DC5DEC">
        <w:t xml:space="preserve"> </w:t>
      </w:r>
      <w:r w:rsidR="00BE6476">
        <w:t>on bills would help raise consumer awareness of this website</w:t>
      </w:r>
      <w:r w:rsidR="00E36FAD">
        <w:t xml:space="preserve"> as a tool to </w:t>
      </w:r>
      <w:r w:rsidR="00E22A9B">
        <w:t>find the best offer for their circumstances.</w:t>
      </w:r>
    </w:p>
    <w:p w14:paraId="5057F0EE" w14:textId="0EAAFD0E" w:rsidR="00CE3B09" w:rsidRDefault="00CE3B09" w:rsidP="0042637A">
      <w:pPr>
        <w:pStyle w:val="Heading1"/>
      </w:pPr>
      <w:r>
        <w:lastRenderedPageBreak/>
        <w:t xml:space="preserve">Further development of </w:t>
      </w:r>
      <w:r w:rsidR="00816137">
        <w:t>the ICRC recommendations</w:t>
      </w:r>
    </w:p>
    <w:p w14:paraId="7508053D" w14:textId="7462F450" w:rsidR="00CE3B09" w:rsidRDefault="00816137" w:rsidP="0042637A">
      <w:r>
        <w:t>We are</w:t>
      </w:r>
      <w:r w:rsidR="004B77E1">
        <w:t xml:space="preserve"> keen to engage with the ICRC, the ACT Government, and electricity retailers on the development of </w:t>
      </w:r>
      <w:r w:rsidR="00FB6F7F">
        <w:t>the ICRC’s recommendations</w:t>
      </w:r>
      <w:r w:rsidR="004B77E1">
        <w:t xml:space="preserve">. </w:t>
      </w:r>
    </w:p>
    <w:p w14:paraId="2FD725D1" w14:textId="4AB0F8F0" w:rsidR="0023755B" w:rsidRDefault="0023755B" w:rsidP="0042637A">
      <w:r>
        <w:t xml:space="preserve">A key implementation issue that </w:t>
      </w:r>
      <w:r w:rsidR="00FB6F7F">
        <w:t>will need</w:t>
      </w:r>
      <w:r>
        <w:t xml:space="preserve"> to be addressed is monitoring and compliance.</w:t>
      </w:r>
    </w:p>
    <w:p w14:paraId="308084FC" w14:textId="668C4323" w:rsidR="004B77E1" w:rsidRDefault="0023755B" w:rsidP="0042637A">
      <w:r>
        <w:t>While we see the adoption</w:t>
      </w:r>
      <w:r w:rsidR="00FB6F7F">
        <w:t xml:space="preserve"> – or adaptation</w:t>
      </w:r>
      <w:r w:rsidR="0047652E">
        <w:t xml:space="preserve"> – </w:t>
      </w:r>
      <w:r>
        <w:t>of the Victorian measures as making introduction of new</w:t>
      </w:r>
      <w:r w:rsidR="00C27E49">
        <w:t xml:space="preserve"> customer</w:t>
      </w:r>
      <w:r>
        <w:t xml:space="preserve"> entitlements </w:t>
      </w:r>
      <w:r w:rsidR="00C27E49">
        <w:t>quicker and easier</w:t>
      </w:r>
      <w:r>
        <w:t>, we appreciate this may not be feasible by 1 July 2020, especially within the current context of COVID-19. We would be comfortable with a timeframe for implementation from 1 July 2021.</w:t>
      </w:r>
    </w:p>
    <w:p w14:paraId="26DC9D5C" w14:textId="539EA5A9" w:rsidR="00C27E49" w:rsidRDefault="00A70103" w:rsidP="0042637A">
      <w:r w:rsidRPr="00A70103">
        <w:t xml:space="preserve">In responding to the ICRC’s draft decision, </w:t>
      </w:r>
      <w:r w:rsidR="00585D8D">
        <w:t xml:space="preserve">we have </w:t>
      </w:r>
      <w:r w:rsidRPr="00A70103">
        <w:t xml:space="preserve">benefited </w:t>
      </w:r>
      <w:r>
        <w:t xml:space="preserve">significantly </w:t>
      </w:r>
      <w:r w:rsidRPr="00A70103">
        <w:t xml:space="preserve">from </w:t>
      </w:r>
      <w:r>
        <w:t xml:space="preserve">dialogue </w:t>
      </w:r>
      <w:r w:rsidRPr="00A70103">
        <w:t>with Victorian consumer advocates based on their engagement with the ESC and Victorian Government on the VDO and new customer entitlements.</w:t>
      </w:r>
      <w:r>
        <w:t xml:space="preserve"> We see benefit in further engaging with our Victorian counterparts as we flesh out the detail of the ICRC’s draft recommendations.</w:t>
      </w:r>
    </w:p>
    <w:p w14:paraId="1C0EFA2B" w14:textId="717A9C21" w:rsidR="00602A9F" w:rsidRDefault="00A70103" w:rsidP="0042637A">
      <w:r>
        <w:t>Where possible, we recommend that attention also be paid to addressing poverty premiums faced by low-</w:t>
      </w:r>
      <w:r w:rsidR="00602A9F">
        <w:t>income households</w:t>
      </w:r>
      <w:r>
        <w:t>, including pay</w:t>
      </w:r>
      <w:r w:rsidR="00602A9F">
        <w:t>-</w:t>
      </w:r>
      <w:r>
        <w:t>on</w:t>
      </w:r>
      <w:r w:rsidR="00602A9F">
        <w:t>-</w:t>
      </w:r>
      <w:r>
        <w:t>time</w:t>
      </w:r>
      <w:r w:rsidR="00602A9F">
        <w:t xml:space="preserve"> and conditional discounts. Due to their circumstances, low-income households may be locked out of lower-priced offers, or they may face additional costs if conditions are not met. This issue could be partly addressed through the clear advice entitlement and bill change notices.</w:t>
      </w:r>
    </w:p>
    <w:p w14:paraId="797946B2" w14:textId="15C605A0" w:rsidR="00041D62" w:rsidRPr="00DE2924" w:rsidRDefault="00602A9F" w:rsidP="0042637A">
      <w:r>
        <w:t xml:space="preserve">If you would like to discuss any of the issues raised in this submission, please don’t hesitate to contact Geoff Buchanan, Senior Policy Officer, ACTCOSS on 02 6202 7222 or </w:t>
      </w:r>
      <w:hyperlink r:id="rId20" w:history="1">
        <w:r w:rsidRPr="00D02B4A">
          <w:rPr>
            <w:rStyle w:val="Hyperlink"/>
          </w:rPr>
          <w:t>geoff.buchanan@actcoss.org.au</w:t>
        </w:r>
      </w:hyperlink>
      <w:r w:rsidR="001D1252" w:rsidRPr="001D1252">
        <w:t>.</w:t>
      </w:r>
    </w:p>
    <w:sectPr w:rsidR="00041D62" w:rsidRPr="00DE2924" w:rsidSect="00CA0D2B">
      <w:footerReference w:type="default" r:id="rId21"/>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3E0DB" w14:textId="77777777" w:rsidR="00FB70A3" w:rsidRDefault="00FB70A3" w:rsidP="0042637A">
      <w:r>
        <w:separator/>
      </w:r>
    </w:p>
  </w:endnote>
  <w:endnote w:type="continuationSeparator" w:id="0">
    <w:p w14:paraId="209CD42F" w14:textId="77777777" w:rsidR="00FB70A3" w:rsidRDefault="00FB70A3" w:rsidP="0042637A">
      <w:r>
        <w:continuationSeparator/>
      </w:r>
    </w:p>
  </w:endnote>
  <w:endnote w:type="continuationNotice" w:id="1">
    <w:p w14:paraId="72479FF1" w14:textId="77777777" w:rsidR="00FB70A3" w:rsidRDefault="00FB70A3" w:rsidP="00426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704963"/>
      <w:docPartObj>
        <w:docPartGallery w:val="Page Numbers (Bottom of Page)"/>
        <w:docPartUnique/>
      </w:docPartObj>
    </w:sdtPr>
    <w:sdtEndPr>
      <w:rPr>
        <w:noProof/>
      </w:rPr>
    </w:sdtEndPr>
    <w:sdtContent>
      <w:p w14:paraId="22931D35" w14:textId="695762EB" w:rsidR="00382E81" w:rsidRDefault="00654EBA" w:rsidP="00654E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C4A23" w14:textId="77777777" w:rsidR="00FB70A3" w:rsidRDefault="00FB70A3" w:rsidP="0042637A">
      <w:r>
        <w:separator/>
      </w:r>
    </w:p>
  </w:footnote>
  <w:footnote w:type="continuationSeparator" w:id="0">
    <w:p w14:paraId="04F96381" w14:textId="77777777" w:rsidR="00FB70A3" w:rsidRDefault="00FB70A3" w:rsidP="0042637A">
      <w:r>
        <w:continuationSeparator/>
      </w:r>
    </w:p>
  </w:footnote>
  <w:footnote w:type="continuationNotice" w:id="1">
    <w:p w14:paraId="1731DC8B" w14:textId="77777777" w:rsidR="00FB70A3" w:rsidRDefault="00FB70A3" w:rsidP="0042637A"/>
  </w:footnote>
  <w:footnote w:id="2">
    <w:p w14:paraId="4D679933" w14:textId="56AEDF2F" w:rsidR="00C27E49" w:rsidRPr="00C27E49" w:rsidRDefault="00C27E49" w:rsidP="0042637A">
      <w:pPr>
        <w:pStyle w:val="FootnoteText"/>
        <w:rPr>
          <w:lang w:val="en-AU"/>
        </w:rPr>
      </w:pPr>
      <w:r w:rsidRPr="001D1252">
        <w:footnoteRef/>
      </w:r>
      <w:r w:rsidRPr="001D1252">
        <w:t xml:space="preserve"> </w:t>
      </w:r>
      <w:r w:rsidR="001D1252">
        <w:tab/>
      </w:r>
      <w:r w:rsidRPr="001D1252">
        <w:t>AE</w:t>
      </w:r>
      <w:r>
        <w:rPr>
          <w:lang w:val="en-AU"/>
        </w:rPr>
        <w:t xml:space="preserve">MC, </w:t>
      </w:r>
      <w:r w:rsidRPr="00C27E49">
        <w:rPr>
          <w:i/>
          <w:lang w:val="en-AU"/>
        </w:rPr>
        <w:t>Residential electricity price trends 2019 – Final report</w:t>
      </w:r>
      <w:r>
        <w:rPr>
          <w:lang w:val="en-AU"/>
        </w:rPr>
        <w:t>, AEMC, Sydney, 9 December 2019, p. 9, viewed at, &lt;</w:t>
      </w:r>
      <w:r w:rsidRPr="00C27E49">
        <w:rPr>
          <w:lang w:val="en-AU"/>
        </w:rPr>
        <w:t>https://www.aemc.gov.au/sites/default/files/2019-12/2019%20Residential%20Electricity%20Price%20Trends%20final%20report%20FINAL.pdf</w:t>
      </w:r>
      <w:r>
        <w:rPr>
          <w:lang w:val="en-AU"/>
        </w:rPr>
        <w:t>&gt;.</w:t>
      </w:r>
    </w:p>
  </w:footnote>
  <w:footnote w:id="3">
    <w:p w14:paraId="48E12A29" w14:textId="4F6D2956" w:rsidR="001A6B80" w:rsidRDefault="001A6B80" w:rsidP="0042637A">
      <w:pPr>
        <w:pStyle w:val="FootnoteText"/>
      </w:pPr>
      <w:r w:rsidRPr="001D1252">
        <w:footnoteRef/>
      </w:r>
      <w:r w:rsidRPr="001D1252">
        <w:t xml:space="preserve"> </w:t>
      </w:r>
      <w:r w:rsidR="001D1252">
        <w:tab/>
      </w:r>
      <w:r w:rsidR="005E5DAF" w:rsidRPr="001D1252">
        <w:t>I</w:t>
      </w:r>
      <w:r w:rsidR="005E5DAF">
        <w:t>CRC</w:t>
      </w:r>
      <w:r w:rsidR="005E5DAF" w:rsidRPr="009F0D42">
        <w:rPr>
          <w:i/>
          <w:iCs/>
        </w:rPr>
        <w:t xml:space="preserve">, </w:t>
      </w:r>
      <w:r w:rsidR="004306DF" w:rsidRPr="009F0D42">
        <w:rPr>
          <w:i/>
          <w:iCs/>
        </w:rPr>
        <w:t xml:space="preserve">Public forum: </w:t>
      </w:r>
      <w:r w:rsidR="004133B0" w:rsidRPr="009F0D42">
        <w:rPr>
          <w:i/>
          <w:iCs/>
        </w:rPr>
        <w:t>Retail electricity price investigation</w:t>
      </w:r>
      <w:r w:rsidR="004133B0">
        <w:t>, Transcript of proceedings, 5 March 2020, ICRC, Canberra, 2020</w:t>
      </w:r>
      <w:r w:rsidR="00173836">
        <w:t>, p. 14</w:t>
      </w:r>
      <w:r w:rsidR="004133B0">
        <w:t>, viewed at, &lt;</w:t>
      </w:r>
      <w:r w:rsidR="009F0D42" w:rsidRPr="009F0D42">
        <w:t>https://www.icrc.act.gov.au/__data/assets/pdf_file/0004/1501591/PUBLIC-HEARING-ICRC-20200305_EpiqFinal.pdf</w:t>
      </w:r>
      <w:r w:rsidR="009F0D42">
        <w:t xml:space="preserve">&gt;. </w:t>
      </w:r>
    </w:p>
  </w:footnote>
  <w:footnote w:id="4">
    <w:p w14:paraId="514C58C6" w14:textId="7EDDDFE7" w:rsidR="00C27E49" w:rsidRPr="00C27E49" w:rsidRDefault="00C27E49" w:rsidP="0042637A">
      <w:pPr>
        <w:pStyle w:val="FootnoteText"/>
        <w:rPr>
          <w:lang w:val="en-AU"/>
        </w:rPr>
      </w:pPr>
      <w:r w:rsidRPr="001D1252">
        <w:footnoteRef/>
      </w:r>
      <w:r w:rsidRPr="001D1252">
        <w:t xml:space="preserve"> </w:t>
      </w:r>
      <w:r w:rsidR="001D1252">
        <w:tab/>
      </w:r>
      <w:r w:rsidRPr="001D1252">
        <w:t>IC</w:t>
      </w:r>
      <w:r>
        <w:rPr>
          <w:lang w:val="en-AU"/>
        </w:rPr>
        <w:t xml:space="preserve">RC, </w:t>
      </w:r>
      <w:r w:rsidRPr="00C27E49">
        <w:rPr>
          <w:i/>
          <w:lang w:val="en-AU"/>
        </w:rPr>
        <w:t>Retail electricity price investigation 2020-24 – Draft report</w:t>
      </w:r>
      <w:r>
        <w:rPr>
          <w:lang w:val="en-AU"/>
        </w:rPr>
        <w:t>, Report 2 of 2020, ICRC, Canberra, February 2020, viewed at, &lt;</w:t>
      </w:r>
      <w:r w:rsidRPr="00C27E49">
        <w:rPr>
          <w:lang w:val="en-AU"/>
        </w:rPr>
        <w:t>https://www.icrc.act.gov.au/__data/assets/pdf_file/0007/1474756/Electricity-Draft-report_pdf.pdf</w:t>
      </w:r>
      <w:r>
        <w:rPr>
          <w:lang w:val="en-AU"/>
        </w:rPr>
        <w:t>&gt;.</w:t>
      </w:r>
    </w:p>
  </w:footnote>
  <w:footnote w:id="5">
    <w:p w14:paraId="3FDB060D" w14:textId="56D32FCE" w:rsidR="001457EA" w:rsidRPr="001457EA" w:rsidRDefault="001457EA" w:rsidP="0042637A">
      <w:pPr>
        <w:pStyle w:val="FootnoteText"/>
        <w:rPr>
          <w:lang w:val="en-AU"/>
        </w:rPr>
      </w:pPr>
      <w:r w:rsidRPr="001D1252">
        <w:footnoteRef/>
      </w:r>
      <w:r w:rsidRPr="001D1252">
        <w:t xml:space="preserve"> </w:t>
      </w:r>
      <w:r w:rsidR="001D1252">
        <w:tab/>
      </w:r>
      <w:r w:rsidRPr="001D1252">
        <w:t>A</w:t>
      </w:r>
      <w:r>
        <w:rPr>
          <w:lang w:val="en-AU"/>
        </w:rPr>
        <w:t xml:space="preserve">CCC, </w:t>
      </w:r>
      <w:r w:rsidRPr="00245EA5">
        <w:rPr>
          <w:i/>
          <w:lang w:val="en-AU"/>
        </w:rPr>
        <w:t>Restoring electricity affordability and Australia’s competitive advantage</w:t>
      </w:r>
      <w:r>
        <w:rPr>
          <w:lang w:val="en-AU"/>
        </w:rPr>
        <w:t>, Retail Electricity Pricing Inquiry – Final Report, ACCC, Canberra, 2018, viewed at, &lt;</w:t>
      </w:r>
      <w:r w:rsidRPr="001457EA">
        <w:t xml:space="preserve"> </w:t>
      </w:r>
      <w:r w:rsidRPr="00245EA5">
        <w:rPr>
          <w:lang w:val="en-AU"/>
        </w:rPr>
        <w:t>https://www.accc.gov.au/system/files/Retail%20Electricity%20Pricing%20Inquiry%E2%80%94Final%20Report%20June%202018_0.pdf</w:t>
      </w:r>
      <w:r>
        <w:rPr>
          <w:lang w:val="en-AU"/>
        </w:rPr>
        <w:t xml:space="preserve">&gt;. </w:t>
      </w:r>
    </w:p>
  </w:footnote>
  <w:footnote w:id="6">
    <w:p w14:paraId="7F41116A" w14:textId="73E94399" w:rsidR="001457EA" w:rsidRPr="001457EA" w:rsidRDefault="001457EA" w:rsidP="0042637A">
      <w:pPr>
        <w:pStyle w:val="FootnoteText"/>
        <w:rPr>
          <w:lang w:val="en-AU"/>
        </w:rPr>
      </w:pPr>
      <w:r w:rsidRPr="001D1252">
        <w:footnoteRef/>
      </w:r>
      <w:r w:rsidRPr="001D1252">
        <w:t xml:space="preserve"> </w:t>
      </w:r>
      <w:r w:rsidR="001D1252">
        <w:tab/>
      </w:r>
      <w:r w:rsidR="00245EA5" w:rsidRPr="001D1252">
        <w:t xml:space="preserve">J </w:t>
      </w:r>
      <w:r w:rsidR="00245EA5">
        <w:t xml:space="preserve">Thwaites, P Faulkner &amp; T Mulder, </w:t>
      </w:r>
      <w:r w:rsidR="00245EA5" w:rsidRPr="00245EA5">
        <w:rPr>
          <w:i/>
        </w:rPr>
        <w:t>Independent Review into the Electricity and Gas Markets in Victoria</w:t>
      </w:r>
      <w:r w:rsidR="00245EA5">
        <w:t>, Department of Environment, Land, Water and Planning, Melbourne, 2017, viewed at, &lt;</w:t>
      </w:r>
      <w:r w:rsidR="00245EA5" w:rsidRPr="00245EA5">
        <w:t xml:space="preserve"> https://www.energy.vic.gov.au/__data/assets/pdf_file/0030/79266/Retail-Energy-Review-Final-Report.pdf</w:t>
      </w:r>
      <w:r w:rsidR="00245EA5">
        <w:t xml:space="preserve">&gt;. </w:t>
      </w:r>
    </w:p>
  </w:footnote>
  <w:footnote w:id="7">
    <w:p w14:paraId="3191E034" w14:textId="029D9EFF" w:rsidR="00245EA5" w:rsidRPr="00245EA5" w:rsidRDefault="00245EA5" w:rsidP="0042637A">
      <w:pPr>
        <w:pStyle w:val="FootnoteText"/>
        <w:rPr>
          <w:lang w:val="en-AU"/>
        </w:rPr>
      </w:pPr>
      <w:r w:rsidRPr="001D1252">
        <w:footnoteRef/>
      </w:r>
      <w:r w:rsidRPr="001D1252">
        <w:t xml:space="preserve"> </w:t>
      </w:r>
      <w:r w:rsidR="001D1252">
        <w:tab/>
      </w:r>
      <w:r w:rsidRPr="001D1252">
        <w:t>ES</w:t>
      </w:r>
      <w:r>
        <w:rPr>
          <w:lang w:val="en-AU"/>
        </w:rPr>
        <w:t xml:space="preserve">C, </w:t>
      </w:r>
      <w:r w:rsidRPr="00245EA5">
        <w:rPr>
          <w:i/>
          <w:lang w:val="en-AU"/>
        </w:rPr>
        <w:t>Building trust through new customer entitlements in the retail energy market – Final decision</w:t>
      </w:r>
      <w:r>
        <w:rPr>
          <w:lang w:val="en-AU"/>
        </w:rPr>
        <w:t xml:space="preserve">, ESC, Melbourne, </w:t>
      </w:r>
      <w:r w:rsidR="00800F07">
        <w:rPr>
          <w:lang w:val="en-AU"/>
        </w:rPr>
        <w:t xml:space="preserve">2018, </w:t>
      </w:r>
      <w:r>
        <w:rPr>
          <w:lang w:val="en-AU"/>
        </w:rPr>
        <w:t>viewed at, &lt;</w:t>
      </w:r>
      <w:r w:rsidRPr="00245EA5">
        <w:t xml:space="preserve"> </w:t>
      </w:r>
      <w:r w:rsidRPr="00245EA5">
        <w:rPr>
          <w:lang w:val="en-AU"/>
        </w:rPr>
        <w:t>https://www.esc.vic.gov.au/electricity-and-gas/inquiries-studies-and-reviews/electricity-and-gas-retail-markets-review-implementation-2018/new-standards-energy-bills-and-marketing-2018#tabs-container2</w:t>
      </w:r>
      <w:r>
        <w:rPr>
          <w:lang w:val="en-AU"/>
        </w:rPr>
        <w:t xml:space="preserve">&gt;. </w:t>
      </w:r>
    </w:p>
  </w:footnote>
  <w:footnote w:id="8">
    <w:p w14:paraId="5FD7FA21" w14:textId="74402BC0" w:rsidR="00276E8A" w:rsidRPr="00276E8A" w:rsidRDefault="00276E8A" w:rsidP="0042637A">
      <w:pPr>
        <w:pStyle w:val="FootnoteText"/>
        <w:rPr>
          <w:lang w:val="en-AU"/>
        </w:rPr>
      </w:pPr>
      <w:r w:rsidRPr="001D1252">
        <w:footnoteRef/>
      </w:r>
      <w:r w:rsidRPr="001D1252">
        <w:t xml:space="preserve"> </w:t>
      </w:r>
      <w:r w:rsidR="001D1252">
        <w:tab/>
      </w:r>
      <w:r w:rsidRPr="001D1252">
        <w:t>ES</w:t>
      </w:r>
      <w:r>
        <w:rPr>
          <w:lang w:val="en-AU"/>
        </w:rPr>
        <w:t xml:space="preserve">C, </w:t>
      </w:r>
      <w:r w:rsidRPr="00D34F90">
        <w:rPr>
          <w:i/>
          <w:lang w:val="en-AU"/>
        </w:rPr>
        <w:t>Victorian Default Offer</w:t>
      </w:r>
      <w:r>
        <w:rPr>
          <w:lang w:val="en-AU"/>
        </w:rPr>
        <w:t>, website, viewed at, &lt;</w:t>
      </w:r>
      <w:r w:rsidRPr="00276E8A">
        <w:rPr>
          <w:lang w:val="en-AU"/>
        </w:rPr>
        <w:t>https://www.esc.vic.gov.au/electricity-and-gas/prices-tariffs-and-benchmarks/victorian-default-offer</w:t>
      </w:r>
      <w:r>
        <w:rPr>
          <w:lang w:val="en-AU"/>
        </w:rPr>
        <w:t xml:space="preserve">&gt;. </w:t>
      </w:r>
    </w:p>
  </w:footnote>
  <w:footnote w:id="9">
    <w:p w14:paraId="3DB6BE8A" w14:textId="2304D9A7" w:rsidR="0086348F" w:rsidRDefault="0086348F" w:rsidP="0042637A">
      <w:pPr>
        <w:pStyle w:val="FootnoteText"/>
      </w:pPr>
      <w:r w:rsidRPr="001D1252">
        <w:footnoteRef/>
      </w:r>
      <w:r w:rsidRPr="001D1252">
        <w:t xml:space="preserve"> </w:t>
      </w:r>
      <w:r w:rsidR="001D1252">
        <w:tab/>
      </w:r>
      <w:r w:rsidRPr="001D1252">
        <w:t>I</w:t>
      </w:r>
      <w:r>
        <w:t>CRC 2020, op. cit., p74.</w:t>
      </w:r>
    </w:p>
  </w:footnote>
  <w:footnote w:id="10">
    <w:p w14:paraId="6F19BF8E" w14:textId="65547603" w:rsidR="00800F07" w:rsidRPr="00800F07" w:rsidRDefault="00800F07" w:rsidP="0042637A">
      <w:pPr>
        <w:pStyle w:val="FootnoteText"/>
        <w:rPr>
          <w:lang w:val="en-AU"/>
        </w:rPr>
      </w:pPr>
      <w:r w:rsidRPr="001D1252">
        <w:footnoteRef/>
      </w:r>
      <w:r w:rsidRPr="001D1252">
        <w:t xml:space="preserve"> </w:t>
      </w:r>
      <w:r w:rsidR="001D1252">
        <w:tab/>
      </w:r>
      <w:r w:rsidRPr="001D1252">
        <w:t>ES</w:t>
      </w:r>
      <w:r>
        <w:rPr>
          <w:lang w:val="en-AU"/>
        </w:rPr>
        <w:t xml:space="preserve">C, </w:t>
      </w:r>
      <w:r w:rsidRPr="00245EA5">
        <w:rPr>
          <w:i/>
          <w:lang w:val="en-AU"/>
        </w:rPr>
        <w:t>Building trust through new customer entitlements in the retail energy market – Final decision</w:t>
      </w:r>
      <w:r>
        <w:rPr>
          <w:lang w:val="en-AU"/>
        </w:rPr>
        <w:t>, ESC, Melbourne, 2018, viewed at, &lt;</w:t>
      </w:r>
      <w:r w:rsidRPr="00245EA5">
        <w:rPr>
          <w:lang w:val="en-AU"/>
        </w:rPr>
        <w:t>https://www.esc.vic.gov.au/electricity-and-gas/inquiries-studies-and-reviews/electricity-and-gas-retail-markets-review-implementation-2018/new-standards-energy-bills-and-marketing-2018#tabs-container2</w:t>
      </w:r>
      <w:r>
        <w:rPr>
          <w:lang w:val="en-AU"/>
        </w:rPr>
        <w:t xml:space="preserve">&gt;. </w:t>
      </w:r>
    </w:p>
  </w:footnote>
  <w:footnote w:id="11">
    <w:p w14:paraId="0C9C311F" w14:textId="3EAAD435" w:rsidR="00BE6476" w:rsidRPr="00BE6476" w:rsidRDefault="00BE6476" w:rsidP="0042637A">
      <w:pPr>
        <w:pStyle w:val="FootnoteText"/>
        <w:rPr>
          <w:lang w:val="en-AU"/>
        </w:rPr>
      </w:pPr>
      <w:r w:rsidRPr="001D1252">
        <w:footnoteRef/>
      </w:r>
      <w:r w:rsidRPr="001D1252">
        <w:t xml:space="preserve"> </w:t>
      </w:r>
      <w:r w:rsidR="001D1252">
        <w:tab/>
      </w:r>
      <w:r>
        <w:rPr>
          <w:lang w:val="en-AU"/>
        </w:rPr>
        <w:t>ibid.</w:t>
      </w:r>
    </w:p>
  </w:footnote>
  <w:footnote w:id="12">
    <w:p w14:paraId="7F46E7A7" w14:textId="3A9BBE4F" w:rsidR="00265EA3" w:rsidRPr="00265EA3" w:rsidRDefault="00265EA3" w:rsidP="0042637A">
      <w:pPr>
        <w:pStyle w:val="FootnoteText"/>
        <w:rPr>
          <w:lang w:val="en-AU"/>
        </w:rPr>
      </w:pPr>
      <w:r w:rsidRPr="001D1252">
        <w:footnoteRef/>
      </w:r>
      <w:r w:rsidRPr="001D1252">
        <w:t xml:space="preserve"> </w:t>
      </w:r>
      <w:r w:rsidR="001D1252">
        <w:tab/>
      </w:r>
      <w:r w:rsidRPr="001D1252">
        <w:t>ib</w:t>
      </w:r>
      <w:r>
        <w:rPr>
          <w:lang w:val="en-AU"/>
        </w:rPr>
        <w:t>id, p. 2.</w:t>
      </w:r>
    </w:p>
  </w:footnote>
  <w:footnote w:id="13">
    <w:p w14:paraId="008751C5" w14:textId="03E0BA5D" w:rsidR="0023755B" w:rsidRPr="0023755B" w:rsidRDefault="0023755B" w:rsidP="0042637A">
      <w:pPr>
        <w:pStyle w:val="FootnoteText"/>
        <w:rPr>
          <w:lang w:val="en-AU"/>
        </w:rPr>
      </w:pPr>
      <w:r w:rsidRPr="001D1252">
        <w:footnoteRef/>
      </w:r>
      <w:r w:rsidRPr="001D1252">
        <w:t xml:space="preserve"> </w:t>
      </w:r>
      <w:r w:rsidR="001D1252">
        <w:tab/>
      </w:r>
      <w:r w:rsidRPr="00C27E49">
        <w:rPr>
          <w:i/>
        </w:rPr>
        <w:t>The Energy Charter</w:t>
      </w:r>
      <w:r>
        <w:t>, First Edition, January 2019, viewed at, &lt;</w:t>
      </w:r>
      <w:r w:rsidRPr="0023755B">
        <w:t>https://www.theenergycharter.com.au/wp-content/uploads/2019/04/TheCharter_20190328.pdf</w:t>
      </w:r>
      <w:r>
        <w:t>&gt;.</w:t>
      </w:r>
    </w:p>
  </w:footnote>
  <w:footnote w:id="14">
    <w:p w14:paraId="213E18BD" w14:textId="5F5A3735" w:rsidR="00CF609B" w:rsidRPr="00CF609B" w:rsidRDefault="00CF609B" w:rsidP="0042637A">
      <w:pPr>
        <w:pStyle w:val="FootnoteText"/>
        <w:rPr>
          <w:lang w:val="en-AU"/>
        </w:rPr>
      </w:pPr>
      <w:r w:rsidRPr="001D1252">
        <w:footnoteRef/>
      </w:r>
      <w:r w:rsidRPr="001D1252">
        <w:t xml:space="preserve"> </w:t>
      </w:r>
      <w:r w:rsidR="001D1252">
        <w:tab/>
      </w:r>
      <w:r w:rsidR="00C27E49">
        <w:t>ESC, 2018, o</w:t>
      </w:r>
      <w:r w:rsidR="0023755B">
        <w:rPr>
          <w:lang w:val="en-AU"/>
        </w:rPr>
        <w:t>p. cit.</w:t>
      </w:r>
      <w:r>
        <w:rPr>
          <w:lang w:val="en-AU"/>
        </w:rPr>
        <w:t>, p.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0A4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EF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40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E2C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14F6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8AF3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45C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841E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2D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D4F6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61442"/>
    <w:multiLevelType w:val="hybridMultilevel"/>
    <w:tmpl w:val="B060D146"/>
    <w:lvl w:ilvl="0" w:tplc="18828C1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434520"/>
    <w:multiLevelType w:val="hybridMultilevel"/>
    <w:tmpl w:val="D9809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61341"/>
    <w:multiLevelType w:val="hybridMultilevel"/>
    <w:tmpl w:val="B130F8F8"/>
    <w:lvl w:ilvl="0" w:tplc="79285622">
      <w:start w:val="1"/>
      <w:numFmt w:val="bullet"/>
      <w:pStyle w:val="ListParagraph"/>
      <w:lvlText w:val=""/>
      <w:lvlJc w:val="left"/>
      <w:pPr>
        <w:ind w:left="360" w:hanging="360"/>
      </w:pPr>
      <w:rPr>
        <w:rFonts w:ascii="Symbol" w:hAnsi="Symbol" w:hint="default"/>
        <w:color w:val="C45911" w:themeColor="accen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544A5B"/>
    <w:multiLevelType w:val="hybridMultilevel"/>
    <w:tmpl w:val="93F48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7D4BA3"/>
    <w:multiLevelType w:val="hybridMultilevel"/>
    <w:tmpl w:val="790889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253777"/>
    <w:multiLevelType w:val="hybridMultilevel"/>
    <w:tmpl w:val="C8B2019A"/>
    <w:lvl w:ilvl="0" w:tplc="41A6E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D4476"/>
    <w:multiLevelType w:val="hybridMultilevel"/>
    <w:tmpl w:val="99863C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F1974"/>
    <w:multiLevelType w:val="hybridMultilevel"/>
    <w:tmpl w:val="941429EA"/>
    <w:lvl w:ilvl="0" w:tplc="674E73AC">
      <w:start w:val="1"/>
      <w:numFmt w:val="decimal"/>
      <w:pStyle w:val="ListLett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1"/>
  </w:num>
  <w:num w:numId="3">
    <w:abstractNumId w:val="10"/>
  </w:num>
  <w:num w:numId="4">
    <w:abstractNumId w:val="16"/>
  </w:num>
  <w:num w:numId="5">
    <w:abstractNumId w:val="17"/>
  </w:num>
  <w:num w:numId="6">
    <w:abstractNumId w:val="14"/>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70"/>
    <w:rsid w:val="00003776"/>
    <w:rsid w:val="00003BD0"/>
    <w:rsid w:val="0001435F"/>
    <w:rsid w:val="000157C1"/>
    <w:rsid w:val="00017F4D"/>
    <w:rsid w:val="00022329"/>
    <w:rsid w:val="00026E88"/>
    <w:rsid w:val="00031C8D"/>
    <w:rsid w:val="00037EF0"/>
    <w:rsid w:val="00037EF5"/>
    <w:rsid w:val="00040C42"/>
    <w:rsid w:val="00041D62"/>
    <w:rsid w:val="000432C8"/>
    <w:rsid w:val="00044900"/>
    <w:rsid w:val="00044EDE"/>
    <w:rsid w:val="00050CC4"/>
    <w:rsid w:val="00051014"/>
    <w:rsid w:val="000519EB"/>
    <w:rsid w:val="00053876"/>
    <w:rsid w:val="00053D3F"/>
    <w:rsid w:val="000556C5"/>
    <w:rsid w:val="00056600"/>
    <w:rsid w:val="000606A4"/>
    <w:rsid w:val="0006285F"/>
    <w:rsid w:val="00063F25"/>
    <w:rsid w:val="00064329"/>
    <w:rsid w:val="00070F94"/>
    <w:rsid w:val="00074659"/>
    <w:rsid w:val="00074EB6"/>
    <w:rsid w:val="0007587A"/>
    <w:rsid w:val="00075FE0"/>
    <w:rsid w:val="0008017B"/>
    <w:rsid w:val="0008086A"/>
    <w:rsid w:val="000815A0"/>
    <w:rsid w:val="00081656"/>
    <w:rsid w:val="000870C5"/>
    <w:rsid w:val="000917A6"/>
    <w:rsid w:val="00095E11"/>
    <w:rsid w:val="000A244C"/>
    <w:rsid w:val="000A25E1"/>
    <w:rsid w:val="000B2132"/>
    <w:rsid w:val="000B242C"/>
    <w:rsid w:val="000B33A0"/>
    <w:rsid w:val="000B4A0A"/>
    <w:rsid w:val="000C061E"/>
    <w:rsid w:val="000C4C83"/>
    <w:rsid w:val="000D195C"/>
    <w:rsid w:val="000D4C9A"/>
    <w:rsid w:val="000D7192"/>
    <w:rsid w:val="000E1E83"/>
    <w:rsid w:val="000E3531"/>
    <w:rsid w:val="000E483F"/>
    <w:rsid w:val="000E49D7"/>
    <w:rsid w:val="000E75A7"/>
    <w:rsid w:val="000F2FEC"/>
    <w:rsid w:val="000F3DF4"/>
    <w:rsid w:val="00101C0F"/>
    <w:rsid w:val="00102654"/>
    <w:rsid w:val="00102995"/>
    <w:rsid w:val="00104FF4"/>
    <w:rsid w:val="00105950"/>
    <w:rsid w:val="00107F56"/>
    <w:rsid w:val="00111C8F"/>
    <w:rsid w:val="0011203C"/>
    <w:rsid w:val="0011546B"/>
    <w:rsid w:val="00116B5F"/>
    <w:rsid w:val="00117006"/>
    <w:rsid w:val="00137909"/>
    <w:rsid w:val="00143A70"/>
    <w:rsid w:val="00144317"/>
    <w:rsid w:val="001457EA"/>
    <w:rsid w:val="001474CC"/>
    <w:rsid w:val="0015292B"/>
    <w:rsid w:val="0015587C"/>
    <w:rsid w:val="0016019A"/>
    <w:rsid w:val="00162A6C"/>
    <w:rsid w:val="0016310F"/>
    <w:rsid w:val="0016583B"/>
    <w:rsid w:val="0016636C"/>
    <w:rsid w:val="001721F7"/>
    <w:rsid w:val="00173836"/>
    <w:rsid w:val="00173AC2"/>
    <w:rsid w:val="00174510"/>
    <w:rsid w:val="00180727"/>
    <w:rsid w:val="001867EF"/>
    <w:rsid w:val="00195063"/>
    <w:rsid w:val="00197291"/>
    <w:rsid w:val="00197635"/>
    <w:rsid w:val="001A0455"/>
    <w:rsid w:val="001A062F"/>
    <w:rsid w:val="001A13B8"/>
    <w:rsid w:val="001A20A6"/>
    <w:rsid w:val="001A6B80"/>
    <w:rsid w:val="001C270D"/>
    <w:rsid w:val="001D1252"/>
    <w:rsid w:val="001D208F"/>
    <w:rsid w:val="001D5C15"/>
    <w:rsid w:val="001D7152"/>
    <w:rsid w:val="001E72C6"/>
    <w:rsid w:val="001F1D9C"/>
    <w:rsid w:val="001F202D"/>
    <w:rsid w:val="001F3EF9"/>
    <w:rsid w:val="001F72BC"/>
    <w:rsid w:val="00202009"/>
    <w:rsid w:val="0021158C"/>
    <w:rsid w:val="00211B41"/>
    <w:rsid w:val="002122A0"/>
    <w:rsid w:val="0021546C"/>
    <w:rsid w:val="0023280E"/>
    <w:rsid w:val="00232E0C"/>
    <w:rsid w:val="00235871"/>
    <w:rsid w:val="0023755B"/>
    <w:rsid w:val="00240FE8"/>
    <w:rsid w:val="0024594A"/>
    <w:rsid w:val="00245EA5"/>
    <w:rsid w:val="00246D73"/>
    <w:rsid w:val="00253644"/>
    <w:rsid w:val="00253C8F"/>
    <w:rsid w:val="00253F19"/>
    <w:rsid w:val="00256D55"/>
    <w:rsid w:val="00265EA3"/>
    <w:rsid w:val="00274585"/>
    <w:rsid w:val="0027666A"/>
    <w:rsid w:val="00276940"/>
    <w:rsid w:val="00276E8A"/>
    <w:rsid w:val="00282504"/>
    <w:rsid w:val="00282731"/>
    <w:rsid w:val="0028674F"/>
    <w:rsid w:val="00290A35"/>
    <w:rsid w:val="0029157A"/>
    <w:rsid w:val="00291F67"/>
    <w:rsid w:val="00294015"/>
    <w:rsid w:val="00296E2B"/>
    <w:rsid w:val="002A3340"/>
    <w:rsid w:val="002A66C8"/>
    <w:rsid w:val="002B062C"/>
    <w:rsid w:val="002B1E0D"/>
    <w:rsid w:val="002B3980"/>
    <w:rsid w:val="002B6FED"/>
    <w:rsid w:val="002D0706"/>
    <w:rsid w:val="002F127B"/>
    <w:rsid w:val="002F206E"/>
    <w:rsid w:val="002F3088"/>
    <w:rsid w:val="002F634F"/>
    <w:rsid w:val="003007A8"/>
    <w:rsid w:val="00303F40"/>
    <w:rsid w:val="003105E1"/>
    <w:rsid w:val="00314482"/>
    <w:rsid w:val="00314A94"/>
    <w:rsid w:val="0031706B"/>
    <w:rsid w:val="00331A3A"/>
    <w:rsid w:val="00331CAB"/>
    <w:rsid w:val="00350E06"/>
    <w:rsid w:val="00360A0C"/>
    <w:rsid w:val="00365468"/>
    <w:rsid w:val="0036587E"/>
    <w:rsid w:val="003661CE"/>
    <w:rsid w:val="0036646D"/>
    <w:rsid w:val="00367035"/>
    <w:rsid w:val="00367814"/>
    <w:rsid w:val="00371E8E"/>
    <w:rsid w:val="00376F61"/>
    <w:rsid w:val="00380797"/>
    <w:rsid w:val="00380F3B"/>
    <w:rsid w:val="00382E81"/>
    <w:rsid w:val="00390870"/>
    <w:rsid w:val="0039181A"/>
    <w:rsid w:val="003924FA"/>
    <w:rsid w:val="00396B7F"/>
    <w:rsid w:val="00396BB3"/>
    <w:rsid w:val="00397EC0"/>
    <w:rsid w:val="003A36CE"/>
    <w:rsid w:val="003A63C7"/>
    <w:rsid w:val="003B0C4E"/>
    <w:rsid w:val="003B3459"/>
    <w:rsid w:val="003B5FEB"/>
    <w:rsid w:val="003C50F5"/>
    <w:rsid w:val="003C5D23"/>
    <w:rsid w:val="003D0407"/>
    <w:rsid w:val="003D1127"/>
    <w:rsid w:val="003D4263"/>
    <w:rsid w:val="003F2150"/>
    <w:rsid w:val="003F4650"/>
    <w:rsid w:val="003F57C6"/>
    <w:rsid w:val="003F6AC5"/>
    <w:rsid w:val="0041206A"/>
    <w:rsid w:val="004133B0"/>
    <w:rsid w:val="00416C69"/>
    <w:rsid w:val="004217E2"/>
    <w:rsid w:val="0042637A"/>
    <w:rsid w:val="004306DF"/>
    <w:rsid w:val="004312E1"/>
    <w:rsid w:val="00433A6A"/>
    <w:rsid w:val="00435928"/>
    <w:rsid w:val="00440D23"/>
    <w:rsid w:val="004524D7"/>
    <w:rsid w:val="004551DA"/>
    <w:rsid w:val="00455661"/>
    <w:rsid w:val="00455E05"/>
    <w:rsid w:val="00456147"/>
    <w:rsid w:val="004625E9"/>
    <w:rsid w:val="00463C6F"/>
    <w:rsid w:val="00467A50"/>
    <w:rsid w:val="00470300"/>
    <w:rsid w:val="004715E1"/>
    <w:rsid w:val="0047246B"/>
    <w:rsid w:val="0047305E"/>
    <w:rsid w:val="004736F3"/>
    <w:rsid w:val="004744D8"/>
    <w:rsid w:val="0047652E"/>
    <w:rsid w:val="00480309"/>
    <w:rsid w:val="004816D2"/>
    <w:rsid w:val="00483620"/>
    <w:rsid w:val="0048441F"/>
    <w:rsid w:val="004863FB"/>
    <w:rsid w:val="00486A3F"/>
    <w:rsid w:val="00492216"/>
    <w:rsid w:val="00495329"/>
    <w:rsid w:val="004A5D03"/>
    <w:rsid w:val="004B0077"/>
    <w:rsid w:val="004B3EB3"/>
    <w:rsid w:val="004B77E1"/>
    <w:rsid w:val="004C2721"/>
    <w:rsid w:val="004D07ED"/>
    <w:rsid w:val="004D19FF"/>
    <w:rsid w:val="004E2700"/>
    <w:rsid w:val="004E529C"/>
    <w:rsid w:val="004F1B0E"/>
    <w:rsid w:val="004F638C"/>
    <w:rsid w:val="0050175D"/>
    <w:rsid w:val="005033F2"/>
    <w:rsid w:val="005040E5"/>
    <w:rsid w:val="00510B44"/>
    <w:rsid w:val="005155B3"/>
    <w:rsid w:val="00523844"/>
    <w:rsid w:val="00525CBA"/>
    <w:rsid w:val="00526427"/>
    <w:rsid w:val="00533BCD"/>
    <w:rsid w:val="00540E1B"/>
    <w:rsid w:val="0054437F"/>
    <w:rsid w:val="0054452C"/>
    <w:rsid w:val="00545A51"/>
    <w:rsid w:val="00547110"/>
    <w:rsid w:val="00555982"/>
    <w:rsid w:val="00561484"/>
    <w:rsid w:val="005654FF"/>
    <w:rsid w:val="005669B6"/>
    <w:rsid w:val="005677A5"/>
    <w:rsid w:val="00580B21"/>
    <w:rsid w:val="00581EC2"/>
    <w:rsid w:val="00585D8D"/>
    <w:rsid w:val="00590F45"/>
    <w:rsid w:val="005A05C5"/>
    <w:rsid w:val="005A37F5"/>
    <w:rsid w:val="005A42CC"/>
    <w:rsid w:val="005B2D5C"/>
    <w:rsid w:val="005B4E47"/>
    <w:rsid w:val="005C09A5"/>
    <w:rsid w:val="005D6854"/>
    <w:rsid w:val="005E00A8"/>
    <w:rsid w:val="005E2456"/>
    <w:rsid w:val="005E3578"/>
    <w:rsid w:val="005E4ECF"/>
    <w:rsid w:val="005E4FB4"/>
    <w:rsid w:val="005E5DAF"/>
    <w:rsid w:val="005E77DF"/>
    <w:rsid w:val="005F48E3"/>
    <w:rsid w:val="005F53E5"/>
    <w:rsid w:val="0060142C"/>
    <w:rsid w:val="00602A9F"/>
    <w:rsid w:val="006033E9"/>
    <w:rsid w:val="0061149C"/>
    <w:rsid w:val="00613CB0"/>
    <w:rsid w:val="006155A2"/>
    <w:rsid w:val="00617309"/>
    <w:rsid w:val="00623329"/>
    <w:rsid w:val="00623C0F"/>
    <w:rsid w:val="00624184"/>
    <w:rsid w:val="00625134"/>
    <w:rsid w:val="00636072"/>
    <w:rsid w:val="00643650"/>
    <w:rsid w:val="0064777D"/>
    <w:rsid w:val="006529D2"/>
    <w:rsid w:val="0065363B"/>
    <w:rsid w:val="00654EBA"/>
    <w:rsid w:val="0065545A"/>
    <w:rsid w:val="00663131"/>
    <w:rsid w:val="00671DB9"/>
    <w:rsid w:val="00673E15"/>
    <w:rsid w:val="00687512"/>
    <w:rsid w:val="006922B9"/>
    <w:rsid w:val="00692B7D"/>
    <w:rsid w:val="006958AB"/>
    <w:rsid w:val="006971F6"/>
    <w:rsid w:val="006A4323"/>
    <w:rsid w:val="006A52A2"/>
    <w:rsid w:val="006A787B"/>
    <w:rsid w:val="006B0D1A"/>
    <w:rsid w:val="006B1A91"/>
    <w:rsid w:val="006B261C"/>
    <w:rsid w:val="006B4D2A"/>
    <w:rsid w:val="006B5F36"/>
    <w:rsid w:val="006B6A90"/>
    <w:rsid w:val="006C35C5"/>
    <w:rsid w:val="006D386D"/>
    <w:rsid w:val="006D5053"/>
    <w:rsid w:val="006D7F2D"/>
    <w:rsid w:val="006E147B"/>
    <w:rsid w:val="006E6F6E"/>
    <w:rsid w:val="006E7CC6"/>
    <w:rsid w:val="006F721B"/>
    <w:rsid w:val="00707B22"/>
    <w:rsid w:val="0071238B"/>
    <w:rsid w:val="00716C28"/>
    <w:rsid w:val="00724076"/>
    <w:rsid w:val="007277F1"/>
    <w:rsid w:val="00727A2D"/>
    <w:rsid w:val="00733B01"/>
    <w:rsid w:val="00735091"/>
    <w:rsid w:val="00735C95"/>
    <w:rsid w:val="00736537"/>
    <w:rsid w:val="00741CC6"/>
    <w:rsid w:val="00741F31"/>
    <w:rsid w:val="00743150"/>
    <w:rsid w:val="00747A18"/>
    <w:rsid w:val="007518D4"/>
    <w:rsid w:val="00754425"/>
    <w:rsid w:val="007677E3"/>
    <w:rsid w:val="00771716"/>
    <w:rsid w:val="0077380F"/>
    <w:rsid w:val="007757C0"/>
    <w:rsid w:val="00775AC4"/>
    <w:rsid w:val="00776955"/>
    <w:rsid w:val="00784E6F"/>
    <w:rsid w:val="00794222"/>
    <w:rsid w:val="00794593"/>
    <w:rsid w:val="007A128C"/>
    <w:rsid w:val="007A516B"/>
    <w:rsid w:val="007B0B75"/>
    <w:rsid w:val="007C1866"/>
    <w:rsid w:val="007C5845"/>
    <w:rsid w:val="007C7829"/>
    <w:rsid w:val="007C78AB"/>
    <w:rsid w:val="007C7DBB"/>
    <w:rsid w:val="007D4143"/>
    <w:rsid w:val="007D7B8D"/>
    <w:rsid w:val="007E2C56"/>
    <w:rsid w:val="007E3377"/>
    <w:rsid w:val="007F6F66"/>
    <w:rsid w:val="00800F07"/>
    <w:rsid w:val="008033D7"/>
    <w:rsid w:val="008050BB"/>
    <w:rsid w:val="00811280"/>
    <w:rsid w:val="00816137"/>
    <w:rsid w:val="00826BAC"/>
    <w:rsid w:val="00826F16"/>
    <w:rsid w:val="00831B96"/>
    <w:rsid w:val="0083596B"/>
    <w:rsid w:val="008431DB"/>
    <w:rsid w:val="00846267"/>
    <w:rsid w:val="00847039"/>
    <w:rsid w:val="00850A3B"/>
    <w:rsid w:val="00853F10"/>
    <w:rsid w:val="0085420E"/>
    <w:rsid w:val="00855DF9"/>
    <w:rsid w:val="0086348F"/>
    <w:rsid w:val="00870D98"/>
    <w:rsid w:val="00873ACB"/>
    <w:rsid w:val="00896A87"/>
    <w:rsid w:val="008A0343"/>
    <w:rsid w:val="008B0A1A"/>
    <w:rsid w:val="008B3E7A"/>
    <w:rsid w:val="008B4A9D"/>
    <w:rsid w:val="008C3398"/>
    <w:rsid w:val="008C6BA1"/>
    <w:rsid w:val="008D7483"/>
    <w:rsid w:val="008E19F9"/>
    <w:rsid w:val="008E1CD1"/>
    <w:rsid w:val="008E2001"/>
    <w:rsid w:val="008F3D0C"/>
    <w:rsid w:val="008F6AAB"/>
    <w:rsid w:val="00900411"/>
    <w:rsid w:val="00900637"/>
    <w:rsid w:val="0090073E"/>
    <w:rsid w:val="009124F3"/>
    <w:rsid w:val="00915B83"/>
    <w:rsid w:val="00920D38"/>
    <w:rsid w:val="009219A1"/>
    <w:rsid w:val="00921DC5"/>
    <w:rsid w:val="00927943"/>
    <w:rsid w:val="00927E80"/>
    <w:rsid w:val="00931617"/>
    <w:rsid w:val="00931B49"/>
    <w:rsid w:val="00932A5C"/>
    <w:rsid w:val="0094254A"/>
    <w:rsid w:val="0094284B"/>
    <w:rsid w:val="00950E9F"/>
    <w:rsid w:val="00955C09"/>
    <w:rsid w:val="00955ECA"/>
    <w:rsid w:val="00957FC0"/>
    <w:rsid w:val="0096085C"/>
    <w:rsid w:val="00960FBE"/>
    <w:rsid w:val="00961D19"/>
    <w:rsid w:val="0096211B"/>
    <w:rsid w:val="0096259F"/>
    <w:rsid w:val="00963C37"/>
    <w:rsid w:val="00963E17"/>
    <w:rsid w:val="00971951"/>
    <w:rsid w:val="00972DDF"/>
    <w:rsid w:val="0097415D"/>
    <w:rsid w:val="00977E2D"/>
    <w:rsid w:val="0098009C"/>
    <w:rsid w:val="009807B7"/>
    <w:rsid w:val="00990F4A"/>
    <w:rsid w:val="00994B2E"/>
    <w:rsid w:val="0099769B"/>
    <w:rsid w:val="009A0224"/>
    <w:rsid w:val="009A2CED"/>
    <w:rsid w:val="009A44F0"/>
    <w:rsid w:val="009A47A9"/>
    <w:rsid w:val="009B4C1F"/>
    <w:rsid w:val="009B6B78"/>
    <w:rsid w:val="009B7777"/>
    <w:rsid w:val="009C72A6"/>
    <w:rsid w:val="009D2470"/>
    <w:rsid w:val="009E2352"/>
    <w:rsid w:val="009E6DEC"/>
    <w:rsid w:val="009F0D42"/>
    <w:rsid w:val="009F2A57"/>
    <w:rsid w:val="009F639B"/>
    <w:rsid w:val="009F65E8"/>
    <w:rsid w:val="00A00979"/>
    <w:rsid w:val="00A07689"/>
    <w:rsid w:val="00A07F42"/>
    <w:rsid w:val="00A14800"/>
    <w:rsid w:val="00A17893"/>
    <w:rsid w:val="00A23177"/>
    <w:rsid w:val="00A23555"/>
    <w:rsid w:val="00A25229"/>
    <w:rsid w:val="00A37136"/>
    <w:rsid w:val="00A40A6A"/>
    <w:rsid w:val="00A41AFC"/>
    <w:rsid w:val="00A43A87"/>
    <w:rsid w:val="00A4747E"/>
    <w:rsid w:val="00A52460"/>
    <w:rsid w:val="00A5282D"/>
    <w:rsid w:val="00A604DC"/>
    <w:rsid w:val="00A61709"/>
    <w:rsid w:val="00A6799E"/>
    <w:rsid w:val="00A70103"/>
    <w:rsid w:val="00A722F2"/>
    <w:rsid w:val="00A75AD5"/>
    <w:rsid w:val="00A77ED2"/>
    <w:rsid w:val="00A8222D"/>
    <w:rsid w:val="00A84B4B"/>
    <w:rsid w:val="00A91515"/>
    <w:rsid w:val="00A92E42"/>
    <w:rsid w:val="00A94771"/>
    <w:rsid w:val="00A949B5"/>
    <w:rsid w:val="00AA17AF"/>
    <w:rsid w:val="00AA369B"/>
    <w:rsid w:val="00AA387D"/>
    <w:rsid w:val="00AB0A72"/>
    <w:rsid w:val="00AC031C"/>
    <w:rsid w:val="00AC149F"/>
    <w:rsid w:val="00AC4375"/>
    <w:rsid w:val="00AD311E"/>
    <w:rsid w:val="00AD43FE"/>
    <w:rsid w:val="00AD65FD"/>
    <w:rsid w:val="00AE19C8"/>
    <w:rsid w:val="00AE27E5"/>
    <w:rsid w:val="00AE3892"/>
    <w:rsid w:val="00AE3D40"/>
    <w:rsid w:val="00AE4A40"/>
    <w:rsid w:val="00AF70C3"/>
    <w:rsid w:val="00B02EE1"/>
    <w:rsid w:val="00B03174"/>
    <w:rsid w:val="00B10AFE"/>
    <w:rsid w:val="00B11838"/>
    <w:rsid w:val="00B16071"/>
    <w:rsid w:val="00B225A7"/>
    <w:rsid w:val="00B2312E"/>
    <w:rsid w:val="00B304F3"/>
    <w:rsid w:val="00B345AC"/>
    <w:rsid w:val="00B409EA"/>
    <w:rsid w:val="00B413B0"/>
    <w:rsid w:val="00B51B8E"/>
    <w:rsid w:val="00B52E48"/>
    <w:rsid w:val="00B5790C"/>
    <w:rsid w:val="00B61D26"/>
    <w:rsid w:val="00B65BF8"/>
    <w:rsid w:val="00B72E4E"/>
    <w:rsid w:val="00B73EE6"/>
    <w:rsid w:val="00B77D31"/>
    <w:rsid w:val="00B80361"/>
    <w:rsid w:val="00B81546"/>
    <w:rsid w:val="00B9275A"/>
    <w:rsid w:val="00B96909"/>
    <w:rsid w:val="00B97595"/>
    <w:rsid w:val="00B97B7B"/>
    <w:rsid w:val="00BA1849"/>
    <w:rsid w:val="00BA5A47"/>
    <w:rsid w:val="00BB017A"/>
    <w:rsid w:val="00BB0956"/>
    <w:rsid w:val="00BB0E89"/>
    <w:rsid w:val="00BB77BF"/>
    <w:rsid w:val="00BC3ADB"/>
    <w:rsid w:val="00BC708D"/>
    <w:rsid w:val="00BD4599"/>
    <w:rsid w:val="00BD52DE"/>
    <w:rsid w:val="00BE3A3B"/>
    <w:rsid w:val="00BE513F"/>
    <w:rsid w:val="00BE572E"/>
    <w:rsid w:val="00BE6476"/>
    <w:rsid w:val="00BF06FC"/>
    <w:rsid w:val="00BF0D88"/>
    <w:rsid w:val="00BF2118"/>
    <w:rsid w:val="00BF2E70"/>
    <w:rsid w:val="00C033DA"/>
    <w:rsid w:val="00C062C0"/>
    <w:rsid w:val="00C11C52"/>
    <w:rsid w:val="00C13E81"/>
    <w:rsid w:val="00C16226"/>
    <w:rsid w:val="00C17C73"/>
    <w:rsid w:val="00C23A3C"/>
    <w:rsid w:val="00C247BC"/>
    <w:rsid w:val="00C273AF"/>
    <w:rsid w:val="00C27E49"/>
    <w:rsid w:val="00C31685"/>
    <w:rsid w:val="00C35923"/>
    <w:rsid w:val="00C43603"/>
    <w:rsid w:val="00C446BF"/>
    <w:rsid w:val="00C44F21"/>
    <w:rsid w:val="00C47A1B"/>
    <w:rsid w:val="00C47EB1"/>
    <w:rsid w:val="00C54EB3"/>
    <w:rsid w:val="00C60186"/>
    <w:rsid w:val="00C73599"/>
    <w:rsid w:val="00C735C2"/>
    <w:rsid w:val="00C766E7"/>
    <w:rsid w:val="00C80290"/>
    <w:rsid w:val="00C907D5"/>
    <w:rsid w:val="00C92D8D"/>
    <w:rsid w:val="00C94CA7"/>
    <w:rsid w:val="00CA0D2B"/>
    <w:rsid w:val="00CA1489"/>
    <w:rsid w:val="00CA16C1"/>
    <w:rsid w:val="00CA475A"/>
    <w:rsid w:val="00CA7391"/>
    <w:rsid w:val="00CA7B47"/>
    <w:rsid w:val="00CB0313"/>
    <w:rsid w:val="00CB0C5E"/>
    <w:rsid w:val="00CB2C08"/>
    <w:rsid w:val="00CB4A69"/>
    <w:rsid w:val="00CB5EBD"/>
    <w:rsid w:val="00CB65D2"/>
    <w:rsid w:val="00CC2ADD"/>
    <w:rsid w:val="00CC2CD2"/>
    <w:rsid w:val="00CD32ED"/>
    <w:rsid w:val="00CD5299"/>
    <w:rsid w:val="00CE044D"/>
    <w:rsid w:val="00CE33F2"/>
    <w:rsid w:val="00CE3B09"/>
    <w:rsid w:val="00CE3EC0"/>
    <w:rsid w:val="00CE5F5C"/>
    <w:rsid w:val="00CE5F83"/>
    <w:rsid w:val="00CF1B36"/>
    <w:rsid w:val="00CF4C31"/>
    <w:rsid w:val="00CF588E"/>
    <w:rsid w:val="00CF609B"/>
    <w:rsid w:val="00D02277"/>
    <w:rsid w:val="00D05148"/>
    <w:rsid w:val="00D15E80"/>
    <w:rsid w:val="00D200F5"/>
    <w:rsid w:val="00D205D6"/>
    <w:rsid w:val="00D21D1F"/>
    <w:rsid w:val="00D220FB"/>
    <w:rsid w:val="00D314CC"/>
    <w:rsid w:val="00D32E3B"/>
    <w:rsid w:val="00D34F90"/>
    <w:rsid w:val="00D41316"/>
    <w:rsid w:val="00D416F9"/>
    <w:rsid w:val="00D41792"/>
    <w:rsid w:val="00D42582"/>
    <w:rsid w:val="00D44246"/>
    <w:rsid w:val="00D60ABB"/>
    <w:rsid w:val="00D614DA"/>
    <w:rsid w:val="00D6433B"/>
    <w:rsid w:val="00D667E7"/>
    <w:rsid w:val="00D677C9"/>
    <w:rsid w:val="00D703B5"/>
    <w:rsid w:val="00D71A3D"/>
    <w:rsid w:val="00D7454A"/>
    <w:rsid w:val="00D85AEE"/>
    <w:rsid w:val="00D86E1C"/>
    <w:rsid w:val="00D90812"/>
    <w:rsid w:val="00D912F4"/>
    <w:rsid w:val="00D9336A"/>
    <w:rsid w:val="00D977C3"/>
    <w:rsid w:val="00DA1FB1"/>
    <w:rsid w:val="00DA24D9"/>
    <w:rsid w:val="00DA38BB"/>
    <w:rsid w:val="00DA54DE"/>
    <w:rsid w:val="00DB14AE"/>
    <w:rsid w:val="00DB1C55"/>
    <w:rsid w:val="00DB265A"/>
    <w:rsid w:val="00DB49E4"/>
    <w:rsid w:val="00DC5DEC"/>
    <w:rsid w:val="00DD07EE"/>
    <w:rsid w:val="00DD44F5"/>
    <w:rsid w:val="00DD7036"/>
    <w:rsid w:val="00DE11B0"/>
    <w:rsid w:val="00DE2924"/>
    <w:rsid w:val="00DE2D97"/>
    <w:rsid w:val="00DE5D3F"/>
    <w:rsid w:val="00DF4E44"/>
    <w:rsid w:val="00E06920"/>
    <w:rsid w:val="00E1167E"/>
    <w:rsid w:val="00E13BBA"/>
    <w:rsid w:val="00E149F5"/>
    <w:rsid w:val="00E20D82"/>
    <w:rsid w:val="00E22A9B"/>
    <w:rsid w:val="00E22C37"/>
    <w:rsid w:val="00E24074"/>
    <w:rsid w:val="00E26F08"/>
    <w:rsid w:val="00E36FAD"/>
    <w:rsid w:val="00E42E80"/>
    <w:rsid w:val="00E42EE4"/>
    <w:rsid w:val="00E4649D"/>
    <w:rsid w:val="00E64A9F"/>
    <w:rsid w:val="00E65D7C"/>
    <w:rsid w:val="00E661E3"/>
    <w:rsid w:val="00E66316"/>
    <w:rsid w:val="00E86CED"/>
    <w:rsid w:val="00E86F2A"/>
    <w:rsid w:val="00E96240"/>
    <w:rsid w:val="00E97A2E"/>
    <w:rsid w:val="00E97AD0"/>
    <w:rsid w:val="00EB60DF"/>
    <w:rsid w:val="00EB73D8"/>
    <w:rsid w:val="00EB7C35"/>
    <w:rsid w:val="00EC6221"/>
    <w:rsid w:val="00EC6263"/>
    <w:rsid w:val="00ED0C6D"/>
    <w:rsid w:val="00ED2349"/>
    <w:rsid w:val="00ED2805"/>
    <w:rsid w:val="00ED5B9E"/>
    <w:rsid w:val="00ED7696"/>
    <w:rsid w:val="00EE5CB9"/>
    <w:rsid w:val="00EF0C8B"/>
    <w:rsid w:val="00F02E96"/>
    <w:rsid w:val="00F06480"/>
    <w:rsid w:val="00F11BC1"/>
    <w:rsid w:val="00F1633B"/>
    <w:rsid w:val="00F2028F"/>
    <w:rsid w:val="00F2682F"/>
    <w:rsid w:val="00F300FF"/>
    <w:rsid w:val="00F32218"/>
    <w:rsid w:val="00F3512C"/>
    <w:rsid w:val="00F35C45"/>
    <w:rsid w:val="00F400E8"/>
    <w:rsid w:val="00F47724"/>
    <w:rsid w:val="00F47819"/>
    <w:rsid w:val="00F53770"/>
    <w:rsid w:val="00F600AC"/>
    <w:rsid w:val="00F635A9"/>
    <w:rsid w:val="00F645DF"/>
    <w:rsid w:val="00F653F4"/>
    <w:rsid w:val="00F72B82"/>
    <w:rsid w:val="00F80025"/>
    <w:rsid w:val="00F80A42"/>
    <w:rsid w:val="00F80E22"/>
    <w:rsid w:val="00F91CE8"/>
    <w:rsid w:val="00F95149"/>
    <w:rsid w:val="00F97F16"/>
    <w:rsid w:val="00FA2E84"/>
    <w:rsid w:val="00FA4C60"/>
    <w:rsid w:val="00FA51C9"/>
    <w:rsid w:val="00FB14D9"/>
    <w:rsid w:val="00FB3F89"/>
    <w:rsid w:val="00FB6F7F"/>
    <w:rsid w:val="00FB70A3"/>
    <w:rsid w:val="00FC0A6C"/>
    <w:rsid w:val="00FC152B"/>
    <w:rsid w:val="00FC2AE8"/>
    <w:rsid w:val="00FC4131"/>
    <w:rsid w:val="00FC4FE2"/>
    <w:rsid w:val="00FD2387"/>
    <w:rsid w:val="00FD7400"/>
    <w:rsid w:val="00FE1220"/>
    <w:rsid w:val="00FE1DEF"/>
    <w:rsid w:val="00FE4A34"/>
    <w:rsid w:val="00FE7F21"/>
    <w:rsid w:val="00FF72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C38894"/>
  <w15:docId w15:val="{5F9BC240-B1DF-4330-A684-90EDB002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31"/>
    <w:pPr>
      <w:spacing w:line="276" w:lineRule="auto"/>
    </w:pPr>
    <w:rPr>
      <w:rFonts w:cstheme="minorHAnsi"/>
      <w:bCs/>
      <w:sz w:val="24"/>
      <w:szCs w:val="23"/>
    </w:rPr>
  </w:style>
  <w:style w:type="paragraph" w:styleId="Heading1">
    <w:name w:val="heading 1"/>
    <w:basedOn w:val="Normal"/>
    <w:next w:val="Normal"/>
    <w:link w:val="Heading1Char"/>
    <w:uiPriority w:val="9"/>
    <w:qFormat/>
    <w:rsid w:val="00FC4131"/>
    <w:pPr>
      <w:keepNext/>
      <w:keepLines/>
      <w:spacing w:before="480" w:after="240"/>
      <w:outlineLvl w:val="0"/>
    </w:pPr>
    <w:rPr>
      <w:rFonts w:asciiTheme="majorHAnsi" w:eastAsiaTheme="majorEastAsia" w:hAnsiTheme="majorHAnsi" w:cstheme="majorBidi"/>
      <w:color w:val="C45911" w:themeColor="accent2" w:themeShade="BF"/>
      <w:sz w:val="36"/>
      <w:szCs w:val="32"/>
    </w:rPr>
  </w:style>
  <w:style w:type="paragraph" w:styleId="Heading2">
    <w:name w:val="heading 2"/>
    <w:basedOn w:val="Normal"/>
    <w:next w:val="Normal"/>
    <w:link w:val="Heading2Char"/>
    <w:uiPriority w:val="9"/>
    <w:unhideWhenUsed/>
    <w:qFormat/>
    <w:rsid w:val="00A14800"/>
    <w:pPr>
      <w:keepNext/>
      <w:keepLines/>
      <w:spacing w:before="240" w:after="120"/>
      <w:outlineLvl w:val="1"/>
    </w:pPr>
    <w:rPr>
      <w:rFonts w:asciiTheme="majorHAnsi" w:eastAsiaTheme="majorEastAsia" w:hAnsiTheme="majorHAnsi" w:cstheme="majorBidi"/>
      <w:color w:val="C45911" w:themeColor="accent2" w:themeShade="BF"/>
      <w:sz w:val="28"/>
      <w:szCs w:val="26"/>
    </w:rPr>
  </w:style>
  <w:style w:type="paragraph" w:styleId="Heading3">
    <w:name w:val="heading 3"/>
    <w:basedOn w:val="Normal"/>
    <w:next w:val="Normal"/>
    <w:link w:val="Heading3Char"/>
    <w:uiPriority w:val="9"/>
    <w:unhideWhenUsed/>
    <w:qFormat/>
    <w:rsid w:val="00A14800"/>
    <w:pPr>
      <w:keepNext/>
      <w:keepLines/>
      <w:spacing w:before="40" w:after="60"/>
      <w:outlineLvl w:val="2"/>
    </w:pPr>
    <w:rPr>
      <w:rFonts w:asciiTheme="majorHAnsi" w:eastAsiaTheme="majorEastAsia" w:hAnsiTheme="majorHAnsi" w:cstheme="majorBidi"/>
      <w:color w:val="C45911" w:themeColor="accent2"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7C1"/>
    <w:pPr>
      <w:numPr>
        <w:numId w:val="7"/>
      </w:numPr>
      <w:ind w:left="397" w:hanging="397"/>
      <w:contextualSpacing/>
    </w:pPr>
  </w:style>
  <w:style w:type="paragraph" w:styleId="BalloonText">
    <w:name w:val="Balloon Text"/>
    <w:basedOn w:val="Normal"/>
    <w:link w:val="BalloonTextChar"/>
    <w:uiPriority w:val="99"/>
    <w:semiHidden/>
    <w:unhideWhenUsed/>
    <w:rsid w:val="00960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85C"/>
    <w:rPr>
      <w:rFonts w:ascii="Segoe UI" w:hAnsi="Segoe UI" w:cs="Segoe UI"/>
      <w:sz w:val="18"/>
      <w:szCs w:val="18"/>
    </w:rPr>
  </w:style>
  <w:style w:type="character" w:styleId="Hyperlink">
    <w:name w:val="Hyperlink"/>
    <w:basedOn w:val="DefaultParagraphFont"/>
    <w:uiPriority w:val="99"/>
    <w:unhideWhenUsed/>
    <w:rsid w:val="00A14800"/>
    <w:rPr>
      <w:color w:val="C45911" w:themeColor="accent2" w:themeShade="BF"/>
      <w:u w:val="single"/>
    </w:rPr>
  </w:style>
  <w:style w:type="character" w:customStyle="1" w:styleId="UnresolvedMention1">
    <w:name w:val="Unresolved Mention1"/>
    <w:basedOn w:val="DefaultParagraphFont"/>
    <w:uiPriority w:val="99"/>
    <w:semiHidden/>
    <w:unhideWhenUsed/>
    <w:rsid w:val="00CF1B36"/>
    <w:rPr>
      <w:color w:val="808080"/>
      <w:shd w:val="clear" w:color="auto" w:fill="E6E6E6"/>
    </w:rPr>
  </w:style>
  <w:style w:type="paragraph" w:styleId="Header">
    <w:name w:val="header"/>
    <w:basedOn w:val="Normal"/>
    <w:link w:val="HeaderChar"/>
    <w:uiPriority w:val="99"/>
    <w:unhideWhenUsed/>
    <w:rsid w:val="00E06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920"/>
  </w:style>
  <w:style w:type="paragraph" w:styleId="Footer">
    <w:name w:val="footer"/>
    <w:basedOn w:val="Normal"/>
    <w:link w:val="FooterChar"/>
    <w:uiPriority w:val="99"/>
    <w:unhideWhenUsed/>
    <w:rsid w:val="00654EBA"/>
    <w:pPr>
      <w:tabs>
        <w:tab w:val="center" w:pos="4680"/>
        <w:tab w:val="right" w:pos="9360"/>
      </w:tabs>
      <w:spacing w:after="0" w:line="240" w:lineRule="auto"/>
    </w:pPr>
    <w:rPr>
      <w:color w:val="7F7F7F" w:themeColor="text1" w:themeTint="80"/>
      <w:sz w:val="22"/>
    </w:rPr>
  </w:style>
  <w:style w:type="character" w:customStyle="1" w:styleId="FooterChar">
    <w:name w:val="Footer Char"/>
    <w:basedOn w:val="DefaultParagraphFont"/>
    <w:link w:val="Footer"/>
    <w:uiPriority w:val="99"/>
    <w:rsid w:val="00654EBA"/>
    <w:rPr>
      <w:rFonts w:cstheme="minorHAnsi"/>
      <w:bCs/>
      <w:color w:val="7F7F7F" w:themeColor="text1" w:themeTint="80"/>
      <w:szCs w:val="23"/>
    </w:rPr>
  </w:style>
  <w:style w:type="paragraph" w:styleId="EndnoteText">
    <w:name w:val="endnote text"/>
    <w:basedOn w:val="Normal"/>
    <w:link w:val="EndnoteTextChar"/>
    <w:uiPriority w:val="99"/>
    <w:semiHidden/>
    <w:unhideWhenUsed/>
    <w:rsid w:val="00B52E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2E48"/>
    <w:rPr>
      <w:sz w:val="20"/>
      <w:szCs w:val="20"/>
    </w:rPr>
  </w:style>
  <w:style w:type="character" w:styleId="EndnoteReference">
    <w:name w:val="endnote reference"/>
    <w:basedOn w:val="DefaultParagraphFont"/>
    <w:uiPriority w:val="99"/>
    <w:semiHidden/>
    <w:unhideWhenUsed/>
    <w:rsid w:val="00B52E48"/>
    <w:rPr>
      <w:vertAlign w:val="superscript"/>
    </w:rPr>
  </w:style>
  <w:style w:type="paragraph" w:styleId="FootnoteText">
    <w:name w:val="footnote text"/>
    <w:basedOn w:val="Normal"/>
    <w:link w:val="FootnoteTextChar"/>
    <w:uiPriority w:val="99"/>
    <w:unhideWhenUsed/>
    <w:rsid w:val="001D1252"/>
    <w:pPr>
      <w:tabs>
        <w:tab w:val="left" w:pos="567"/>
      </w:tabs>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rsid w:val="001D1252"/>
    <w:rPr>
      <w:sz w:val="20"/>
      <w:szCs w:val="20"/>
    </w:rPr>
  </w:style>
  <w:style w:type="character" w:styleId="FootnoteReference">
    <w:name w:val="footnote reference"/>
    <w:basedOn w:val="DefaultParagraphFont"/>
    <w:uiPriority w:val="99"/>
    <w:semiHidden/>
    <w:unhideWhenUsed/>
    <w:rsid w:val="00B52E48"/>
    <w:rPr>
      <w:vertAlign w:val="superscript"/>
    </w:rPr>
  </w:style>
  <w:style w:type="character" w:styleId="FollowedHyperlink">
    <w:name w:val="FollowedHyperlink"/>
    <w:basedOn w:val="DefaultParagraphFont"/>
    <w:uiPriority w:val="99"/>
    <w:semiHidden/>
    <w:unhideWhenUsed/>
    <w:rsid w:val="00BC3ADB"/>
    <w:rPr>
      <w:color w:val="954F72" w:themeColor="followedHyperlink"/>
      <w:u w:val="single"/>
    </w:rPr>
  </w:style>
  <w:style w:type="character" w:customStyle="1" w:styleId="UnresolvedMention2">
    <w:name w:val="Unresolved Mention2"/>
    <w:basedOn w:val="DefaultParagraphFont"/>
    <w:uiPriority w:val="99"/>
    <w:semiHidden/>
    <w:unhideWhenUsed/>
    <w:rsid w:val="000519EB"/>
    <w:rPr>
      <w:color w:val="808080"/>
      <w:shd w:val="clear" w:color="auto" w:fill="E6E6E6"/>
    </w:rPr>
  </w:style>
  <w:style w:type="character" w:customStyle="1" w:styleId="UnresolvedMention3">
    <w:name w:val="Unresolved Mention3"/>
    <w:basedOn w:val="DefaultParagraphFont"/>
    <w:uiPriority w:val="99"/>
    <w:semiHidden/>
    <w:unhideWhenUsed/>
    <w:rsid w:val="008B3E7A"/>
    <w:rPr>
      <w:color w:val="605E5C"/>
      <w:shd w:val="clear" w:color="auto" w:fill="E1DFDD"/>
    </w:rPr>
  </w:style>
  <w:style w:type="character" w:customStyle="1" w:styleId="Heading2Char">
    <w:name w:val="Heading 2 Char"/>
    <w:basedOn w:val="DefaultParagraphFont"/>
    <w:link w:val="Heading2"/>
    <w:uiPriority w:val="9"/>
    <w:rsid w:val="00A14800"/>
    <w:rPr>
      <w:rFonts w:asciiTheme="majorHAnsi" w:eastAsiaTheme="majorEastAsia" w:hAnsiTheme="majorHAnsi" w:cstheme="majorBidi"/>
      <w:bCs/>
      <w:color w:val="C45911" w:themeColor="accent2" w:themeShade="BF"/>
      <w:sz w:val="28"/>
      <w:szCs w:val="26"/>
    </w:rPr>
  </w:style>
  <w:style w:type="character" w:customStyle="1" w:styleId="Heading1Char">
    <w:name w:val="Heading 1 Char"/>
    <w:basedOn w:val="DefaultParagraphFont"/>
    <w:link w:val="Heading1"/>
    <w:uiPriority w:val="9"/>
    <w:rsid w:val="00FC4131"/>
    <w:rPr>
      <w:rFonts w:asciiTheme="majorHAnsi" w:eastAsiaTheme="majorEastAsia" w:hAnsiTheme="majorHAnsi" w:cstheme="majorBidi"/>
      <w:bCs/>
      <w:color w:val="C45911" w:themeColor="accent2" w:themeShade="BF"/>
      <w:sz w:val="36"/>
      <w:szCs w:val="32"/>
    </w:rPr>
  </w:style>
  <w:style w:type="character" w:customStyle="1" w:styleId="Heading3Char">
    <w:name w:val="Heading 3 Char"/>
    <w:basedOn w:val="DefaultParagraphFont"/>
    <w:link w:val="Heading3"/>
    <w:uiPriority w:val="9"/>
    <w:rsid w:val="00A14800"/>
    <w:rPr>
      <w:rFonts w:asciiTheme="majorHAnsi" w:eastAsiaTheme="majorEastAsia" w:hAnsiTheme="majorHAnsi" w:cstheme="majorBidi"/>
      <w:bCs/>
      <w:color w:val="C45911" w:themeColor="accent2" w:themeShade="BF"/>
      <w:sz w:val="24"/>
      <w:szCs w:val="24"/>
    </w:rPr>
  </w:style>
  <w:style w:type="paragraph" w:styleId="Quote">
    <w:name w:val="Quote"/>
    <w:basedOn w:val="Normal"/>
    <w:next w:val="Normal"/>
    <w:link w:val="QuoteChar"/>
    <w:uiPriority w:val="29"/>
    <w:qFormat/>
    <w:rsid w:val="002A3340"/>
    <w:pPr>
      <w:spacing w:before="200"/>
      <w:ind w:left="454" w:right="454"/>
    </w:pPr>
    <w:rPr>
      <w:iCs/>
      <w:color w:val="595959" w:themeColor="text1" w:themeTint="A6"/>
      <w:sz w:val="22"/>
    </w:rPr>
  </w:style>
  <w:style w:type="character" w:customStyle="1" w:styleId="QuoteChar">
    <w:name w:val="Quote Char"/>
    <w:basedOn w:val="DefaultParagraphFont"/>
    <w:link w:val="Quote"/>
    <w:uiPriority w:val="29"/>
    <w:rsid w:val="002A3340"/>
    <w:rPr>
      <w:rFonts w:cstheme="minorHAnsi"/>
      <w:bCs/>
      <w:iCs/>
      <w:color w:val="595959" w:themeColor="text1" w:themeTint="A6"/>
      <w:szCs w:val="23"/>
    </w:rPr>
  </w:style>
  <w:style w:type="table" w:styleId="TableGrid">
    <w:name w:val="Table Grid"/>
    <w:basedOn w:val="TableNormal"/>
    <w:uiPriority w:val="39"/>
    <w:rsid w:val="005D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0D42"/>
    <w:rPr>
      <w:color w:val="605E5C"/>
      <w:shd w:val="clear" w:color="auto" w:fill="E1DFDD"/>
    </w:rPr>
  </w:style>
  <w:style w:type="character" w:styleId="CommentReference">
    <w:name w:val="annotation reference"/>
    <w:basedOn w:val="DefaultParagraphFont"/>
    <w:uiPriority w:val="99"/>
    <w:semiHidden/>
    <w:unhideWhenUsed/>
    <w:rsid w:val="00743150"/>
    <w:rPr>
      <w:sz w:val="16"/>
      <w:szCs w:val="16"/>
    </w:rPr>
  </w:style>
  <w:style w:type="paragraph" w:styleId="CommentText">
    <w:name w:val="annotation text"/>
    <w:basedOn w:val="Normal"/>
    <w:link w:val="CommentTextChar"/>
    <w:uiPriority w:val="99"/>
    <w:unhideWhenUsed/>
    <w:rsid w:val="00743150"/>
    <w:pPr>
      <w:spacing w:line="240" w:lineRule="auto"/>
    </w:pPr>
    <w:rPr>
      <w:sz w:val="20"/>
      <w:szCs w:val="20"/>
    </w:rPr>
  </w:style>
  <w:style w:type="character" w:customStyle="1" w:styleId="CommentTextChar">
    <w:name w:val="Comment Text Char"/>
    <w:basedOn w:val="DefaultParagraphFont"/>
    <w:link w:val="CommentText"/>
    <w:uiPriority w:val="99"/>
    <w:rsid w:val="00743150"/>
    <w:rPr>
      <w:sz w:val="20"/>
      <w:szCs w:val="20"/>
    </w:rPr>
  </w:style>
  <w:style w:type="paragraph" w:styleId="CommentSubject">
    <w:name w:val="annotation subject"/>
    <w:basedOn w:val="CommentText"/>
    <w:next w:val="CommentText"/>
    <w:link w:val="CommentSubjectChar"/>
    <w:uiPriority w:val="99"/>
    <w:semiHidden/>
    <w:unhideWhenUsed/>
    <w:rsid w:val="00743150"/>
    <w:rPr>
      <w:b/>
      <w:bCs w:val="0"/>
    </w:rPr>
  </w:style>
  <w:style w:type="character" w:customStyle="1" w:styleId="CommentSubjectChar">
    <w:name w:val="Comment Subject Char"/>
    <w:basedOn w:val="CommentTextChar"/>
    <w:link w:val="CommentSubject"/>
    <w:uiPriority w:val="99"/>
    <w:semiHidden/>
    <w:rsid w:val="00743150"/>
    <w:rPr>
      <w:b/>
      <w:bCs/>
      <w:sz w:val="20"/>
      <w:szCs w:val="20"/>
    </w:rPr>
  </w:style>
  <w:style w:type="paragraph" w:styleId="Title">
    <w:name w:val="Title"/>
    <w:basedOn w:val="Normal"/>
    <w:next w:val="Normal"/>
    <w:link w:val="TitleChar"/>
    <w:uiPriority w:val="10"/>
    <w:qFormat/>
    <w:rsid w:val="00EC62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6221"/>
    <w:rPr>
      <w:rFonts w:asciiTheme="majorHAnsi" w:eastAsiaTheme="majorEastAsia" w:hAnsiTheme="majorHAnsi" w:cstheme="majorBidi"/>
      <w:spacing w:val="-10"/>
      <w:kern w:val="28"/>
      <w:sz w:val="56"/>
      <w:szCs w:val="56"/>
    </w:rPr>
  </w:style>
  <w:style w:type="paragraph" w:customStyle="1" w:styleId="ListLetters">
    <w:name w:val="List Letters"/>
    <w:basedOn w:val="ListParagraph"/>
    <w:qFormat/>
    <w:rsid w:val="000157C1"/>
    <w:pPr>
      <w:numPr>
        <w:numId w:val="5"/>
      </w:numPr>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187">
      <w:bodyDiv w:val="1"/>
      <w:marLeft w:val="0"/>
      <w:marRight w:val="0"/>
      <w:marTop w:val="0"/>
      <w:marBottom w:val="0"/>
      <w:divBdr>
        <w:top w:val="none" w:sz="0" w:space="0" w:color="auto"/>
        <w:left w:val="none" w:sz="0" w:space="0" w:color="auto"/>
        <w:bottom w:val="none" w:sz="0" w:space="0" w:color="auto"/>
        <w:right w:val="none" w:sz="0" w:space="0" w:color="auto"/>
      </w:divBdr>
    </w:div>
    <w:div w:id="23872169">
      <w:bodyDiv w:val="1"/>
      <w:marLeft w:val="0"/>
      <w:marRight w:val="0"/>
      <w:marTop w:val="0"/>
      <w:marBottom w:val="0"/>
      <w:divBdr>
        <w:top w:val="none" w:sz="0" w:space="0" w:color="auto"/>
        <w:left w:val="none" w:sz="0" w:space="0" w:color="auto"/>
        <w:bottom w:val="none" w:sz="0" w:space="0" w:color="auto"/>
        <w:right w:val="none" w:sz="0" w:space="0" w:color="auto"/>
      </w:divBdr>
    </w:div>
    <w:div w:id="138153468">
      <w:bodyDiv w:val="1"/>
      <w:marLeft w:val="0"/>
      <w:marRight w:val="0"/>
      <w:marTop w:val="0"/>
      <w:marBottom w:val="0"/>
      <w:divBdr>
        <w:top w:val="none" w:sz="0" w:space="0" w:color="auto"/>
        <w:left w:val="none" w:sz="0" w:space="0" w:color="auto"/>
        <w:bottom w:val="none" w:sz="0" w:space="0" w:color="auto"/>
        <w:right w:val="none" w:sz="0" w:space="0" w:color="auto"/>
      </w:divBdr>
    </w:div>
    <w:div w:id="339426521">
      <w:bodyDiv w:val="1"/>
      <w:marLeft w:val="0"/>
      <w:marRight w:val="0"/>
      <w:marTop w:val="0"/>
      <w:marBottom w:val="0"/>
      <w:divBdr>
        <w:top w:val="none" w:sz="0" w:space="0" w:color="auto"/>
        <w:left w:val="none" w:sz="0" w:space="0" w:color="auto"/>
        <w:bottom w:val="none" w:sz="0" w:space="0" w:color="auto"/>
        <w:right w:val="none" w:sz="0" w:space="0" w:color="auto"/>
      </w:divBdr>
    </w:div>
    <w:div w:id="455220280">
      <w:bodyDiv w:val="1"/>
      <w:marLeft w:val="0"/>
      <w:marRight w:val="0"/>
      <w:marTop w:val="0"/>
      <w:marBottom w:val="0"/>
      <w:divBdr>
        <w:top w:val="none" w:sz="0" w:space="0" w:color="auto"/>
        <w:left w:val="none" w:sz="0" w:space="0" w:color="auto"/>
        <w:bottom w:val="none" w:sz="0" w:space="0" w:color="auto"/>
        <w:right w:val="none" w:sz="0" w:space="0" w:color="auto"/>
      </w:divBdr>
    </w:div>
    <w:div w:id="951398527">
      <w:bodyDiv w:val="1"/>
      <w:marLeft w:val="0"/>
      <w:marRight w:val="0"/>
      <w:marTop w:val="0"/>
      <w:marBottom w:val="0"/>
      <w:divBdr>
        <w:top w:val="none" w:sz="0" w:space="0" w:color="auto"/>
        <w:left w:val="none" w:sz="0" w:space="0" w:color="auto"/>
        <w:bottom w:val="none" w:sz="0" w:space="0" w:color="auto"/>
        <w:right w:val="none" w:sz="0" w:space="0" w:color="auto"/>
      </w:divBdr>
    </w:div>
    <w:div w:id="1071806458">
      <w:bodyDiv w:val="1"/>
      <w:marLeft w:val="0"/>
      <w:marRight w:val="0"/>
      <w:marTop w:val="0"/>
      <w:marBottom w:val="0"/>
      <w:divBdr>
        <w:top w:val="none" w:sz="0" w:space="0" w:color="auto"/>
        <w:left w:val="none" w:sz="0" w:space="0" w:color="auto"/>
        <w:bottom w:val="none" w:sz="0" w:space="0" w:color="auto"/>
        <w:right w:val="none" w:sz="0" w:space="0" w:color="auto"/>
      </w:divBdr>
    </w:div>
    <w:div w:id="16811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energyconsumersaustralia.com.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nergyconsumersaustralia.com.au/" TargetMode="External"/><Relationship Id="rId2" Type="http://schemas.openxmlformats.org/officeDocument/2006/relationships/customXml" Target="../customXml/item2.xml"/><Relationship Id="rId16" Type="http://schemas.openxmlformats.org/officeDocument/2006/relationships/hyperlink" Target="https://www.betterrenting.org.au/" TargetMode="External"/><Relationship Id="rId20" Type="http://schemas.openxmlformats.org/officeDocument/2006/relationships/hyperlink" Target="mailto:geoff.buchanan@actcoss.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refc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crc@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F1E9-136D-4BB3-A377-DB05A59CB000}">
  <ds:schemaRefs>
    <ds:schemaRef ds:uri="http://schemas.microsoft.com/office/2006/documentManagement/types"/>
    <ds:schemaRef ds:uri="32918964-d11d-4bda-ba04-9b8184f6a173"/>
    <ds:schemaRef ds:uri="http://purl.org/dc/terms/"/>
    <ds:schemaRef ds:uri="http://schemas.openxmlformats.org/package/2006/metadata/core-properties"/>
    <ds:schemaRef ds:uri="http://purl.org/dc/dcmitype/"/>
    <ds:schemaRef ds:uri="http://schemas.microsoft.com/office/infopath/2007/PartnerControls"/>
    <ds:schemaRef ds:uri="ef2741e4-cc31-428c-aca2-d2da616e4ed0"/>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F62C1E-DD8F-4A04-A8AA-21BBF31A9FD2}">
  <ds:schemaRefs>
    <ds:schemaRef ds:uri="http://schemas.microsoft.com/sharepoint/v3/contenttype/forms"/>
  </ds:schemaRefs>
</ds:datastoreItem>
</file>

<file path=customXml/itemProps3.xml><?xml version="1.0" encoding="utf-8"?>
<ds:datastoreItem xmlns:ds="http://schemas.openxmlformats.org/officeDocument/2006/customXml" ds:itemID="{03303CE9-DD38-426D-B903-EAD573384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581FC-050F-439A-AA8F-E3CC362C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9</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ACT Energy Consumer’s Policy Consortium Submission to ACT’s Climate Strategy to a Net Zero Emissions Territory Discussion Paper December 2017</vt:lpstr>
    </vt:vector>
  </TitlesOfParts>
  <Company/>
  <LinksUpToDate>false</LinksUpToDate>
  <CharactersWithSpaces>18996</CharactersWithSpaces>
  <SharedDoc>false</SharedDoc>
  <HLinks>
    <vt:vector size="72" baseType="variant">
      <vt:variant>
        <vt:i4>3735578</vt:i4>
      </vt:variant>
      <vt:variant>
        <vt:i4>30</vt:i4>
      </vt:variant>
      <vt:variant>
        <vt:i4>0</vt:i4>
      </vt:variant>
      <vt:variant>
        <vt:i4>5</vt:i4>
      </vt:variant>
      <vt:variant>
        <vt:lpwstr>mailto:geoff.buchanan@actcoss.org.au</vt:lpwstr>
      </vt:variant>
      <vt:variant>
        <vt:lpwstr/>
      </vt:variant>
      <vt:variant>
        <vt:i4>3473522</vt:i4>
      </vt:variant>
      <vt:variant>
        <vt:i4>27</vt:i4>
      </vt:variant>
      <vt:variant>
        <vt:i4>0</vt:i4>
      </vt:variant>
      <vt:variant>
        <vt:i4>5</vt:i4>
      </vt:variant>
      <vt:variant>
        <vt:lpwstr>https://www.canberrabusiness.com/advocacy/taskforces/small-business-task-force/</vt:lpwstr>
      </vt:variant>
      <vt:variant>
        <vt:lpwstr/>
      </vt:variant>
      <vt:variant>
        <vt:i4>7733301</vt:i4>
      </vt:variant>
      <vt:variant>
        <vt:i4>24</vt:i4>
      </vt:variant>
      <vt:variant>
        <vt:i4>0</vt:i4>
      </vt:variant>
      <vt:variant>
        <vt:i4>5</vt:i4>
      </vt:variant>
      <vt:variant>
        <vt:lpwstr>https://conservationcouncil.org.au/</vt:lpwstr>
      </vt:variant>
      <vt:variant>
        <vt:lpwstr/>
      </vt:variant>
      <vt:variant>
        <vt:i4>2555954</vt:i4>
      </vt:variant>
      <vt:variant>
        <vt:i4>21</vt:i4>
      </vt:variant>
      <vt:variant>
        <vt:i4>0</vt:i4>
      </vt:variant>
      <vt:variant>
        <vt:i4>5</vt:i4>
      </vt:variant>
      <vt:variant>
        <vt:lpwstr>http://carefcs.org/</vt:lpwstr>
      </vt:variant>
      <vt:variant>
        <vt:lpwstr/>
      </vt:variant>
      <vt:variant>
        <vt:i4>5439560</vt:i4>
      </vt:variant>
      <vt:variant>
        <vt:i4>18</vt:i4>
      </vt:variant>
      <vt:variant>
        <vt:i4>0</vt:i4>
      </vt:variant>
      <vt:variant>
        <vt:i4>5</vt:i4>
      </vt:variant>
      <vt:variant>
        <vt:lpwstr>https://www.betterrenting.org.au/</vt:lpwstr>
      </vt:variant>
      <vt:variant>
        <vt:lpwstr/>
      </vt:variant>
      <vt:variant>
        <vt:i4>3932192</vt:i4>
      </vt:variant>
      <vt:variant>
        <vt:i4>15</vt:i4>
      </vt:variant>
      <vt:variant>
        <vt:i4>0</vt:i4>
      </vt:variant>
      <vt:variant>
        <vt:i4>5</vt:i4>
      </vt:variant>
      <vt:variant>
        <vt:lpwstr>https://www.actcoss.org.au/</vt:lpwstr>
      </vt:variant>
      <vt:variant>
        <vt:lpwstr/>
      </vt:variant>
      <vt:variant>
        <vt:i4>3473522</vt:i4>
      </vt:variant>
      <vt:variant>
        <vt:i4>12</vt:i4>
      </vt:variant>
      <vt:variant>
        <vt:i4>0</vt:i4>
      </vt:variant>
      <vt:variant>
        <vt:i4>5</vt:i4>
      </vt:variant>
      <vt:variant>
        <vt:lpwstr>https://www.canberrabusiness.com/advocacy/taskforces/small-business-task-force/</vt:lpwstr>
      </vt:variant>
      <vt:variant>
        <vt:lpwstr/>
      </vt:variant>
      <vt:variant>
        <vt:i4>7733301</vt:i4>
      </vt:variant>
      <vt:variant>
        <vt:i4>9</vt:i4>
      </vt:variant>
      <vt:variant>
        <vt:i4>0</vt:i4>
      </vt:variant>
      <vt:variant>
        <vt:i4>5</vt:i4>
      </vt:variant>
      <vt:variant>
        <vt:lpwstr>https://conservationcouncil.org.au/</vt:lpwstr>
      </vt:variant>
      <vt:variant>
        <vt:lpwstr/>
      </vt:variant>
      <vt:variant>
        <vt:i4>2555954</vt:i4>
      </vt:variant>
      <vt:variant>
        <vt:i4>6</vt:i4>
      </vt:variant>
      <vt:variant>
        <vt:i4>0</vt:i4>
      </vt:variant>
      <vt:variant>
        <vt:i4>5</vt:i4>
      </vt:variant>
      <vt:variant>
        <vt:lpwstr>http://carefcs.org/</vt:lpwstr>
      </vt:variant>
      <vt:variant>
        <vt:lpwstr/>
      </vt:variant>
      <vt:variant>
        <vt:i4>5439560</vt:i4>
      </vt:variant>
      <vt:variant>
        <vt:i4>3</vt:i4>
      </vt:variant>
      <vt:variant>
        <vt:i4>0</vt:i4>
      </vt:variant>
      <vt:variant>
        <vt:i4>5</vt:i4>
      </vt:variant>
      <vt:variant>
        <vt:lpwstr>https://www.betterrenting.org.au/</vt:lpwstr>
      </vt:variant>
      <vt:variant>
        <vt:lpwstr/>
      </vt:variant>
      <vt:variant>
        <vt:i4>3932192</vt:i4>
      </vt:variant>
      <vt:variant>
        <vt:i4>0</vt:i4>
      </vt:variant>
      <vt:variant>
        <vt:i4>0</vt:i4>
      </vt:variant>
      <vt:variant>
        <vt:i4>5</vt:i4>
      </vt:variant>
      <vt:variant>
        <vt:lpwstr>https://www.actcoss.org.au/</vt:lpwstr>
      </vt:variant>
      <vt:variant>
        <vt:lpwstr/>
      </vt:variant>
      <vt:variant>
        <vt:i4>2818104</vt:i4>
      </vt:variant>
      <vt:variant>
        <vt:i4>0</vt:i4>
      </vt:variant>
      <vt:variant>
        <vt:i4>0</vt:i4>
      </vt:variant>
      <vt:variant>
        <vt:i4>5</vt:i4>
      </vt:variant>
      <vt:variant>
        <vt:lpwstr>C:\Users\geoffb\AppData\Local\Packages\Microsoft.MicrosoftEdge_8wekyb3d8bbwe\TempState\Downloads\www.energyconsumersaustralia.com.au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Energised Consumers Project Partners’ submission to ICRC Retail Electricity Price Investigation 2020-24 Draft Report</dc:title>
  <dc:creator/>
  <cp:lastModifiedBy>Suzanne Richardson</cp:lastModifiedBy>
  <cp:revision>115</cp:revision>
  <cp:lastPrinted>2018-04-16T05:00:00Z</cp:lastPrinted>
  <dcterms:created xsi:type="dcterms:W3CDTF">2020-03-26T09:18:00Z</dcterms:created>
  <dcterms:modified xsi:type="dcterms:W3CDTF">2020-04-01T05:30:00Z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