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186E" w14:textId="4C0EEA81" w:rsidR="00F62238" w:rsidRPr="00E0328F" w:rsidRDefault="0089691C" w:rsidP="00E04808">
      <w:pPr>
        <w:pStyle w:val="Factsheet"/>
      </w:pPr>
      <w:r w:rsidRPr="00E76EE2">
        <w:rPr>
          <w:noProof/>
        </w:rPr>
        <w:drawing>
          <wp:anchor distT="0" distB="0" distL="114300" distR="114300" simplePos="0" relativeHeight="251658241" behindDoc="0" locked="0" layoutInCell="1" allowOverlap="1" wp14:anchorId="59F53400" wp14:editId="7347472E">
            <wp:simplePos x="0" y="0"/>
            <wp:positionH relativeFrom="margin">
              <wp:align>left</wp:align>
            </wp:positionH>
            <wp:positionV relativeFrom="paragraph">
              <wp:posOffset>218440</wp:posOffset>
            </wp:positionV>
            <wp:extent cx="1366520" cy="507365"/>
            <wp:effectExtent l="0" t="0" r="5080" b="6985"/>
            <wp:wrapNone/>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14:sizeRelH relativeFrom="page">
              <wp14:pctWidth>0</wp14:pctWidth>
            </wp14:sizeRelH>
            <wp14:sizeRelV relativeFrom="page">
              <wp14:pctHeight>0</wp14:pctHeight>
            </wp14:sizeRelV>
          </wp:anchor>
        </w:drawing>
      </w:r>
      <w:r w:rsidR="00EA246A">
        <w:rPr>
          <w:noProof/>
          <w:lang w:eastAsia="en-AU"/>
        </w:rPr>
        <w:drawing>
          <wp:anchor distT="0" distB="0" distL="114300" distR="114300" simplePos="0" relativeHeight="251658240" behindDoc="1" locked="0" layoutInCell="1" allowOverlap="1" wp14:anchorId="4E0218DF" wp14:editId="5C14C02D">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r w:rsidR="005B4862">
        <w:t>Factsheet</w:t>
      </w:r>
    </w:p>
    <w:p w14:paraId="23B519A4" w14:textId="4282546F" w:rsidR="00E0328F" w:rsidRPr="005726CC" w:rsidRDefault="00922D82" w:rsidP="003F17B4">
      <w:pPr>
        <w:pStyle w:val="Factsheetdate"/>
      </w:pPr>
      <w:r>
        <w:t>December 2021</w:t>
      </w:r>
    </w:p>
    <w:p w14:paraId="75A56EC8" w14:textId="06868691" w:rsidR="00F62238" w:rsidRDefault="00BD2472" w:rsidP="00EB681F">
      <w:pPr>
        <w:pStyle w:val="Titleoffactsheet"/>
      </w:pPr>
      <w:r>
        <w:t xml:space="preserve">2021 </w:t>
      </w:r>
      <w:r w:rsidR="00922D82">
        <w:t>ACT Community Sector Demand Snapshot</w:t>
      </w:r>
    </w:p>
    <w:p w14:paraId="36C1F5D1" w14:textId="0FC38305" w:rsidR="005F18F4" w:rsidRDefault="00A13C47" w:rsidP="005F18F4">
      <w:pPr>
        <w:pStyle w:val="BodyText"/>
      </w:pPr>
      <w:r w:rsidRPr="00A13C47">
        <w:t xml:space="preserve">This </w:t>
      </w:r>
      <w:r w:rsidR="005F18F4">
        <w:t>factsheet</w:t>
      </w:r>
      <w:r w:rsidRPr="00A13C47">
        <w:t xml:space="preserve"> provides </w:t>
      </w:r>
      <w:r w:rsidR="005F18F4">
        <w:t xml:space="preserve">a snapshot of key findings for the ACT </w:t>
      </w:r>
      <w:r w:rsidRPr="00A13C47">
        <w:t>from the Australian Community Sector Survey (ACSS) 2021.</w:t>
      </w:r>
      <w:r w:rsidR="003B501A">
        <w:rPr>
          <w:rStyle w:val="EndnoteReference"/>
        </w:rPr>
        <w:endnoteReference w:id="2"/>
      </w:r>
      <w:r w:rsidRPr="00A13C47">
        <w:t xml:space="preserve"> The survey was conducted in September 2021 </w:t>
      </w:r>
      <w:r w:rsidR="4F57BED1" w:rsidRPr="00A13C47">
        <w:t xml:space="preserve">across Australia </w:t>
      </w:r>
      <w:r w:rsidRPr="00A13C47">
        <w:t xml:space="preserve">by the Social Policy Research Centre at UNSW Sydney in collaboration with the Australian Council of Social Service (ACOSS) and the network of Councils of Social Service of Australia (COSS Network), supported by Bendigo Bank. </w:t>
      </w:r>
    </w:p>
    <w:p w14:paraId="02215FA2" w14:textId="7C49C977" w:rsidR="005F18F4" w:rsidRDefault="009318A1" w:rsidP="009318A1">
      <w:pPr>
        <w:pStyle w:val="Heading1"/>
      </w:pPr>
      <w:r w:rsidRPr="009318A1">
        <w:t>Services are confronting increased poverty and disadvantage in the community</w:t>
      </w:r>
    </w:p>
    <w:p w14:paraId="7BC6AABD" w14:textId="4AE12650" w:rsidR="00976B0A" w:rsidRDefault="00A2074F" w:rsidP="00976B0A">
      <w:pPr>
        <w:pStyle w:val="BodyText"/>
      </w:pPr>
      <w:r>
        <w:t>Over two</w:t>
      </w:r>
      <w:r w:rsidR="009E3317">
        <w:t xml:space="preserve"> </w:t>
      </w:r>
      <w:r>
        <w:t xml:space="preserve">thirds </w:t>
      </w:r>
      <w:r w:rsidR="00976B0A">
        <w:t>(</w:t>
      </w:r>
      <w:r>
        <w:t>67%</w:t>
      </w:r>
      <w:r w:rsidR="00976B0A">
        <w:t xml:space="preserve">) of </w:t>
      </w:r>
      <w:r w:rsidR="5F77E623">
        <w:t xml:space="preserve">ACT </w:t>
      </w:r>
      <w:r w:rsidR="00976B0A">
        <w:t xml:space="preserve">community sector staff, including CEOs and managers, reported that in 2021, levels of poverty and disadvantage have increased among the groups they support. This is likely due to the prolonged effect of the pandemic and the impacts of service disruptions in 2020, as well as inadequate financial supports for households. </w:t>
      </w:r>
    </w:p>
    <w:p w14:paraId="2CA26797" w14:textId="03B5065C" w:rsidR="000B1391" w:rsidRDefault="000B1391" w:rsidP="00976B0A">
      <w:pPr>
        <w:pStyle w:val="BodyText"/>
      </w:pPr>
      <w:r>
        <w:rPr>
          <w:noProof/>
        </w:rPr>
        <w:drawing>
          <wp:inline distT="0" distB="0" distL="0" distR="0" wp14:anchorId="52C1AF18" wp14:editId="6AC6B1CE">
            <wp:extent cx="5400000" cy="3567600"/>
            <wp:effectExtent l="0" t="0" r="0" b="0"/>
            <wp:docPr id="5" name="Picture 5" descr="Graph: Levels of poverty and disadvantage among service users, ACT 2021. Increased significantly: 20%. Increased: 47%. Stayed the same: 23%. Decreased: 3%. Decreased significantly: 2%. Not s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Levels of poverty and disadvantage among service users, ACT 2021. Increased significantly: 20%. Increased: 47%. Stayed the same: 23%. Decreased: 3%. Decreased significantly: 2%. Not s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3567600"/>
                    </a:xfrm>
                    <a:prstGeom prst="rect">
                      <a:avLst/>
                    </a:prstGeom>
                  </pic:spPr>
                </pic:pic>
              </a:graphicData>
            </a:graphic>
          </wp:inline>
        </w:drawing>
      </w:r>
    </w:p>
    <w:p w14:paraId="49785797" w14:textId="613BE8C5" w:rsidR="005C6119" w:rsidRDefault="005C6119" w:rsidP="00976B0A">
      <w:pPr>
        <w:pStyle w:val="BodyText"/>
      </w:pPr>
      <w:r>
        <w:lastRenderedPageBreak/>
        <w:t>Main challenges</w:t>
      </w:r>
      <w:r w:rsidR="00222EE0">
        <w:t xml:space="preserve"> affecting the people and communities </w:t>
      </w:r>
      <w:r w:rsidR="00AB6576">
        <w:t xml:space="preserve">their organisations </w:t>
      </w:r>
      <w:r w:rsidR="00222EE0">
        <w:t xml:space="preserve">support included </w:t>
      </w:r>
      <w:r w:rsidR="00632ABB">
        <w:t xml:space="preserve">social isolation (81%), </w:t>
      </w:r>
      <w:r w:rsidR="00222EE0">
        <w:t>housing affordability and homelessness (</w:t>
      </w:r>
      <w:r w:rsidR="005E6FCB">
        <w:t xml:space="preserve">76%), </w:t>
      </w:r>
      <w:r w:rsidR="00543A21">
        <w:t xml:space="preserve">lack of access to mental health supports (71%), </w:t>
      </w:r>
      <w:r w:rsidR="005E6FCB">
        <w:t>cost of living pressures (65%)</w:t>
      </w:r>
      <w:r w:rsidR="00C2069C">
        <w:t>, and</w:t>
      </w:r>
      <w:r w:rsidR="000C4DC4">
        <w:t xml:space="preserve"> a lack of COVID-19 financial support and</w:t>
      </w:r>
      <w:r w:rsidR="00C2069C">
        <w:t xml:space="preserve"> inadequate Centrelink payments (</w:t>
      </w:r>
      <w:r w:rsidR="000C4DC4">
        <w:t>42%).</w:t>
      </w:r>
    </w:p>
    <w:p w14:paraId="0657B405" w14:textId="5D05EB85" w:rsidR="00EA0336" w:rsidRPr="009E3317" w:rsidRDefault="00BD4E76" w:rsidP="00976B0A">
      <w:pPr>
        <w:pStyle w:val="BodyText"/>
      </w:pPr>
      <w:r>
        <w:rPr>
          <w:noProof/>
        </w:rPr>
        <w:drawing>
          <wp:inline distT="0" distB="0" distL="0" distR="0" wp14:anchorId="553A9DA2" wp14:editId="60DD8AB6">
            <wp:extent cx="5400000" cy="3398400"/>
            <wp:effectExtent l="0" t="0" r="0" b="0"/>
            <wp:docPr id="2" name="Picture 2" descr="Graph: Main challenges affecting clients and communities, AC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Main challenges affecting clients and communities, ACT, 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398400"/>
                    </a:xfrm>
                    <a:prstGeom prst="rect">
                      <a:avLst/>
                    </a:prstGeom>
                    <a:noFill/>
                  </pic:spPr>
                </pic:pic>
              </a:graphicData>
            </a:graphic>
          </wp:inline>
        </w:drawing>
      </w:r>
    </w:p>
    <w:tbl>
      <w:tblPr>
        <w:tblStyle w:val="Quoteusbox"/>
        <w:tblW w:w="0" w:type="auto"/>
        <w:tblLook w:val="04A0" w:firstRow="1" w:lastRow="0" w:firstColumn="1" w:lastColumn="0" w:noHBand="0" w:noVBand="1"/>
      </w:tblPr>
      <w:tblGrid>
        <w:gridCol w:w="8504"/>
      </w:tblGrid>
      <w:tr w:rsidR="00E92F3F" w:rsidRPr="00872CC4" w14:paraId="5F0733A0" w14:textId="77777777" w:rsidTr="00456B29">
        <w:trPr>
          <w:trHeight w:val="675"/>
        </w:trPr>
        <w:tc>
          <w:tcPr>
            <w:tcW w:w="8720" w:type="dxa"/>
            <w:tcMar>
              <w:top w:w="170" w:type="dxa"/>
            </w:tcMar>
          </w:tcPr>
          <w:p w14:paraId="5CC4B661" w14:textId="77777777" w:rsidR="00E92F3F" w:rsidRPr="009A67A1" w:rsidRDefault="00E92F3F" w:rsidP="003D60C2">
            <w:pPr>
              <w:pStyle w:val="BodyText"/>
              <w:rPr>
                <w:rStyle w:val="Emphasis"/>
              </w:rPr>
            </w:pPr>
            <w:r w:rsidRPr="009A67A1">
              <w:rPr>
                <w:rStyle w:val="Emphasis"/>
              </w:rPr>
              <w:t xml:space="preserve">We have seen a dramatic increase in homelessness and housing instability… Housing/rental prices have increased </w:t>
            </w:r>
            <w:proofErr w:type="gramStart"/>
            <w:r w:rsidRPr="009A67A1">
              <w:rPr>
                <w:rStyle w:val="Emphasis"/>
              </w:rPr>
              <w:t>significantly</w:t>
            </w:r>
            <w:proofErr w:type="gramEnd"/>
            <w:r w:rsidRPr="009A67A1">
              <w:rPr>
                <w:rStyle w:val="Emphasis"/>
              </w:rPr>
              <w:t xml:space="preserve"> and we have also seen an increasing number of people moving into the area from the larger cities without realising that the housing situation here is much worse.</w:t>
            </w:r>
          </w:p>
          <w:p w14:paraId="01957DC9" w14:textId="517B3599" w:rsidR="00E92F3F" w:rsidRPr="009A67A1" w:rsidRDefault="00456B29" w:rsidP="00456B29">
            <w:pPr>
              <w:pStyle w:val="BodyText"/>
              <w:spacing w:after="0"/>
              <w:jc w:val="right"/>
            </w:pPr>
            <w:r w:rsidRPr="00456B29">
              <w:t xml:space="preserve">- </w:t>
            </w:r>
            <w:r w:rsidR="00E92F3F" w:rsidRPr="009A67A1">
              <w:rPr>
                <w:rStyle w:val="Emphasis"/>
                <w:i w:val="0"/>
                <w:iCs w:val="0"/>
              </w:rPr>
              <w:t>Frontline worker, financial support service, ACT</w:t>
            </w:r>
          </w:p>
        </w:tc>
      </w:tr>
    </w:tbl>
    <w:p w14:paraId="63C82347" w14:textId="26A752C7" w:rsidR="009318A1" w:rsidRDefault="00AB1EBE" w:rsidP="00AB1EBE">
      <w:pPr>
        <w:pStyle w:val="Heading1"/>
      </w:pPr>
      <w:r w:rsidRPr="00AB1EBE">
        <w:t>Demand for community services has increased in 2021</w:t>
      </w:r>
    </w:p>
    <w:p w14:paraId="1E78E236" w14:textId="77777777" w:rsidR="00617BB1" w:rsidRDefault="002F6B76" w:rsidP="00AB1EBE">
      <w:pPr>
        <w:pStyle w:val="BodyText"/>
      </w:pPr>
      <w:r w:rsidRPr="00566593">
        <w:t>Almost f</w:t>
      </w:r>
      <w:r w:rsidR="00F766E9" w:rsidRPr="00566593">
        <w:t>our in five participants (</w:t>
      </w:r>
      <w:r w:rsidRPr="00566593">
        <w:t>78</w:t>
      </w:r>
      <w:r w:rsidR="00F766E9" w:rsidRPr="00566593">
        <w:t>%) reported that levels of demand for their main service increased.</w:t>
      </w:r>
      <w:r w:rsidR="00053A6B">
        <w:t xml:space="preserve"> </w:t>
      </w:r>
      <w:r w:rsidR="00617BB1" w:rsidRPr="00617BB1">
        <w:t>Almost half (48%) of housing and homelessness services staff said they were rarely or never able to meet demand.</w:t>
      </w:r>
      <w:r w:rsidR="00617BB1">
        <w:t xml:space="preserve"> </w:t>
      </w:r>
    </w:p>
    <w:p w14:paraId="32EBED9D" w14:textId="221A06DE" w:rsidR="006A34B7" w:rsidRDefault="006A34B7" w:rsidP="00AB1EBE">
      <w:pPr>
        <w:pStyle w:val="BodyText"/>
      </w:pPr>
      <w:r w:rsidRPr="00C86BB6">
        <w:t>Concerningly, over one fifth of participants (21%) reported decreased availability of funding to support their work.</w:t>
      </w:r>
      <w:r>
        <w:t xml:space="preserve"> </w:t>
      </w:r>
      <w:r w:rsidRPr="009E3317">
        <w:t xml:space="preserve">Over three quarters (77%) of workers report growing complexity of need among service users during 2021. </w:t>
      </w:r>
    </w:p>
    <w:tbl>
      <w:tblPr>
        <w:tblStyle w:val="Quoteusbox"/>
        <w:tblW w:w="5000" w:type="pct"/>
        <w:tblLook w:val="04A0" w:firstRow="1" w:lastRow="0" w:firstColumn="1" w:lastColumn="0" w:noHBand="0" w:noVBand="1"/>
      </w:tblPr>
      <w:tblGrid>
        <w:gridCol w:w="8504"/>
      </w:tblGrid>
      <w:tr w:rsidR="00943F66" w:rsidRPr="00872CC4" w14:paraId="59E03297" w14:textId="77777777" w:rsidTr="00956984">
        <w:trPr>
          <w:trHeight w:val="675"/>
        </w:trPr>
        <w:tc>
          <w:tcPr>
            <w:tcW w:w="5000" w:type="pct"/>
            <w:tcMar>
              <w:top w:w="170" w:type="dxa"/>
            </w:tcMar>
          </w:tcPr>
          <w:p w14:paraId="7B7F347E" w14:textId="77777777" w:rsidR="00943F66" w:rsidRPr="00B47D00" w:rsidRDefault="00943F66" w:rsidP="003D60C2">
            <w:pPr>
              <w:pStyle w:val="BodyText"/>
              <w:rPr>
                <w:rStyle w:val="Emphasis"/>
              </w:rPr>
            </w:pPr>
            <w:r w:rsidRPr="00B47D00">
              <w:rPr>
                <w:rStyle w:val="Emphasis"/>
              </w:rPr>
              <w:lastRenderedPageBreak/>
              <w:t xml:space="preserve">Demand for housing services and DV support grew significantly. We cannot service all clients who contact us as we don’t have enough staff and the </w:t>
            </w:r>
            <w:proofErr w:type="gramStart"/>
            <w:r w:rsidRPr="00B47D00">
              <w:rPr>
                <w:rStyle w:val="Emphasis"/>
              </w:rPr>
              <w:t>funding</w:t>
            </w:r>
            <w:proofErr w:type="gramEnd"/>
            <w:r w:rsidRPr="00B47D00">
              <w:rPr>
                <w:rStyle w:val="Emphasis"/>
              </w:rPr>
              <w:t xml:space="preserve"> we receive won’t cover more resourcing.</w:t>
            </w:r>
          </w:p>
          <w:p w14:paraId="5A0DAE2F" w14:textId="3055FACA" w:rsidR="00943F66" w:rsidRPr="006E18F9" w:rsidRDefault="001E65FC" w:rsidP="001E65FC">
            <w:pPr>
              <w:pStyle w:val="BodyText"/>
              <w:spacing w:after="0"/>
              <w:jc w:val="right"/>
            </w:pPr>
            <w:r>
              <w:rPr>
                <w:rStyle w:val="Strong"/>
                <w:b w:val="0"/>
                <w:bCs w:val="0"/>
              </w:rPr>
              <w:t>-</w:t>
            </w:r>
            <w:r>
              <w:rPr>
                <w:rStyle w:val="Strong"/>
              </w:rPr>
              <w:t xml:space="preserve"> </w:t>
            </w:r>
            <w:r w:rsidR="00943F66" w:rsidRPr="006E18F9">
              <w:rPr>
                <w:rStyle w:val="Strong"/>
                <w:b w:val="0"/>
                <w:bCs w:val="0"/>
              </w:rPr>
              <w:t>Project officer, child, youth and family service, ACT</w:t>
            </w:r>
          </w:p>
        </w:tc>
      </w:tr>
    </w:tbl>
    <w:p w14:paraId="234DD208" w14:textId="77777777" w:rsidR="00943F66" w:rsidRPr="00A931A3" w:rsidRDefault="00943F66" w:rsidP="006E0308">
      <w:pPr>
        <w:pStyle w:val="BodyText"/>
        <w:spacing w:after="0"/>
        <w:rPr>
          <w:sz w:val="18"/>
          <w:szCs w:val="18"/>
        </w:rPr>
      </w:pPr>
    </w:p>
    <w:p w14:paraId="685C7E9F" w14:textId="46506A2F" w:rsidR="00A94EC8" w:rsidRDefault="00A94EC8" w:rsidP="00AB1EBE">
      <w:pPr>
        <w:pStyle w:val="BodyText"/>
      </w:pPr>
      <w:r>
        <w:rPr>
          <w:noProof/>
        </w:rPr>
        <w:drawing>
          <wp:inline distT="0" distB="0" distL="0" distR="0" wp14:anchorId="13F28E76" wp14:editId="2C0A5F6C">
            <wp:extent cx="5400000" cy="3693600"/>
            <wp:effectExtent l="0" t="0" r="0" b="2540"/>
            <wp:docPr id="8" name="Picture 8" descr="Graph: Levels of demand, ACT, 2021.  Increased significantly: 25%. Increased: 53%. Stayed the same: 14%. Decreased: 3%. Decreased significantly: 3%. Not s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 Levels of demand, ACT, 2021.  Increased significantly: 25%. Increased: 53%. Stayed the same: 14%. Decreased: 3%. Decreased significantly: 3%. Not s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693600"/>
                    </a:xfrm>
                    <a:prstGeom prst="rect">
                      <a:avLst/>
                    </a:prstGeom>
                    <a:noFill/>
                  </pic:spPr>
                </pic:pic>
              </a:graphicData>
            </a:graphic>
          </wp:inline>
        </w:drawing>
      </w:r>
    </w:p>
    <w:p w14:paraId="5470BEE1" w14:textId="77777777" w:rsidR="0065487D" w:rsidRDefault="0065487D" w:rsidP="0065487D">
      <w:pPr>
        <w:pStyle w:val="BodyText"/>
      </w:pPr>
      <w:r>
        <w:rPr>
          <w:noProof/>
        </w:rPr>
        <w:drawing>
          <wp:inline distT="0" distB="0" distL="0" distR="0" wp14:anchorId="5035CA3F" wp14:editId="24FB89AD">
            <wp:extent cx="5400000" cy="3560400"/>
            <wp:effectExtent l="0" t="0" r="0" b="2540"/>
            <wp:docPr id="6" name="Picture 6" descr="Graph: Complexity of need among service users, ACT, 2021.  Increased significantly: 31%. Increased: 46%. Stayed the same: 17%. Decreased: 1%. Decreased significantly: 2%. Not s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 Complexity of need among service users, ACT, 2021.  Increased significantly: 31%. Increased: 46%. Stayed the same: 17%. Decreased: 1%. Decreased significantly: 2%. Not s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560400"/>
                    </a:xfrm>
                    <a:prstGeom prst="rect">
                      <a:avLst/>
                    </a:prstGeom>
                    <a:noFill/>
                  </pic:spPr>
                </pic:pic>
              </a:graphicData>
            </a:graphic>
          </wp:inline>
        </w:drawing>
      </w:r>
    </w:p>
    <w:tbl>
      <w:tblPr>
        <w:tblStyle w:val="Quoteusbox"/>
        <w:tblW w:w="5000" w:type="pct"/>
        <w:tblLook w:val="04A0" w:firstRow="1" w:lastRow="0" w:firstColumn="1" w:lastColumn="0" w:noHBand="0" w:noVBand="1"/>
      </w:tblPr>
      <w:tblGrid>
        <w:gridCol w:w="8504"/>
      </w:tblGrid>
      <w:tr w:rsidR="0065487D" w:rsidRPr="00872CC4" w14:paraId="7A37F819" w14:textId="77777777" w:rsidTr="00956984">
        <w:trPr>
          <w:trHeight w:val="675"/>
        </w:trPr>
        <w:tc>
          <w:tcPr>
            <w:tcW w:w="5000" w:type="pct"/>
            <w:tcMar>
              <w:top w:w="170" w:type="dxa"/>
            </w:tcMar>
          </w:tcPr>
          <w:p w14:paraId="0457A6A4" w14:textId="485F04C8" w:rsidR="0065487D" w:rsidRPr="007C105E" w:rsidRDefault="0065487D" w:rsidP="003D60C2">
            <w:pPr>
              <w:pStyle w:val="BodyText"/>
              <w:rPr>
                <w:rStyle w:val="Emphasis"/>
              </w:rPr>
            </w:pPr>
            <w:r w:rsidRPr="67A45E6B">
              <w:rPr>
                <w:rStyle w:val="Emphasis"/>
              </w:rPr>
              <w:lastRenderedPageBreak/>
              <w:t xml:space="preserve">Complexity and levels of need of individuals and families in the community is dramatically increasing and so demands upon our member organisations </w:t>
            </w:r>
            <w:r w:rsidR="305A4C3A" w:rsidRPr="67A45E6B">
              <w:rPr>
                <w:rStyle w:val="Emphasis"/>
              </w:rPr>
              <w:t>are</w:t>
            </w:r>
            <w:r w:rsidRPr="67A45E6B">
              <w:rPr>
                <w:rStyle w:val="Emphasis"/>
              </w:rPr>
              <w:t xml:space="preserve"> dramatically increasing.</w:t>
            </w:r>
          </w:p>
          <w:p w14:paraId="31A0A072" w14:textId="3F1A9D34" w:rsidR="0065487D" w:rsidRPr="009A67A1" w:rsidRDefault="00635F1C" w:rsidP="00635F1C">
            <w:pPr>
              <w:pStyle w:val="BodyText"/>
              <w:spacing w:after="0"/>
              <w:jc w:val="right"/>
            </w:pPr>
            <w:r w:rsidRPr="00635F1C">
              <w:t xml:space="preserve">- </w:t>
            </w:r>
            <w:r w:rsidR="0065487D" w:rsidRPr="00635F1C">
              <w:t>CEO</w:t>
            </w:r>
            <w:r w:rsidR="0065487D" w:rsidRPr="009A67A1">
              <w:rPr>
                <w:rStyle w:val="Emphasis"/>
                <w:i w:val="0"/>
                <w:iCs w:val="0"/>
              </w:rPr>
              <w:t>, legal, advocacy or peak body, ACT</w:t>
            </w:r>
          </w:p>
        </w:tc>
      </w:tr>
    </w:tbl>
    <w:p w14:paraId="7D9D1D3B" w14:textId="4983C968" w:rsidR="00AB1EBE" w:rsidRDefault="00AB1EBE" w:rsidP="00AB1EBE">
      <w:pPr>
        <w:pStyle w:val="Heading1"/>
      </w:pPr>
      <w:r w:rsidRPr="00AB1EBE">
        <w:t>Ability of community services to meet demand fell in 2021</w:t>
      </w:r>
    </w:p>
    <w:p w14:paraId="24184EEB" w14:textId="63B57A3C" w:rsidR="00E8300C" w:rsidRDefault="00E8300C" w:rsidP="00E8300C">
      <w:pPr>
        <w:pStyle w:val="BodyText"/>
      </w:pPr>
      <w:r w:rsidRPr="006A749C">
        <w:t xml:space="preserve">In 2021, just </w:t>
      </w:r>
      <w:r w:rsidR="006A749C" w:rsidRPr="006A749C">
        <w:t>4</w:t>
      </w:r>
      <w:r w:rsidRPr="006A749C">
        <w:t xml:space="preserve">% of participants said their service was ‘always’ able to meet demand. </w:t>
      </w:r>
      <w:r w:rsidRPr="00DD44F0">
        <w:t xml:space="preserve">This proportion has plummeted from 2020, when </w:t>
      </w:r>
      <w:r w:rsidR="00DD44F0" w:rsidRPr="00DD44F0">
        <w:t>20</w:t>
      </w:r>
      <w:r w:rsidRPr="00DD44F0">
        <w:t>% of participants agreed.</w:t>
      </w:r>
      <w:r w:rsidR="0065487D">
        <w:t xml:space="preserve"> </w:t>
      </w:r>
      <w:r w:rsidR="0065487D" w:rsidRPr="00171A6A">
        <w:t xml:space="preserve">Over half of participants (51%) reported increases in the numbers of clients their service was unable to support. </w:t>
      </w:r>
    </w:p>
    <w:p w14:paraId="13DD8BAD" w14:textId="32B37B25" w:rsidR="007A0C23" w:rsidRPr="00F9347D" w:rsidRDefault="00F9347D" w:rsidP="00E8300C">
      <w:pPr>
        <w:pStyle w:val="BodyText"/>
      </w:pPr>
      <w:r>
        <w:rPr>
          <w:noProof/>
        </w:rPr>
        <w:drawing>
          <wp:inline distT="0" distB="0" distL="0" distR="0" wp14:anchorId="7B02A57A" wp14:editId="2C8A7CD1">
            <wp:extent cx="5400040" cy="3985260"/>
            <wp:effectExtent l="0" t="0" r="0" b="0"/>
            <wp:docPr id="1" name="Picture 1" descr="Graph: Ability to meet demand, ACT, 2021. Always able to meet demand: 4%. Usually able to meet demand: 51%. Sometimes able to meet demand: 26%. Rarely able to meet demand: 10%. Never able to meet dema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Ability to meet demand, ACT, 2021. Always able to meet demand: 4%. Usually able to meet demand: 51%. Sometimes able to meet demand: 26%. Rarely able to meet demand: 10%. Never able to meet demand: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3985260"/>
                    </a:xfrm>
                    <a:prstGeom prst="rect">
                      <a:avLst/>
                    </a:prstGeom>
                  </pic:spPr>
                </pic:pic>
              </a:graphicData>
            </a:graphic>
          </wp:inline>
        </w:drawing>
      </w:r>
    </w:p>
    <w:p w14:paraId="29FE48C1" w14:textId="72EA4E3E" w:rsidR="000F7980" w:rsidRPr="00171A6A" w:rsidRDefault="000F7980" w:rsidP="00E8300C">
      <w:pPr>
        <w:pStyle w:val="BodyText"/>
      </w:pPr>
      <w:r>
        <w:rPr>
          <w:noProof/>
        </w:rPr>
        <w:lastRenderedPageBreak/>
        <w:drawing>
          <wp:inline distT="0" distB="0" distL="0" distR="0" wp14:anchorId="6AF3E41D" wp14:editId="3F149059">
            <wp:extent cx="5400000" cy="3798000"/>
            <wp:effectExtent l="0" t="0" r="0" b="0"/>
            <wp:docPr id="12" name="Picture 12" descr="Graph: Number of clients our service cannot support, ACT, 2021.  Increased significantly: 13%. Increased: 38%. Stayed the same: 28%. Decreased: 3%. Decreased significantly: 4%. Not s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 Number of clients our service cannot support, ACT, 2021.  Increased significantly: 13%. Increased: 38%. Stayed the same: 28%. Decreased: 3%. Decreased significantly: 4%. Not s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798000"/>
                    </a:xfrm>
                    <a:prstGeom prst="rect">
                      <a:avLst/>
                    </a:prstGeom>
                    <a:noFill/>
                  </pic:spPr>
                </pic:pic>
              </a:graphicData>
            </a:graphic>
          </wp:inline>
        </w:drawing>
      </w:r>
    </w:p>
    <w:p w14:paraId="2707927D" w14:textId="14DCA0E9" w:rsidR="00AB1EBE" w:rsidRDefault="00E8300C" w:rsidP="00E8300C">
      <w:pPr>
        <w:pStyle w:val="BodyText"/>
      </w:pPr>
      <w:r w:rsidRPr="00934B1A">
        <w:t>While often difficulties in meeting community needs arose because those needs had increased, participants also reported that the pandemic had reduced capacity; that options for referral were limited; and that there were insufficient resources to hire the staff required to deliver services.</w:t>
      </w:r>
    </w:p>
    <w:tbl>
      <w:tblPr>
        <w:tblStyle w:val="Quoteusbox"/>
        <w:tblW w:w="8505" w:type="dxa"/>
        <w:tblLook w:val="04A0" w:firstRow="1" w:lastRow="0" w:firstColumn="1" w:lastColumn="0" w:noHBand="0" w:noVBand="1"/>
      </w:tblPr>
      <w:tblGrid>
        <w:gridCol w:w="8505"/>
      </w:tblGrid>
      <w:tr w:rsidR="00BD274B" w:rsidRPr="00872CC4" w14:paraId="37BD3037" w14:textId="77777777" w:rsidTr="0075251C">
        <w:trPr>
          <w:trHeight w:val="675"/>
        </w:trPr>
        <w:tc>
          <w:tcPr>
            <w:tcW w:w="5000" w:type="pct"/>
            <w:tcMar>
              <w:top w:w="170" w:type="dxa"/>
            </w:tcMar>
          </w:tcPr>
          <w:p w14:paraId="58674E76" w14:textId="77777777" w:rsidR="00D8450E" w:rsidRPr="00D8450E" w:rsidRDefault="00D8450E" w:rsidP="00D8450E">
            <w:pPr>
              <w:pStyle w:val="BodyText"/>
              <w:rPr>
                <w:rStyle w:val="Emphasis"/>
              </w:rPr>
            </w:pPr>
            <w:r w:rsidRPr="00D8450E">
              <w:rPr>
                <w:rStyle w:val="Emphasis"/>
              </w:rPr>
              <w:t>Small amounts (in the context of government) of funding for the community sector could bring about huge improvements in outcomes for the people they service, and yet the penny pinching around funding for community organisations continues. Indexation doesn’t keep up with costs. Services are underfunded for the outcomes demanded.</w:t>
            </w:r>
          </w:p>
          <w:p w14:paraId="17E4988E" w14:textId="7D1D5ECA" w:rsidR="00BD274B" w:rsidRPr="006E18F9" w:rsidRDefault="00EF0F8F" w:rsidP="00830ECB">
            <w:pPr>
              <w:pStyle w:val="BodyText"/>
              <w:spacing w:after="0"/>
              <w:jc w:val="right"/>
            </w:pPr>
            <w:r w:rsidRPr="00EF0F8F">
              <w:t xml:space="preserve">- </w:t>
            </w:r>
            <w:r w:rsidR="00D8450E" w:rsidRPr="00EF0F8F">
              <w:t>CEO</w:t>
            </w:r>
            <w:r w:rsidR="00D8450E" w:rsidRPr="006E18F9">
              <w:rPr>
                <w:rStyle w:val="Emphasis"/>
                <w:i w:val="0"/>
                <w:iCs w:val="0"/>
              </w:rPr>
              <w:t>, legal, advocacy or peak body, ACT</w:t>
            </w:r>
          </w:p>
        </w:tc>
      </w:tr>
    </w:tbl>
    <w:p w14:paraId="4C94CC83" w14:textId="68E4F869" w:rsidR="00AB1EBE" w:rsidRPr="00AB1EBE" w:rsidRDefault="00226D67" w:rsidP="00226D67">
      <w:pPr>
        <w:pStyle w:val="Heading1"/>
      </w:pPr>
      <w:r w:rsidRPr="00226D67">
        <w:t>Despite these challenges, the sector has strengthened Australia’s recovery</w:t>
      </w:r>
    </w:p>
    <w:p w14:paraId="262BF932" w14:textId="770FD951" w:rsidR="00226D67" w:rsidRDefault="00B519D7" w:rsidP="005F18F4">
      <w:pPr>
        <w:pStyle w:val="BodyText"/>
      </w:pPr>
      <w:r w:rsidRPr="006A34B7">
        <w:t xml:space="preserve">Although the community sector encountered profound challenges during 2021, it adapted service delivery to navigate changed circumstances, making a significant and essential contribution to </w:t>
      </w:r>
      <w:r w:rsidR="000C2644" w:rsidRPr="006A34B7">
        <w:t>ACT’s</w:t>
      </w:r>
      <w:r w:rsidRPr="006A34B7">
        <w:t xml:space="preserve"> COVID response</w:t>
      </w:r>
      <w:r w:rsidRPr="00641641">
        <w:t xml:space="preserve">. </w:t>
      </w:r>
      <w:r w:rsidR="00641641" w:rsidRPr="00641641">
        <w:t>Over</w:t>
      </w:r>
      <w:r w:rsidRPr="00641641">
        <w:t xml:space="preserve"> half (</w:t>
      </w:r>
      <w:r w:rsidR="00641641" w:rsidRPr="00641641">
        <w:t>53</w:t>
      </w:r>
      <w:r w:rsidRPr="00641641">
        <w:t xml:space="preserve">%) of survey participants said that in 2021 there were increases in how effectively their service was able to operate during COVID lockdowns, </w:t>
      </w:r>
      <w:r w:rsidRPr="00AC1EDC">
        <w:t>and 3</w:t>
      </w:r>
      <w:r w:rsidR="00AC1EDC" w:rsidRPr="00AC1EDC">
        <w:t>0</w:t>
      </w:r>
      <w:r w:rsidRPr="00AC1EDC">
        <w:t xml:space="preserve">% reported increases in their access to technology to engage with clients and communities. </w:t>
      </w:r>
      <w:r w:rsidRPr="00934B1A">
        <w:t xml:space="preserve">In addition to undertaking core operational work assisting service users, the community sector has also helped increase vaccination rates, </w:t>
      </w:r>
      <w:r w:rsidRPr="00934B1A">
        <w:lastRenderedPageBreak/>
        <w:t>promoted digital literacy and access to technology, and provided urgent emergency relief and financial support. This is an invaluable contribution to the community that reaffirms the importance of the sector to people in need.</w:t>
      </w:r>
    </w:p>
    <w:p w14:paraId="130AC415" w14:textId="1A2423F0" w:rsidR="00166B04" w:rsidRDefault="00FF5B0D" w:rsidP="005F18F4">
      <w:pPr>
        <w:pStyle w:val="BodyText"/>
      </w:pPr>
      <w:r>
        <w:rPr>
          <w:noProof/>
        </w:rPr>
        <w:drawing>
          <wp:inline distT="0" distB="0" distL="0" distR="0" wp14:anchorId="000B73A1" wp14:editId="2EEB951B">
            <wp:extent cx="5400000" cy="3564000"/>
            <wp:effectExtent l="0" t="0" r="0" b="0"/>
            <wp:docPr id="13" name="Picture 13" descr="Graph: How effectively we operate during COVID lockdowns, ACT, 2021. Increased: 53%. Stayed the same: 21%. Decreased: 17%. Not sure/not applicabl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 How effectively we operate during COVID lockdowns, ACT, 2021. Increased: 53%. Stayed the same: 21%. Decreased: 17%. Not sure/not applicabl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3564000"/>
                    </a:xfrm>
                    <a:prstGeom prst="rect">
                      <a:avLst/>
                    </a:prstGeom>
                    <a:noFill/>
                  </pic:spPr>
                </pic:pic>
              </a:graphicData>
            </a:graphic>
          </wp:inline>
        </w:drawing>
      </w:r>
    </w:p>
    <w:p w14:paraId="07185EFE" w14:textId="110FED7A" w:rsidR="00FF5B0D" w:rsidRDefault="0034282E" w:rsidP="005F18F4">
      <w:pPr>
        <w:pStyle w:val="BodyText"/>
      </w:pPr>
      <w:r>
        <w:rPr>
          <w:noProof/>
        </w:rPr>
        <w:drawing>
          <wp:inline distT="0" distB="0" distL="0" distR="0" wp14:anchorId="069D2F87" wp14:editId="46A5728E">
            <wp:extent cx="5400000" cy="3553200"/>
            <wp:effectExtent l="0" t="0" r="0" b="0"/>
            <wp:docPr id="14" name="Picture 14" descr="Graph: Access to technology to engage with clients and communities, ACT, 2021. Increased: 30%. Stayed the same: 56%. Decreased: 8%. Not sure/not applic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 Access to technology to engage with clients and communities, ACT, 2021. Increased: 30%. Stayed the same: 56%. Decreased: 8%. Not sure/not applicabl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3553200"/>
                    </a:xfrm>
                    <a:prstGeom prst="rect">
                      <a:avLst/>
                    </a:prstGeom>
                    <a:noFill/>
                  </pic:spPr>
                </pic:pic>
              </a:graphicData>
            </a:graphic>
          </wp:inline>
        </w:drawing>
      </w:r>
    </w:p>
    <w:p w14:paraId="5BC20A49" w14:textId="17FB12A0" w:rsidR="00950AE5" w:rsidRDefault="44BD6D47" w:rsidP="002169AD">
      <w:pPr>
        <w:pStyle w:val="Heading1"/>
      </w:pPr>
      <w:r>
        <w:lastRenderedPageBreak/>
        <w:t xml:space="preserve">ACTCOSS joins with ACOSS in calling for </w:t>
      </w:r>
      <w:r w:rsidR="00C14F01">
        <w:t>a national COVID-19 recovery plan</w:t>
      </w:r>
    </w:p>
    <w:p w14:paraId="7731C6CB" w14:textId="283D7CB3" w:rsidR="009A3626" w:rsidRDefault="009A3626" w:rsidP="009A3626">
      <w:pPr>
        <w:pStyle w:val="BodyText"/>
      </w:pPr>
      <w:r>
        <w:t xml:space="preserve">A national COVID-19 recovery plan should include a new strategic partnership between the </w:t>
      </w:r>
      <w:r w:rsidR="001C247C">
        <w:t>Australian</w:t>
      </w:r>
      <w:r>
        <w:t xml:space="preserve"> Government and the community sector, to strengthen the working relationship and ensure the expertise and importance of the sector is embedded in government administration and policy development. This partnership would include:</w:t>
      </w:r>
    </w:p>
    <w:p w14:paraId="4BA45A2C" w14:textId="436D4036" w:rsidR="009A3626" w:rsidRDefault="009A3626" w:rsidP="009A3626">
      <w:pPr>
        <w:pStyle w:val="ListBullet"/>
      </w:pPr>
      <w:r>
        <w:t>a new approach to the funding of community services based on need</w:t>
      </w:r>
    </w:p>
    <w:p w14:paraId="7B2430B5" w14:textId="51452E3C" w:rsidR="009A3626" w:rsidRDefault="009A3626" w:rsidP="009A3626">
      <w:pPr>
        <w:pStyle w:val="ListBullet"/>
      </w:pPr>
      <w:r>
        <w:t>a new approach to the delivery of services based on genuine collaboration and co-design principles</w:t>
      </w:r>
    </w:p>
    <w:p w14:paraId="0A4A29D0" w14:textId="74B906F2" w:rsidR="009A3626" w:rsidRDefault="009A3626" w:rsidP="67A45E6B">
      <w:pPr>
        <w:pStyle w:val="ListBullet"/>
      </w:pPr>
      <w:r>
        <w:t>longer funding cycles, more holistic resourcing for organisations and an end to precarious funding arrangements.</w:t>
      </w:r>
    </w:p>
    <w:p w14:paraId="24E5F084" w14:textId="43ADF780" w:rsidR="505535B7" w:rsidRDefault="505535B7" w:rsidP="67A45E6B">
      <w:pPr>
        <w:pStyle w:val="ListBullet"/>
        <w:numPr>
          <w:ilvl w:val="0"/>
          <w:numId w:val="0"/>
        </w:numPr>
        <w:rPr>
          <w:szCs w:val="24"/>
        </w:rPr>
      </w:pPr>
      <w:r w:rsidRPr="67A45E6B">
        <w:rPr>
          <w:szCs w:val="24"/>
        </w:rPr>
        <w:t xml:space="preserve">ACTCOSS also calls on the ACT Government to work closely with the ACT community sector to ensure proper resourcing and funding certainty. </w:t>
      </w:r>
    </w:p>
    <w:p w14:paraId="78B088C2" w14:textId="77C923E3" w:rsidR="002169AD" w:rsidRDefault="001E58DD" w:rsidP="00A76398">
      <w:pPr>
        <w:pStyle w:val="BodyText"/>
      </w:pPr>
      <w:r>
        <w:t xml:space="preserve">Read </w:t>
      </w:r>
      <w:proofErr w:type="spellStart"/>
      <w:r>
        <w:t>ACOSS’s</w:t>
      </w:r>
      <w:proofErr w:type="spellEnd"/>
      <w:r>
        <w:t xml:space="preserve"> 2021 ACSS demand snapshot </w:t>
      </w:r>
      <w:r w:rsidRPr="00E86437">
        <w:rPr>
          <w:i/>
          <w:iCs/>
        </w:rPr>
        <w:t>Meeting demand in the shadow of the Delta outbreak: community sector experiences</w:t>
      </w:r>
      <w:r w:rsidR="00E86437">
        <w:t xml:space="preserve"> </w:t>
      </w:r>
      <w:r w:rsidR="00D4694D">
        <w:t>at the ACOSS website</w:t>
      </w:r>
      <w:r w:rsidR="004A025A">
        <w:t xml:space="preserve">: </w:t>
      </w:r>
      <w:hyperlink r:id="rId21" w:history="1">
        <w:r w:rsidR="004A025A" w:rsidRPr="002731D9">
          <w:rPr>
            <w:rStyle w:val="Hyperlink"/>
          </w:rPr>
          <w:t>acoss.org.au</w:t>
        </w:r>
      </w:hyperlink>
      <w:r w:rsidR="00E86437">
        <w:t>.</w:t>
      </w:r>
    </w:p>
    <w:p w14:paraId="28B521C0" w14:textId="77777777" w:rsidR="009F79DE" w:rsidRDefault="009F79DE" w:rsidP="00A76398">
      <w:pPr>
        <w:pStyle w:val="BodyText"/>
      </w:pPr>
    </w:p>
    <w:p w14:paraId="712EBB0A" w14:textId="77777777" w:rsidR="009F79DE" w:rsidRDefault="009F79DE" w:rsidP="00A76398">
      <w:pPr>
        <w:pStyle w:val="BodyText"/>
      </w:pPr>
    </w:p>
    <w:p w14:paraId="4DC9C16A" w14:textId="7117F8F8" w:rsidR="00950AE5" w:rsidRPr="0033030C" w:rsidRDefault="00E419A1" w:rsidP="0033030C">
      <w:r>
        <w:pict w14:anchorId="774B70E6">
          <v:rect id="_x0000_i1025" style="width:425.2pt;height:1pt" o:hralign="center" o:hrstd="t" o:hrnoshade="t" o:hr="t" fillcolor="#a0a0a0" stroked="f"/>
        </w:pict>
      </w:r>
    </w:p>
    <w:p w14:paraId="500DD90C" w14:textId="77777777" w:rsidR="00950AE5" w:rsidRDefault="00950AE5" w:rsidP="00950AE5">
      <w:pPr>
        <w:pStyle w:val="Contactdetails"/>
      </w:pPr>
      <w:r>
        <w:t xml:space="preserve">ACT Council of Social Service Inc. </w:t>
      </w:r>
      <w:proofErr w:type="gramStart"/>
      <w:r>
        <w:t>|  Weston</w:t>
      </w:r>
      <w:proofErr w:type="gramEnd"/>
      <w:r>
        <w:t xml:space="preserve"> Community Hub, 1/6 </w:t>
      </w:r>
      <w:proofErr w:type="spellStart"/>
      <w:r>
        <w:t>Gritten</w:t>
      </w:r>
      <w:proofErr w:type="spellEnd"/>
      <w:r>
        <w:t xml:space="preserve"> St, Weston ACT 2611</w:t>
      </w:r>
      <w:r>
        <w:br/>
        <w:t>Ph: 02 6202 7200  |  actcoss@actcoss.org.au  |  www.actcoss.org.au</w:t>
      </w:r>
    </w:p>
    <w:p w14:paraId="3E4C7D86" w14:textId="77777777" w:rsidR="00950AE5" w:rsidRDefault="00950AE5" w:rsidP="00950AE5">
      <w:pPr>
        <w:pStyle w:val="Contactdetails"/>
      </w:pPr>
    </w:p>
    <w:p w14:paraId="17784131" w14:textId="77777777" w:rsidR="00950AE5" w:rsidRDefault="00950AE5" w:rsidP="00950AE5">
      <w:pPr>
        <w:pStyle w:val="Contactdetails"/>
      </w:pPr>
      <w:r>
        <w:t xml:space="preserve">ACTCOSS is committed to reconciliation, acknowledges the traditional custodians of the </w:t>
      </w:r>
      <w:proofErr w:type="gramStart"/>
      <w:r>
        <w:t>land</w:t>
      </w:r>
      <w:proofErr w:type="gramEnd"/>
      <w:r>
        <w:t xml:space="preserve"> and pays respect to elders past and present.</w:t>
      </w:r>
    </w:p>
    <w:p w14:paraId="7B69C186" w14:textId="77777777" w:rsidR="00950AE5" w:rsidRDefault="00950AE5" w:rsidP="00950AE5">
      <w:pPr>
        <w:pStyle w:val="Contactdetails"/>
        <w:ind w:left="-113" w:right="-113"/>
      </w:pPr>
    </w:p>
    <w:p w14:paraId="233231E2" w14:textId="4EF04293" w:rsidR="00950AE5" w:rsidRDefault="00A77DC9" w:rsidP="00950AE5">
      <w:pPr>
        <w:pStyle w:val="Contactdetails"/>
        <w:ind w:left="-113" w:right="-113"/>
      </w:pPr>
      <w:r w:rsidRPr="00A77DC9">
        <w:t>ACTCOSS advocates for social justice in the ACT and represents not-for-profit community organisations.</w:t>
      </w:r>
    </w:p>
    <w:p w14:paraId="57B07CD9" w14:textId="77777777" w:rsidR="00950AE5" w:rsidRDefault="00950AE5" w:rsidP="00950AE5">
      <w:pPr>
        <w:pStyle w:val="Contactdetails"/>
      </w:pPr>
    </w:p>
    <w:p w14:paraId="401A58B4" w14:textId="28B27131" w:rsidR="00950AE5" w:rsidRDefault="00950AE5" w:rsidP="00950AE5">
      <w:pPr>
        <w:pStyle w:val="BodyText"/>
        <w:jc w:val="center"/>
      </w:pPr>
      <w:r>
        <w:rPr>
          <w:noProof/>
        </w:rPr>
        <w:drawing>
          <wp:inline distT="0" distB="0" distL="0" distR="0" wp14:anchorId="1FB2F29A" wp14:editId="2F11CA4C">
            <wp:extent cx="1466850" cy="1009650"/>
            <wp:effectExtent l="0" t="0" r="0" b="0"/>
            <wp:docPr id="3" name="Picture 3"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sectPr w:rsidR="00950AE5" w:rsidSect="001E0977">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C34" w14:textId="77777777" w:rsidR="007B1CCB" w:rsidRDefault="007B1CCB">
      <w:r>
        <w:separator/>
      </w:r>
    </w:p>
    <w:p w14:paraId="32509409" w14:textId="77777777" w:rsidR="007B1CCB" w:rsidRDefault="007B1CCB"/>
  </w:endnote>
  <w:endnote w:type="continuationSeparator" w:id="0">
    <w:p w14:paraId="70D5F292" w14:textId="77777777" w:rsidR="007B1CCB" w:rsidRDefault="007B1CCB">
      <w:r>
        <w:continuationSeparator/>
      </w:r>
    </w:p>
    <w:p w14:paraId="5AC7C997" w14:textId="77777777" w:rsidR="007B1CCB" w:rsidRDefault="007B1CCB"/>
  </w:endnote>
  <w:endnote w:type="continuationNotice" w:id="1">
    <w:p w14:paraId="7CF7ACD4" w14:textId="77777777" w:rsidR="007B1CCB" w:rsidRDefault="007B1CCB"/>
  </w:endnote>
  <w:endnote w:id="2">
    <w:p w14:paraId="55AD6902" w14:textId="358BF131" w:rsidR="003B501A" w:rsidRDefault="003B501A">
      <w:pPr>
        <w:pStyle w:val="EndnoteText"/>
      </w:pPr>
      <w:r w:rsidRPr="00115D61">
        <w:endnoteRef/>
      </w:r>
      <w:r w:rsidRPr="00115D61">
        <w:t xml:space="preserve"> </w:t>
      </w:r>
      <w:r w:rsidR="00115D61">
        <w:tab/>
      </w:r>
      <w:r w:rsidR="00DC2472">
        <w:t>This snapshot</w:t>
      </w:r>
      <w:r w:rsidR="00CC516E">
        <w:t xml:space="preserve"> has been produced using</w:t>
      </w:r>
      <w:r w:rsidR="00DC2472">
        <w:t xml:space="preserve"> </w:t>
      </w:r>
      <w:r w:rsidR="00691A65">
        <w:t xml:space="preserve">unpublished data for the ACT </w:t>
      </w:r>
      <w:r w:rsidR="001629B9">
        <w:t>from the 2021 Australian Community Sector Survey provided to ACTCOSS by</w:t>
      </w:r>
      <w:r w:rsidR="00691A65">
        <w:t xml:space="preserve"> the </w:t>
      </w:r>
      <w:r w:rsidR="007645E1" w:rsidRPr="007645E1">
        <w:t>Social Policy Research Centre at UNSW Sydney</w:t>
      </w:r>
      <w:r w:rsidR="00CC516E">
        <w:t xml:space="preserve">. It also draws from the </w:t>
      </w:r>
      <w:r w:rsidR="00646282">
        <w:t xml:space="preserve">national </w:t>
      </w:r>
      <w:r w:rsidR="00CC516E">
        <w:t>2021 ACSS demand snapshot</w:t>
      </w:r>
      <w:r w:rsidR="00824142">
        <w:t xml:space="preserve"> cited as:</w:t>
      </w:r>
      <w:r w:rsidR="00CC516E">
        <w:t xml:space="preserve"> </w:t>
      </w:r>
      <w:r w:rsidR="00EE11AF">
        <w:t xml:space="preserve">N </w:t>
      </w:r>
      <w:r w:rsidR="00EE11AF" w:rsidRPr="00EE11AF">
        <w:t xml:space="preserve">Cortis and </w:t>
      </w:r>
      <w:r w:rsidR="00EE11AF">
        <w:t xml:space="preserve">M </w:t>
      </w:r>
      <w:r w:rsidR="00EE11AF" w:rsidRPr="00EE11AF">
        <w:t>Blaxland</w:t>
      </w:r>
      <w:r w:rsidR="00EE11AF">
        <w:t xml:space="preserve">, </w:t>
      </w:r>
      <w:r w:rsidR="00EE11AF" w:rsidRPr="008741AC">
        <w:rPr>
          <w:i/>
          <w:iCs/>
        </w:rPr>
        <w:t>Meeting demand in the shadow of the Delta outbreak: Community Sector experiences. Demand Snapshot 2021</w:t>
      </w:r>
      <w:r w:rsidR="008741AC">
        <w:t xml:space="preserve">, ACOSS, </w:t>
      </w:r>
      <w:r w:rsidR="00EE11AF" w:rsidRPr="00EE11AF">
        <w:t>Sydney</w:t>
      </w:r>
      <w:r w:rsidR="008741AC">
        <w:t>,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9D44" w14:textId="77777777" w:rsidR="007B1CCB" w:rsidRDefault="007B1CCB">
      <w:r>
        <w:separator/>
      </w:r>
    </w:p>
    <w:p w14:paraId="3AD12899" w14:textId="77777777" w:rsidR="007B1CCB" w:rsidRDefault="007B1CCB"/>
  </w:footnote>
  <w:footnote w:type="continuationSeparator" w:id="0">
    <w:p w14:paraId="3669BF4A" w14:textId="77777777" w:rsidR="007B1CCB" w:rsidRDefault="007B1CCB">
      <w:r>
        <w:continuationSeparator/>
      </w:r>
    </w:p>
    <w:p w14:paraId="11DC3E4C" w14:textId="77777777" w:rsidR="007B1CCB" w:rsidRDefault="007B1CCB"/>
  </w:footnote>
  <w:footnote w:type="continuationNotice" w:id="1">
    <w:p w14:paraId="66FE9165" w14:textId="77777777" w:rsidR="007B1CCB" w:rsidRDefault="007B1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C0F" w14:textId="77777777" w:rsidR="001B5444" w:rsidRDefault="001B5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E702" w14:textId="399B17BC" w:rsidR="001B5444" w:rsidRDefault="001B5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CD01" w14:textId="77777777" w:rsidR="001B5444" w:rsidRDefault="001B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6EA5"/>
    <w:rsid w:val="00007467"/>
    <w:rsid w:val="00007AF0"/>
    <w:rsid w:val="000108D9"/>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BAD"/>
    <w:rsid w:val="00023C3F"/>
    <w:rsid w:val="0002453D"/>
    <w:rsid w:val="000246AF"/>
    <w:rsid w:val="000247E6"/>
    <w:rsid w:val="00024A48"/>
    <w:rsid w:val="00024DDE"/>
    <w:rsid w:val="000252FB"/>
    <w:rsid w:val="000253A9"/>
    <w:rsid w:val="00025602"/>
    <w:rsid w:val="00025A2F"/>
    <w:rsid w:val="00025F23"/>
    <w:rsid w:val="00026723"/>
    <w:rsid w:val="00026A30"/>
    <w:rsid w:val="0002726C"/>
    <w:rsid w:val="0002753B"/>
    <w:rsid w:val="0002768E"/>
    <w:rsid w:val="00030229"/>
    <w:rsid w:val="000302A3"/>
    <w:rsid w:val="0003057E"/>
    <w:rsid w:val="00030AAE"/>
    <w:rsid w:val="00031E30"/>
    <w:rsid w:val="00031E69"/>
    <w:rsid w:val="00031F38"/>
    <w:rsid w:val="00031FE2"/>
    <w:rsid w:val="000320C0"/>
    <w:rsid w:val="000321B4"/>
    <w:rsid w:val="00032D09"/>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A6B"/>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0B1"/>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3A0"/>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9"/>
    <w:rsid w:val="00084422"/>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1A32"/>
    <w:rsid w:val="000A21CD"/>
    <w:rsid w:val="000A2225"/>
    <w:rsid w:val="000A2F18"/>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391"/>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2644"/>
    <w:rsid w:val="000C363D"/>
    <w:rsid w:val="000C37C8"/>
    <w:rsid w:val="000C4DC4"/>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17A"/>
    <w:rsid w:val="000F14F7"/>
    <w:rsid w:val="000F1A19"/>
    <w:rsid w:val="000F1CDC"/>
    <w:rsid w:val="000F262E"/>
    <w:rsid w:val="000F27FF"/>
    <w:rsid w:val="000F39F4"/>
    <w:rsid w:val="000F4692"/>
    <w:rsid w:val="000F4B54"/>
    <w:rsid w:val="000F4F71"/>
    <w:rsid w:val="000F5085"/>
    <w:rsid w:val="000F56AC"/>
    <w:rsid w:val="000F5FDF"/>
    <w:rsid w:val="000F6BDC"/>
    <w:rsid w:val="000F6C5F"/>
    <w:rsid w:val="000F6DC9"/>
    <w:rsid w:val="000F71B8"/>
    <w:rsid w:val="000F73C5"/>
    <w:rsid w:val="000F7980"/>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BDC"/>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5D6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036"/>
    <w:rsid w:val="0013698C"/>
    <w:rsid w:val="001377DE"/>
    <w:rsid w:val="0013785B"/>
    <w:rsid w:val="00137AF8"/>
    <w:rsid w:val="001405FD"/>
    <w:rsid w:val="001406ED"/>
    <w:rsid w:val="00140A42"/>
    <w:rsid w:val="00140A6B"/>
    <w:rsid w:val="00140DEA"/>
    <w:rsid w:val="00141410"/>
    <w:rsid w:val="0014153A"/>
    <w:rsid w:val="0014161E"/>
    <w:rsid w:val="00141F32"/>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4FE6"/>
    <w:rsid w:val="0015576C"/>
    <w:rsid w:val="0015585B"/>
    <w:rsid w:val="00156923"/>
    <w:rsid w:val="00156A23"/>
    <w:rsid w:val="00156BB1"/>
    <w:rsid w:val="00156BED"/>
    <w:rsid w:val="00156DB0"/>
    <w:rsid w:val="0015766D"/>
    <w:rsid w:val="00157B88"/>
    <w:rsid w:val="00160900"/>
    <w:rsid w:val="00160947"/>
    <w:rsid w:val="001610FE"/>
    <w:rsid w:val="0016115D"/>
    <w:rsid w:val="0016197C"/>
    <w:rsid w:val="00161ABA"/>
    <w:rsid w:val="00161F07"/>
    <w:rsid w:val="001623A9"/>
    <w:rsid w:val="0016245C"/>
    <w:rsid w:val="001629B9"/>
    <w:rsid w:val="0016318D"/>
    <w:rsid w:val="00163482"/>
    <w:rsid w:val="0016363B"/>
    <w:rsid w:val="00164895"/>
    <w:rsid w:val="001648A4"/>
    <w:rsid w:val="00165605"/>
    <w:rsid w:val="00165792"/>
    <w:rsid w:val="001659AB"/>
    <w:rsid w:val="00165ABE"/>
    <w:rsid w:val="00165F8F"/>
    <w:rsid w:val="0016628A"/>
    <w:rsid w:val="00166906"/>
    <w:rsid w:val="00166B04"/>
    <w:rsid w:val="00166D83"/>
    <w:rsid w:val="00167200"/>
    <w:rsid w:val="001701B4"/>
    <w:rsid w:val="001704BE"/>
    <w:rsid w:val="00170817"/>
    <w:rsid w:val="00170CE5"/>
    <w:rsid w:val="00171A6A"/>
    <w:rsid w:val="00172183"/>
    <w:rsid w:val="001728CB"/>
    <w:rsid w:val="00172970"/>
    <w:rsid w:val="001734E5"/>
    <w:rsid w:val="00173994"/>
    <w:rsid w:val="00173CE1"/>
    <w:rsid w:val="00174751"/>
    <w:rsid w:val="001747DD"/>
    <w:rsid w:val="001751C7"/>
    <w:rsid w:val="001761B3"/>
    <w:rsid w:val="00176412"/>
    <w:rsid w:val="00176562"/>
    <w:rsid w:val="00176938"/>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97AC9"/>
    <w:rsid w:val="001A0305"/>
    <w:rsid w:val="001A0F4E"/>
    <w:rsid w:val="001A0FF4"/>
    <w:rsid w:val="001A120B"/>
    <w:rsid w:val="001A14C2"/>
    <w:rsid w:val="001A1730"/>
    <w:rsid w:val="001A177A"/>
    <w:rsid w:val="001A177B"/>
    <w:rsid w:val="001A17EB"/>
    <w:rsid w:val="001A19AC"/>
    <w:rsid w:val="001A1A7D"/>
    <w:rsid w:val="001A1CA6"/>
    <w:rsid w:val="001A1E3D"/>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44"/>
    <w:rsid w:val="001B5490"/>
    <w:rsid w:val="001B55E6"/>
    <w:rsid w:val="001B707A"/>
    <w:rsid w:val="001B74C0"/>
    <w:rsid w:val="001B76ED"/>
    <w:rsid w:val="001B7AC6"/>
    <w:rsid w:val="001C017E"/>
    <w:rsid w:val="001C01A5"/>
    <w:rsid w:val="001C061C"/>
    <w:rsid w:val="001C0DCF"/>
    <w:rsid w:val="001C177B"/>
    <w:rsid w:val="001C1A79"/>
    <w:rsid w:val="001C1DFC"/>
    <w:rsid w:val="001C247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869"/>
    <w:rsid w:val="001E0977"/>
    <w:rsid w:val="001E1035"/>
    <w:rsid w:val="001E1990"/>
    <w:rsid w:val="001E1A2C"/>
    <w:rsid w:val="001E1F60"/>
    <w:rsid w:val="001E20E6"/>
    <w:rsid w:val="001E2886"/>
    <w:rsid w:val="001E32AF"/>
    <w:rsid w:val="001E3E24"/>
    <w:rsid w:val="001E4636"/>
    <w:rsid w:val="001E468C"/>
    <w:rsid w:val="001E4979"/>
    <w:rsid w:val="001E49B5"/>
    <w:rsid w:val="001E4A2B"/>
    <w:rsid w:val="001E4B25"/>
    <w:rsid w:val="001E5335"/>
    <w:rsid w:val="001E553F"/>
    <w:rsid w:val="001E5641"/>
    <w:rsid w:val="001E58DD"/>
    <w:rsid w:val="001E623A"/>
    <w:rsid w:val="001E6272"/>
    <w:rsid w:val="001E6369"/>
    <w:rsid w:val="001E63AC"/>
    <w:rsid w:val="001E65FC"/>
    <w:rsid w:val="001E7515"/>
    <w:rsid w:val="001E7934"/>
    <w:rsid w:val="001E7E3C"/>
    <w:rsid w:val="001F0485"/>
    <w:rsid w:val="001F0CD7"/>
    <w:rsid w:val="001F0CE3"/>
    <w:rsid w:val="001F0DBC"/>
    <w:rsid w:val="001F1049"/>
    <w:rsid w:val="001F1192"/>
    <w:rsid w:val="001F1345"/>
    <w:rsid w:val="001F15DF"/>
    <w:rsid w:val="001F16F2"/>
    <w:rsid w:val="001F1A50"/>
    <w:rsid w:val="001F1F59"/>
    <w:rsid w:val="001F2C64"/>
    <w:rsid w:val="001F2CDD"/>
    <w:rsid w:val="001F374E"/>
    <w:rsid w:val="001F3948"/>
    <w:rsid w:val="001F3C9D"/>
    <w:rsid w:val="001F3F33"/>
    <w:rsid w:val="001F463F"/>
    <w:rsid w:val="001F47EB"/>
    <w:rsid w:val="001F495E"/>
    <w:rsid w:val="001F49A7"/>
    <w:rsid w:val="001F4E1D"/>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69AD"/>
    <w:rsid w:val="002179F6"/>
    <w:rsid w:val="00220240"/>
    <w:rsid w:val="002208BA"/>
    <w:rsid w:val="00220F80"/>
    <w:rsid w:val="002212FD"/>
    <w:rsid w:val="00221DC9"/>
    <w:rsid w:val="00222321"/>
    <w:rsid w:val="00222565"/>
    <w:rsid w:val="00222CE1"/>
    <w:rsid w:val="00222E88"/>
    <w:rsid w:val="00222EE0"/>
    <w:rsid w:val="00223CC2"/>
    <w:rsid w:val="002243E1"/>
    <w:rsid w:val="002244B7"/>
    <w:rsid w:val="00224FB2"/>
    <w:rsid w:val="0022506C"/>
    <w:rsid w:val="00225085"/>
    <w:rsid w:val="002252EC"/>
    <w:rsid w:val="002254F6"/>
    <w:rsid w:val="002261C9"/>
    <w:rsid w:val="00226D67"/>
    <w:rsid w:val="00226FEF"/>
    <w:rsid w:val="00227061"/>
    <w:rsid w:val="002272FA"/>
    <w:rsid w:val="00227630"/>
    <w:rsid w:val="00227FA1"/>
    <w:rsid w:val="00231640"/>
    <w:rsid w:val="00231AF3"/>
    <w:rsid w:val="00231BCE"/>
    <w:rsid w:val="00231FF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1F2"/>
    <w:rsid w:val="00241283"/>
    <w:rsid w:val="002413BF"/>
    <w:rsid w:val="00241D76"/>
    <w:rsid w:val="00241F2F"/>
    <w:rsid w:val="002427A4"/>
    <w:rsid w:val="00242F1F"/>
    <w:rsid w:val="002431A5"/>
    <w:rsid w:val="0024387E"/>
    <w:rsid w:val="0024420E"/>
    <w:rsid w:val="00245019"/>
    <w:rsid w:val="002451DA"/>
    <w:rsid w:val="00245475"/>
    <w:rsid w:val="00245A7F"/>
    <w:rsid w:val="00245ADA"/>
    <w:rsid w:val="00246869"/>
    <w:rsid w:val="00246C9A"/>
    <w:rsid w:val="002478AE"/>
    <w:rsid w:val="002478E4"/>
    <w:rsid w:val="002479B4"/>
    <w:rsid w:val="0025053B"/>
    <w:rsid w:val="002506C1"/>
    <w:rsid w:val="00250702"/>
    <w:rsid w:val="002507B5"/>
    <w:rsid w:val="00250F34"/>
    <w:rsid w:val="002513E9"/>
    <w:rsid w:val="0025148C"/>
    <w:rsid w:val="00251C00"/>
    <w:rsid w:val="002527E2"/>
    <w:rsid w:val="002528E6"/>
    <w:rsid w:val="00252ABF"/>
    <w:rsid w:val="00252AE6"/>
    <w:rsid w:val="0025367C"/>
    <w:rsid w:val="0025393B"/>
    <w:rsid w:val="002539D5"/>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AE"/>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7DD"/>
    <w:rsid w:val="00275E45"/>
    <w:rsid w:val="0027654B"/>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5C48"/>
    <w:rsid w:val="00286057"/>
    <w:rsid w:val="00286203"/>
    <w:rsid w:val="002868A7"/>
    <w:rsid w:val="00286BB6"/>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27F"/>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591"/>
    <w:rsid w:val="002C7811"/>
    <w:rsid w:val="002C7F58"/>
    <w:rsid w:val="002D00FA"/>
    <w:rsid w:val="002D02C0"/>
    <w:rsid w:val="002D0595"/>
    <w:rsid w:val="002D078E"/>
    <w:rsid w:val="002D0B60"/>
    <w:rsid w:val="002D0B65"/>
    <w:rsid w:val="002D0E8C"/>
    <w:rsid w:val="002D1338"/>
    <w:rsid w:val="002D2363"/>
    <w:rsid w:val="002D3697"/>
    <w:rsid w:val="002D387F"/>
    <w:rsid w:val="002D3CD0"/>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A12"/>
    <w:rsid w:val="002E4B5B"/>
    <w:rsid w:val="002E4D57"/>
    <w:rsid w:val="002E4FC9"/>
    <w:rsid w:val="002E55AA"/>
    <w:rsid w:val="002E5801"/>
    <w:rsid w:val="002E6432"/>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07"/>
    <w:rsid w:val="002F4325"/>
    <w:rsid w:val="002F4ECA"/>
    <w:rsid w:val="002F4FBF"/>
    <w:rsid w:val="002F516E"/>
    <w:rsid w:val="002F5B91"/>
    <w:rsid w:val="002F5E04"/>
    <w:rsid w:val="002F63AC"/>
    <w:rsid w:val="002F67D0"/>
    <w:rsid w:val="002F6B76"/>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EC4"/>
    <w:rsid w:val="00304F01"/>
    <w:rsid w:val="00304F75"/>
    <w:rsid w:val="0030586D"/>
    <w:rsid w:val="00305DD5"/>
    <w:rsid w:val="00306577"/>
    <w:rsid w:val="00306686"/>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0CBF"/>
    <w:rsid w:val="00321264"/>
    <w:rsid w:val="003212E7"/>
    <w:rsid w:val="003214B7"/>
    <w:rsid w:val="003215F3"/>
    <w:rsid w:val="00321CCC"/>
    <w:rsid w:val="00321F49"/>
    <w:rsid w:val="00322058"/>
    <w:rsid w:val="00322350"/>
    <w:rsid w:val="00322ACA"/>
    <w:rsid w:val="00322E6D"/>
    <w:rsid w:val="00322F70"/>
    <w:rsid w:val="003232D6"/>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30C"/>
    <w:rsid w:val="003308F2"/>
    <w:rsid w:val="00330F22"/>
    <w:rsid w:val="00332647"/>
    <w:rsid w:val="0033271E"/>
    <w:rsid w:val="0033277D"/>
    <w:rsid w:val="00332781"/>
    <w:rsid w:val="00332BBB"/>
    <w:rsid w:val="00333131"/>
    <w:rsid w:val="00333145"/>
    <w:rsid w:val="0033392C"/>
    <w:rsid w:val="0033403B"/>
    <w:rsid w:val="00334558"/>
    <w:rsid w:val="0033459C"/>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2E"/>
    <w:rsid w:val="003428BC"/>
    <w:rsid w:val="00342EB3"/>
    <w:rsid w:val="00343227"/>
    <w:rsid w:val="003433C6"/>
    <w:rsid w:val="0034359D"/>
    <w:rsid w:val="003436DD"/>
    <w:rsid w:val="00343AA7"/>
    <w:rsid w:val="00343E41"/>
    <w:rsid w:val="00344C5D"/>
    <w:rsid w:val="00344FBD"/>
    <w:rsid w:val="00345004"/>
    <w:rsid w:val="003459BF"/>
    <w:rsid w:val="00346190"/>
    <w:rsid w:val="003468B6"/>
    <w:rsid w:val="00347105"/>
    <w:rsid w:val="00347401"/>
    <w:rsid w:val="00347BBC"/>
    <w:rsid w:val="00347BE5"/>
    <w:rsid w:val="00347F01"/>
    <w:rsid w:val="0035051B"/>
    <w:rsid w:val="0035067B"/>
    <w:rsid w:val="00350F59"/>
    <w:rsid w:val="00351307"/>
    <w:rsid w:val="003519F2"/>
    <w:rsid w:val="00351C4B"/>
    <w:rsid w:val="00352287"/>
    <w:rsid w:val="00352393"/>
    <w:rsid w:val="00352539"/>
    <w:rsid w:val="00352802"/>
    <w:rsid w:val="00352900"/>
    <w:rsid w:val="00352994"/>
    <w:rsid w:val="003529D3"/>
    <w:rsid w:val="00353455"/>
    <w:rsid w:val="003537B8"/>
    <w:rsid w:val="00353906"/>
    <w:rsid w:val="00354536"/>
    <w:rsid w:val="0035476E"/>
    <w:rsid w:val="0035497B"/>
    <w:rsid w:val="00354B4F"/>
    <w:rsid w:val="00354F32"/>
    <w:rsid w:val="00355582"/>
    <w:rsid w:val="0035565A"/>
    <w:rsid w:val="00355727"/>
    <w:rsid w:val="00355FA3"/>
    <w:rsid w:val="003563E1"/>
    <w:rsid w:val="0035753B"/>
    <w:rsid w:val="003577AB"/>
    <w:rsid w:val="0035782E"/>
    <w:rsid w:val="00357D2F"/>
    <w:rsid w:val="00360728"/>
    <w:rsid w:val="00360A0C"/>
    <w:rsid w:val="00360C88"/>
    <w:rsid w:val="0036104C"/>
    <w:rsid w:val="003617F5"/>
    <w:rsid w:val="0036276B"/>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267"/>
    <w:rsid w:val="00373754"/>
    <w:rsid w:val="0037387B"/>
    <w:rsid w:val="003738C5"/>
    <w:rsid w:val="00374349"/>
    <w:rsid w:val="00374A72"/>
    <w:rsid w:val="00374B60"/>
    <w:rsid w:val="00375E11"/>
    <w:rsid w:val="003763BA"/>
    <w:rsid w:val="003763C0"/>
    <w:rsid w:val="0037678B"/>
    <w:rsid w:val="00376C3B"/>
    <w:rsid w:val="00376E2D"/>
    <w:rsid w:val="00377AEA"/>
    <w:rsid w:val="00377D70"/>
    <w:rsid w:val="003809CA"/>
    <w:rsid w:val="00380D94"/>
    <w:rsid w:val="003812E6"/>
    <w:rsid w:val="00381763"/>
    <w:rsid w:val="00381EDF"/>
    <w:rsid w:val="00381F19"/>
    <w:rsid w:val="00382568"/>
    <w:rsid w:val="0038323C"/>
    <w:rsid w:val="00383746"/>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7C9"/>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0C8"/>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01A"/>
    <w:rsid w:val="003B534D"/>
    <w:rsid w:val="003B5F20"/>
    <w:rsid w:val="003B60A7"/>
    <w:rsid w:val="003B6261"/>
    <w:rsid w:val="003B6799"/>
    <w:rsid w:val="003B6A83"/>
    <w:rsid w:val="003B6C1C"/>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3F61"/>
    <w:rsid w:val="003C427E"/>
    <w:rsid w:val="003C4927"/>
    <w:rsid w:val="003C518C"/>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0C2"/>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7B4"/>
    <w:rsid w:val="003F1990"/>
    <w:rsid w:val="003F292A"/>
    <w:rsid w:val="003F2D20"/>
    <w:rsid w:val="003F301A"/>
    <w:rsid w:val="003F32F7"/>
    <w:rsid w:val="003F3564"/>
    <w:rsid w:val="003F393B"/>
    <w:rsid w:val="003F3AC3"/>
    <w:rsid w:val="003F489E"/>
    <w:rsid w:val="003F4B3E"/>
    <w:rsid w:val="003F4CB4"/>
    <w:rsid w:val="003F4DBF"/>
    <w:rsid w:val="003F5F43"/>
    <w:rsid w:val="003F6031"/>
    <w:rsid w:val="003F622D"/>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510"/>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3E8C"/>
    <w:rsid w:val="00434C95"/>
    <w:rsid w:val="0043510A"/>
    <w:rsid w:val="00435EF0"/>
    <w:rsid w:val="0043628A"/>
    <w:rsid w:val="0043646E"/>
    <w:rsid w:val="0043653C"/>
    <w:rsid w:val="004371D7"/>
    <w:rsid w:val="00437437"/>
    <w:rsid w:val="0043750A"/>
    <w:rsid w:val="004378BC"/>
    <w:rsid w:val="00437DAA"/>
    <w:rsid w:val="0044013B"/>
    <w:rsid w:val="00440C17"/>
    <w:rsid w:val="00440E91"/>
    <w:rsid w:val="00441A2B"/>
    <w:rsid w:val="00441A68"/>
    <w:rsid w:val="00441E0E"/>
    <w:rsid w:val="00442EFE"/>
    <w:rsid w:val="004433C6"/>
    <w:rsid w:val="0044349D"/>
    <w:rsid w:val="00443D48"/>
    <w:rsid w:val="00444056"/>
    <w:rsid w:val="004440B5"/>
    <w:rsid w:val="004442A4"/>
    <w:rsid w:val="00444C2D"/>
    <w:rsid w:val="00444F5C"/>
    <w:rsid w:val="00445FEF"/>
    <w:rsid w:val="0044610F"/>
    <w:rsid w:val="00446316"/>
    <w:rsid w:val="004465C2"/>
    <w:rsid w:val="00446833"/>
    <w:rsid w:val="00450A90"/>
    <w:rsid w:val="00450CA7"/>
    <w:rsid w:val="00450E29"/>
    <w:rsid w:val="00451082"/>
    <w:rsid w:val="0045120E"/>
    <w:rsid w:val="00451C48"/>
    <w:rsid w:val="0045351A"/>
    <w:rsid w:val="004537B4"/>
    <w:rsid w:val="004539A1"/>
    <w:rsid w:val="004544BC"/>
    <w:rsid w:val="004546C3"/>
    <w:rsid w:val="00454A40"/>
    <w:rsid w:val="004551D5"/>
    <w:rsid w:val="004564BE"/>
    <w:rsid w:val="00456B29"/>
    <w:rsid w:val="00456D24"/>
    <w:rsid w:val="0045729F"/>
    <w:rsid w:val="004573F7"/>
    <w:rsid w:val="004574E2"/>
    <w:rsid w:val="00457A81"/>
    <w:rsid w:val="00457AAB"/>
    <w:rsid w:val="004601B2"/>
    <w:rsid w:val="0046032F"/>
    <w:rsid w:val="00460519"/>
    <w:rsid w:val="0046065B"/>
    <w:rsid w:val="00460A11"/>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CF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3C"/>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0C6"/>
    <w:rsid w:val="0049184C"/>
    <w:rsid w:val="00491A12"/>
    <w:rsid w:val="0049217C"/>
    <w:rsid w:val="004924E6"/>
    <w:rsid w:val="004925DF"/>
    <w:rsid w:val="004930B3"/>
    <w:rsid w:val="00493223"/>
    <w:rsid w:val="0049327D"/>
    <w:rsid w:val="004935F7"/>
    <w:rsid w:val="004938DA"/>
    <w:rsid w:val="00493D53"/>
    <w:rsid w:val="00494B73"/>
    <w:rsid w:val="00495005"/>
    <w:rsid w:val="00496102"/>
    <w:rsid w:val="004969C7"/>
    <w:rsid w:val="00496D13"/>
    <w:rsid w:val="00497CE6"/>
    <w:rsid w:val="00497F1E"/>
    <w:rsid w:val="004A025A"/>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09B"/>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8B5"/>
    <w:rsid w:val="00512111"/>
    <w:rsid w:val="005124E1"/>
    <w:rsid w:val="005129C7"/>
    <w:rsid w:val="005132AC"/>
    <w:rsid w:val="005139AB"/>
    <w:rsid w:val="005139B9"/>
    <w:rsid w:val="005143FD"/>
    <w:rsid w:val="00514F81"/>
    <w:rsid w:val="00515684"/>
    <w:rsid w:val="0051582F"/>
    <w:rsid w:val="00515CFA"/>
    <w:rsid w:val="00516148"/>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2D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D6C"/>
    <w:rsid w:val="00535F5D"/>
    <w:rsid w:val="005361E4"/>
    <w:rsid w:val="005363F7"/>
    <w:rsid w:val="00536582"/>
    <w:rsid w:val="005365A8"/>
    <w:rsid w:val="00536855"/>
    <w:rsid w:val="00536A50"/>
    <w:rsid w:val="00536BAA"/>
    <w:rsid w:val="00536D53"/>
    <w:rsid w:val="00536EB7"/>
    <w:rsid w:val="005370DC"/>
    <w:rsid w:val="005376E4"/>
    <w:rsid w:val="00537CE9"/>
    <w:rsid w:val="0054035C"/>
    <w:rsid w:val="00540720"/>
    <w:rsid w:val="0054094E"/>
    <w:rsid w:val="00540AAC"/>
    <w:rsid w:val="00540AD1"/>
    <w:rsid w:val="005418C2"/>
    <w:rsid w:val="005426C3"/>
    <w:rsid w:val="00542C0F"/>
    <w:rsid w:val="00542D06"/>
    <w:rsid w:val="00542E4E"/>
    <w:rsid w:val="00543A21"/>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704"/>
    <w:rsid w:val="0055654B"/>
    <w:rsid w:val="005566D6"/>
    <w:rsid w:val="00556839"/>
    <w:rsid w:val="00556ECF"/>
    <w:rsid w:val="005572EF"/>
    <w:rsid w:val="0055771E"/>
    <w:rsid w:val="00557F04"/>
    <w:rsid w:val="005608E2"/>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593"/>
    <w:rsid w:val="00566A41"/>
    <w:rsid w:val="00566DB5"/>
    <w:rsid w:val="0056720E"/>
    <w:rsid w:val="0056748C"/>
    <w:rsid w:val="00567BA4"/>
    <w:rsid w:val="00567ED0"/>
    <w:rsid w:val="00567F82"/>
    <w:rsid w:val="005701D9"/>
    <w:rsid w:val="00570538"/>
    <w:rsid w:val="00570A2C"/>
    <w:rsid w:val="00570AD7"/>
    <w:rsid w:val="00571012"/>
    <w:rsid w:val="00571319"/>
    <w:rsid w:val="00571728"/>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980"/>
    <w:rsid w:val="00582D17"/>
    <w:rsid w:val="00582F6E"/>
    <w:rsid w:val="005833C2"/>
    <w:rsid w:val="00583B0A"/>
    <w:rsid w:val="005855E6"/>
    <w:rsid w:val="005859A4"/>
    <w:rsid w:val="00585A18"/>
    <w:rsid w:val="00585D00"/>
    <w:rsid w:val="00586039"/>
    <w:rsid w:val="00586E5E"/>
    <w:rsid w:val="0058714C"/>
    <w:rsid w:val="005876FA"/>
    <w:rsid w:val="00587E37"/>
    <w:rsid w:val="00591383"/>
    <w:rsid w:val="005913F7"/>
    <w:rsid w:val="00591521"/>
    <w:rsid w:val="00591578"/>
    <w:rsid w:val="00591658"/>
    <w:rsid w:val="00591768"/>
    <w:rsid w:val="00591B23"/>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275"/>
    <w:rsid w:val="005A05EF"/>
    <w:rsid w:val="005A068F"/>
    <w:rsid w:val="005A176F"/>
    <w:rsid w:val="005A17EA"/>
    <w:rsid w:val="005A2481"/>
    <w:rsid w:val="005A26D9"/>
    <w:rsid w:val="005A27E4"/>
    <w:rsid w:val="005A286A"/>
    <w:rsid w:val="005A2D7F"/>
    <w:rsid w:val="005A32C8"/>
    <w:rsid w:val="005A38A1"/>
    <w:rsid w:val="005A44C3"/>
    <w:rsid w:val="005A5211"/>
    <w:rsid w:val="005A5555"/>
    <w:rsid w:val="005A6096"/>
    <w:rsid w:val="005A6AC5"/>
    <w:rsid w:val="005A6C10"/>
    <w:rsid w:val="005A6F15"/>
    <w:rsid w:val="005A737B"/>
    <w:rsid w:val="005A73C4"/>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86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3"/>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119"/>
    <w:rsid w:val="005C7131"/>
    <w:rsid w:val="005C7726"/>
    <w:rsid w:val="005C7E2F"/>
    <w:rsid w:val="005D00E9"/>
    <w:rsid w:val="005D0275"/>
    <w:rsid w:val="005D0D2D"/>
    <w:rsid w:val="005D117B"/>
    <w:rsid w:val="005D134E"/>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351"/>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6FCB"/>
    <w:rsid w:val="005E70A5"/>
    <w:rsid w:val="005E7469"/>
    <w:rsid w:val="005E7B4E"/>
    <w:rsid w:val="005F00DE"/>
    <w:rsid w:val="005F066A"/>
    <w:rsid w:val="005F18F4"/>
    <w:rsid w:val="005F2236"/>
    <w:rsid w:val="005F24E0"/>
    <w:rsid w:val="005F2671"/>
    <w:rsid w:val="005F29C5"/>
    <w:rsid w:val="005F2A4E"/>
    <w:rsid w:val="005F2E76"/>
    <w:rsid w:val="005F3093"/>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0F4"/>
    <w:rsid w:val="006139D4"/>
    <w:rsid w:val="00614446"/>
    <w:rsid w:val="00614D59"/>
    <w:rsid w:val="00614FE8"/>
    <w:rsid w:val="0061580D"/>
    <w:rsid w:val="00615A74"/>
    <w:rsid w:val="00615EFD"/>
    <w:rsid w:val="00616D1F"/>
    <w:rsid w:val="00616D71"/>
    <w:rsid w:val="00617041"/>
    <w:rsid w:val="00617644"/>
    <w:rsid w:val="00617769"/>
    <w:rsid w:val="006177A2"/>
    <w:rsid w:val="00617BB1"/>
    <w:rsid w:val="0062026C"/>
    <w:rsid w:val="006202C4"/>
    <w:rsid w:val="00620364"/>
    <w:rsid w:val="0062059D"/>
    <w:rsid w:val="00620994"/>
    <w:rsid w:val="00622604"/>
    <w:rsid w:val="006227DD"/>
    <w:rsid w:val="00622F82"/>
    <w:rsid w:val="0062336D"/>
    <w:rsid w:val="00623DA3"/>
    <w:rsid w:val="00623F4C"/>
    <w:rsid w:val="006245DC"/>
    <w:rsid w:val="0062473A"/>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ABB"/>
    <w:rsid w:val="00632E65"/>
    <w:rsid w:val="00632EFF"/>
    <w:rsid w:val="006330CE"/>
    <w:rsid w:val="0063331F"/>
    <w:rsid w:val="006338CA"/>
    <w:rsid w:val="006342FF"/>
    <w:rsid w:val="006344E8"/>
    <w:rsid w:val="0063456E"/>
    <w:rsid w:val="006348E3"/>
    <w:rsid w:val="00634C73"/>
    <w:rsid w:val="00634D3E"/>
    <w:rsid w:val="00634E51"/>
    <w:rsid w:val="0063539D"/>
    <w:rsid w:val="00635F1C"/>
    <w:rsid w:val="006368BF"/>
    <w:rsid w:val="00636AAA"/>
    <w:rsid w:val="00636B6B"/>
    <w:rsid w:val="00636CB0"/>
    <w:rsid w:val="00636DEF"/>
    <w:rsid w:val="00637310"/>
    <w:rsid w:val="00637572"/>
    <w:rsid w:val="0063766D"/>
    <w:rsid w:val="00637673"/>
    <w:rsid w:val="00637DDD"/>
    <w:rsid w:val="00637F03"/>
    <w:rsid w:val="006408E8"/>
    <w:rsid w:val="006409BD"/>
    <w:rsid w:val="00640FF1"/>
    <w:rsid w:val="00641156"/>
    <w:rsid w:val="00641641"/>
    <w:rsid w:val="00641B60"/>
    <w:rsid w:val="0064266E"/>
    <w:rsid w:val="006428AB"/>
    <w:rsid w:val="00643008"/>
    <w:rsid w:val="00643809"/>
    <w:rsid w:val="00643C58"/>
    <w:rsid w:val="00644558"/>
    <w:rsid w:val="00644768"/>
    <w:rsid w:val="00644847"/>
    <w:rsid w:val="006454A0"/>
    <w:rsid w:val="006461AC"/>
    <w:rsid w:val="00646282"/>
    <w:rsid w:val="006462B7"/>
    <w:rsid w:val="00646435"/>
    <w:rsid w:val="00646966"/>
    <w:rsid w:val="00646B49"/>
    <w:rsid w:val="006470CB"/>
    <w:rsid w:val="00647756"/>
    <w:rsid w:val="00647CA5"/>
    <w:rsid w:val="00647EBC"/>
    <w:rsid w:val="00650286"/>
    <w:rsid w:val="006507D6"/>
    <w:rsid w:val="0065103A"/>
    <w:rsid w:val="006511F1"/>
    <w:rsid w:val="00651487"/>
    <w:rsid w:val="0065257A"/>
    <w:rsid w:val="0065282D"/>
    <w:rsid w:val="00652C4A"/>
    <w:rsid w:val="00652E8D"/>
    <w:rsid w:val="006535BE"/>
    <w:rsid w:val="00653B20"/>
    <w:rsid w:val="00653B7E"/>
    <w:rsid w:val="0065487D"/>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AB7"/>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7DC"/>
    <w:rsid w:val="00671A1F"/>
    <w:rsid w:val="00671D24"/>
    <w:rsid w:val="00672293"/>
    <w:rsid w:val="00672346"/>
    <w:rsid w:val="00672368"/>
    <w:rsid w:val="00673D54"/>
    <w:rsid w:val="00673E90"/>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CE2"/>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81F"/>
    <w:rsid w:val="00686C68"/>
    <w:rsid w:val="006870A3"/>
    <w:rsid w:val="006875BD"/>
    <w:rsid w:val="00687852"/>
    <w:rsid w:val="00687CD8"/>
    <w:rsid w:val="00690440"/>
    <w:rsid w:val="00690508"/>
    <w:rsid w:val="0069088E"/>
    <w:rsid w:val="00690D0F"/>
    <w:rsid w:val="00690F90"/>
    <w:rsid w:val="00691402"/>
    <w:rsid w:val="00691A65"/>
    <w:rsid w:val="00691B7F"/>
    <w:rsid w:val="00691FEB"/>
    <w:rsid w:val="00692849"/>
    <w:rsid w:val="00692DC8"/>
    <w:rsid w:val="006934DC"/>
    <w:rsid w:val="006936A6"/>
    <w:rsid w:val="0069418D"/>
    <w:rsid w:val="00694492"/>
    <w:rsid w:val="006950D2"/>
    <w:rsid w:val="006958A4"/>
    <w:rsid w:val="006958E9"/>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34B7"/>
    <w:rsid w:val="006A40E4"/>
    <w:rsid w:val="006A4531"/>
    <w:rsid w:val="006A4D4D"/>
    <w:rsid w:val="006A4F9C"/>
    <w:rsid w:val="006A5806"/>
    <w:rsid w:val="006A67BD"/>
    <w:rsid w:val="006A6E57"/>
    <w:rsid w:val="006A6FE5"/>
    <w:rsid w:val="006A749C"/>
    <w:rsid w:val="006A74BD"/>
    <w:rsid w:val="006A7588"/>
    <w:rsid w:val="006B0991"/>
    <w:rsid w:val="006B0EFA"/>
    <w:rsid w:val="006B0F0D"/>
    <w:rsid w:val="006B1587"/>
    <w:rsid w:val="006B1CEB"/>
    <w:rsid w:val="006B1D20"/>
    <w:rsid w:val="006B2AB8"/>
    <w:rsid w:val="006B2AC2"/>
    <w:rsid w:val="006B2BE8"/>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4D4"/>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477"/>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308"/>
    <w:rsid w:val="006E0884"/>
    <w:rsid w:val="006E0F37"/>
    <w:rsid w:val="006E1825"/>
    <w:rsid w:val="006E18F9"/>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B6B"/>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7B8"/>
    <w:rsid w:val="00724F63"/>
    <w:rsid w:val="00724FA7"/>
    <w:rsid w:val="0072513C"/>
    <w:rsid w:val="007254C6"/>
    <w:rsid w:val="007255D2"/>
    <w:rsid w:val="00725783"/>
    <w:rsid w:val="00725BD4"/>
    <w:rsid w:val="00725E2E"/>
    <w:rsid w:val="007262F0"/>
    <w:rsid w:val="0072645E"/>
    <w:rsid w:val="007266A0"/>
    <w:rsid w:val="007269B3"/>
    <w:rsid w:val="007277F8"/>
    <w:rsid w:val="00727ECC"/>
    <w:rsid w:val="00727FD8"/>
    <w:rsid w:val="0073003E"/>
    <w:rsid w:val="00730217"/>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893"/>
    <w:rsid w:val="00737B55"/>
    <w:rsid w:val="0074001E"/>
    <w:rsid w:val="007400ED"/>
    <w:rsid w:val="0074060B"/>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6DED"/>
    <w:rsid w:val="00747140"/>
    <w:rsid w:val="00747417"/>
    <w:rsid w:val="0074748F"/>
    <w:rsid w:val="007479AE"/>
    <w:rsid w:val="00747A66"/>
    <w:rsid w:val="00747CD7"/>
    <w:rsid w:val="00750154"/>
    <w:rsid w:val="00750FE0"/>
    <w:rsid w:val="00751868"/>
    <w:rsid w:val="00751B16"/>
    <w:rsid w:val="0075251C"/>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5"/>
    <w:rsid w:val="007604BC"/>
    <w:rsid w:val="00760895"/>
    <w:rsid w:val="00760993"/>
    <w:rsid w:val="00760A53"/>
    <w:rsid w:val="00760AFB"/>
    <w:rsid w:val="00760EE2"/>
    <w:rsid w:val="00761859"/>
    <w:rsid w:val="00761A45"/>
    <w:rsid w:val="007620B8"/>
    <w:rsid w:val="00762335"/>
    <w:rsid w:val="0076283A"/>
    <w:rsid w:val="00762CCA"/>
    <w:rsid w:val="00762E8E"/>
    <w:rsid w:val="00763B3D"/>
    <w:rsid w:val="00763BFD"/>
    <w:rsid w:val="00763DF7"/>
    <w:rsid w:val="007645E1"/>
    <w:rsid w:val="00764A66"/>
    <w:rsid w:val="00765092"/>
    <w:rsid w:val="00765238"/>
    <w:rsid w:val="00765D40"/>
    <w:rsid w:val="007667C7"/>
    <w:rsid w:val="00766BA7"/>
    <w:rsid w:val="00766CCF"/>
    <w:rsid w:val="00766F41"/>
    <w:rsid w:val="007671EE"/>
    <w:rsid w:val="007677DA"/>
    <w:rsid w:val="00770486"/>
    <w:rsid w:val="0077050E"/>
    <w:rsid w:val="0077106A"/>
    <w:rsid w:val="00771699"/>
    <w:rsid w:val="00772161"/>
    <w:rsid w:val="007724E6"/>
    <w:rsid w:val="0077286D"/>
    <w:rsid w:val="007730E5"/>
    <w:rsid w:val="007736D7"/>
    <w:rsid w:val="00774281"/>
    <w:rsid w:val="007743B0"/>
    <w:rsid w:val="00774BDE"/>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C23"/>
    <w:rsid w:val="007A0CEA"/>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CCB"/>
    <w:rsid w:val="007B1F0B"/>
    <w:rsid w:val="007B25B4"/>
    <w:rsid w:val="007B2C6A"/>
    <w:rsid w:val="007B317A"/>
    <w:rsid w:val="007B3A87"/>
    <w:rsid w:val="007B3E2A"/>
    <w:rsid w:val="007B3F96"/>
    <w:rsid w:val="007B4042"/>
    <w:rsid w:val="007B433F"/>
    <w:rsid w:val="007B4484"/>
    <w:rsid w:val="007B4AF3"/>
    <w:rsid w:val="007B4C0C"/>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05E"/>
    <w:rsid w:val="007C11F7"/>
    <w:rsid w:val="007C15A0"/>
    <w:rsid w:val="007C19A2"/>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2B86"/>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54"/>
    <w:rsid w:val="007E1B64"/>
    <w:rsid w:val="007E1BBB"/>
    <w:rsid w:val="007E262C"/>
    <w:rsid w:val="007E265A"/>
    <w:rsid w:val="007E27EF"/>
    <w:rsid w:val="007E353D"/>
    <w:rsid w:val="007E3C1F"/>
    <w:rsid w:val="007E4679"/>
    <w:rsid w:val="007E486A"/>
    <w:rsid w:val="007E4CD6"/>
    <w:rsid w:val="007E4F58"/>
    <w:rsid w:val="007E5101"/>
    <w:rsid w:val="007E62B1"/>
    <w:rsid w:val="007E62ED"/>
    <w:rsid w:val="007E680E"/>
    <w:rsid w:val="007E6CF7"/>
    <w:rsid w:val="007E71CE"/>
    <w:rsid w:val="007E7993"/>
    <w:rsid w:val="007E7C66"/>
    <w:rsid w:val="007E7F21"/>
    <w:rsid w:val="007F012E"/>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797"/>
    <w:rsid w:val="007F3851"/>
    <w:rsid w:val="007F3ACD"/>
    <w:rsid w:val="007F45C5"/>
    <w:rsid w:val="007F5E02"/>
    <w:rsid w:val="007F62AE"/>
    <w:rsid w:val="007F6922"/>
    <w:rsid w:val="007F6C2A"/>
    <w:rsid w:val="007F70FA"/>
    <w:rsid w:val="007F71C9"/>
    <w:rsid w:val="007F7634"/>
    <w:rsid w:val="007F7CAC"/>
    <w:rsid w:val="007F7EAB"/>
    <w:rsid w:val="008000CD"/>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1D51"/>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142"/>
    <w:rsid w:val="008241CB"/>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ECB"/>
    <w:rsid w:val="00831028"/>
    <w:rsid w:val="00831594"/>
    <w:rsid w:val="008318AC"/>
    <w:rsid w:val="00831B2B"/>
    <w:rsid w:val="00831C0C"/>
    <w:rsid w:val="008325EF"/>
    <w:rsid w:val="008327BF"/>
    <w:rsid w:val="00832978"/>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188"/>
    <w:rsid w:val="00841451"/>
    <w:rsid w:val="008416CA"/>
    <w:rsid w:val="00841702"/>
    <w:rsid w:val="008418E2"/>
    <w:rsid w:val="00841F59"/>
    <w:rsid w:val="00842018"/>
    <w:rsid w:val="0084215E"/>
    <w:rsid w:val="0084289B"/>
    <w:rsid w:val="00842BDF"/>
    <w:rsid w:val="00842FDA"/>
    <w:rsid w:val="008432B9"/>
    <w:rsid w:val="008435EC"/>
    <w:rsid w:val="00843789"/>
    <w:rsid w:val="008438B6"/>
    <w:rsid w:val="00843BBB"/>
    <w:rsid w:val="00843D02"/>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BDB"/>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A88"/>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C62"/>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1AC"/>
    <w:rsid w:val="008746D0"/>
    <w:rsid w:val="00874A48"/>
    <w:rsid w:val="008753C0"/>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C7F"/>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888"/>
    <w:rsid w:val="00892FA1"/>
    <w:rsid w:val="00892FF0"/>
    <w:rsid w:val="00893511"/>
    <w:rsid w:val="008936F9"/>
    <w:rsid w:val="00893806"/>
    <w:rsid w:val="00893AD1"/>
    <w:rsid w:val="00893D4A"/>
    <w:rsid w:val="008942F3"/>
    <w:rsid w:val="008946A3"/>
    <w:rsid w:val="0089489B"/>
    <w:rsid w:val="00894EEC"/>
    <w:rsid w:val="00894FAF"/>
    <w:rsid w:val="0089597A"/>
    <w:rsid w:val="008959C9"/>
    <w:rsid w:val="00895B8B"/>
    <w:rsid w:val="00895CEA"/>
    <w:rsid w:val="00896123"/>
    <w:rsid w:val="00896729"/>
    <w:rsid w:val="0089691C"/>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292"/>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1B21"/>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852"/>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E7F9A"/>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3BC"/>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D82"/>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8A1"/>
    <w:rsid w:val="00931DCD"/>
    <w:rsid w:val="00931E44"/>
    <w:rsid w:val="00932947"/>
    <w:rsid w:val="00932D18"/>
    <w:rsid w:val="00932DD8"/>
    <w:rsid w:val="00932EB2"/>
    <w:rsid w:val="0093355E"/>
    <w:rsid w:val="00934462"/>
    <w:rsid w:val="009347B0"/>
    <w:rsid w:val="00934860"/>
    <w:rsid w:val="00934ADF"/>
    <w:rsid w:val="00934B10"/>
    <w:rsid w:val="00934B1A"/>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66"/>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0AE5"/>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84"/>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4C07"/>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0A"/>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3B7"/>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C9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626"/>
    <w:rsid w:val="009A3985"/>
    <w:rsid w:val="009A4AB7"/>
    <w:rsid w:val="009A5AE8"/>
    <w:rsid w:val="009A5B44"/>
    <w:rsid w:val="009A5C09"/>
    <w:rsid w:val="009A5C2F"/>
    <w:rsid w:val="009A5F35"/>
    <w:rsid w:val="009A606F"/>
    <w:rsid w:val="009A67A1"/>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1B4A"/>
    <w:rsid w:val="009C1B75"/>
    <w:rsid w:val="009C1EB8"/>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12A9"/>
    <w:rsid w:val="009E2A7B"/>
    <w:rsid w:val="009E309C"/>
    <w:rsid w:val="009E3317"/>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2CE"/>
    <w:rsid w:val="009F79DE"/>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55C"/>
    <w:rsid w:val="00A10639"/>
    <w:rsid w:val="00A10674"/>
    <w:rsid w:val="00A10907"/>
    <w:rsid w:val="00A10A1C"/>
    <w:rsid w:val="00A10BFE"/>
    <w:rsid w:val="00A11BB9"/>
    <w:rsid w:val="00A12920"/>
    <w:rsid w:val="00A12A6A"/>
    <w:rsid w:val="00A134CC"/>
    <w:rsid w:val="00A13B86"/>
    <w:rsid w:val="00A13C47"/>
    <w:rsid w:val="00A1449B"/>
    <w:rsid w:val="00A14F81"/>
    <w:rsid w:val="00A156B6"/>
    <w:rsid w:val="00A15A12"/>
    <w:rsid w:val="00A163B6"/>
    <w:rsid w:val="00A16B49"/>
    <w:rsid w:val="00A174BB"/>
    <w:rsid w:val="00A175C0"/>
    <w:rsid w:val="00A17DE4"/>
    <w:rsid w:val="00A20056"/>
    <w:rsid w:val="00A204A1"/>
    <w:rsid w:val="00A2053E"/>
    <w:rsid w:val="00A2074F"/>
    <w:rsid w:val="00A20A16"/>
    <w:rsid w:val="00A20D2F"/>
    <w:rsid w:val="00A214D3"/>
    <w:rsid w:val="00A21606"/>
    <w:rsid w:val="00A217F4"/>
    <w:rsid w:val="00A21819"/>
    <w:rsid w:val="00A21B7A"/>
    <w:rsid w:val="00A21FF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8F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6F37"/>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7DA"/>
    <w:rsid w:val="00A44AC1"/>
    <w:rsid w:val="00A44FA8"/>
    <w:rsid w:val="00A457DD"/>
    <w:rsid w:val="00A45BEF"/>
    <w:rsid w:val="00A46350"/>
    <w:rsid w:val="00A46577"/>
    <w:rsid w:val="00A46629"/>
    <w:rsid w:val="00A46B49"/>
    <w:rsid w:val="00A473F2"/>
    <w:rsid w:val="00A47415"/>
    <w:rsid w:val="00A475E4"/>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1DB"/>
    <w:rsid w:val="00A562A2"/>
    <w:rsid w:val="00A564D6"/>
    <w:rsid w:val="00A56A11"/>
    <w:rsid w:val="00A56B9F"/>
    <w:rsid w:val="00A575AE"/>
    <w:rsid w:val="00A57676"/>
    <w:rsid w:val="00A57677"/>
    <w:rsid w:val="00A576F0"/>
    <w:rsid w:val="00A57702"/>
    <w:rsid w:val="00A57D4E"/>
    <w:rsid w:val="00A57F34"/>
    <w:rsid w:val="00A603C5"/>
    <w:rsid w:val="00A60442"/>
    <w:rsid w:val="00A60CF4"/>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A95"/>
    <w:rsid w:val="00A65CE8"/>
    <w:rsid w:val="00A66068"/>
    <w:rsid w:val="00A66E1A"/>
    <w:rsid w:val="00A66EEA"/>
    <w:rsid w:val="00A66FF2"/>
    <w:rsid w:val="00A672A0"/>
    <w:rsid w:val="00A701D8"/>
    <w:rsid w:val="00A702DD"/>
    <w:rsid w:val="00A7053C"/>
    <w:rsid w:val="00A71829"/>
    <w:rsid w:val="00A71F28"/>
    <w:rsid w:val="00A72A31"/>
    <w:rsid w:val="00A72E60"/>
    <w:rsid w:val="00A72E7F"/>
    <w:rsid w:val="00A7350B"/>
    <w:rsid w:val="00A73704"/>
    <w:rsid w:val="00A73A0E"/>
    <w:rsid w:val="00A73B6F"/>
    <w:rsid w:val="00A73E04"/>
    <w:rsid w:val="00A73E82"/>
    <w:rsid w:val="00A7431A"/>
    <w:rsid w:val="00A74467"/>
    <w:rsid w:val="00A7489D"/>
    <w:rsid w:val="00A74F3B"/>
    <w:rsid w:val="00A75020"/>
    <w:rsid w:val="00A76398"/>
    <w:rsid w:val="00A76960"/>
    <w:rsid w:val="00A77953"/>
    <w:rsid w:val="00A77DC9"/>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074"/>
    <w:rsid w:val="00A9146A"/>
    <w:rsid w:val="00A91FA5"/>
    <w:rsid w:val="00A92258"/>
    <w:rsid w:val="00A92574"/>
    <w:rsid w:val="00A92BA7"/>
    <w:rsid w:val="00A92C33"/>
    <w:rsid w:val="00A92EBB"/>
    <w:rsid w:val="00A931A3"/>
    <w:rsid w:val="00A9339E"/>
    <w:rsid w:val="00A93504"/>
    <w:rsid w:val="00A93D64"/>
    <w:rsid w:val="00A94652"/>
    <w:rsid w:val="00A946CF"/>
    <w:rsid w:val="00A946D4"/>
    <w:rsid w:val="00A9489A"/>
    <w:rsid w:val="00A948C2"/>
    <w:rsid w:val="00A94A5B"/>
    <w:rsid w:val="00A94D7F"/>
    <w:rsid w:val="00A94EA6"/>
    <w:rsid w:val="00A94EC8"/>
    <w:rsid w:val="00A95832"/>
    <w:rsid w:val="00A95EFD"/>
    <w:rsid w:val="00A96435"/>
    <w:rsid w:val="00A964F1"/>
    <w:rsid w:val="00A967F3"/>
    <w:rsid w:val="00A969BA"/>
    <w:rsid w:val="00A96F85"/>
    <w:rsid w:val="00A9799E"/>
    <w:rsid w:val="00A97C78"/>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1EBE"/>
    <w:rsid w:val="00AB255D"/>
    <w:rsid w:val="00AB26E0"/>
    <w:rsid w:val="00AB285F"/>
    <w:rsid w:val="00AB30AB"/>
    <w:rsid w:val="00AB3B09"/>
    <w:rsid w:val="00AB3B58"/>
    <w:rsid w:val="00AB3C14"/>
    <w:rsid w:val="00AB3D2B"/>
    <w:rsid w:val="00AB3F7E"/>
    <w:rsid w:val="00AB487F"/>
    <w:rsid w:val="00AB49E3"/>
    <w:rsid w:val="00AB4AC0"/>
    <w:rsid w:val="00AB4B31"/>
    <w:rsid w:val="00AB4B90"/>
    <w:rsid w:val="00AB5B17"/>
    <w:rsid w:val="00AB5B73"/>
    <w:rsid w:val="00AB5C2F"/>
    <w:rsid w:val="00AB6141"/>
    <w:rsid w:val="00AB61F3"/>
    <w:rsid w:val="00AB6576"/>
    <w:rsid w:val="00AB6A73"/>
    <w:rsid w:val="00AB6AB5"/>
    <w:rsid w:val="00AB6EBD"/>
    <w:rsid w:val="00AB796F"/>
    <w:rsid w:val="00AB79D2"/>
    <w:rsid w:val="00AC0708"/>
    <w:rsid w:val="00AC1596"/>
    <w:rsid w:val="00AC1A41"/>
    <w:rsid w:val="00AC1EAB"/>
    <w:rsid w:val="00AC1EDC"/>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037"/>
    <w:rsid w:val="00AD03F0"/>
    <w:rsid w:val="00AD0D35"/>
    <w:rsid w:val="00AD1866"/>
    <w:rsid w:val="00AD1986"/>
    <w:rsid w:val="00AD1E31"/>
    <w:rsid w:val="00AD1EA4"/>
    <w:rsid w:val="00AD20A6"/>
    <w:rsid w:val="00AD2338"/>
    <w:rsid w:val="00AD2B5B"/>
    <w:rsid w:val="00AD2D8E"/>
    <w:rsid w:val="00AD2E0E"/>
    <w:rsid w:val="00AD3DC4"/>
    <w:rsid w:val="00AD4025"/>
    <w:rsid w:val="00AD4216"/>
    <w:rsid w:val="00AD4F66"/>
    <w:rsid w:val="00AD55B9"/>
    <w:rsid w:val="00AD577F"/>
    <w:rsid w:val="00AD5A65"/>
    <w:rsid w:val="00AD5D61"/>
    <w:rsid w:val="00AD5EA7"/>
    <w:rsid w:val="00AD626B"/>
    <w:rsid w:val="00AD63D4"/>
    <w:rsid w:val="00AD703F"/>
    <w:rsid w:val="00AD7377"/>
    <w:rsid w:val="00AE0DB6"/>
    <w:rsid w:val="00AE0F21"/>
    <w:rsid w:val="00AE0F65"/>
    <w:rsid w:val="00AE1EED"/>
    <w:rsid w:val="00AE22A4"/>
    <w:rsid w:val="00AE28C2"/>
    <w:rsid w:val="00AE2AEB"/>
    <w:rsid w:val="00AE3A79"/>
    <w:rsid w:val="00AE3DA6"/>
    <w:rsid w:val="00AE3DE3"/>
    <w:rsid w:val="00AE3FCC"/>
    <w:rsid w:val="00AE410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351"/>
    <w:rsid w:val="00AE7542"/>
    <w:rsid w:val="00AE7D04"/>
    <w:rsid w:val="00AE7E51"/>
    <w:rsid w:val="00AF0350"/>
    <w:rsid w:val="00AF0EBD"/>
    <w:rsid w:val="00AF0F1D"/>
    <w:rsid w:val="00AF18FE"/>
    <w:rsid w:val="00AF1D67"/>
    <w:rsid w:val="00AF2AC5"/>
    <w:rsid w:val="00AF3238"/>
    <w:rsid w:val="00AF393D"/>
    <w:rsid w:val="00AF3AB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D4"/>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7FC"/>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02"/>
    <w:rsid w:val="00B25AD2"/>
    <w:rsid w:val="00B268A2"/>
    <w:rsid w:val="00B269B3"/>
    <w:rsid w:val="00B26EFF"/>
    <w:rsid w:val="00B271B4"/>
    <w:rsid w:val="00B2789A"/>
    <w:rsid w:val="00B27F73"/>
    <w:rsid w:val="00B30963"/>
    <w:rsid w:val="00B30A90"/>
    <w:rsid w:val="00B30A99"/>
    <w:rsid w:val="00B30AE1"/>
    <w:rsid w:val="00B30C4C"/>
    <w:rsid w:val="00B31108"/>
    <w:rsid w:val="00B31621"/>
    <w:rsid w:val="00B316A1"/>
    <w:rsid w:val="00B31805"/>
    <w:rsid w:val="00B31A62"/>
    <w:rsid w:val="00B31B87"/>
    <w:rsid w:val="00B31F11"/>
    <w:rsid w:val="00B321FA"/>
    <w:rsid w:val="00B33B04"/>
    <w:rsid w:val="00B33B7C"/>
    <w:rsid w:val="00B33C07"/>
    <w:rsid w:val="00B33D4E"/>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C4A"/>
    <w:rsid w:val="00B44C63"/>
    <w:rsid w:val="00B4516C"/>
    <w:rsid w:val="00B45A3C"/>
    <w:rsid w:val="00B4601E"/>
    <w:rsid w:val="00B46B56"/>
    <w:rsid w:val="00B46BBD"/>
    <w:rsid w:val="00B471F9"/>
    <w:rsid w:val="00B476E0"/>
    <w:rsid w:val="00B47D00"/>
    <w:rsid w:val="00B50035"/>
    <w:rsid w:val="00B50992"/>
    <w:rsid w:val="00B50DD7"/>
    <w:rsid w:val="00B51142"/>
    <w:rsid w:val="00B51173"/>
    <w:rsid w:val="00B51849"/>
    <w:rsid w:val="00B519D7"/>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7AF"/>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69E"/>
    <w:rsid w:val="00B66F90"/>
    <w:rsid w:val="00B6736F"/>
    <w:rsid w:val="00B6737E"/>
    <w:rsid w:val="00B674D9"/>
    <w:rsid w:val="00B67894"/>
    <w:rsid w:val="00B67963"/>
    <w:rsid w:val="00B67E6E"/>
    <w:rsid w:val="00B70CF2"/>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168"/>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4BA5"/>
    <w:rsid w:val="00BB510A"/>
    <w:rsid w:val="00BB5243"/>
    <w:rsid w:val="00BB5D24"/>
    <w:rsid w:val="00BB6424"/>
    <w:rsid w:val="00BB64B7"/>
    <w:rsid w:val="00BB65D9"/>
    <w:rsid w:val="00BB6C3F"/>
    <w:rsid w:val="00BB6D92"/>
    <w:rsid w:val="00BB6ED6"/>
    <w:rsid w:val="00BB70B9"/>
    <w:rsid w:val="00BB7D87"/>
    <w:rsid w:val="00BC02F3"/>
    <w:rsid w:val="00BC06B9"/>
    <w:rsid w:val="00BC0AD0"/>
    <w:rsid w:val="00BC0E35"/>
    <w:rsid w:val="00BC1BB0"/>
    <w:rsid w:val="00BC1BD2"/>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472"/>
    <w:rsid w:val="00BD274B"/>
    <w:rsid w:val="00BD378A"/>
    <w:rsid w:val="00BD43D6"/>
    <w:rsid w:val="00BD4538"/>
    <w:rsid w:val="00BD4965"/>
    <w:rsid w:val="00BD4B75"/>
    <w:rsid w:val="00BD4E76"/>
    <w:rsid w:val="00BD5521"/>
    <w:rsid w:val="00BD5A84"/>
    <w:rsid w:val="00BD68FF"/>
    <w:rsid w:val="00BD6EDA"/>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5D51"/>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4B"/>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01E"/>
    <w:rsid w:val="00C14129"/>
    <w:rsid w:val="00C146F2"/>
    <w:rsid w:val="00C14CF9"/>
    <w:rsid w:val="00C14DFB"/>
    <w:rsid w:val="00C14F01"/>
    <w:rsid w:val="00C14FBF"/>
    <w:rsid w:val="00C152D0"/>
    <w:rsid w:val="00C15838"/>
    <w:rsid w:val="00C15C5A"/>
    <w:rsid w:val="00C15F6A"/>
    <w:rsid w:val="00C1640F"/>
    <w:rsid w:val="00C16CC2"/>
    <w:rsid w:val="00C16D04"/>
    <w:rsid w:val="00C16E75"/>
    <w:rsid w:val="00C17185"/>
    <w:rsid w:val="00C177A7"/>
    <w:rsid w:val="00C17CC8"/>
    <w:rsid w:val="00C17D64"/>
    <w:rsid w:val="00C20242"/>
    <w:rsid w:val="00C204F0"/>
    <w:rsid w:val="00C2069C"/>
    <w:rsid w:val="00C2078F"/>
    <w:rsid w:val="00C207CF"/>
    <w:rsid w:val="00C2097E"/>
    <w:rsid w:val="00C212AE"/>
    <w:rsid w:val="00C214F1"/>
    <w:rsid w:val="00C21B13"/>
    <w:rsid w:val="00C21E89"/>
    <w:rsid w:val="00C221EE"/>
    <w:rsid w:val="00C221FA"/>
    <w:rsid w:val="00C22916"/>
    <w:rsid w:val="00C22DA9"/>
    <w:rsid w:val="00C23149"/>
    <w:rsid w:val="00C236C0"/>
    <w:rsid w:val="00C23822"/>
    <w:rsid w:val="00C23D34"/>
    <w:rsid w:val="00C23E0D"/>
    <w:rsid w:val="00C24B00"/>
    <w:rsid w:val="00C24CD0"/>
    <w:rsid w:val="00C2538E"/>
    <w:rsid w:val="00C2552C"/>
    <w:rsid w:val="00C2555B"/>
    <w:rsid w:val="00C256E6"/>
    <w:rsid w:val="00C25FE7"/>
    <w:rsid w:val="00C263C3"/>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6F2"/>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839"/>
    <w:rsid w:val="00C86BB6"/>
    <w:rsid w:val="00C86C5F"/>
    <w:rsid w:val="00C879B3"/>
    <w:rsid w:val="00C87D9A"/>
    <w:rsid w:val="00C902E0"/>
    <w:rsid w:val="00C909E8"/>
    <w:rsid w:val="00C90A12"/>
    <w:rsid w:val="00C914C8"/>
    <w:rsid w:val="00C9150F"/>
    <w:rsid w:val="00C91522"/>
    <w:rsid w:val="00C9216D"/>
    <w:rsid w:val="00C926DF"/>
    <w:rsid w:val="00C92F0E"/>
    <w:rsid w:val="00C9311A"/>
    <w:rsid w:val="00C9333E"/>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4943"/>
    <w:rsid w:val="00CC516E"/>
    <w:rsid w:val="00CC51CA"/>
    <w:rsid w:val="00CC53AE"/>
    <w:rsid w:val="00CC565C"/>
    <w:rsid w:val="00CC5770"/>
    <w:rsid w:val="00CC6374"/>
    <w:rsid w:val="00CC6697"/>
    <w:rsid w:val="00CC6C60"/>
    <w:rsid w:val="00CC754C"/>
    <w:rsid w:val="00CC7BD1"/>
    <w:rsid w:val="00CC7C53"/>
    <w:rsid w:val="00CC7DCB"/>
    <w:rsid w:val="00CD07EA"/>
    <w:rsid w:val="00CD1020"/>
    <w:rsid w:val="00CD1C47"/>
    <w:rsid w:val="00CD1CAE"/>
    <w:rsid w:val="00CD2274"/>
    <w:rsid w:val="00CD227E"/>
    <w:rsid w:val="00CD2283"/>
    <w:rsid w:val="00CD28FF"/>
    <w:rsid w:val="00CD301A"/>
    <w:rsid w:val="00CD34D3"/>
    <w:rsid w:val="00CD3CDC"/>
    <w:rsid w:val="00CD3DCB"/>
    <w:rsid w:val="00CD49B9"/>
    <w:rsid w:val="00CD4DEC"/>
    <w:rsid w:val="00CD4F24"/>
    <w:rsid w:val="00CD4F7C"/>
    <w:rsid w:val="00CD6330"/>
    <w:rsid w:val="00CD65C1"/>
    <w:rsid w:val="00CD6760"/>
    <w:rsid w:val="00CD7A03"/>
    <w:rsid w:val="00CE0136"/>
    <w:rsid w:val="00CE1D33"/>
    <w:rsid w:val="00CE22EF"/>
    <w:rsid w:val="00CE24A4"/>
    <w:rsid w:val="00CE300E"/>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0CC"/>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3BD3"/>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0F4"/>
    <w:rsid w:val="00D102D1"/>
    <w:rsid w:val="00D10312"/>
    <w:rsid w:val="00D107D3"/>
    <w:rsid w:val="00D10AFB"/>
    <w:rsid w:val="00D10B6F"/>
    <w:rsid w:val="00D11032"/>
    <w:rsid w:val="00D12C19"/>
    <w:rsid w:val="00D12F06"/>
    <w:rsid w:val="00D130E3"/>
    <w:rsid w:val="00D13588"/>
    <w:rsid w:val="00D13C85"/>
    <w:rsid w:val="00D13F3D"/>
    <w:rsid w:val="00D14FEE"/>
    <w:rsid w:val="00D164B2"/>
    <w:rsid w:val="00D168F4"/>
    <w:rsid w:val="00D16BE3"/>
    <w:rsid w:val="00D16C42"/>
    <w:rsid w:val="00D16D35"/>
    <w:rsid w:val="00D170E0"/>
    <w:rsid w:val="00D172BA"/>
    <w:rsid w:val="00D179CB"/>
    <w:rsid w:val="00D17B7D"/>
    <w:rsid w:val="00D17BB6"/>
    <w:rsid w:val="00D17DFF"/>
    <w:rsid w:val="00D20AA3"/>
    <w:rsid w:val="00D20C8A"/>
    <w:rsid w:val="00D216BE"/>
    <w:rsid w:val="00D21E02"/>
    <w:rsid w:val="00D226BB"/>
    <w:rsid w:val="00D227ED"/>
    <w:rsid w:val="00D22A26"/>
    <w:rsid w:val="00D22E33"/>
    <w:rsid w:val="00D22EFE"/>
    <w:rsid w:val="00D24427"/>
    <w:rsid w:val="00D24C72"/>
    <w:rsid w:val="00D25B7A"/>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333"/>
    <w:rsid w:val="00D333F5"/>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BBD"/>
    <w:rsid w:val="00D35E93"/>
    <w:rsid w:val="00D35F42"/>
    <w:rsid w:val="00D35FCF"/>
    <w:rsid w:val="00D35FD9"/>
    <w:rsid w:val="00D35FED"/>
    <w:rsid w:val="00D3631C"/>
    <w:rsid w:val="00D36390"/>
    <w:rsid w:val="00D36711"/>
    <w:rsid w:val="00D36ABE"/>
    <w:rsid w:val="00D3707F"/>
    <w:rsid w:val="00D373E6"/>
    <w:rsid w:val="00D37612"/>
    <w:rsid w:val="00D37BC6"/>
    <w:rsid w:val="00D4001F"/>
    <w:rsid w:val="00D40039"/>
    <w:rsid w:val="00D401BC"/>
    <w:rsid w:val="00D40355"/>
    <w:rsid w:val="00D40508"/>
    <w:rsid w:val="00D40634"/>
    <w:rsid w:val="00D40666"/>
    <w:rsid w:val="00D408B4"/>
    <w:rsid w:val="00D40F05"/>
    <w:rsid w:val="00D410CB"/>
    <w:rsid w:val="00D417BB"/>
    <w:rsid w:val="00D41D7C"/>
    <w:rsid w:val="00D420A9"/>
    <w:rsid w:val="00D42B3B"/>
    <w:rsid w:val="00D42EE0"/>
    <w:rsid w:val="00D43F20"/>
    <w:rsid w:val="00D43F30"/>
    <w:rsid w:val="00D446FF"/>
    <w:rsid w:val="00D449D0"/>
    <w:rsid w:val="00D4503C"/>
    <w:rsid w:val="00D454F9"/>
    <w:rsid w:val="00D45870"/>
    <w:rsid w:val="00D45CC4"/>
    <w:rsid w:val="00D45D0D"/>
    <w:rsid w:val="00D4694D"/>
    <w:rsid w:val="00D46BD4"/>
    <w:rsid w:val="00D46DB3"/>
    <w:rsid w:val="00D46E2B"/>
    <w:rsid w:val="00D470DD"/>
    <w:rsid w:val="00D470EC"/>
    <w:rsid w:val="00D47944"/>
    <w:rsid w:val="00D50580"/>
    <w:rsid w:val="00D50827"/>
    <w:rsid w:val="00D509D9"/>
    <w:rsid w:val="00D5127E"/>
    <w:rsid w:val="00D5186D"/>
    <w:rsid w:val="00D51E65"/>
    <w:rsid w:val="00D522A0"/>
    <w:rsid w:val="00D5243F"/>
    <w:rsid w:val="00D525B8"/>
    <w:rsid w:val="00D5340C"/>
    <w:rsid w:val="00D53AB2"/>
    <w:rsid w:val="00D53D7E"/>
    <w:rsid w:val="00D54091"/>
    <w:rsid w:val="00D54841"/>
    <w:rsid w:val="00D54C0B"/>
    <w:rsid w:val="00D54F43"/>
    <w:rsid w:val="00D5523A"/>
    <w:rsid w:val="00D555DB"/>
    <w:rsid w:val="00D55AF7"/>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5DAA"/>
    <w:rsid w:val="00D661FD"/>
    <w:rsid w:val="00D665D3"/>
    <w:rsid w:val="00D66CBB"/>
    <w:rsid w:val="00D67550"/>
    <w:rsid w:val="00D7139E"/>
    <w:rsid w:val="00D71CCA"/>
    <w:rsid w:val="00D72118"/>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0E"/>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345"/>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97E0A"/>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660"/>
    <w:rsid w:val="00DA7763"/>
    <w:rsid w:val="00DB0065"/>
    <w:rsid w:val="00DB04D7"/>
    <w:rsid w:val="00DB09D3"/>
    <w:rsid w:val="00DB158F"/>
    <w:rsid w:val="00DB15D4"/>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2472"/>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494"/>
    <w:rsid w:val="00DD44F0"/>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38C"/>
    <w:rsid w:val="00DE7A3E"/>
    <w:rsid w:val="00DE7E3E"/>
    <w:rsid w:val="00DF0A04"/>
    <w:rsid w:val="00DF1446"/>
    <w:rsid w:val="00DF1452"/>
    <w:rsid w:val="00DF1C2F"/>
    <w:rsid w:val="00DF1F5F"/>
    <w:rsid w:val="00DF2020"/>
    <w:rsid w:val="00DF2235"/>
    <w:rsid w:val="00DF2701"/>
    <w:rsid w:val="00DF3ABE"/>
    <w:rsid w:val="00DF404D"/>
    <w:rsid w:val="00DF40AC"/>
    <w:rsid w:val="00DF41E3"/>
    <w:rsid w:val="00DF4BD3"/>
    <w:rsid w:val="00DF5263"/>
    <w:rsid w:val="00DF59B1"/>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1F26"/>
    <w:rsid w:val="00E0241E"/>
    <w:rsid w:val="00E02985"/>
    <w:rsid w:val="00E02ABA"/>
    <w:rsid w:val="00E02EFD"/>
    <w:rsid w:val="00E0328F"/>
    <w:rsid w:val="00E039DD"/>
    <w:rsid w:val="00E03BCB"/>
    <w:rsid w:val="00E03F86"/>
    <w:rsid w:val="00E0471A"/>
    <w:rsid w:val="00E04808"/>
    <w:rsid w:val="00E04A18"/>
    <w:rsid w:val="00E04BF8"/>
    <w:rsid w:val="00E04E81"/>
    <w:rsid w:val="00E04F2B"/>
    <w:rsid w:val="00E05300"/>
    <w:rsid w:val="00E05C66"/>
    <w:rsid w:val="00E05D7E"/>
    <w:rsid w:val="00E05E8F"/>
    <w:rsid w:val="00E05F82"/>
    <w:rsid w:val="00E05FA2"/>
    <w:rsid w:val="00E06677"/>
    <w:rsid w:val="00E066FE"/>
    <w:rsid w:val="00E06B9E"/>
    <w:rsid w:val="00E0702A"/>
    <w:rsid w:val="00E07412"/>
    <w:rsid w:val="00E0762A"/>
    <w:rsid w:val="00E07760"/>
    <w:rsid w:val="00E0793A"/>
    <w:rsid w:val="00E07F21"/>
    <w:rsid w:val="00E10502"/>
    <w:rsid w:val="00E1059F"/>
    <w:rsid w:val="00E10A23"/>
    <w:rsid w:val="00E10D0B"/>
    <w:rsid w:val="00E11420"/>
    <w:rsid w:val="00E11463"/>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272"/>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188D"/>
    <w:rsid w:val="00E419A1"/>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374"/>
    <w:rsid w:val="00E7352A"/>
    <w:rsid w:val="00E739FC"/>
    <w:rsid w:val="00E73E86"/>
    <w:rsid w:val="00E74A69"/>
    <w:rsid w:val="00E74F6F"/>
    <w:rsid w:val="00E751ED"/>
    <w:rsid w:val="00E757FB"/>
    <w:rsid w:val="00E75A35"/>
    <w:rsid w:val="00E761BF"/>
    <w:rsid w:val="00E76296"/>
    <w:rsid w:val="00E774F2"/>
    <w:rsid w:val="00E77ACD"/>
    <w:rsid w:val="00E77F21"/>
    <w:rsid w:val="00E80A6F"/>
    <w:rsid w:val="00E81227"/>
    <w:rsid w:val="00E81530"/>
    <w:rsid w:val="00E8185C"/>
    <w:rsid w:val="00E82328"/>
    <w:rsid w:val="00E8265A"/>
    <w:rsid w:val="00E826BE"/>
    <w:rsid w:val="00E828E2"/>
    <w:rsid w:val="00E82BB0"/>
    <w:rsid w:val="00E8300C"/>
    <w:rsid w:val="00E83118"/>
    <w:rsid w:val="00E8313E"/>
    <w:rsid w:val="00E833DE"/>
    <w:rsid w:val="00E8386A"/>
    <w:rsid w:val="00E8423B"/>
    <w:rsid w:val="00E845C0"/>
    <w:rsid w:val="00E85976"/>
    <w:rsid w:val="00E85C09"/>
    <w:rsid w:val="00E85D6F"/>
    <w:rsid w:val="00E85F69"/>
    <w:rsid w:val="00E861EB"/>
    <w:rsid w:val="00E86437"/>
    <w:rsid w:val="00E86448"/>
    <w:rsid w:val="00E86673"/>
    <w:rsid w:val="00E86818"/>
    <w:rsid w:val="00E86A81"/>
    <w:rsid w:val="00E86B8B"/>
    <w:rsid w:val="00E86FC6"/>
    <w:rsid w:val="00E87A0A"/>
    <w:rsid w:val="00E87D33"/>
    <w:rsid w:val="00E90205"/>
    <w:rsid w:val="00E904C0"/>
    <w:rsid w:val="00E906AF"/>
    <w:rsid w:val="00E918E7"/>
    <w:rsid w:val="00E91B49"/>
    <w:rsid w:val="00E91EC4"/>
    <w:rsid w:val="00E9231A"/>
    <w:rsid w:val="00E924C2"/>
    <w:rsid w:val="00E92D95"/>
    <w:rsid w:val="00E92F3F"/>
    <w:rsid w:val="00E935F1"/>
    <w:rsid w:val="00E93902"/>
    <w:rsid w:val="00E93F0E"/>
    <w:rsid w:val="00E94A58"/>
    <w:rsid w:val="00E94CA6"/>
    <w:rsid w:val="00E95174"/>
    <w:rsid w:val="00E95517"/>
    <w:rsid w:val="00E95697"/>
    <w:rsid w:val="00E95A2A"/>
    <w:rsid w:val="00E95E91"/>
    <w:rsid w:val="00E95EA1"/>
    <w:rsid w:val="00E9649C"/>
    <w:rsid w:val="00E96B2F"/>
    <w:rsid w:val="00E97397"/>
    <w:rsid w:val="00E9796A"/>
    <w:rsid w:val="00E97FAB"/>
    <w:rsid w:val="00EA0336"/>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695B"/>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09F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52"/>
    <w:rsid w:val="00ED42AB"/>
    <w:rsid w:val="00ED4797"/>
    <w:rsid w:val="00ED5658"/>
    <w:rsid w:val="00ED5FE9"/>
    <w:rsid w:val="00ED60BB"/>
    <w:rsid w:val="00ED6145"/>
    <w:rsid w:val="00ED62B3"/>
    <w:rsid w:val="00ED6514"/>
    <w:rsid w:val="00ED6E77"/>
    <w:rsid w:val="00ED7316"/>
    <w:rsid w:val="00EE0D05"/>
    <w:rsid w:val="00EE11AF"/>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0F8F"/>
    <w:rsid w:val="00EF12FF"/>
    <w:rsid w:val="00EF16CE"/>
    <w:rsid w:val="00EF1C2F"/>
    <w:rsid w:val="00EF1D15"/>
    <w:rsid w:val="00EF2049"/>
    <w:rsid w:val="00EF2299"/>
    <w:rsid w:val="00EF2A43"/>
    <w:rsid w:val="00EF2B98"/>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AD1"/>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C37"/>
    <w:rsid w:val="00F04F6E"/>
    <w:rsid w:val="00F052F9"/>
    <w:rsid w:val="00F053F6"/>
    <w:rsid w:val="00F0574E"/>
    <w:rsid w:val="00F06216"/>
    <w:rsid w:val="00F064D2"/>
    <w:rsid w:val="00F067A0"/>
    <w:rsid w:val="00F06C39"/>
    <w:rsid w:val="00F07521"/>
    <w:rsid w:val="00F076B1"/>
    <w:rsid w:val="00F07A5F"/>
    <w:rsid w:val="00F07AFB"/>
    <w:rsid w:val="00F07CAF"/>
    <w:rsid w:val="00F10894"/>
    <w:rsid w:val="00F10D8C"/>
    <w:rsid w:val="00F11224"/>
    <w:rsid w:val="00F115F5"/>
    <w:rsid w:val="00F116CE"/>
    <w:rsid w:val="00F11DAA"/>
    <w:rsid w:val="00F124F3"/>
    <w:rsid w:val="00F1330A"/>
    <w:rsid w:val="00F133BA"/>
    <w:rsid w:val="00F136BD"/>
    <w:rsid w:val="00F13D21"/>
    <w:rsid w:val="00F14170"/>
    <w:rsid w:val="00F14B1E"/>
    <w:rsid w:val="00F14C51"/>
    <w:rsid w:val="00F1525B"/>
    <w:rsid w:val="00F157D4"/>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4FBD"/>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6F03"/>
    <w:rsid w:val="00F371E0"/>
    <w:rsid w:val="00F3784A"/>
    <w:rsid w:val="00F402EC"/>
    <w:rsid w:val="00F403CE"/>
    <w:rsid w:val="00F4067E"/>
    <w:rsid w:val="00F4097A"/>
    <w:rsid w:val="00F40E9D"/>
    <w:rsid w:val="00F41126"/>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CF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B72"/>
    <w:rsid w:val="00F62C68"/>
    <w:rsid w:val="00F63119"/>
    <w:rsid w:val="00F63720"/>
    <w:rsid w:val="00F63C39"/>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6E9"/>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47D"/>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8BC"/>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31"/>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E7DC2"/>
    <w:rsid w:val="00FF0888"/>
    <w:rsid w:val="00FF185C"/>
    <w:rsid w:val="00FF2056"/>
    <w:rsid w:val="00FF20F9"/>
    <w:rsid w:val="00FF2831"/>
    <w:rsid w:val="00FF29A6"/>
    <w:rsid w:val="00FF2C52"/>
    <w:rsid w:val="00FF3533"/>
    <w:rsid w:val="00FF3A35"/>
    <w:rsid w:val="00FF3DF1"/>
    <w:rsid w:val="00FF443B"/>
    <w:rsid w:val="00FF4FEA"/>
    <w:rsid w:val="00FF50BE"/>
    <w:rsid w:val="00FF5AD8"/>
    <w:rsid w:val="00FF5B0D"/>
    <w:rsid w:val="00FF628C"/>
    <w:rsid w:val="00FF660B"/>
    <w:rsid w:val="00FF69FD"/>
    <w:rsid w:val="00FF6A0A"/>
    <w:rsid w:val="00FF70DA"/>
    <w:rsid w:val="00FF7BC6"/>
    <w:rsid w:val="1300E838"/>
    <w:rsid w:val="258724AD"/>
    <w:rsid w:val="305A4C3A"/>
    <w:rsid w:val="40E6B9B4"/>
    <w:rsid w:val="44BD6D47"/>
    <w:rsid w:val="4F57BED1"/>
    <w:rsid w:val="505535B7"/>
    <w:rsid w:val="5F77E623"/>
    <w:rsid w:val="67A45E6B"/>
    <w:rsid w:val="6800B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C371EE"/>
  <w15:chartTrackingRefBased/>
  <w15:docId w15:val="{F33065D3-76A8-420D-B67E-60F1F1CE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6B"/>
    <w:rPr>
      <w:rFonts w:ascii="Arial" w:hAnsi="Arial"/>
      <w:sz w:val="24"/>
      <w:szCs w:val="22"/>
      <w:lang w:eastAsia="en-GB"/>
    </w:rPr>
  </w:style>
  <w:style w:type="paragraph" w:styleId="Heading1">
    <w:name w:val="heading 1"/>
    <w:next w:val="BodyText"/>
    <w:qFormat/>
    <w:rsid w:val="003763C0"/>
    <w:pPr>
      <w:keepNext/>
      <w:keepLines/>
      <w:spacing w:before="240" w:after="18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450A90"/>
    <w:pPr>
      <w:outlineLvl w:val="1"/>
    </w:pPr>
    <w:rPr>
      <w:bCs w:val="0"/>
      <w:iCs/>
      <w:color w:val="404040"/>
      <w:sz w:val="27"/>
      <w:szCs w:val="28"/>
    </w:rPr>
  </w:style>
  <w:style w:type="paragraph" w:styleId="Heading3">
    <w:name w:val="heading 3"/>
    <w:basedOn w:val="Heading2"/>
    <w:next w:val="BodyText"/>
    <w:qFormat/>
    <w:rsid w:val="00450A90"/>
    <w:pPr>
      <w:outlineLvl w:val="2"/>
    </w:pPr>
    <w:rPr>
      <w:bCs/>
      <w:color w:val="808080"/>
      <w:sz w:val="24"/>
      <w:szCs w:val="26"/>
    </w:rPr>
  </w:style>
  <w:style w:type="paragraph" w:styleId="Heading4">
    <w:name w:val="heading 4"/>
    <w:basedOn w:val="Heading3"/>
    <w:next w:val="BodyText"/>
    <w:semiHidden/>
    <w:rsid w:val="006845B4"/>
    <w:pPr>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470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C91522"/>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rsid w:val="00C91522"/>
    <w:rPr>
      <w:color w:val="595959" w:themeColor="text1" w:themeTint="A6"/>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333F5"/>
    <w:pPr>
      <w:keepNext/>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D470EC"/>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950AE5"/>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tcPr>
      <w:tcMar>
        <w:top w:w="113" w:type="dxa"/>
        <w:left w:w="113" w:type="dxa"/>
        <w:bottom w:w="113" w:type="dxa"/>
        <w:right w:w="113" w:type="dxa"/>
      </w:tcMar>
    </w:tc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factsheet">
    <w:name w:val="Title of factsheet"/>
    <w:rsid w:val="001701B4"/>
    <w:pPr>
      <w:spacing w:before="500" w:after="36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factshee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EndnoteText">
    <w:name w:val="endnote text"/>
    <w:basedOn w:val="FootnoteText"/>
    <w:next w:val="FootnoteText"/>
    <w:link w:val="EndnoteTextChar"/>
    <w:semiHidden/>
    <w:unhideWhenUsed/>
    <w:rsid w:val="00725BD4"/>
    <w:rPr>
      <w:sz w:val="20"/>
    </w:rPr>
  </w:style>
  <w:style w:type="character" w:customStyle="1" w:styleId="EndnoteTextChar">
    <w:name w:val="Endnote Text Char"/>
    <w:basedOn w:val="DefaultParagraphFont"/>
    <w:link w:val="EndnoteText"/>
    <w:semiHidden/>
    <w:rsid w:val="0015576C"/>
    <w:rPr>
      <w:rFonts w:ascii="Arial" w:hAnsi="Arial"/>
      <w:lang w:eastAsia="en-GB"/>
    </w:rPr>
  </w:style>
  <w:style w:type="character" w:styleId="EndnoteReference">
    <w:name w:val="endnote reference"/>
    <w:basedOn w:val="DefaultParagraphFont"/>
    <w:semiHidden/>
    <w:unhideWhenUsed/>
    <w:rsid w:val="00725BD4"/>
    <w:rPr>
      <w:vertAlign w:val="superscript"/>
    </w:rPr>
  </w:style>
  <w:style w:type="character" w:styleId="UnresolvedMention">
    <w:name w:val="Unresolved Mention"/>
    <w:basedOn w:val="DefaultParagraphFont"/>
    <w:uiPriority w:val="99"/>
    <w:semiHidden/>
    <w:unhideWhenUsed/>
    <w:rsid w:val="00DF1C2F"/>
    <w:rPr>
      <w:color w:val="605E5C"/>
      <w:shd w:val="clear" w:color="auto" w:fill="E1DFDD"/>
    </w:rPr>
  </w:style>
  <w:style w:type="paragraph" w:customStyle="1" w:styleId="Source">
    <w:name w:val="Source"/>
    <w:basedOn w:val="BodyText"/>
    <w:qFormat/>
    <w:rsid w:val="00D417BB"/>
    <w:pPr>
      <w:spacing w:before="40" w:after="240"/>
    </w:pPr>
    <w:rPr>
      <w:sz w:val="16"/>
      <w:szCs w:val="18"/>
    </w:rPr>
  </w:style>
  <w:style w:type="paragraph" w:customStyle="1" w:styleId="Figuretitle">
    <w:name w:val="Figure title"/>
    <w:basedOn w:val="Tableheading"/>
    <w:qFormat/>
    <w:rsid w:val="00A447DA"/>
    <w:pPr>
      <w:spacing w:before="240" w:after="80"/>
    </w:pPr>
    <w:rPr>
      <w:sz w:val="21"/>
    </w:rPr>
  </w:style>
  <w:style w:type="paragraph" w:customStyle="1" w:styleId="Factsheet">
    <w:name w:val="Factsheet"/>
    <w:basedOn w:val="Logo-Centred"/>
    <w:qFormat/>
    <w:rsid w:val="0056748C"/>
    <w:pPr>
      <w:spacing w:before="340" w:after="0"/>
      <w:ind w:left="4536"/>
      <w:jc w:val="right"/>
    </w:pPr>
    <w:rPr>
      <w:b/>
      <w:color w:val="808080"/>
      <w:sz w:val="36"/>
    </w:rPr>
  </w:style>
  <w:style w:type="paragraph" w:customStyle="1" w:styleId="Factsheetdate">
    <w:name w:val="Factsheet date"/>
    <w:basedOn w:val="BodyText"/>
    <w:qFormat/>
    <w:rsid w:val="003F17B4"/>
    <w:pPr>
      <w:ind w:left="4536"/>
      <w:jc w:val="right"/>
    </w:pPr>
    <w:rPr>
      <w:color w:val="808080"/>
      <w:sz w:val="20"/>
    </w:rPr>
  </w:style>
  <w:style w:type="table" w:customStyle="1" w:styleId="ACTCOSStable-alternatingrowcolours">
    <w:name w:val="ACTCOSS table - alternating row colours"/>
    <w:basedOn w:val="TableNormal"/>
    <w:uiPriority w:val="99"/>
    <w:rsid w:val="002670AE"/>
    <w:tblPr>
      <w:tblStyleRow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band1Horz">
      <w:tblPr/>
      <w:tcPr>
        <w:shd w:val="clear" w:color="auto" w:fill="DEEAF6"/>
      </w:tcPr>
    </w:tblStylePr>
  </w:style>
  <w:style w:type="table" w:customStyle="1" w:styleId="Quoteusbox">
    <w:name w:val="Quote us box"/>
    <w:basedOn w:val="TableNormal"/>
    <w:uiPriority w:val="99"/>
    <w:rsid w:val="00BB4BA5"/>
    <w:tblPr/>
    <w:tcPr>
      <w:shd w:val="clear" w:color="auto" w:fill="DEEAF6"/>
      <w:tcMar>
        <w:top w:w="113" w:type="dxa"/>
        <w:bottom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coss.org.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21A35-4C15-4F3F-9E84-2696853CBF3A}">
  <ds:schemaRefs>
    <ds:schemaRef ds:uri="http://schemas.openxmlformats.org/officeDocument/2006/bibliography"/>
  </ds:schemaRefs>
</ds:datastoreItem>
</file>

<file path=customXml/itemProps2.xml><?xml version="1.0" encoding="utf-8"?>
<ds:datastoreItem xmlns:ds="http://schemas.openxmlformats.org/officeDocument/2006/customXml" ds:itemID="{E36DF817-59CD-466C-B664-D129A3E8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4.xml><?xml version="1.0" encoding="utf-8"?>
<ds:datastoreItem xmlns:ds="http://schemas.openxmlformats.org/officeDocument/2006/customXml" ds:itemID="{F99FABE2-61E5-4ADC-991C-B7A327627B7A}">
  <ds:schemaRefs>
    <ds:schemaRef ds:uri="http://schemas.microsoft.com/office/2006/documentManagement/types"/>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95</TotalTime>
  <Pages>7</Pages>
  <Words>865</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Factsheet: 2021 ACT Community Sector Demand Snapshot</vt:lpstr>
    </vt:vector>
  </TitlesOfParts>
  <Company>ACT Council of Social Service</Company>
  <LinksUpToDate>false</LinksUpToDate>
  <CharactersWithSpaces>5856</CharactersWithSpaces>
  <SharedDoc>false</SharedDoc>
  <HLinks>
    <vt:vector size="6" baseType="variant">
      <vt:variant>
        <vt:i4>6226004</vt:i4>
      </vt:variant>
      <vt:variant>
        <vt:i4>0</vt:i4>
      </vt:variant>
      <vt:variant>
        <vt:i4>0</vt:i4>
      </vt:variant>
      <vt:variant>
        <vt:i4>5</vt:i4>
      </vt:variant>
      <vt:variant>
        <vt:lpwstr>https://www.acoss.org.au/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2021 ACT Community Sector Demand Snapshot</dc:title>
  <dc:subject/>
  <dc:creator/>
  <cp:keywords/>
  <cp:lastModifiedBy>Suzanne Richardson</cp:lastModifiedBy>
  <cp:revision>144</cp:revision>
  <cp:lastPrinted>2011-07-22T19:29:00Z</cp:lastPrinted>
  <dcterms:created xsi:type="dcterms:W3CDTF">2021-12-16T20:11:00Z</dcterms:created>
  <dcterms:modified xsi:type="dcterms:W3CDTF">2021-12-17T01:26:00Z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y fmtid="{D5CDD505-2E9C-101B-9397-08002B2CF9AE}" pid="7" name="_MarkAsFinal">
    <vt:bool>true</vt:bool>
  </property>
</Properties>
</file>