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BCC49" w14:textId="5990A31B" w:rsidR="00F62238" w:rsidRPr="00CA7855" w:rsidRDefault="00551B34" w:rsidP="009401A9">
      <w:pPr>
        <w:pStyle w:val="BodyText"/>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7275"/>
        </w:tabs>
      </w:pPr>
      <w:r>
        <w:rPr>
          <w:noProof/>
          <w:lang w:eastAsia="en-AU"/>
        </w:rPr>
        <w:drawing>
          <wp:anchor distT="0" distB="0" distL="114300" distR="114300" simplePos="0" relativeHeight="251658240" behindDoc="1" locked="0" layoutInCell="1" allowOverlap="1" wp14:anchorId="66308F6E" wp14:editId="1CCE2292">
            <wp:simplePos x="0" y="0"/>
            <wp:positionH relativeFrom="column">
              <wp:posOffset>-1192530</wp:posOffset>
            </wp:positionH>
            <wp:positionV relativeFrom="page">
              <wp:posOffset>-242570</wp:posOffset>
            </wp:positionV>
            <wp:extent cx="9237345" cy="3506470"/>
            <wp:effectExtent l="0"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7345" cy="3506470"/>
                    </a:xfrm>
                    <a:prstGeom prst="rect">
                      <a:avLst/>
                    </a:prstGeom>
                    <a:noFill/>
                  </pic:spPr>
                </pic:pic>
              </a:graphicData>
            </a:graphic>
            <wp14:sizeRelH relativeFrom="page">
              <wp14:pctWidth>0</wp14:pctWidth>
            </wp14:sizeRelH>
            <wp14:sizeRelV relativeFrom="page">
              <wp14:pctHeight>0</wp14:pctHeight>
            </wp14:sizeRelV>
          </wp:anchor>
        </w:drawing>
      </w:r>
      <w:r w:rsidR="009401A9">
        <w:tab/>
      </w:r>
    </w:p>
    <w:p w14:paraId="6AD8D74C" w14:textId="77777777" w:rsidR="00F62238" w:rsidRPr="00CA7855" w:rsidRDefault="00F62238" w:rsidP="00E225A5">
      <w:pPr>
        <w:pStyle w:val="Logo-Centred"/>
        <w:jc w:val="right"/>
      </w:pPr>
    </w:p>
    <w:p w14:paraId="1BC86317" w14:textId="77777777" w:rsidR="00F62238" w:rsidRPr="00CA7855" w:rsidRDefault="00F62238" w:rsidP="00F62238">
      <w:pPr>
        <w:pStyle w:val="Logo-Centred"/>
      </w:pPr>
    </w:p>
    <w:p w14:paraId="718E3328" w14:textId="77777777" w:rsidR="00F62238" w:rsidRPr="00CA7855" w:rsidRDefault="00F62238" w:rsidP="00F62238">
      <w:pPr>
        <w:pStyle w:val="Logo-Centred"/>
      </w:pPr>
    </w:p>
    <w:p w14:paraId="774D8282" w14:textId="77777777" w:rsidR="00F62238" w:rsidRPr="00CA7855" w:rsidRDefault="00F62238" w:rsidP="00F62238">
      <w:pPr>
        <w:pStyle w:val="Logo-Centred"/>
      </w:pPr>
    </w:p>
    <w:p w14:paraId="7394B487" w14:textId="77777777" w:rsidR="00F62238" w:rsidRPr="00CA7855" w:rsidRDefault="00F62238" w:rsidP="00F62238">
      <w:pPr>
        <w:pStyle w:val="Logo-Centred"/>
      </w:pPr>
    </w:p>
    <w:p w14:paraId="2ADE9043" w14:textId="77777777" w:rsidR="00F62238" w:rsidRPr="00CA7855" w:rsidRDefault="00F62238" w:rsidP="00F62238">
      <w:pPr>
        <w:pStyle w:val="Logo-Centred"/>
      </w:pPr>
    </w:p>
    <w:p w14:paraId="37511F80" w14:textId="77777777" w:rsidR="00F62238" w:rsidRPr="00CA7855" w:rsidRDefault="00F62238" w:rsidP="00F62238">
      <w:pPr>
        <w:pStyle w:val="Logo-Centred"/>
      </w:pPr>
    </w:p>
    <w:p w14:paraId="3E323E14" w14:textId="6DD2F675" w:rsidR="00F62238" w:rsidRPr="00CA7855" w:rsidRDefault="00551B34" w:rsidP="00F62238">
      <w:pPr>
        <w:pStyle w:val="Logo-Centred"/>
      </w:pPr>
      <w:r>
        <w:rPr>
          <w:noProof/>
        </w:rPr>
        <w:drawing>
          <wp:inline distT="0" distB="0" distL="0" distR="0" wp14:anchorId="6FFB493F" wp14:editId="14EA075E">
            <wp:extent cx="2886075" cy="1085850"/>
            <wp:effectExtent l="0" t="0" r="0" b="0"/>
            <wp:docPr id="1" name="Picture 1" descr="Logo: ACT Council of Social Service Inc. (ACTC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085850"/>
                    </a:xfrm>
                    <a:prstGeom prst="rect">
                      <a:avLst/>
                    </a:prstGeom>
                    <a:noFill/>
                    <a:ln>
                      <a:noFill/>
                    </a:ln>
                  </pic:spPr>
                </pic:pic>
              </a:graphicData>
            </a:graphic>
          </wp:inline>
        </w:drawing>
      </w:r>
    </w:p>
    <w:p w14:paraId="2884512B" w14:textId="77777777" w:rsidR="00F62238" w:rsidRPr="00CA7855" w:rsidRDefault="00F62238" w:rsidP="003F3AC3">
      <w:pPr>
        <w:pStyle w:val="BodyText"/>
      </w:pPr>
    </w:p>
    <w:p w14:paraId="772AB888" w14:textId="77777777" w:rsidR="00F62238" w:rsidRPr="00CA7855" w:rsidRDefault="00F62238" w:rsidP="003F3AC3">
      <w:pPr>
        <w:pStyle w:val="BodyText"/>
      </w:pPr>
    </w:p>
    <w:p w14:paraId="4CDEE97D" w14:textId="5ECA1765" w:rsidR="00F62238" w:rsidRPr="00CA7855" w:rsidRDefault="00C8222D" w:rsidP="00F62238">
      <w:pPr>
        <w:pStyle w:val="Titlepagetitle"/>
      </w:pPr>
      <w:r>
        <w:t xml:space="preserve">2021 </w:t>
      </w:r>
      <w:r w:rsidR="00674E33">
        <w:t>ACT Cost of Living Report</w:t>
      </w:r>
    </w:p>
    <w:p w14:paraId="1EB035FB" w14:textId="77777777" w:rsidR="00F62238" w:rsidRPr="00CA7855" w:rsidRDefault="00F62238" w:rsidP="00F62238">
      <w:pPr>
        <w:pStyle w:val="BodyText"/>
      </w:pPr>
    </w:p>
    <w:p w14:paraId="5322AA6E" w14:textId="77777777" w:rsidR="00E13C3F" w:rsidRDefault="00E13C3F" w:rsidP="00F62238">
      <w:pPr>
        <w:pStyle w:val="Titlepagesubtitle"/>
      </w:pPr>
      <w:r w:rsidRPr="00E13C3F">
        <w:t>Tracking changes in the cost of living for low-income households in the Australian Capital Territory</w:t>
      </w:r>
    </w:p>
    <w:p w14:paraId="6913A24B" w14:textId="5A090016" w:rsidR="00F62238" w:rsidRDefault="003C1D70" w:rsidP="00F62238">
      <w:pPr>
        <w:pStyle w:val="Titlepagesubtitle"/>
      </w:pPr>
      <w:r>
        <w:t>August</w:t>
      </w:r>
      <w:r w:rsidR="0092076B" w:rsidRPr="003E4708">
        <w:t xml:space="preserve"> </w:t>
      </w:r>
      <w:r w:rsidR="00674E33" w:rsidRPr="003E4708">
        <w:t>2021</w:t>
      </w:r>
    </w:p>
    <w:p w14:paraId="3145F55B" w14:textId="21AD7E8D" w:rsidR="00F62238" w:rsidRPr="00CA7855" w:rsidRDefault="00F62238" w:rsidP="00F62238">
      <w:pPr>
        <w:pStyle w:val="BodyText"/>
      </w:pPr>
    </w:p>
    <w:p w14:paraId="63E2834A" w14:textId="77777777" w:rsidR="005913F7" w:rsidRPr="00CA7855" w:rsidRDefault="005913F7" w:rsidP="00703089">
      <w:pPr>
        <w:pStyle w:val="PseudoHeading1"/>
      </w:pPr>
      <w:r w:rsidRPr="00CA7855">
        <w:t>About ACTCOSS</w:t>
      </w:r>
    </w:p>
    <w:p w14:paraId="0A1201F9" w14:textId="0514C0C4" w:rsidR="00DD3314" w:rsidRDefault="00DD3314" w:rsidP="00DD3314">
      <w:pPr>
        <w:pStyle w:val="Frontmatter"/>
      </w:pPr>
      <w:r>
        <w:t>ACTCOSS acknowledges Canberra has been built on the land of the Ngunnawal people. We pay respects to their Elders and recognise the strength and resilience of Aboriginal and</w:t>
      </w:r>
      <w:r w:rsidR="00E97CC6">
        <w:t>/or</w:t>
      </w:r>
      <w:r>
        <w:t xml:space="preserve"> Torres Strait Islander peoples. We celebrate Aboriginal and</w:t>
      </w:r>
      <w:r w:rsidR="00E97CC6">
        <w:t>/or</w:t>
      </w:r>
      <w:r>
        <w:t xml:space="preserve"> Torres Strait Islander cultures and ongoing contribution</w:t>
      </w:r>
      <w:r w:rsidR="00E97CC6">
        <w:t>s</w:t>
      </w:r>
      <w:r>
        <w:t xml:space="preserve"> to the ACT community.</w:t>
      </w:r>
    </w:p>
    <w:p w14:paraId="6FE26414" w14:textId="28A9014B" w:rsidR="00DD3314" w:rsidRDefault="00DD3314" w:rsidP="00DD3314">
      <w:pPr>
        <w:pStyle w:val="Frontmatter"/>
      </w:pPr>
      <w:r>
        <w:t xml:space="preserve">The ACT Council of Social Service Inc. (ACTCOSS) </w:t>
      </w:r>
      <w:r w:rsidR="008D350D">
        <w:t xml:space="preserve">advocates for social justice in the ACT and </w:t>
      </w:r>
      <w:r>
        <w:t>represents not-for-profit community organisations.</w:t>
      </w:r>
    </w:p>
    <w:p w14:paraId="5B263D10" w14:textId="77777777" w:rsidR="00DD3314" w:rsidRDefault="00DD3314" w:rsidP="00DD3314">
      <w:pPr>
        <w:pStyle w:val="Frontmatter"/>
      </w:pPr>
      <w:r>
        <w:t>ACTCOSS is a member of the nationwide COSS Network, made up of each of the state and territory Councils and the national body, the Australian Council of Social Service (ACOSS).</w:t>
      </w:r>
    </w:p>
    <w:p w14:paraId="65017AEF" w14:textId="27409E91" w:rsidR="00DD3314" w:rsidRDefault="00DD3314" w:rsidP="00DD3314">
      <w:pPr>
        <w:pStyle w:val="Frontmatter"/>
      </w:pPr>
      <w:r>
        <w:t>ACTCOSS’</w:t>
      </w:r>
      <w:r w:rsidR="00ED6E1E">
        <w:t>s</w:t>
      </w:r>
      <w:r>
        <w:t xml:space="preserve"> vision is for Canberra to be a just, safe and sustainable community in which everyone has the opportunity for self-determination and a fair share of resources and services.</w:t>
      </w:r>
    </w:p>
    <w:p w14:paraId="04D600CA" w14:textId="77777777" w:rsidR="00DD3314" w:rsidRDefault="00DD3314" w:rsidP="00DD3314">
      <w:pPr>
        <w:pStyle w:val="Frontmatter"/>
      </w:pPr>
      <w:r>
        <w:t>The membership of the Council includes the majority of community-based service providers in the social welfare area, a range of community associations and networks, self-help and consumer groups and interested individuals.</w:t>
      </w:r>
    </w:p>
    <w:p w14:paraId="41903ED4" w14:textId="20E8F052" w:rsidR="005913F7" w:rsidRDefault="00DD3314" w:rsidP="00DD3314">
      <w:pPr>
        <w:pStyle w:val="Frontmatter"/>
      </w:pPr>
      <w:r>
        <w:t>ACTCOSS advises that this document may be publicly distributed, including by placing a copy on our website.</w:t>
      </w:r>
    </w:p>
    <w:p w14:paraId="55C71DCF" w14:textId="77777777" w:rsidR="005913F7" w:rsidRPr="00CA7855" w:rsidRDefault="005913F7" w:rsidP="005913F7">
      <w:pPr>
        <w:pStyle w:val="Frontmatter"/>
        <w:rPr>
          <w:rStyle w:val="Bold"/>
        </w:rPr>
      </w:pPr>
      <w:r w:rsidRPr="00CA7855">
        <w:rPr>
          <w:rStyle w:val="Bold"/>
        </w:rPr>
        <w:t>Contact Details</w:t>
      </w:r>
    </w:p>
    <w:p w14:paraId="52CF8363" w14:textId="6133A8CB" w:rsidR="004F6015" w:rsidRPr="001D19C8" w:rsidRDefault="004F6015" w:rsidP="004F6015">
      <w:pPr>
        <w:pStyle w:val="Frontmatter"/>
      </w:pPr>
      <w:r w:rsidRPr="001D19C8">
        <w:t>Phone:</w:t>
      </w:r>
      <w:r w:rsidRPr="001D19C8">
        <w:tab/>
      </w:r>
      <w:r w:rsidRPr="001D19C8">
        <w:tab/>
        <w:t>02 6202 7200</w:t>
      </w:r>
      <w:r w:rsidRPr="001D19C8">
        <w:br/>
      </w:r>
      <w:r w:rsidR="00D5570A">
        <w:t>Address</w:t>
      </w:r>
      <w:r w:rsidRPr="001D19C8">
        <w:t>:</w:t>
      </w:r>
      <w:r w:rsidRPr="001D19C8">
        <w:tab/>
      </w:r>
      <w:r w:rsidRPr="001D19C8">
        <w:tab/>
      </w:r>
      <w:r w:rsidR="00D5570A" w:rsidRPr="001D19C8">
        <w:t>Weston Community Hub, 1/6 Gritten St, Weston ACT 2611</w:t>
      </w:r>
      <w:r w:rsidRPr="001D19C8">
        <w:br/>
        <w:t>Email:</w:t>
      </w:r>
      <w:r w:rsidRPr="001D19C8">
        <w:tab/>
      </w:r>
      <w:r w:rsidRPr="001D19C8">
        <w:tab/>
      </w:r>
      <w:r w:rsidRPr="001D19C8">
        <w:tab/>
      </w:r>
      <w:hyperlink r:id="rId13" w:history="1">
        <w:r w:rsidRPr="001D19C8">
          <w:rPr>
            <w:rStyle w:val="Hyperlink"/>
          </w:rPr>
          <w:t>actcoss@actcoss.org.au</w:t>
        </w:r>
      </w:hyperlink>
      <w:r w:rsidRPr="001D19C8">
        <w:t xml:space="preserve">  </w:t>
      </w:r>
      <w:r w:rsidRPr="001D19C8">
        <w:br/>
        <w:t xml:space="preserve">Web:  </w:t>
      </w:r>
      <w:r w:rsidRPr="001D19C8">
        <w:tab/>
      </w:r>
      <w:r w:rsidRPr="001D19C8">
        <w:tab/>
      </w:r>
      <w:hyperlink r:id="rId14" w:history="1">
        <w:r w:rsidR="00DD3314">
          <w:rPr>
            <w:rStyle w:val="Hyperlink"/>
          </w:rPr>
          <w:t>actcoss.org.au</w:t>
        </w:r>
      </w:hyperlink>
      <w:r w:rsidRPr="001D19C8">
        <w:tab/>
      </w:r>
      <w:r w:rsidRPr="001D19C8">
        <w:tab/>
      </w:r>
    </w:p>
    <w:p w14:paraId="7DF04A19" w14:textId="07F66229" w:rsidR="004F6015" w:rsidRPr="001D19C8" w:rsidRDefault="00ED6E1E" w:rsidP="004F6015">
      <w:pPr>
        <w:pStyle w:val="Frontmatter"/>
      </w:pPr>
      <w:r>
        <w:t>CEO</w:t>
      </w:r>
      <w:r w:rsidR="004F6015" w:rsidRPr="001D19C8">
        <w:t>:</w:t>
      </w:r>
      <w:r w:rsidR="004F6015" w:rsidRPr="001D19C8">
        <w:tab/>
      </w:r>
      <w:r w:rsidR="004F6015" w:rsidRPr="001D19C8">
        <w:tab/>
      </w:r>
      <w:r>
        <w:tab/>
      </w:r>
      <w:r w:rsidR="00324177">
        <w:t xml:space="preserve">Dr </w:t>
      </w:r>
      <w:r w:rsidR="007833E9">
        <w:t>Emma Campbell</w:t>
      </w:r>
      <w:r w:rsidR="004F6015" w:rsidRPr="001D19C8">
        <w:tab/>
      </w:r>
      <w:r w:rsidR="004F6015" w:rsidRPr="001D19C8">
        <w:tab/>
      </w:r>
      <w:r w:rsidR="004F6015" w:rsidRPr="001D19C8">
        <w:tab/>
      </w:r>
      <w:r w:rsidR="004F6015" w:rsidRPr="001D19C8">
        <w:br/>
        <w:t>Policy Officer:</w:t>
      </w:r>
      <w:r w:rsidR="004F6015" w:rsidRPr="001D19C8">
        <w:tab/>
      </w:r>
      <w:r w:rsidR="00E13C3F">
        <w:t>Geoff Buchanan</w:t>
      </w:r>
    </w:p>
    <w:p w14:paraId="065798D2" w14:textId="77777777" w:rsidR="005913F7" w:rsidRPr="00CA7855" w:rsidRDefault="005913F7" w:rsidP="005913F7">
      <w:pPr>
        <w:pStyle w:val="Frontmatter"/>
      </w:pPr>
    </w:p>
    <w:p w14:paraId="698E6DF4" w14:textId="545FDD7A" w:rsidR="005913F7" w:rsidRPr="00CA7855" w:rsidRDefault="003C1D70" w:rsidP="005913F7">
      <w:pPr>
        <w:pStyle w:val="Frontmatter"/>
      </w:pPr>
      <w:r>
        <w:t>August</w:t>
      </w:r>
      <w:r w:rsidR="003E4708">
        <w:t xml:space="preserve"> 2021</w:t>
      </w:r>
    </w:p>
    <w:p w14:paraId="181D164A" w14:textId="13A2EC7C" w:rsidR="005913F7" w:rsidRPr="00CA7855" w:rsidRDefault="005913F7" w:rsidP="005913F7">
      <w:pPr>
        <w:pStyle w:val="Frontmatter"/>
      </w:pPr>
      <w:r w:rsidRPr="00CA7855">
        <w:t xml:space="preserve">ISBN </w:t>
      </w:r>
      <w:r w:rsidR="0097792C" w:rsidRPr="0097792C">
        <w:t>978-1-876632-98-4</w:t>
      </w:r>
      <w:r w:rsidRPr="00CA7855">
        <w:t xml:space="preserve"> (</w:t>
      </w:r>
      <w:r w:rsidR="0097792C">
        <w:t xml:space="preserve">PDF and </w:t>
      </w:r>
      <w:r w:rsidR="00B9764A">
        <w:t>DOCX versions</w:t>
      </w:r>
      <w:r w:rsidRPr="00CA7855">
        <w:t>)</w:t>
      </w:r>
      <w:r w:rsidRPr="00CA7855">
        <w:br/>
        <w:t>© Copyright ACT Council of Social Service Incorporated</w:t>
      </w:r>
    </w:p>
    <w:p w14:paraId="2EECD6E5" w14:textId="6B8CDB22" w:rsidR="001B2FCD" w:rsidRDefault="005913F7" w:rsidP="005913F7">
      <w:pPr>
        <w:pStyle w:val="Frontmatter"/>
      </w:pPr>
      <w:r w:rsidRPr="00CA7855">
        <w:t xml:space="preserve">This publication is copyright, apart from use by those agencies for which it has been produced. Non-profit associations and groups have permission to reproduce parts of this publication as long as the original meaning is retained and proper credit is given to the ACT Council of Social Service Inc (ACTCOSS). All other individuals and Agencies seeking to reproduce material from this publication should obtain the permission of the </w:t>
      </w:r>
      <w:r w:rsidR="000B7938">
        <w:t>CEO</w:t>
      </w:r>
      <w:r w:rsidRPr="00CA7855">
        <w:t xml:space="preserve"> of ACTCOSS.</w:t>
      </w:r>
    </w:p>
    <w:p w14:paraId="4EFCEA01" w14:textId="77777777" w:rsidR="000622B1" w:rsidRDefault="000622B1" w:rsidP="005913F7">
      <w:pPr>
        <w:pStyle w:val="Frontmatter"/>
      </w:pPr>
    </w:p>
    <w:p w14:paraId="57AA07E5" w14:textId="77777777" w:rsidR="000622B1" w:rsidRPr="00CA7855" w:rsidRDefault="000622B1" w:rsidP="000622B1">
      <w:pPr>
        <w:pStyle w:val="Frontmatter"/>
      </w:pPr>
      <w:r w:rsidRPr="000622B1">
        <w:t>An ACT Government funded initiative</w:t>
      </w:r>
      <w:r>
        <w:t>.</w:t>
      </w:r>
    </w:p>
    <w:p w14:paraId="30FDCCBC" w14:textId="1DA887E2" w:rsidR="000622B1" w:rsidRPr="00CA7855" w:rsidRDefault="00551B34" w:rsidP="005913F7">
      <w:pPr>
        <w:pStyle w:val="Frontmatter"/>
      </w:pPr>
      <w:r>
        <w:rPr>
          <w:noProof/>
        </w:rPr>
        <w:drawing>
          <wp:inline distT="0" distB="0" distL="0" distR="0" wp14:anchorId="1635F15F" wp14:editId="4C8D3223">
            <wp:extent cx="1466850" cy="1009650"/>
            <wp:effectExtent l="0" t="0" r="0" b="0"/>
            <wp:docPr id="2" name="Picture 2" descr="Logo: Initiative of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tiative_of_ACTGo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009650"/>
                    </a:xfrm>
                    <a:prstGeom prst="rect">
                      <a:avLst/>
                    </a:prstGeom>
                    <a:noFill/>
                    <a:ln>
                      <a:noFill/>
                    </a:ln>
                  </pic:spPr>
                </pic:pic>
              </a:graphicData>
            </a:graphic>
          </wp:inline>
        </w:drawing>
      </w:r>
    </w:p>
    <w:p w14:paraId="13A41B65" w14:textId="77777777" w:rsidR="005913F7" w:rsidRPr="00CA7855" w:rsidRDefault="00AB255D" w:rsidP="00703089">
      <w:pPr>
        <w:pStyle w:val="PseudoHeading1"/>
      </w:pPr>
      <w:r w:rsidRPr="00CA7855">
        <w:t>Table of contents</w:t>
      </w:r>
    </w:p>
    <w:p w14:paraId="6F832917" w14:textId="0395A7E0" w:rsidR="00356F70" w:rsidRDefault="00AB255D" w:rsidP="00356F70">
      <w:pPr>
        <w:pStyle w:val="TOC1"/>
        <w:rPr>
          <w:rFonts w:asciiTheme="minorHAnsi" w:eastAsiaTheme="minorEastAsia" w:hAnsiTheme="minorHAnsi" w:cstheme="minorBidi"/>
          <w:noProof/>
          <w:sz w:val="22"/>
          <w:lang w:eastAsia="en-AU"/>
        </w:rPr>
      </w:pPr>
      <w:r w:rsidRPr="00CA7855">
        <w:fldChar w:fldCharType="begin"/>
      </w:r>
      <w:r w:rsidRPr="00CA7855">
        <w:instrText xml:space="preserve"> TOC \o "1-3" \h \z \u </w:instrText>
      </w:r>
      <w:r w:rsidRPr="00CA7855">
        <w:fldChar w:fldCharType="separate"/>
      </w:r>
      <w:hyperlink w:anchor="_Toc79584854" w:history="1">
        <w:r w:rsidR="00356F70" w:rsidRPr="00BC7682">
          <w:rPr>
            <w:rStyle w:val="Hyperlink"/>
            <w:noProof/>
          </w:rPr>
          <w:t>Acronyms</w:t>
        </w:r>
        <w:r w:rsidR="00356F70">
          <w:rPr>
            <w:noProof/>
            <w:webHidden/>
          </w:rPr>
          <w:tab/>
        </w:r>
        <w:r w:rsidR="00356F70">
          <w:rPr>
            <w:noProof/>
            <w:webHidden/>
          </w:rPr>
          <w:fldChar w:fldCharType="begin"/>
        </w:r>
        <w:r w:rsidR="00356F70">
          <w:rPr>
            <w:noProof/>
            <w:webHidden/>
          </w:rPr>
          <w:instrText xml:space="preserve"> PAGEREF _Toc79584854 \h </w:instrText>
        </w:r>
        <w:r w:rsidR="00356F70">
          <w:rPr>
            <w:noProof/>
            <w:webHidden/>
          </w:rPr>
        </w:r>
        <w:r w:rsidR="00356F70">
          <w:rPr>
            <w:noProof/>
            <w:webHidden/>
          </w:rPr>
          <w:fldChar w:fldCharType="separate"/>
        </w:r>
        <w:r w:rsidR="00C10CB8">
          <w:rPr>
            <w:noProof/>
            <w:webHidden/>
          </w:rPr>
          <w:t>4</w:t>
        </w:r>
        <w:r w:rsidR="00356F70">
          <w:rPr>
            <w:noProof/>
            <w:webHidden/>
          </w:rPr>
          <w:fldChar w:fldCharType="end"/>
        </w:r>
      </w:hyperlink>
    </w:p>
    <w:p w14:paraId="15CC5371" w14:textId="414F13CE" w:rsidR="00356F70" w:rsidRDefault="00356F70" w:rsidP="00356F70">
      <w:pPr>
        <w:pStyle w:val="TOC1"/>
        <w:rPr>
          <w:rFonts w:asciiTheme="minorHAnsi" w:eastAsiaTheme="minorEastAsia" w:hAnsiTheme="minorHAnsi" w:cstheme="minorBidi"/>
          <w:noProof/>
          <w:sz w:val="22"/>
          <w:lang w:eastAsia="en-AU"/>
        </w:rPr>
      </w:pPr>
      <w:hyperlink w:anchor="_Toc79584855" w:history="1">
        <w:r w:rsidRPr="00BC7682">
          <w:rPr>
            <w:rStyle w:val="Hyperlink"/>
            <w:noProof/>
          </w:rPr>
          <w:t>Introduction</w:t>
        </w:r>
        <w:r>
          <w:rPr>
            <w:noProof/>
            <w:webHidden/>
          </w:rPr>
          <w:tab/>
        </w:r>
        <w:r>
          <w:rPr>
            <w:noProof/>
            <w:webHidden/>
          </w:rPr>
          <w:fldChar w:fldCharType="begin"/>
        </w:r>
        <w:r>
          <w:rPr>
            <w:noProof/>
            <w:webHidden/>
          </w:rPr>
          <w:instrText xml:space="preserve"> PAGEREF _Toc79584855 \h </w:instrText>
        </w:r>
        <w:r>
          <w:rPr>
            <w:noProof/>
            <w:webHidden/>
          </w:rPr>
        </w:r>
        <w:r>
          <w:rPr>
            <w:noProof/>
            <w:webHidden/>
          </w:rPr>
          <w:fldChar w:fldCharType="separate"/>
        </w:r>
        <w:r w:rsidR="00C10CB8">
          <w:rPr>
            <w:noProof/>
            <w:webHidden/>
          </w:rPr>
          <w:t>5</w:t>
        </w:r>
        <w:r>
          <w:rPr>
            <w:noProof/>
            <w:webHidden/>
          </w:rPr>
          <w:fldChar w:fldCharType="end"/>
        </w:r>
      </w:hyperlink>
    </w:p>
    <w:p w14:paraId="5AA9C1BC" w14:textId="4A9B36DC" w:rsidR="00356F70" w:rsidRDefault="00356F70" w:rsidP="00356F70">
      <w:pPr>
        <w:pStyle w:val="TOC1"/>
        <w:rPr>
          <w:rFonts w:asciiTheme="minorHAnsi" w:eastAsiaTheme="minorEastAsia" w:hAnsiTheme="minorHAnsi" w:cstheme="minorBidi"/>
          <w:noProof/>
          <w:sz w:val="22"/>
          <w:lang w:eastAsia="en-AU"/>
        </w:rPr>
      </w:pPr>
      <w:hyperlink w:anchor="_Toc79584856" w:history="1">
        <w:r w:rsidRPr="00BC7682">
          <w:rPr>
            <w:rStyle w:val="Hyperlink"/>
            <w:noProof/>
          </w:rPr>
          <w:t xml:space="preserve">Tracking changes in the price of key goods and services: </w:t>
        </w:r>
        <w:r>
          <w:rPr>
            <w:rStyle w:val="Hyperlink"/>
            <w:noProof/>
          </w:rPr>
          <w:br/>
        </w:r>
        <w:r w:rsidRPr="00BC7682">
          <w:rPr>
            <w:rStyle w:val="Hyperlink"/>
            <w:noProof/>
          </w:rPr>
          <w:t>Consumer Price Index</w:t>
        </w:r>
        <w:r>
          <w:rPr>
            <w:noProof/>
            <w:webHidden/>
          </w:rPr>
          <w:tab/>
        </w:r>
        <w:r>
          <w:rPr>
            <w:noProof/>
            <w:webHidden/>
          </w:rPr>
          <w:fldChar w:fldCharType="begin"/>
        </w:r>
        <w:r>
          <w:rPr>
            <w:noProof/>
            <w:webHidden/>
          </w:rPr>
          <w:instrText xml:space="preserve"> PAGEREF _Toc79584856 \h </w:instrText>
        </w:r>
        <w:r>
          <w:rPr>
            <w:noProof/>
            <w:webHidden/>
          </w:rPr>
        </w:r>
        <w:r>
          <w:rPr>
            <w:noProof/>
            <w:webHidden/>
          </w:rPr>
          <w:fldChar w:fldCharType="separate"/>
        </w:r>
        <w:r w:rsidR="00C10CB8">
          <w:rPr>
            <w:noProof/>
            <w:webHidden/>
          </w:rPr>
          <w:t>7</w:t>
        </w:r>
        <w:r>
          <w:rPr>
            <w:noProof/>
            <w:webHidden/>
          </w:rPr>
          <w:fldChar w:fldCharType="end"/>
        </w:r>
      </w:hyperlink>
    </w:p>
    <w:p w14:paraId="3D7A1F2A" w14:textId="3AE9D086" w:rsidR="00356F70" w:rsidRDefault="00356F70" w:rsidP="00356F70">
      <w:pPr>
        <w:pStyle w:val="TOC1"/>
        <w:rPr>
          <w:rFonts w:asciiTheme="minorHAnsi" w:eastAsiaTheme="minorEastAsia" w:hAnsiTheme="minorHAnsi" w:cstheme="minorBidi"/>
          <w:noProof/>
          <w:sz w:val="22"/>
          <w:lang w:eastAsia="en-AU"/>
        </w:rPr>
      </w:pPr>
      <w:hyperlink w:anchor="_Toc79584857" w:history="1">
        <w:r w:rsidRPr="00BC7682">
          <w:rPr>
            <w:rStyle w:val="Hyperlink"/>
            <w:noProof/>
          </w:rPr>
          <w:t>The ACT’s housing affordability crisis</w:t>
        </w:r>
        <w:r>
          <w:rPr>
            <w:noProof/>
            <w:webHidden/>
          </w:rPr>
          <w:tab/>
        </w:r>
        <w:r>
          <w:rPr>
            <w:noProof/>
            <w:webHidden/>
          </w:rPr>
          <w:fldChar w:fldCharType="begin"/>
        </w:r>
        <w:r>
          <w:rPr>
            <w:noProof/>
            <w:webHidden/>
          </w:rPr>
          <w:instrText xml:space="preserve"> PAGEREF _Toc79584857 \h </w:instrText>
        </w:r>
        <w:r>
          <w:rPr>
            <w:noProof/>
            <w:webHidden/>
          </w:rPr>
        </w:r>
        <w:r>
          <w:rPr>
            <w:noProof/>
            <w:webHidden/>
          </w:rPr>
          <w:fldChar w:fldCharType="separate"/>
        </w:r>
        <w:r w:rsidR="00C10CB8">
          <w:rPr>
            <w:noProof/>
            <w:webHidden/>
          </w:rPr>
          <w:t>14</w:t>
        </w:r>
        <w:r>
          <w:rPr>
            <w:noProof/>
            <w:webHidden/>
          </w:rPr>
          <w:fldChar w:fldCharType="end"/>
        </w:r>
      </w:hyperlink>
    </w:p>
    <w:p w14:paraId="110A6E3F" w14:textId="684AB49A" w:rsidR="00356F70" w:rsidRDefault="00356F70" w:rsidP="00356F70">
      <w:pPr>
        <w:pStyle w:val="TOC1"/>
        <w:rPr>
          <w:rFonts w:asciiTheme="minorHAnsi" w:eastAsiaTheme="minorEastAsia" w:hAnsiTheme="minorHAnsi" w:cstheme="minorBidi"/>
          <w:noProof/>
          <w:sz w:val="22"/>
          <w:lang w:eastAsia="en-AU"/>
        </w:rPr>
      </w:pPr>
      <w:hyperlink w:anchor="_Toc79584858" w:history="1">
        <w:r w:rsidRPr="00BC7682">
          <w:rPr>
            <w:rStyle w:val="Hyperlink"/>
            <w:noProof/>
          </w:rPr>
          <w:t>Tracking changes in the cost of living for low-income households: Selected Living Cost Indexes</w:t>
        </w:r>
        <w:r>
          <w:rPr>
            <w:noProof/>
            <w:webHidden/>
          </w:rPr>
          <w:tab/>
        </w:r>
        <w:r>
          <w:rPr>
            <w:noProof/>
            <w:webHidden/>
          </w:rPr>
          <w:fldChar w:fldCharType="begin"/>
        </w:r>
        <w:r>
          <w:rPr>
            <w:noProof/>
            <w:webHidden/>
          </w:rPr>
          <w:instrText xml:space="preserve"> PAGEREF _Toc79584858 \h </w:instrText>
        </w:r>
        <w:r>
          <w:rPr>
            <w:noProof/>
            <w:webHidden/>
          </w:rPr>
        </w:r>
        <w:r>
          <w:rPr>
            <w:noProof/>
            <w:webHidden/>
          </w:rPr>
          <w:fldChar w:fldCharType="separate"/>
        </w:r>
        <w:r w:rsidR="00C10CB8">
          <w:rPr>
            <w:noProof/>
            <w:webHidden/>
          </w:rPr>
          <w:t>19</w:t>
        </w:r>
        <w:r>
          <w:rPr>
            <w:noProof/>
            <w:webHidden/>
          </w:rPr>
          <w:fldChar w:fldCharType="end"/>
        </w:r>
      </w:hyperlink>
    </w:p>
    <w:p w14:paraId="58340E26" w14:textId="22AC354A" w:rsidR="00356F70" w:rsidRDefault="00356F70" w:rsidP="00356F70">
      <w:pPr>
        <w:pStyle w:val="TOC1"/>
        <w:rPr>
          <w:rFonts w:asciiTheme="minorHAnsi" w:eastAsiaTheme="minorEastAsia" w:hAnsiTheme="minorHAnsi" w:cstheme="minorBidi"/>
          <w:noProof/>
          <w:sz w:val="22"/>
          <w:lang w:eastAsia="en-AU"/>
        </w:rPr>
      </w:pPr>
      <w:hyperlink w:anchor="_Toc79584859" w:history="1">
        <w:r w:rsidRPr="00BC7682">
          <w:rPr>
            <w:rStyle w:val="Hyperlink"/>
            <w:noProof/>
          </w:rPr>
          <w:t>Conclusion</w:t>
        </w:r>
        <w:r>
          <w:rPr>
            <w:noProof/>
            <w:webHidden/>
          </w:rPr>
          <w:tab/>
        </w:r>
        <w:r>
          <w:rPr>
            <w:noProof/>
            <w:webHidden/>
          </w:rPr>
          <w:fldChar w:fldCharType="begin"/>
        </w:r>
        <w:r>
          <w:rPr>
            <w:noProof/>
            <w:webHidden/>
          </w:rPr>
          <w:instrText xml:space="preserve"> PAGEREF _Toc79584859 \h </w:instrText>
        </w:r>
        <w:r>
          <w:rPr>
            <w:noProof/>
            <w:webHidden/>
          </w:rPr>
        </w:r>
        <w:r>
          <w:rPr>
            <w:noProof/>
            <w:webHidden/>
          </w:rPr>
          <w:fldChar w:fldCharType="separate"/>
        </w:r>
        <w:r w:rsidR="00C10CB8">
          <w:rPr>
            <w:noProof/>
            <w:webHidden/>
          </w:rPr>
          <w:t>27</w:t>
        </w:r>
        <w:r>
          <w:rPr>
            <w:noProof/>
            <w:webHidden/>
          </w:rPr>
          <w:fldChar w:fldCharType="end"/>
        </w:r>
      </w:hyperlink>
    </w:p>
    <w:p w14:paraId="600FA889" w14:textId="621A39B4" w:rsidR="00356F70" w:rsidRDefault="00356F70" w:rsidP="00356F70">
      <w:pPr>
        <w:pStyle w:val="TOC1"/>
        <w:rPr>
          <w:rFonts w:asciiTheme="minorHAnsi" w:eastAsiaTheme="minorEastAsia" w:hAnsiTheme="minorHAnsi" w:cstheme="minorBidi"/>
          <w:noProof/>
          <w:sz w:val="22"/>
          <w:lang w:eastAsia="en-AU"/>
        </w:rPr>
      </w:pPr>
      <w:hyperlink w:anchor="_Toc79584860" w:history="1">
        <w:r w:rsidRPr="00BC7682">
          <w:rPr>
            <w:rStyle w:val="Hyperlink"/>
            <w:noProof/>
          </w:rPr>
          <w:t>Appendix: Explanatory notes</w:t>
        </w:r>
        <w:r>
          <w:rPr>
            <w:noProof/>
            <w:webHidden/>
          </w:rPr>
          <w:tab/>
        </w:r>
        <w:r>
          <w:rPr>
            <w:noProof/>
            <w:webHidden/>
          </w:rPr>
          <w:fldChar w:fldCharType="begin"/>
        </w:r>
        <w:r>
          <w:rPr>
            <w:noProof/>
            <w:webHidden/>
          </w:rPr>
          <w:instrText xml:space="preserve"> PAGEREF _Toc79584860 \h </w:instrText>
        </w:r>
        <w:r>
          <w:rPr>
            <w:noProof/>
            <w:webHidden/>
          </w:rPr>
        </w:r>
        <w:r>
          <w:rPr>
            <w:noProof/>
            <w:webHidden/>
          </w:rPr>
          <w:fldChar w:fldCharType="separate"/>
        </w:r>
        <w:r w:rsidR="00C10CB8">
          <w:rPr>
            <w:noProof/>
            <w:webHidden/>
          </w:rPr>
          <w:t>29</w:t>
        </w:r>
        <w:r>
          <w:rPr>
            <w:noProof/>
            <w:webHidden/>
          </w:rPr>
          <w:fldChar w:fldCharType="end"/>
        </w:r>
      </w:hyperlink>
    </w:p>
    <w:p w14:paraId="53C17CB7" w14:textId="4F5F4501" w:rsidR="00356F70" w:rsidRDefault="00356F70" w:rsidP="00356F70">
      <w:pPr>
        <w:pStyle w:val="TOC2"/>
        <w:rPr>
          <w:rFonts w:asciiTheme="minorHAnsi" w:eastAsiaTheme="minorEastAsia" w:hAnsiTheme="minorHAnsi" w:cstheme="minorBidi"/>
          <w:noProof/>
          <w:sz w:val="22"/>
          <w:lang w:eastAsia="en-AU"/>
        </w:rPr>
      </w:pPr>
      <w:hyperlink w:anchor="_Toc79584861" w:history="1">
        <w:r w:rsidRPr="00BC7682">
          <w:rPr>
            <w:rStyle w:val="Hyperlink"/>
            <w:noProof/>
          </w:rPr>
          <w:t>Consumer Price Index and Selected Living Cost Indexes</w:t>
        </w:r>
        <w:r>
          <w:rPr>
            <w:noProof/>
            <w:webHidden/>
          </w:rPr>
          <w:tab/>
        </w:r>
        <w:r>
          <w:rPr>
            <w:noProof/>
            <w:webHidden/>
          </w:rPr>
          <w:fldChar w:fldCharType="begin"/>
        </w:r>
        <w:r>
          <w:rPr>
            <w:noProof/>
            <w:webHidden/>
          </w:rPr>
          <w:instrText xml:space="preserve"> PAGEREF _Toc79584861 \h </w:instrText>
        </w:r>
        <w:r>
          <w:rPr>
            <w:noProof/>
            <w:webHidden/>
          </w:rPr>
        </w:r>
        <w:r>
          <w:rPr>
            <w:noProof/>
            <w:webHidden/>
          </w:rPr>
          <w:fldChar w:fldCharType="separate"/>
        </w:r>
        <w:r w:rsidR="00C10CB8">
          <w:rPr>
            <w:noProof/>
            <w:webHidden/>
          </w:rPr>
          <w:t>29</w:t>
        </w:r>
        <w:r>
          <w:rPr>
            <w:noProof/>
            <w:webHidden/>
          </w:rPr>
          <w:fldChar w:fldCharType="end"/>
        </w:r>
      </w:hyperlink>
    </w:p>
    <w:p w14:paraId="40DA565E" w14:textId="0199D1E6" w:rsidR="00356F70" w:rsidRDefault="00356F70" w:rsidP="00356F70">
      <w:pPr>
        <w:pStyle w:val="TOC2"/>
        <w:rPr>
          <w:rFonts w:asciiTheme="minorHAnsi" w:eastAsiaTheme="minorEastAsia" w:hAnsiTheme="minorHAnsi" w:cstheme="minorBidi"/>
          <w:noProof/>
          <w:sz w:val="22"/>
          <w:lang w:eastAsia="en-AU"/>
        </w:rPr>
      </w:pPr>
      <w:hyperlink w:anchor="_Toc79584862" w:history="1">
        <w:r w:rsidRPr="00BC7682">
          <w:rPr>
            <w:rStyle w:val="Hyperlink"/>
            <w:noProof/>
          </w:rPr>
          <w:t>Limitations of the Selected Living Cost Indexes</w:t>
        </w:r>
        <w:r>
          <w:rPr>
            <w:noProof/>
            <w:webHidden/>
          </w:rPr>
          <w:tab/>
        </w:r>
        <w:r>
          <w:rPr>
            <w:noProof/>
            <w:webHidden/>
          </w:rPr>
          <w:fldChar w:fldCharType="begin"/>
        </w:r>
        <w:r>
          <w:rPr>
            <w:noProof/>
            <w:webHidden/>
          </w:rPr>
          <w:instrText xml:space="preserve"> PAGEREF _Toc79584862 \h </w:instrText>
        </w:r>
        <w:r>
          <w:rPr>
            <w:noProof/>
            <w:webHidden/>
          </w:rPr>
        </w:r>
        <w:r>
          <w:rPr>
            <w:noProof/>
            <w:webHidden/>
          </w:rPr>
          <w:fldChar w:fldCharType="separate"/>
        </w:r>
        <w:r w:rsidR="00C10CB8">
          <w:rPr>
            <w:noProof/>
            <w:webHidden/>
          </w:rPr>
          <w:t>29</w:t>
        </w:r>
        <w:r>
          <w:rPr>
            <w:noProof/>
            <w:webHidden/>
          </w:rPr>
          <w:fldChar w:fldCharType="end"/>
        </w:r>
      </w:hyperlink>
    </w:p>
    <w:p w14:paraId="13301E7B" w14:textId="3D8A86B9" w:rsidR="00356F70" w:rsidRDefault="00356F70" w:rsidP="00356F70">
      <w:pPr>
        <w:pStyle w:val="TOC2"/>
        <w:rPr>
          <w:rFonts w:asciiTheme="minorHAnsi" w:eastAsiaTheme="minorEastAsia" w:hAnsiTheme="minorHAnsi" w:cstheme="minorBidi"/>
          <w:noProof/>
          <w:sz w:val="22"/>
          <w:lang w:eastAsia="en-AU"/>
        </w:rPr>
      </w:pPr>
      <w:hyperlink w:anchor="_Toc79584863" w:history="1">
        <w:r w:rsidRPr="00BC7682">
          <w:rPr>
            <w:rStyle w:val="Hyperlink"/>
            <w:noProof/>
          </w:rPr>
          <w:t xml:space="preserve">Income support payment calculations – </w:t>
        </w:r>
        <w:r w:rsidR="001909EA">
          <w:rPr>
            <w:rStyle w:val="Hyperlink"/>
            <w:noProof/>
          </w:rPr>
          <w:br/>
        </w:r>
        <w:r w:rsidRPr="00BC7682">
          <w:rPr>
            <w:rStyle w:val="Hyperlink"/>
            <w:noProof/>
          </w:rPr>
          <w:t>December 2019 to 1 April 2021</w:t>
        </w:r>
        <w:r>
          <w:rPr>
            <w:noProof/>
            <w:webHidden/>
          </w:rPr>
          <w:tab/>
        </w:r>
        <w:r>
          <w:rPr>
            <w:noProof/>
            <w:webHidden/>
          </w:rPr>
          <w:fldChar w:fldCharType="begin"/>
        </w:r>
        <w:r>
          <w:rPr>
            <w:noProof/>
            <w:webHidden/>
          </w:rPr>
          <w:instrText xml:space="preserve"> PAGEREF _Toc79584863 \h </w:instrText>
        </w:r>
        <w:r>
          <w:rPr>
            <w:noProof/>
            <w:webHidden/>
          </w:rPr>
        </w:r>
        <w:r>
          <w:rPr>
            <w:noProof/>
            <w:webHidden/>
          </w:rPr>
          <w:fldChar w:fldCharType="separate"/>
        </w:r>
        <w:r w:rsidR="00C10CB8">
          <w:rPr>
            <w:noProof/>
            <w:webHidden/>
          </w:rPr>
          <w:t>30</w:t>
        </w:r>
        <w:r>
          <w:rPr>
            <w:noProof/>
            <w:webHidden/>
          </w:rPr>
          <w:fldChar w:fldCharType="end"/>
        </w:r>
      </w:hyperlink>
    </w:p>
    <w:p w14:paraId="380E0F5A" w14:textId="1013F435" w:rsidR="00356F70" w:rsidRDefault="00356F70" w:rsidP="00356F70">
      <w:pPr>
        <w:pStyle w:val="TOC2"/>
        <w:rPr>
          <w:rFonts w:asciiTheme="minorHAnsi" w:eastAsiaTheme="minorEastAsia" w:hAnsiTheme="minorHAnsi" w:cstheme="minorBidi"/>
          <w:noProof/>
          <w:sz w:val="22"/>
          <w:lang w:eastAsia="en-AU"/>
        </w:rPr>
      </w:pPr>
      <w:hyperlink w:anchor="_Toc79584864" w:history="1">
        <w:r w:rsidRPr="00BC7682">
          <w:rPr>
            <w:rStyle w:val="Hyperlink"/>
            <w:noProof/>
          </w:rPr>
          <w:t>How Pension rates are adjusted</w:t>
        </w:r>
        <w:r>
          <w:rPr>
            <w:noProof/>
            <w:webHidden/>
          </w:rPr>
          <w:tab/>
        </w:r>
        <w:r>
          <w:rPr>
            <w:noProof/>
            <w:webHidden/>
          </w:rPr>
          <w:fldChar w:fldCharType="begin"/>
        </w:r>
        <w:r>
          <w:rPr>
            <w:noProof/>
            <w:webHidden/>
          </w:rPr>
          <w:instrText xml:space="preserve"> PAGEREF _Toc79584864 \h </w:instrText>
        </w:r>
        <w:r>
          <w:rPr>
            <w:noProof/>
            <w:webHidden/>
          </w:rPr>
        </w:r>
        <w:r>
          <w:rPr>
            <w:noProof/>
            <w:webHidden/>
          </w:rPr>
          <w:fldChar w:fldCharType="separate"/>
        </w:r>
        <w:r w:rsidR="00C10CB8">
          <w:rPr>
            <w:noProof/>
            <w:webHidden/>
          </w:rPr>
          <w:t>32</w:t>
        </w:r>
        <w:r>
          <w:rPr>
            <w:noProof/>
            <w:webHidden/>
          </w:rPr>
          <w:fldChar w:fldCharType="end"/>
        </w:r>
      </w:hyperlink>
    </w:p>
    <w:p w14:paraId="65ECFC32" w14:textId="0E6FD228" w:rsidR="001B2FCD" w:rsidRPr="00CA7855" w:rsidRDefault="00AB255D" w:rsidP="00F62238">
      <w:pPr>
        <w:pStyle w:val="BodyText"/>
      </w:pPr>
      <w:r w:rsidRPr="00CA7855">
        <w:fldChar w:fldCharType="end"/>
      </w:r>
    </w:p>
    <w:p w14:paraId="4F93FAA1" w14:textId="77777777" w:rsidR="00AB255D" w:rsidRPr="00CA7855" w:rsidRDefault="00AB255D" w:rsidP="00F62238">
      <w:pPr>
        <w:pStyle w:val="BodyText"/>
      </w:pPr>
    </w:p>
    <w:p w14:paraId="7B02E4FA" w14:textId="77777777" w:rsidR="00AB255D" w:rsidRPr="00CA7855" w:rsidRDefault="00AB255D" w:rsidP="00AB255D">
      <w:pPr>
        <w:pStyle w:val="Heading1-Pagebreakbefore"/>
      </w:pPr>
      <w:bookmarkStart w:id="0" w:name="_Toc79584854"/>
      <w:r w:rsidRPr="00CA7855">
        <w:t>Acronyms</w:t>
      </w:r>
      <w:bookmarkEnd w:id="0"/>
    </w:p>
    <w:p w14:paraId="473FDE30" w14:textId="77777777" w:rsidR="00755315" w:rsidRDefault="00755315" w:rsidP="00755315">
      <w:pPr>
        <w:pStyle w:val="AcronymsList"/>
      </w:pPr>
      <w:r>
        <w:t>ABS</w:t>
      </w:r>
      <w:r>
        <w:tab/>
        <w:t>Australian Bureau of Statistics</w:t>
      </w:r>
    </w:p>
    <w:p w14:paraId="783B9FE4" w14:textId="77777777" w:rsidR="00755315" w:rsidRDefault="00755315" w:rsidP="00755315">
      <w:pPr>
        <w:pStyle w:val="AcronymsList"/>
      </w:pPr>
      <w:r>
        <w:t>ACOSS</w:t>
      </w:r>
      <w:r>
        <w:tab/>
        <w:t>Australian Council of Social Service</w:t>
      </w:r>
    </w:p>
    <w:p w14:paraId="2271E078" w14:textId="77777777" w:rsidR="00755315" w:rsidRDefault="00755315" w:rsidP="00755315">
      <w:pPr>
        <w:pStyle w:val="AcronymsList"/>
      </w:pPr>
      <w:r>
        <w:t>ACT</w:t>
      </w:r>
      <w:r>
        <w:tab/>
        <w:t>Australian Capital Territory</w:t>
      </w:r>
    </w:p>
    <w:p w14:paraId="05BD3224" w14:textId="77777777" w:rsidR="00755315" w:rsidRDefault="00755315" w:rsidP="00755315">
      <w:pPr>
        <w:pStyle w:val="AcronymsList"/>
      </w:pPr>
      <w:r>
        <w:t>ACTCOSS</w:t>
      </w:r>
      <w:r>
        <w:tab/>
        <w:t>ACT Council of Social Service Inc.</w:t>
      </w:r>
    </w:p>
    <w:p w14:paraId="09D41F5B" w14:textId="77777777" w:rsidR="006E2CCB" w:rsidRDefault="006E2CCB" w:rsidP="006E2CCB">
      <w:pPr>
        <w:pStyle w:val="AcronymsList"/>
      </w:pPr>
      <w:r>
        <w:t>AER</w:t>
      </w:r>
      <w:r>
        <w:tab/>
        <w:t xml:space="preserve">Australian Energy Regulator </w:t>
      </w:r>
    </w:p>
    <w:p w14:paraId="1C65807C" w14:textId="29C3AD2B" w:rsidR="006E2CCB" w:rsidRDefault="006E2CCB" w:rsidP="006E2CCB">
      <w:pPr>
        <w:pStyle w:val="AcronymsList"/>
      </w:pPr>
      <w:r>
        <w:t xml:space="preserve">AHURI </w:t>
      </w:r>
      <w:r>
        <w:tab/>
        <w:t>Australian Housing and Urban Research Institute</w:t>
      </w:r>
    </w:p>
    <w:p w14:paraId="46393AB0" w14:textId="77777777" w:rsidR="00755315" w:rsidRDefault="00755315" w:rsidP="00755315">
      <w:pPr>
        <w:pStyle w:val="AcronymsList"/>
      </w:pPr>
      <w:r>
        <w:t>CPI</w:t>
      </w:r>
      <w:r>
        <w:tab/>
        <w:t>Consumer Price Index</w:t>
      </w:r>
    </w:p>
    <w:p w14:paraId="71FD35D8" w14:textId="77777777" w:rsidR="00755315" w:rsidRDefault="00755315" w:rsidP="00755315">
      <w:pPr>
        <w:pStyle w:val="AcronymsList"/>
      </w:pPr>
      <w:r>
        <w:t>GDP</w:t>
      </w:r>
      <w:r>
        <w:tab/>
        <w:t>Gross Domestic Product</w:t>
      </w:r>
    </w:p>
    <w:p w14:paraId="2FA270F6" w14:textId="77777777" w:rsidR="00755315" w:rsidRDefault="00755315" w:rsidP="00755315">
      <w:pPr>
        <w:pStyle w:val="AcronymsList"/>
      </w:pPr>
      <w:r>
        <w:t>ICRC</w:t>
      </w:r>
      <w:r>
        <w:tab/>
        <w:t>Independent Competition and Regulatory Commission</w:t>
      </w:r>
    </w:p>
    <w:p w14:paraId="6751131B" w14:textId="49380A5E" w:rsidR="002A0D81" w:rsidRDefault="002A0D81" w:rsidP="00755315">
      <w:pPr>
        <w:pStyle w:val="AcronymsList"/>
      </w:pPr>
      <w:r>
        <w:t xml:space="preserve">IGPA </w:t>
      </w:r>
      <w:r>
        <w:tab/>
        <w:t>Institute for Governance and Policy Analysis</w:t>
      </w:r>
    </w:p>
    <w:p w14:paraId="05D4492A" w14:textId="77777777" w:rsidR="00755315" w:rsidRDefault="00755315" w:rsidP="00755315">
      <w:pPr>
        <w:pStyle w:val="AcronymsList"/>
      </w:pPr>
      <w:r>
        <w:t>LCI</w:t>
      </w:r>
      <w:r>
        <w:tab/>
        <w:t>Living Cost Index</w:t>
      </w:r>
    </w:p>
    <w:p w14:paraId="5520F803" w14:textId="69EB92CD" w:rsidR="0020747E" w:rsidRDefault="0020747E" w:rsidP="001C2A72">
      <w:pPr>
        <w:pStyle w:val="AcronymsList"/>
      </w:pPr>
      <w:r>
        <w:t xml:space="preserve">NATSEM </w:t>
      </w:r>
      <w:r>
        <w:tab/>
      </w:r>
      <w:r w:rsidR="001C2A72">
        <w:t xml:space="preserve">National Centre </w:t>
      </w:r>
      <w:r w:rsidR="007C4327">
        <w:t>f</w:t>
      </w:r>
      <w:r w:rsidR="001C2A72">
        <w:t xml:space="preserve">or Social </w:t>
      </w:r>
      <w:r w:rsidR="00C10CB8">
        <w:t>a</w:t>
      </w:r>
      <w:r w:rsidR="001C2A72">
        <w:t>nd Economic Modelling</w:t>
      </w:r>
    </w:p>
    <w:p w14:paraId="461A0653" w14:textId="77777777" w:rsidR="00755315" w:rsidRDefault="00755315" w:rsidP="00755315">
      <w:pPr>
        <w:pStyle w:val="AcronymsList"/>
      </w:pPr>
      <w:r>
        <w:t>SACOSS</w:t>
      </w:r>
      <w:r>
        <w:tab/>
        <w:t>South Australian Council of Social Service</w:t>
      </w:r>
    </w:p>
    <w:p w14:paraId="11C0AF1F" w14:textId="7CA48ADE" w:rsidR="00B571E7" w:rsidRPr="00BF33A5" w:rsidRDefault="00755315" w:rsidP="007C4327">
      <w:pPr>
        <w:pStyle w:val="AcronymsList"/>
      </w:pPr>
      <w:r>
        <w:t>SLCI</w:t>
      </w:r>
      <w:r>
        <w:tab/>
        <w:t>Selected Living Cost Indexes</w:t>
      </w:r>
    </w:p>
    <w:p w14:paraId="032ECBD3" w14:textId="23F14E38" w:rsidR="00AB255D" w:rsidRPr="00CA7855" w:rsidRDefault="00966EF2" w:rsidP="00F54FAF">
      <w:pPr>
        <w:pStyle w:val="Heading1-Pagebreakbefore"/>
      </w:pPr>
      <w:bookmarkStart w:id="1" w:name="_Toc79584855"/>
      <w:r>
        <w:t>Introduction</w:t>
      </w:r>
      <w:bookmarkEnd w:id="1"/>
    </w:p>
    <w:p w14:paraId="61C0D9E0" w14:textId="0F5793F3" w:rsidR="00966EF2" w:rsidRDefault="002D216F" w:rsidP="002C4E3A">
      <w:pPr>
        <w:pStyle w:val="BodyText"/>
      </w:pPr>
      <w:r>
        <w:t xml:space="preserve">Over </w:t>
      </w:r>
      <w:r w:rsidR="00294BC5">
        <w:t>18 months</w:t>
      </w:r>
      <w:r>
        <w:t>, the</w:t>
      </w:r>
      <w:r w:rsidR="007778B6">
        <w:t xml:space="preserve"> </w:t>
      </w:r>
      <w:r w:rsidR="005F2CDB">
        <w:t xml:space="preserve">COVID-19 health and economic </w:t>
      </w:r>
      <w:r w:rsidR="007778B6">
        <w:t>crisis</w:t>
      </w:r>
      <w:r>
        <w:t xml:space="preserve"> </w:t>
      </w:r>
      <w:r w:rsidR="00D73433">
        <w:t>has had a significant impact</w:t>
      </w:r>
      <w:r w:rsidR="00B04A92">
        <w:t xml:space="preserve"> on </w:t>
      </w:r>
      <w:r w:rsidR="00F45E10">
        <w:t>low-income</w:t>
      </w:r>
      <w:r w:rsidR="00B04A92">
        <w:t xml:space="preserve"> households</w:t>
      </w:r>
      <w:r w:rsidR="00F45E10">
        <w:t xml:space="preserve"> in the ACT and their ability to make ends meet</w:t>
      </w:r>
      <w:r w:rsidR="001370F4">
        <w:t xml:space="preserve">. </w:t>
      </w:r>
      <w:r w:rsidR="002A0402">
        <w:t>Employment,</w:t>
      </w:r>
      <w:r w:rsidR="007841C2">
        <w:t xml:space="preserve"> </w:t>
      </w:r>
      <w:r w:rsidR="00F65475">
        <w:t>incomes</w:t>
      </w:r>
      <w:r w:rsidR="007841C2">
        <w:t>,</w:t>
      </w:r>
      <w:r w:rsidR="00F65475">
        <w:t xml:space="preserve"> and the prices of essential goods and services have</w:t>
      </w:r>
      <w:r w:rsidR="0006037A">
        <w:t xml:space="preserve"> fluctuated </w:t>
      </w:r>
      <w:r w:rsidR="00D45546">
        <w:t xml:space="preserve">over </w:t>
      </w:r>
      <w:r w:rsidR="00294BC5">
        <w:t>th</w:t>
      </w:r>
      <w:r w:rsidR="006769D2">
        <w:t>e course of the pandemic</w:t>
      </w:r>
      <w:r w:rsidR="00D45546">
        <w:t>.</w:t>
      </w:r>
      <w:r w:rsidR="00F65475">
        <w:t xml:space="preserve"> </w:t>
      </w:r>
      <w:r w:rsidR="00640662">
        <w:t>However, g</w:t>
      </w:r>
      <w:r w:rsidR="00706C0C">
        <w:t xml:space="preserve">overnments, both </w:t>
      </w:r>
      <w:r w:rsidR="002903DE">
        <w:t>f</w:t>
      </w:r>
      <w:r w:rsidR="00706C0C">
        <w:t xml:space="preserve">ederal and </w:t>
      </w:r>
      <w:r w:rsidR="00F2009F">
        <w:t>t</w:t>
      </w:r>
      <w:r w:rsidR="00706C0C">
        <w:t xml:space="preserve">erritory, </w:t>
      </w:r>
      <w:r w:rsidR="00F0556C">
        <w:t xml:space="preserve">have provided </w:t>
      </w:r>
      <w:r w:rsidR="001B2EB3">
        <w:t xml:space="preserve">some </w:t>
      </w:r>
      <w:r w:rsidR="001218F6">
        <w:t>critical</w:t>
      </w:r>
      <w:r w:rsidR="00F0556C">
        <w:t xml:space="preserve"> financial supports and legal protections</w:t>
      </w:r>
      <w:r w:rsidR="009B1F8D">
        <w:t xml:space="preserve"> that have helped reduce the impact o</w:t>
      </w:r>
      <w:r w:rsidR="007F18BE">
        <w:t xml:space="preserve">f this crisis </w:t>
      </w:r>
      <w:r w:rsidR="00070F08">
        <w:t>for many of the</w:t>
      </w:r>
      <w:r w:rsidR="007F18BE">
        <w:t xml:space="preserve"> most vulnerable</w:t>
      </w:r>
      <w:r w:rsidR="00891BD1">
        <w:t xml:space="preserve"> in our community</w:t>
      </w:r>
      <w:r w:rsidR="007F18BE">
        <w:t>.</w:t>
      </w:r>
    </w:p>
    <w:p w14:paraId="204D65F5" w14:textId="21A77C58" w:rsidR="00394B9A" w:rsidRDefault="00D45546" w:rsidP="002C4E3A">
      <w:pPr>
        <w:pStyle w:val="BodyText"/>
      </w:pPr>
      <w:r>
        <w:t>Some</w:t>
      </w:r>
      <w:r w:rsidR="002E0805">
        <w:t xml:space="preserve"> </w:t>
      </w:r>
      <w:r w:rsidR="001C2525">
        <w:t>key</w:t>
      </w:r>
      <w:r w:rsidR="002E0805">
        <w:t xml:space="preserve"> </w:t>
      </w:r>
      <w:r>
        <w:t xml:space="preserve">support </w:t>
      </w:r>
      <w:r w:rsidR="002E0805">
        <w:t>measures</w:t>
      </w:r>
      <w:r w:rsidR="00926ACD">
        <w:t xml:space="preserve"> </w:t>
      </w:r>
      <w:r w:rsidR="00BB395E">
        <w:t>such as the Coronavirus Supplement and JobKeeper</w:t>
      </w:r>
      <w:r w:rsidR="000321A4">
        <w:t xml:space="preserve"> have </w:t>
      </w:r>
      <w:r w:rsidR="00070F08">
        <w:t xml:space="preserve">now </w:t>
      </w:r>
      <w:r w:rsidR="000321A4">
        <w:t>been phased out</w:t>
      </w:r>
      <w:r w:rsidR="00522CE7">
        <w:t xml:space="preserve">. Meanwhile, </w:t>
      </w:r>
      <w:r w:rsidR="00926ACD">
        <w:t>the</w:t>
      </w:r>
      <w:r w:rsidR="0078386A">
        <w:t xml:space="preserve"> COVID-19 crisis is </w:t>
      </w:r>
      <w:r w:rsidR="00401CAD">
        <w:t xml:space="preserve">clearly </w:t>
      </w:r>
      <w:r w:rsidR="0078386A">
        <w:t xml:space="preserve">not </w:t>
      </w:r>
      <w:r w:rsidR="005B7950">
        <w:t xml:space="preserve">yet </w:t>
      </w:r>
      <w:r w:rsidR="001218F6">
        <w:t>over,</w:t>
      </w:r>
      <w:r w:rsidR="0078386A">
        <w:t xml:space="preserve"> our </w:t>
      </w:r>
      <w:r w:rsidR="00401CAD">
        <w:t xml:space="preserve">community </w:t>
      </w:r>
      <w:r w:rsidR="0078386A">
        <w:t xml:space="preserve">and economic recovery is </w:t>
      </w:r>
      <w:r w:rsidR="00401CAD">
        <w:t>ongoing</w:t>
      </w:r>
      <w:r w:rsidR="001B2EB3">
        <w:t xml:space="preserve">, and </w:t>
      </w:r>
      <w:r w:rsidR="0040299B">
        <w:t xml:space="preserve">more </w:t>
      </w:r>
      <w:r w:rsidR="006769D2">
        <w:t xml:space="preserve">Canberra </w:t>
      </w:r>
      <w:r w:rsidR="005B7950">
        <w:t>hous</w:t>
      </w:r>
      <w:r w:rsidR="001B16D9">
        <w:t>e</w:t>
      </w:r>
      <w:r w:rsidR="005B7950">
        <w:t>holds are ex</w:t>
      </w:r>
      <w:r w:rsidR="0040299B">
        <w:t>periencing poverty</w:t>
      </w:r>
      <w:r w:rsidR="00304E0F">
        <w:t xml:space="preserve"> </w:t>
      </w:r>
      <w:r w:rsidR="001B16D9">
        <w:t xml:space="preserve">now than before the pandemic. </w:t>
      </w:r>
      <w:r w:rsidR="00072608">
        <w:t xml:space="preserve">Far from having built back better, </w:t>
      </w:r>
      <w:r w:rsidR="00890FE8">
        <w:t xml:space="preserve">there are now more </w:t>
      </w:r>
      <w:r w:rsidR="00D71CF5">
        <w:t>households wit</w:t>
      </w:r>
      <w:r w:rsidR="00E61CDC">
        <w:t xml:space="preserve">h </w:t>
      </w:r>
      <w:r w:rsidR="00890FE8">
        <w:t>low</w:t>
      </w:r>
      <w:r w:rsidR="00F00851">
        <w:t xml:space="preserve"> </w:t>
      </w:r>
      <w:r w:rsidR="00E61CDC">
        <w:t>income</w:t>
      </w:r>
      <w:r w:rsidR="00872BF2">
        <w:t xml:space="preserve">s </w:t>
      </w:r>
      <w:r w:rsidR="00D71CF5">
        <w:t>struggl</w:t>
      </w:r>
      <w:r w:rsidR="00890FE8">
        <w:t>ing</w:t>
      </w:r>
      <w:r w:rsidR="00E61CDC">
        <w:t xml:space="preserve"> </w:t>
      </w:r>
      <w:r w:rsidR="00135DDB">
        <w:t xml:space="preserve">to </w:t>
      </w:r>
      <w:r w:rsidR="00304E0F">
        <w:t>meet</w:t>
      </w:r>
      <w:r w:rsidR="00135DDB">
        <w:t xml:space="preserve"> the rising cost of </w:t>
      </w:r>
      <w:r w:rsidR="009B57C3">
        <w:t>essential goods and services in our community</w:t>
      </w:r>
      <w:r w:rsidR="00135DDB">
        <w:t>.</w:t>
      </w:r>
    </w:p>
    <w:p w14:paraId="055D73E3" w14:textId="7527B4E4" w:rsidR="00C261B6" w:rsidRDefault="001004A0" w:rsidP="00C261B6">
      <w:pPr>
        <w:pStyle w:val="BodyText"/>
      </w:pPr>
      <w:r>
        <w:t xml:space="preserve">Before the COVID-19 pandemic, it was estimated that </w:t>
      </w:r>
      <w:r w:rsidR="00637A20">
        <w:t>8.6% of the ACT population were living below the poverty line</w:t>
      </w:r>
      <w:r w:rsidR="009B57C3">
        <w:t>.</w:t>
      </w:r>
      <w:r w:rsidR="00306A41">
        <w:rPr>
          <w:rStyle w:val="FootnoteReference"/>
        </w:rPr>
        <w:footnoteReference w:id="2"/>
      </w:r>
      <w:r w:rsidR="00A22CDC">
        <w:t xml:space="preserve"> The poverty rate for children </w:t>
      </w:r>
      <w:r w:rsidR="002E77DC">
        <w:t>aged 0-14</w:t>
      </w:r>
      <w:r w:rsidR="00B364BF">
        <w:t xml:space="preserve"> years </w:t>
      </w:r>
      <w:r w:rsidR="00A22CDC">
        <w:t xml:space="preserve">in the ACT </w:t>
      </w:r>
      <w:r w:rsidR="00F831ED">
        <w:t xml:space="preserve">was estimated to be </w:t>
      </w:r>
      <w:r w:rsidR="002068EC">
        <w:t xml:space="preserve">even </w:t>
      </w:r>
      <w:r w:rsidR="00F831ED">
        <w:t>higher</w:t>
      </w:r>
      <w:r w:rsidR="00CA0706">
        <w:t>, at 11.2%.</w:t>
      </w:r>
      <w:r w:rsidR="00A06AA5">
        <w:rPr>
          <w:rStyle w:val="FootnoteReference"/>
        </w:rPr>
        <w:footnoteReference w:id="3"/>
      </w:r>
      <w:r w:rsidR="00C5524C">
        <w:t xml:space="preserve"> </w:t>
      </w:r>
      <w:r w:rsidR="00C261B6" w:rsidRPr="005C3CE6">
        <w:t xml:space="preserve">Unemployment and </w:t>
      </w:r>
      <w:r w:rsidR="00C261B6">
        <w:t xml:space="preserve">household </w:t>
      </w:r>
      <w:r w:rsidR="00C261B6" w:rsidRPr="005C3CE6">
        <w:t xml:space="preserve">reliance on income support payments are </w:t>
      </w:r>
      <w:r w:rsidR="00C261B6">
        <w:t xml:space="preserve">the </w:t>
      </w:r>
      <w:r w:rsidR="00C261B6" w:rsidRPr="005C3CE6">
        <w:t xml:space="preserve">major drivers of </w:t>
      </w:r>
      <w:r w:rsidR="00C261B6">
        <w:t xml:space="preserve">income </w:t>
      </w:r>
      <w:r w:rsidR="00C261B6" w:rsidRPr="005C3CE6">
        <w:t>poverty in Australia.</w:t>
      </w:r>
      <w:r w:rsidR="00C261B6">
        <w:rPr>
          <w:rStyle w:val="FootnoteReference"/>
        </w:rPr>
        <w:footnoteReference w:id="4"/>
      </w:r>
      <w:r w:rsidR="00C261B6" w:rsidRPr="005C3CE6">
        <w:t xml:space="preserve"> </w:t>
      </w:r>
      <w:r w:rsidR="00C261B6">
        <w:t xml:space="preserve">During the </w:t>
      </w:r>
      <w:r w:rsidR="00473CC0">
        <w:t xml:space="preserve">first six months of the </w:t>
      </w:r>
      <w:r w:rsidR="00C261B6">
        <w:t>COVID-19 pandemic the number of people in the ACT receiving income support while looking for work more than doubled over just two months from 7,135 in March 2020 to 14,858 in May 2020, remaining above 14,000 through to September 2020.</w:t>
      </w:r>
      <w:r w:rsidR="00C81CB5">
        <w:rPr>
          <w:rStyle w:val="FootnoteReference"/>
        </w:rPr>
        <w:footnoteReference w:id="5"/>
      </w:r>
      <w:r w:rsidR="00C261B6">
        <w:t xml:space="preserve"> </w:t>
      </w:r>
      <w:r w:rsidR="001250AF">
        <w:t>By June 2021, this figure had fallen to 9,341</w:t>
      </w:r>
      <w:r w:rsidR="00ED4752">
        <w:t xml:space="preserve"> –</w:t>
      </w:r>
      <w:r w:rsidR="008F259F">
        <w:t xml:space="preserve"> </w:t>
      </w:r>
      <w:r w:rsidR="00ED4752">
        <w:t>30% higher than the pre-COVID</w:t>
      </w:r>
      <w:r w:rsidR="008F259F">
        <w:t xml:space="preserve"> level.</w:t>
      </w:r>
      <w:r w:rsidR="00510573">
        <w:rPr>
          <w:rStyle w:val="FootnoteReference"/>
        </w:rPr>
        <w:footnoteReference w:id="6"/>
      </w:r>
    </w:p>
    <w:p w14:paraId="393676B9" w14:textId="361B1766" w:rsidR="00FF6D54" w:rsidRDefault="002F5A64" w:rsidP="002C4E3A">
      <w:pPr>
        <w:pStyle w:val="BodyText"/>
      </w:pPr>
      <w:r>
        <w:t xml:space="preserve">During </w:t>
      </w:r>
      <w:r w:rsidR="00095833">
        <w:t>the period</w:t>
      </w:r>
      <w:r>
        <w:t xml:space="preserve"> </w:t>
      </w:r>
      <w:r w:rsidRPr="002F5A64">
        <w:t>from 27 April 2020 to 24 September 2020</w:t>
      </w:r>
      <w:r>
        <w:t xml:space="preserve"> t</w:t>
      </w:r>
      <w:r w:rsidR="002A203F">
        <w:t xml:space="preserve">he </w:t>
      </w:r>
      <w:r w:rsidR="00D50513">
        <w:t>Australian Government introduced the</w:t>
      </w:r>
      <w:r w:rsidR="002A203F">
        <w:t xml:space="preserve"> Coronavirus Supplement</w:t>
      </w:r>
      <w:r w:rsidR="001467FF">
        <w:t xml:space="preserve"> at a rate of </w:t>
      </w:r>
      <w:r w:rsidR="00050841">
        <w:t>$550 per fortnight</w:t>
      </w:r>
      <w:r w:rsidR="007B216E">
        <w:t xml:space="preserve">. This </w:t>
      </w:r>
      <w:r w:rsidR="008E3751">
        <w:t>effectively doubl</w:t>
      </w:r>
      <w:r w:rsidR="007B216E">
        <w:t>ed</w:t>
      </w:r>
      <w:r w:rsidR="008E3751">
        <w:t xml:space="preserve"> the rate of </w:t>
      </w:r>
      <w:r w:rsidR="00D50513">
        <w:t xml:space="preserve">the </w:t>
      </w:r>
      <w:r w:rsidR="008E3751">
        <w:t>JobSeeker</w:t>
      </w:r>
      <w:r w:rsidR="00D50513">
        <w:t xml:space="preserve"> </w:t>
      </w:r>
      <w:r w:rsidR="00051307">
        <w:t>payment</w:t>
      </w:r>
      <w:r w:rsidR="00D029D7">
        <w:t xml:space="preserve">, </w:t>
      </w:r>
      <w:r w:rsidR="00A94AB1">
        <w:t>lifting</w:t>
      </w:r>
      <w:r w:rsidR="00D029D7">
        <w:t xml:space="preserve"> it</w:t>
      </w:r>
      <w:r w:rsidR="00D50513">
        <w:t xml:space="preserve"> above the poverty</w:t>
      </w:r>
      <w:r w:rsidR="00051307">
        <w:t xml:space="preserve"> line</w:t>
      </w:r>
      <w:r w:rsidR="005053BE">
        <w:t>.</w:t>
      </w:r>
      <w:r w:rsidR="00683536">
        <w:t xml:space="preserve"> It </w:t>
      </w:r>
      <w:r w:rsidR="00FF6D54">
        <w:t>was</w:t>
      </w:r>
      <w:r w:rsidR="00683536">
        <w:t xml:space="preserve"> estimated that a</w:t>
      </w:r>
      <w:r w:rsidR="001A46C9">
        <w:t xml:space="preserve">longside JobKeeper, </w:t>
      </w:r>
      <w:r w:rsidR="000D0B30">
        <w:t>the $550 per fortnight Coronavirus Supplement</w:t>
      </w:r>
      <w:r w:rsidR="001A46C9">
        <w:t xml:space="preserve"> </w:t>
      </w:r>
      <w:r w:rsidR="00EC1491">
        <w:t xml:space="preserve">saw </w:t>
      </w:r>
      <w:r w:rsidR="006505FB">
        <w:t xml:space="preserve">the ACT’s poverty rate drop </w:t>
      </w:r>
      <w:r w:rsidR="006728BE">
        <w:t>to 5.2</w:t>
      </w:r>
      <w:r w:rsidR="00902CEA">
        <w:t xml:space="preserve">% </w:t>
      </w:r>
      <w:r w:rsidR="00FF6D54">
        <w:t xml:space="preserve">in June 2020 </w:t>
      </w:r>
      <w:r w:rsidR="00902CEA">
        <w:t xml:space="preserve">– well </w:t>
      </w:r>
      <w:r w:rsidR="001315CE">
        <w:t xml:space="preserve">below the pre-COVID </w:t>
      </w:r>
      <w:r w:rsidR="006505FB">
        <w:t>poverty rate</w:t>
      </w:r>
      <w:r w:rsidR="001315CE">
        <w:t>.</w:t>
      </w:r>
      <w:r w:rsidR="00C81CB5">
        <w:rPr>
          <w:rStyle w:val="FootnoteReference"/>
        </w:rPr>
        <w:footnoteReference w:id="7"/>
      </w:r>
    </w:p>
    <w:p w14:paraId="28222E15" w14:textId="6A347948" w:rsidR="00CB256C" w:rsidRDefault="00475E9E" w:rsidP="002C4E3A">
      <w:pPr>
        <w:pStyle w:val="BodyText"/>
      </w:pPr>
      <w:r>
        <w:t xml:space="preserve">By October 2020, </w:t>
      </w:r>
      <w:r w:rsidR="003809F1">
        <w:t>JobSeeker had returned</w:t>
      </w:r>
      <w:r w:rsidR="00934D4C">
        <w:t xml:space="preserve"> to</w:t>
      </w:r>
      <w:r w:rsidR="003809F1">
        <w:t xml:space="preserve"> </w:t>
      </w:r>
      <w:r w:rsidR="00760FFC">
        <w:t>below the poverty line as</w:t>
      </w:r>
      <w:r>
        <w:t xml:space="preserve"> the Coronavirus Supplement </w:t>
      </w:r>
      <w:r w:rsidR="00760FFC">
        <w:t xml:space="preserve">was </w:t>
      </w:r>
      <w:r>
        <w:t>reduced to $250 per fortnight</w:t>
      </w:r>
      <w:r w:rsidR="00760FFC">
        <w:t>. It</w:t>
      </w:r>
      <w:r>
        <w:t xml:space="preserve"> was estimated that the poverty rate in the ACT </w:t>
      </w:r>
      <w:r w:rsidR="00760FFC">
        <w:t>subsequently</w:t>
      </w:r>
      <w:r>
        <w:t xml:space="preserve"> increased to approximately 9.0%, representing an estimated 38,300 </w:t>
      </w:r>
      <w:r w:rsidR="00760FFC">
        <w:t>Canberrans</w:t>
      </w:r>
      <w:r>
        <w:t>.</w:t>
      </w:r>
      <w:r w:rsidR="00760FFC">
        <w:rPr>
          <w:rStyle w:val="FootnoteReference"/>
        </w:rPr>
        <w:footnoteReference w:id="8"/>
      </w:r>
      <w:r>
        <w:t xml:space="preserve"> </w:t>
      </w:r>
      <w:r w:rsidR="00C11A28">
        <w:t xml:space="preserve">The </w:t>
      </w:r>
      <w:r w:rsidR="00324626">
        <w:t xml:space="preserve">phasing out of </w:t>
      </w:r>
      <w:r w:rsidR="001315CE">
        <w:t>the Coronavirus Supplement</w:t>
      </w:r>
      <w:r w:rsidR="00B11018">
        <w:t xml:space="preserve"> </w:t>
      </w:r>
      <w:r w:rsidR="001759BB">
        <w:t>has seen the</w:t>
      </w:r>
      <w:r w:rsidR="00C65838">
        <w:t xml:space="preserve"> </w:t>
      </w:r>
      <w:r w:rsidR="000338EF">
        <w:t>Job</w:t>
      </w:r>
      <w:r w:rsidR="00C65838">
        <w:t>S</w:t>
      </w:r>
      <w:r w:rsidR="000338EF">
        <w:t>eeker</w:t>
      </w:r>
      <w:r w:rsidR="000524DF">
        <w:t xml:space="preserve"> payment</w:t>
      </w:r>
      <w:r w:rsidR="000338EF">
        <w:t xml:space="preserve"> return to well below the poverty line</w:t>
      </w:r>
      <w:r w:rsidR="008A670D">
        <w:t xml:space="preserve">, even with </w:t>
      </w:r>
      <w:r w:rsidR="00925F4D">
        <w:t>an increase to the base rate of $50</w:t>
      </w:r>
      <w:r w:rsidR="000338EF">
        <w:t xml:space="preserve"> </w:t>
      </w:r>
      <w:r w:rsidR="00925F4D">
        <w:t xml:space="preserve">per fortnight from 1 April 2021. </w:t>
      </w:r>
    </w:p>
    <w:p w14:paraId="7A448EBC" w14:textId="204CFB92" w:rsidR="00725CB6" w:rsidRDefault="00725CB6" w:rsidP="002C4E3A">
      <w:pPr>
        <w:pStyle w:val="BodyText"/>
      </w:pPr>
      <w:r>
        <w:t>Th</w:t>
      </w:r>
      <w:r w:rsidR="001759BB">
        <w:t>e</w:t>
      </w:r>
      <w:r>
        <w:t xml:space="preserve"> ongoing </w:t>
      </w:r>
      <w:r w:rsidR="00416B4C">
        <w:t xml:space="preserve">$50 per fortnight </w:t>
      </w:r>
      <w:r>
        <w:t>increase to the base rate</w:t>
      </w:r>
      <w:r w:rsidR="00C04745">
        <w:t xml:space="preserve"> </w:t>
      </w:r>
      <w:r w:rsidR="00C11A28">
        <w:t>saw the JobSeeker</w:t>
      </w:r>
      <w:r w:rsidR="00AE1E69">
        <w:t xml:space="preserve"> payment</w:t>
      </w:r>
      <w:r w:rsidR="00092E78">
        <w:t xml:space="preserve"> increase in real terms for the first time </w:t>
      </w:r>
      <w:r>
        <w:t>in over 25 years.</w:t>
      </w:r>
      <w:r w:rsidR="00D3422D">
        <w:t xml:space="preserve"> </w:t>
      </w:r>
      <w:r w:rsidR="00CB54B4">
        <w:t>But t</w:t>
      </w:r>
      <w:r w:rsidR="00C11A28">
        <w:t>his</w:t>
      </w:r>
      <w:r w:rsidR="00416B4C">
        <w:t xml:space="preserve"> long-overdue</w:t>
      </w:r>
      <w:r w:rsidR="00D3422D">
        <w:t xml:space="preserve"> increase falls well short of </w:t>
      </w:r>
      <w:r w:rsidR="00416B4C">
        <w:t>what is</w:t>
      </w:r>
      <w:r w:rsidR="00CE4D66">
        <w:t xml:space="preserve"> needed to </w:t>
      </w:r>
      <w:r w:rsidR="00D3422D">
        <w:t>address both the poverty and cost</w:t>
      </w:r>
      <w:r w:rsidR="00CB54B4">
        <w:t>-</w:t>
      </w:r>
      <w:r w:rsidR="00D3422D">
        <w:t>of</w:t>
      </w:r>
      <w:r w:rsidR="00CB54B4">
        <w:t>-</w:t>
      </w:r>
      <w:r w:rsidR="00D3422D">
        <w:t>living gaps</w:t>
      </w:r>
      <w:r w:rsidR="001C7B9F">
        <w:t xml:space="preserve"> </w:t>
      </w:r>
      <w:r w:rsidR="00CE4D66">
        <w:t xml:space="preserve">that have </w:t>
      </w:r>
      <w:r w:rsidR="00CA13BA">
        <w:t xml:space="preserve">widened </w:t>
      </w:r>
      <w:r w:rsidR="00C11A28">
        <w:t>for over a</w:t>
      </w:r>
      <w:r w:rsidR="00CA13BA">
        <w:t xml:space="preserve"> </w:t>
      </w:r>
      <w:r w:rsidR="00CE4D66">
        <w:t xml:space="preserve">quarter of a century. </w:t>
      </w:r>
      <w:r w:rsidR="00050085">
        <w:t>O</w:t>
      </w:r>
      <w:r w:rsidR="00CE4D66">
        <w:t>ver</w:t>
      </w:r>
      <w:r w:rsidR="00E35AA7">
        <w:t xml:space="preserve"> this time, </w:t>
      </w:r>
      <w:r w:rsidR="001C7B9F">
        <w:t>the cost of essential goods and services ha</w:t>
      </w:r>
      <w:r w:rsidR="00050085">
        <w:t>s</w:t>
      </w:r>
      <w:r w:rsidR="001C7B9F">
        <w:t xml:space="preserve"> increased at a higher rate than for non-essential</w:t>
      </w:r>
      <w:r w:rsidR="00050085">
        <w:t xml:space="preserve"> items</w:t>
      </w:r>
      <w:r w:rsidR="00E35AA7">
        <w:t xml:space="preserve">. This has had a disproportionate impact on living costs </w:t>
      </w:r>
      <w:r w:rsidR="00050085">
        <w:t>for</w:t>
      </w:r>
      <w:r w:rsidR="00E35AA7">
        <w:t xml:space="preserve"> low-income households who spend a greater proportion of their income on essentials</w:t>
      </w:r>
      <w:r w:rsidR="00432ECA">
        <w:t xml:space="preserve"> such as housing, food, </w:t>
      </w:r>
      <w:r w:rsidR="000D29E8">
        <w:t xml:space="preserve">health, </w:t>
      </w:r>
      <w:r w:rsidR="00917194">
        <w:t xml:space="preserve">education, </w:t>
      </w:r>
      <w:r w:rsidR="00432ECA">
        <w:t>and energy.</w:t>
      </w:r>
    </w:p>
    <w:p w14:paraId="4CFC7BE8" w14:textId="4BBFEDD7" w:rsidR="002A43FC" w:rsidRDefault="001C46A7" w:rsidP="001C46A7">
      <w:pPr>
        <w:pStyle w:val="BodyText"/>
      </w:pPr>
      <w:r>
        <w:t xml:space="preserve">Over the last five years Canberrans have seen </w:t>
      </w:r>
      <w:r w:rsidR="000718FE">
        <w:t xml:space="preserve">the </w:t>
      </w:r>
      <w:r>
        <w:t>prices</w:t>
      </w:r>
      <w:r w:rsidR="00101352">
        <w:t xml:space="preserve"> of </w:t>
      </w:r>
      <w:r w:rsidR="002F0DA3">
        <w:t>several</w:t>
      </w:r>
      <w:r w:rsidR="00101352">
        <w:t xml:space="preserve"> essential goods and services increase significantly</w:t>
      </w:r>
      <w:r w:rsidR="00A86B94">
        <w:t xml:space="preserve"> and at rates </w:t>
      </w:r>
      <w:r w:rsidR="002A43FC">
        <w:t>above the overall CPI</w:t>
      </w:r>
      <w:r w:rsidR="00206983">
        <w:t xml:space="preserve"> for Canberra</w:t>
      </w:r>
      <w:r w:rsidR="002A43FC">
        <w:t xml:space="preserve"> </w:t>
      </w:r>
      <w:r w:rsidR="000718FE">
        <w:t>and nationally</w:t>
      </w:r>
      <w:r w:rsidR="002A43FC">
        <w:t>. These include:</w:t>
      </w:r>
    </w:p>
    <w:p w14:paraId="0C598813" w14:textId="74E74A3A" w:rsidR="002A43FC" w:rsidRDefault="002A43FC" w:rsidP="002A43FC">
      <w:pPr>
        <w:pStyle w:val="ListBullet"/>
      </w:pPr>
      <w:r>
        <w:t xml:space="preserve">electricity (27.7% increase) </w:t>
      </w:r>
    </w:p>
    <w:p w14:paraId="61C5FE0B" w14:textId="3A721A24" w:rsidR="002A43FC" w:rsidRDefault="002A43FC" w:rsidP="002A43FC">
      <w:pPr>
        <w:pStyle w:val="ListBullet"/>
      </w:pPr>
      <w:r>
        <w:t>gas (26.2% increase)</w:t>
      </w:r>
    </w:p>
    <w:p w14:paraId="11735216" w14:textId="05C0698D" w:rsidR="002A43FC" w:rsidRDefault="003274E5" w:rsidP="002A43FC">
      <w:pPr>
        <w:pStyle w:val="ListBullet"/>
      </w:pPr>
      <w:r>
        <w:t>health (</w:t>
      </w:r>
      <w:r w:rsidR="001C46A7">
        <w:t xml:space="preserve">18.6% </w:t>
      </w:r>
      <w:r>
        <w:t>increase)</w:t>
      </w:r>
    </w:p>
    <w:p w14:paraId="58A3A6D0" w14:textId="2E5DB8AD" w:rsidR="002A43FC" w:rsidRDefault="003274E5" w:rsidP="002A43FC">
      <w:pPr>
        <w:pStyle w:val="ListBullet"/>
      </w:pPr>
      <w:r>
        <w:t>education (</w:t>
      </w:r>
      <w:r w:rsidR="001C46A7">
        <w:t xml:space="preserve">18.0% </w:t>
      </w:r>
      <w:r>
        <w:t>increase)</w:t>
      </w:r>
      <w:r w:rsidR="001C46A7">
        <w:t xml:space="preserve"> </w:t>
      </w:r>
    </w:p>
    <w:p w14:paraId="46482F13" w14:textId="0033708F" w:rsidR="002A43FC" w:rsidRDefault="003274E5" w:rsidP="002A43FC">
      <w:pPr>
        <w:pStyle w:val="ListBullet"/>
      </w:pPr>
      <w:r>
        <w:t>housing (</w:t>
      </w:r>
      <w:r w:rsidR="001C46A7">
        <w:t xml:space="preserve">15.7% </w:t>
      </w:r>
      <w:r w:rsidR="00C35057">
        <w:t>increase</w:t>
      </w:r>
      <w:r>
        <w:t>)</w:t>
      </w:r>
    </w:p>
    <w:p w14:paraId="4D7269A9" w14:textId="01D988C2" w:rsidR="002A43FC" w:rsidRDefault="001C46A7" w:rsidP="002A43FC">
      <w:pPr>
        <w:pStyle w:val="ListBullet"/>
      </w:pPr>
      <w:r>
        <w:t>meat and seafood (13.4%</w:t>
      </w:r>
      <w:r w:rsidR="003274E5">
        <w:t xml:space="preserve"> increase</w:t>
      </w:r>
      <w:r>
        <w:t xml:space="preserve">) </w:t>
      </w:r>
    </w:p>
    <w:p w14:paraId="435FB26A" w14:textId="1BAEE41B" w:rsidR="002A43FC" w:rsidRDefault="001C46A7" w:rsidP="002A43FC">
      <w:pPr>
        <w:pStyle w:val="ListBullet"/>
      </w:pPr>
      <w:r>
        <w:t>fruit and vegetables (11.6%</w:t>
      </w:r>
      <w:r w:rsidR="003274E5">
        <w:t xml:space="preserve"> increase</w:t>
      </w:r>
      <w:r>
        <w:t>)</w:t>
      </w:r>
      <w:r w:rsidR="003274E5">
        <w:t>.</w:t>
      </w:r>
      <w:r>
        <w:t xml:space="preserve"> </w:t>
      </w:r>
    </w:p>
    <w:p w14:paraId="742E8169" w14:textId="0382588E" w:rsidR="0061174D" w:rsidRDefault="00111484" w:rsidP="001C46A7">
      <w:pPr>
        <w:pStyle w:val="BodyText"/>
      </w:pPr>
      <w:r>
        <w:t>Housing is the most significant expense for low-income households in the ACT</w:t>
      </w:r>
      <w:r w:rsidR="00F82989">
        <w:t xml:space="preserve">. </w:t>
      </w:r>
      <w:r w:rsidR="003125A3">
        <w:t>This report highlights</w:t>
      </w:r>
      <w:r w:rsidR="00F94E7E">
        <w:t xml:space="preserve"> housing affordability as </w:t>
      </w:r>
      <w:r w:rsidR="00811950">
        <w:t xml:space="preserve">a </w:t>
      </w:r>
      <w:r w:rsidR="00F94E7E">
        <w:t xml:space="preserve">fundamental cost of living </w:t>
      </w:r>
      <w:r w:rsidR="00CF0F7C">
        <w:t xml:space="preserve">and social justice </w:t>
      </w:r>
      <w:r w:rsidR="00F94E7E">
        <w:t xml:space="preserve">issue in the ACT. </w:t>
      </w:r>
      <w:r w:rsidR="005E525D">
        <w:t>A</w:t>
      </w:r>
      <w:r w:rsidR="00F93631">
        <w:t xml:space="preserve"> </w:t>
      </w:r>
      <w:r w:rsidR="007A4006">
        <w:t xml:space="preserve">chronic lack of affordable housing </w:t>
      </w:r>
      <w:r w:rsidR="00CA4D48">
        <w:t>has l</w:t>
      </w:r>
      <w:r w:rsidR="00F63629">
        <w:t xml:space="preserve">ed to a housing crisis in </w:t>
      </w:r>
      <w:r w:rsidR="007A4006">
        <w:t>Canberra</w:t>
      </w:r>
      <w:r w:rsidR="00584F2A">
        <w:t>, with the ACT having</w:t>
      </w:r>
      <w:r w:rsidR="00584F2A" w:rsidRPr="00584F2A">
        <w:t xml:space="preserve"> the </w:t>
      </w:r>
      <w:r w:rsidR="00811950">
        <w:t xml:space="preserve">highest rents and the </w:t>
      </w:r>
      <w:r w:rsidR="00584F2A" w:rsidRPr="00584F2A">
        <w:t>highest rate of rental stress among lower income private rental households</w:t>
      </w:r>
      <w:r w:rsidR="00584F2A">
        <w:t>.</w:t>
      </w:r>
      <w:r w:rsidR="00F93631">
        <w:t xml:space="preserve"> </w:t>
      </w:r>
      <w:r w:rsidR="00FB25E1">
        <w:t xml:space="preserve">Without significant </w:t>
      </w:r>
      <w:r w:rsidR="00B258AC">
        <w:t>f</w:t>
      </w:r>
      <w:r w:rsidR="00EA6EFA">
        <w:t xml:space="preserve">ederal and </w:t>
      </w:r>
      <w:r w:rsidR="00B258AC">
        <w:t>t</w:t>
      </w:r>
      <w:r w:rsidR="00EA6EFA">
        <w:t xml:space="preserve">erritory government </w:t>
      </w:r>
      <w:r w:rsidR="00FB25E1">
        <w:t>investment</w:t>
      </w:r>
      <w:r w:rsidR="00EA6EFA">
        <w:t xml:space="preserve"> in social housing</w:t>
      </w:r>
      <w:r w:rsidR="00FB25E1">
        <w:t>, t</w:t>
      </w:r>
      <w:r w:rsidR="00E36003">
        <w:t xml:space="preserve">he ACT’s </w:t>
      </w:r>
      <w:r w:rsidR="00CF0F7C">
        <w:t xml:space="preserve">affordable </w:t>
      </w:r>
      <w:r w:rsidR="007640AC">
        <w:t xml:space="preserve">housing </w:t>
      </w:r>
      <w:r w:rsidR="00EA6EFA">
        <w:t>crisis</w:t>
      </w:r>
      <w:r w:rsidR="007640AC">
        <w:t xml:space="preserve"> will continue to </w:t>
      </w:r>
      <w:r w:rsidR="00EA6EFA">
        <w:t>worsen</w:t>
      </w:r>
      <w:r w:rsidR="000D23E1">
        <w:t xml:space="preserve">, </w:t>
      </w:r>
      <w:r w:rsidR="00CF43D2" w:rsidRPr="00CF43D2">
        <w:t xml:space="preserve">deepening and entrenching disadvantage and homelessness in </w:t>
      </w:r>
      <w:r w:rsidR="000D23E1">
        <w:t>our community</w:t>
      </w:r>
      <w:r w:rsidR="00CF43D2" w:rsidRPr="00CF43D2">
        <w:t>.</w:t>
      </w:r>
    </w:p>
    <w:p w14:paraId="354E1D91" w14:textId="4314F3CB" w:rsidR="002C4E3A" w:rsidRPr="00CA7855" w:rsidRDefault="00345A71" w:rsidP="002C4E3A">
      <w:pPr>
        <w:pStyle w:val="BodyText"/>
      </w:pPr>
      <w:r>
        <w:t>The following section of this report provide</w:t>
      </w:r>
      <w:r w:rsidR="00420D89">
        <w:t>s</w:t>
      </w:r>
      <w:r>
        <w:t xml:space="preserve"> an update on changes in the </w:t>
      </w:r>
      <w:r w:rsidR="00420D89">
        <w:t xml:space="preserve">prices of </w:t>
      </w:r>
      <w:r w:rsidR="008635EE">
        <w:t>essential</w:t>
      </w:r>
      <w:r w:rsidR="00420D89">
        <w:t xml:space="preserve"> goods and services in Canberra and nationally over the past 12 months and five years. The report then puts a spotlight on the ACT’s housing affordability crisis</w:t>
      </w:r>
      <w:r w:rsidR="005708DE">
        <w:t xml:space="preserve"> before </w:t>
      </w:r>
      <w:r w:rsidR="006B15B7">
        <w:t xml:space="preserve">examining </w:t>
      </w:r>
      <w:r w:rsidR="008635EE">
        <w:t>changes in</w:t>
      </w:r>
      <w:r w:rsidR="005708DE">
        <w:t xml:space="preserve"> income support payments for job seekers </w:t>
      </w:r>
      <w:r w:rsidR="00946F48">
        <w:t xml:space="preserve">over the past 12 months </w:t>
      </w:r>
      <w:r w:rsidR="0040233B">
        <w:t>in comparison to the poverty line and changes in the cost of living.</w:t>
      </w:r>
    </w:p>
    <w:p w14:paraId="327B066C" w14:textId="6BE5548D" w:rsidR="0038722F" w:rsidRDefault="0038722F" w:rsidP="007048E1">
      <w:pPr>
        <w:pStyle w:val="Heading1"/>
      </w:pPr>
      <w:bookmarkStart w:id="2" w:name="_Toc79584856"/>
      <w:r w:rsidRPr="0038722F">
        <w:t>Tracking changes in the price of key goods and services: C</w:t>
      </w:r>
      <w:r w:rsidR="00C40380">
        <w:t>onsumer Price Index</w:t>
      </w:r>
      <w:bookmarkEnd w:id="2"/>
    </w:p>
    <w:p w14:paraId="01B50E71" w14:textId="0D504C8F" w:rsidR="008F361E" w:rsidRDefault="008B50DB" w:rsidP="004945F1">
      <w:pPr>
        <w:pStyle w:val="BodyText"/>
      </w:pPr>
      <w:r>
        <w:t>When</w:t>
      </w:r>
      <w:r w:rsidR="00C97782">
        <w:t xml:space="preserve"> </w:t>
      </w:r>
      <w:r w:rsidR="00070971">
        <w:t xml:space="preserve">tracking changes in the cost of living it is important to note that </w:t>
      </w:r>
      <w:r w:rsidR="00EF5CA7">
        <w:t xml:space="preserve">low-income households spend a greater proportion of </w:t>
      </w:r>
      <w:r w:rsidR="00607235">
        <w:t xml:space="preserve">their </w:t>
      </w:r>
      <w:r w:rsidR="00EF5CA7">
        <w:t xml:space="preserve">income </w:t>
      </w:r>
      <w:r w:rsidR="00FB6436">
        <w:t>on essential goods and services</w:t>
      </w:r>
      <w:r w:rsidR="00EF5CA7">
        <w:t xml:space="preserve"> compared to middle- and high-income </w:t>
      </w:r>
      <w:r w:rsidR="00B86E94">
        <w:t>households.</w:t>
      </w:r>
      <w:r w:rsidR="00B86E94">
        <w:rPr>
          <w:rStyle w:val="FootnoteReference"/>
        </w:rPr>
        <w:footnoteReference w:id="9"/>
      </w:r>
      <w:r w:rsidR="00FB6436">
        <w:t xml:space="preserve"> </w:t>
      </w:r>
      <w:r w:rsidR="00B27B35">
        <w:t xml:space="preserve">A recent analysis </w:t>
      </w:r>
      <w:r w:rsidR="00A51F13">
        <w:t xml:space="preserve">by the Australian Bureau of Statistics (ABS) found </w:t>
      </w:r>
      <w:r w:rsidR="00460716">
        <w:t>that between 2005 and 2020, the price</w:t>
      </w:r>
      <w:r w:rsidR="006445B8">
        <w:t>s</w:t>
      </w:r>
      <w:r w:rsidR="00460716">
        <w:t xml:space="preserve"> of non-discretionary</w:t>
      </w:r>
      <w:r w:rsidR="00301AD3">
        <w:t xml:space="preserve"> </w:t>
      </w:r>
      <w:r w:rsidR="00B80CBA">
        <w:t xml:space="preserve">(or essential) </w:t>
      </w:r>
      <w:r w:rsidR="00301AD3">
        <w:t xml:space="preserve">goods and services </w:t>
      </w:r>
      <w:r w:rsidR="006445B8">
        <w:t>increased at a significantly higher rate than</w:t>
      </w:r>
      <w:r w:rsidR="00CD60E0">
        <w:t xml:space="preserve"> </w:t>
      </w:r>
      <w:r w:rsidR="008A5E17">
        <w:t xml:space="preserve">for </w:t>
      </w:r>
      <w:r w:rsidR="006445B8">
        <w:t xml:space="preserve">discretionary (or </w:t>
      </w:r>
      <w:r w:rsidR="008A5E17">
        <w:t>non-essential</w:t>
      </w:r>
      <w:r w:rsidR="006445B8">
        <w:t>) goods and services</w:t>
      </w:r>
      <w:r w:rsidR="00B95822">
        <w:t xml:space="preserve"> – 43.8% compared to 31.8%</w:t>
      </w:r>
      <w:r w:rsidR="00F562D4">
        <w:t xml:space="preserve"> (see Fig</w:t>
      </w:r>
      <w:r w:rsidR="00411A55">
        <w:t>ures</w:t>
      </w:r>
      <w:r w:rsidR="00F562D4">
        <w:t xml:space="preserve"> 1 and 2)</w:t>
      </w:r>
      <w:r w:rsidR="006445B8">
        <w:t>.</w:t>
      </w:r>
      <w:r w:rsidR="005819F5">
        <w:t xml:space="preserve"> This </w:t>
      </w:r>
      <w:r w:rsidR="00DD46B6">
        <w:t xml:space="preserve">higher rate of </w:t>
      </w:r>
      <w:r w:rsidR="005819F5">
        <w:t>increase in the prices of essential goods and services has had a disproportionate impact on low-income households.</w:t>
      </w:r>
    </w:p>
    <w:p w14:paraId="6A703000" w14:textId="036DE94E" w:rsidR="00D44F5B" w:rsidRDefault="009D7539" w:rsidP="00EB0DB5">
      <w:pPr>
        <w:pStyle w:val="Figuretabletitle"/>
      </w:pPr>
      <w:r>
        <w:t xml:space="preserve">Figure 1 </w:t>
      </w:r>
      <w:r w:rsidR="00532537" w:rsidRPr="00532537">
        <w:t xml:space="preserve">Cumulative Inflation </w:t>
      </w:r>
      <w:r w:rsidR="00532537" w:rsidRPr="00DA4F7F">
        <w:t>2005</w:t>
      </w:r>
      <w:r w:rsidR="00532537" w:rsidRPr="00532537">
        <w:t>/06 to December 2020 quarter</w:t>
      </w:r>
    </w:p>
    <w:p w14:paraId="4F19F8B7" w14:textId="4113530D" w:rsidR="00193573" w:rsidRDefault="00193573" w:rsidP="004A591E">
      <w:pPr>
        <w:pStyle w:val="Image"/>
      </w:pPr>
      <w:r>
        <w:rPr>
          <w:noProof/>
        </w:rPr>
        <w:drawing>
          <wp:inline distT="0" distB="0" distL="0" distR="0" wp14:anchorId="1D65E421" wp14:editId="7C570545">
            <wp:extent cx="5400040" cy="2908935"/>
            <wp:effectExtent l="0" t="0" r="0" b="571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908935"/>
                    </a:xfrm>
                    <a:prstGeom prst="rect">
                      <a:avLst/>
                    </a:prstGeom>
                  </pic:spPr>
                </pic:pic>
              </a:graphicData>
            </a:graphic>
          </wp:inline>
        </w:drawing>
      </w:r>
    </w:p>
    <w:p w14:paraId="3EAED398" w14:textId="30FF0E50" w:rsidR="00A75453" w:rsidRDefault="00066C0C" w:rsidP="003D2BB9">
      <w:pPr>
        <w:pStyle w:val="Source"/>
      </w:pPr>
      <w:r>
        <w:t xml:space="preserve">Source: </w:t>
      </w:r>
      <w:r w:rsidR="004A591E" w:rsidRPr="004A591E">
        <w:t xml:space="preserve">ABS, </w:t>
      </w:r>
      <w:hyperlink r:id="rId17" w:history="1">
        <w:r w:rsidR="004A591E" w:rsidRPr="00AC7DE3">
          <w:rPr>
            <w:rStyle w:val="Hyperlink"/>
            <w:i/>
            <w:iCs/>
          </w:rPr>
          <w:t>Measuring Non-discretionary and Discretionary Inflation</w:t>
        </w:r>
      </w:hyperlink>
      <w:r w:rsidR="004A591E" w:rsidRPr="004A591E">
        <w:t>, Australian Bureau of Statistics website, 2021, accessed 7 July 2021.</w:t>
      </w:r>
    </w:p>
    <w:p w14:paraId="1932AD5D" w14:textId="0EC07C8E" w:rsidR="00072FE1" w:rsidRDefault="00072FE1" w:rsidP="00BB4787">
      <w:pPr>
        <w:pStyle w:val="Figuretabletitle"/>
      </w:pPr>
      <w:r>
        <w:t xml:space="preserve">Figure 2 </w:t>
      </w:r>
      <w:r w:rsidRPr="00072FE1">
        <w:t>Non-discretionary vs Discretionary inflation (2005/06 = 100.0)</w:t>
      </w:r>
    </w:p>
    <w:p w14:paraId="04B19F7F" w14:textId="1FC74D61" w:rsidR="00837159" w:rsidRDefault="00837159" w:rsidP="00DE0F81">
      <w:pPr>
        <w:pStyle w:val="Image"/>
      </w:pPr>
      <w:r>
        <w:rPr>
          <w:noProof/>
        </w:rPr>
        <w:drawing>
          <wp:inline distT="0" distB="0" distL="0" distR="0" wp14:anchorId="3BF04C7E" wp14:editId="4E6C8A46">
            <wp:extent cx="5400040" cy="4105275"/>
            <wp:effectExtent l="0" t="0" r="0" b="952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105275"/>
                    </a:xfrm>
                    <a:prstGeom prst="rect">
                      <a:avLst/>
                    </a:prstGeom>
                  </pic:spPr>
                </pic:pic>
              </a:graphicData>
            </a:graphic>
          </wp:inline>
        </w:drawing>
      </w:r>
    </w:p>
    <w:p w14:paraId="7077732E" w14:textId="7AAF814B" w:rsidR="00F562D4" w:rsidRDefault="00D404D7" w:rsidP="002B2C28">
      <w:pPr>
        <w:pStyle w:val="Source"/>
      </w:pPr>
      <w:r>
        <w:t xml:space="preserve">Source: </w:t>
      </w:r>
      <w:r w:rsidRPr="004A591E">
        <w:t xml:space="preserve">ABS, </w:t>
      </w:r>
      <w:hyperlink r:id="rId19" w:history="1">
        <w:r w:rsidRPr="00AC7DE3">
          <w:rPr>
            <w:rStyle w:val="Hyperlink"/>
            <w:i/>
            <w:iCs/>
          </w:rPr>
          <w:t>Measuring Non-discretionary and Discretionary Inflation</w:t>
        </w:r>
      </w:hyperlink>
      <w:r w:rsidRPr="004A591E">
        <w:t>, Australian Bureau of Statistics website, 2021, accessed 7 July 2021.</w:t>
      </w:r>
      <w:r w:rsidR="002B2C28">
        <w:t xml:space="preserve"> </w:t>
      </w:r>
    </w:p>
    <w:p w14:paraId="4D891039" w14:textId="14702900" w:rsidR="00DA06D5" w:rsidRDefault="004945F1" w:rsidP="003B34D9">
      <w:pPr>
        <w:pStyle w:val="BodyText"/>
      </w:pPr>
      <w:r>
        <w:t xml:space="preserve">The overall (or All Groups) </w:t>
      </w:r>
      <w:r w:rsidR="005E7E73">
        <w:t>Consumer Price Index (CPI)</w:t>
      </w:r>
      <w:r>
        <w:t xml:space="preserve"> figure covers many goods and services. </w:t>
      </w:r>
      <w:r w:rsidR="00EE7DF5">
        <w:t>T</w:t>
      </w:r>
      <w:r w:rsidR="00EE7DF5" w:rsidRPr="00EE7DF5">
        <w:t xml:space="preserve">he CPI basket </w:t>
      </w:r>
      <w:r w:rsidR="00EE7DF5">
        <w:t xml:space="preserve">is made up of 11 </w:t>
      </w:r>
      <w:r>
        <w:t xml:space="preserve">major categories with over 100 individual goods and services. There can be wide variations in the CPI for specific goods and services, which may impact different households differently. The overall CPI figure can be separated into its component parts, allowing us to track changes in the price of key basic goods and services in </w:t>
      </w:r>
      <w:r w:rsidR="00EE7DF5">
        <w:t xml:space="preserve">Canberra </w:t>
      </w:r>
      <w:r>
        <w:t xml:space="preserve">and nationally. </w:t>
      </w:r>
      <w:r w:rsidR="007B5FB2">
        <w:t xml:space="preserve">Table 1 shows </w:t>
      </w:r>
      <w:r w:rsidR="009B09DC">
        <w:t xml:space="preserve">changes in prices </w:t>
      </w:r>
      <w:r w:rsidR="006F2534">
        <w:t xml:space="preserve">across the 11 </w:t>
      </w:r>
      <w:r w:rsidR="00363995">
        <w:t xml:space="preserve">CPI </w:t>
      </w:r>
      <w:r w:rsidR="009B09DC">
        <w:t xml:space="preserve">categories and </w:t>
      </w:r>
      <w:r w:rsidR="00363995">
        <w:t xml:space="preserve">selected </w:t>
      </w:r>
      <w:r w:rsidR="009B09DC">
        <w:t>sub-categories of goods and services</w:t>
      </w:r>
      <w:r w:rsidR="00B7516C">
        <w:t xml:space="preserve"> in Canberra and nationally</w:t>
      </w:r>
      <w:r w:rsidR="009B09DC">
        <w:t xml:space="preserve"> over </w:t>
      </w:r>
      <w:r w:rsidR="00363995">
        <w:t>12 months</w:t>
      </w:r>
      <w:r w:rsidR="00B7516C">
        <w:t xml:space="preserve"> from December 2019 to December 2020, and over </w:t>
      </w:r>
      <w:r w:rsidR="00C04A4F">
        <w:t>five years from December 2015 to December 2020.</w:t>
      </w:r>
    </w:p>
    <w:p w14:paraId="053571C2" w14:textId="77777777" w:rsidR="00E02616" w:rsidRDefault="00E02616">
      <w:pPr>
        <w:rPr>
          <w:b/>
          <w:sz w:val="20"/>
        </w:rPr>
      </w:pPr>
      <w:r>
        <w:br w:type="page"/>
      </w:r>
    </w:p>
    <w:p w14:paraId="77447207" w14:textId="27F5E827" w:rsidR="008059C5" w:rsidRPr="008059C5" w:rsidRDefault="008059C5" w:rsidP="00554FE7">
      <w:pPr>
        <w:pStyle w:val="Figuretabletitle"/>
      </w:pPr>
      <w:r w:rsidRPr="008059C5">
        <w:t xml:space="preserve">Table </w:t>
      </w:r>
      <w:r w:rsidR="007B5FB2">
        <w:t>1</w:t>
      </w:r>
      <w:r w:rsidRPr="008059C5">
        <w:t xml:space="preserve"> CPI changes for key household expenditure areas, Canberra and Australia, Dec</w:t>
      </w:r>
      <w:r w:rsidR="00ED7475">
        <w:t>ember</w:t>
      </w:r>
      <w:r w:rsidRPr="008059C5">
        <w:t xml:space="preserve"> 20</w:t>
      </w:r>
      <w:r w:rsidR="00F84561">
        <w:t>19</w:t>
      </w:r>
      <w:r w:rsidRPr="008059C5">
        <w:t xml:space="preserve"> – Dec</w:t>
      </w:r>
      <w:r w:rsidR="00ED7475">
        <w:t>ember</w:t>
      </w:r>
      <w:r w:rsidRPr="008059C5">
        <w:t xml:space="preserve"> 20</w:t>
      </w:r>
      <w:r w:rsidR="00F84561">
        <w:t>20</w:t>
      </w:r>
      <w:r w:rsidRPr="008059C5">
        <w:t xml:space="preserve"> &amp; Dec</w:t>
      </w:r>
      <w:r w:rsidR="00ED7475">
        <w:t>ember</w:t>
      </w:r>
      <w:r w:rsidRPr="008059C5">
        <w:t xml:space="preserve"> 20</w:t>
      </w:r>
      <w:r w:rsidR="00F84561">
        <w:t>15</w:t>
      </w:r>
      <w:r w:rsidRPr="008059C5">
        <w:t xml:space="preserve"> – Dec</w:t>
      </w:r>
      <w:r w:rsidR="00ED7475">
        <w:t>ember</w:t>
      </w:r>
      <w:r w:rsidRPr="008059C5">
        <w:t xml:space="preserve"> 20</w:t>
      </w:r>
      <w:r w:rsidR="00F84561">
        <w:t>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1548"/>
        <w:gridCol w:w="1546"/>
        <w:gridCol w:w="1546"/>
        <w:gridCol w:w="1546"/>
      </w:tblGrid>
      <w:tr w:rsidR="008059C5" w:rsidRPr="008059C5" w14:paraId="47FE9000" w14:textId="77777777" w:rsidTr="009F1C2F">
        <w:trPr>
          <w:trHeight w:val="580"/>
          <w:tblHeader/>
        </w:trPr>
        <w:tc>
          <w:tcPr>
            <w:tcW w:w="1363" w:type="pct"/>
            <w:tcBorders>
              <w:top w:val="single" w:sz="12" w:space="0" w:color="A6A6A6" w:themeColor="background1" w:themeShade="A6"/>
              <w:bottom w:val="single" w:sz="12" w:space="0" w:color="A6A6A6" w:themeColor="background1" w:themeShade="A6"/>
            </w:tcBorders>
            <w:shd w:val="clear" w:color="auto" w:fill="auto"/>
            <w:hideMark/>
          </w:tcPr>
          <w:p w14:paraId="17D77AF2" w14:textId="77777777" w:rsidR="008059C5" w:rsidRPr="008059C5" w:rsidRDefault="008059C5" w:rsidP="008059C5">
            <w:pPr>
              <w:spacing w:before="80" w:after="60"/>
              <w:rPr>
                <w:b/>
                <w:sz w:val="16"/>
                <w:szCs w:val="16"/>
              </w:rPr>
            </w:pPr>
            <w:r w:rsidRPr="008059C5">
              <w:rPr>
                <w:b/>
                <w:sz w:val="16"/>
                <w:szCs w:val="16"/>
              </w:rPr>
              <w:t>Cost of Living area</w:t>
            </w:r>
          </w:p>
        </w:tc>
        <w:tc>
          <w:tcPr>
            <w:tcW w:w="910" w:type="pct"/>
            <w:tcBorders>
              <w:top w:val="single" w:sz="12" w:space="0" w:color="A6A6A6" w:themeColor="background1" w:themeShade="A6"/>
              <w:bottom w:val="single" w:sz="12" w:space="0" w:color="A6A6A6" w:themeColor="background1" w:themeShade="A6"/>
            </w:tcBorders>
            <w:shd w:val="clear" w:color="auto" w:fill="auto"/>
            <w:hideMark/>
          </w:tcPr>
          <w:p w14:paraId="409447E4" w14:textId="77777777" w:rsidR="008059C5" w:rsidRPr="008059C5" w:rsidRDefault="008059C5" w:rsidP="008059C5">
            <w:pPr>
              <w:spacing w:before="80" w:after="60"/>
              <w:jc w:val="center"/>
              <w:rPr>
                <w:b/>
                <w:sz w:val="16"/>
                <w:szCs w:val="16"/>
                <w:lang w:val="fr-BE"/>
              </w:rPr>
            </w:pPr>
            <w:r w:rsidRPr="008059C5">
              <w:rPr>
                <w:b/>
                <w:sz w:val="16"/>
                <w:szCs w:val="16"/>
                <w:lang w:val="fr-BE"/>
              </w:rPr>
              <w:t>Canberra CPI Change - 1yr</w:t>
            </w:r>
          </w:p>
          <w:p w14:paraId="1396D597" w14:textId="2F30A82C" w:rsidR="008059C5" w:rsidRPr="008059C5" w:rsidRDefault="008059C5" w:rsidP="008059C5">
            <w:pPr>
              <w:spacing w:before="80" w:after="60"/>
              <w:jc w:val="center"/>
              <w:rPr>
                <w:b/>
                <w:sz w:val="16"/>
                <w:szCs w:val="16"/>
                <w:lang w:val="fr-BE"/>
              </w:rPr>
            </w:pPr>
            <w:r w:rsidRPr="008059C5">
              <w:rPr>
                <w:b/>
                <w:sz w:val="16"/>
                <w:szCs w:val="16"/>
                <w:lang w:val="fr-BE"/>
              </w:rPr>
              <w:t>Dec</w:t>
            </w:r>
            <w:r w:rsidR="00002AA8">
              <w:rPr>
                <w:b/>
                <w:sz w:val="16"/>
                <w:szCs w:val="16"/>
                <w:lang w:val="fr-BE"/>
              </w:rPr>
              <w:t>19</w:t>
            </w:r>
            <w:r w:rsidRPr="008059C5">
              <w:rPr>
                <w:b/>
                <w:sz w:val="16"/>
                <w:szCs w:val="16"/>
                <w:lang w:val="fr-BE"/>
              </w:rPr>
              <w:t>-Dec</w:t>
            </w:r>
            <w:r w:rsidR="00002AA8">
              <w:rPr>
                <w:b/>
                <w:sz w:val="16"/>
                <w:szCs w:val="16"/>
                <w:lang w:val="fr-BE"/>
              </w:rPr>
              <w:t>20</w:t>
            </w:r>
          </w:p>
          <w:p w14:paraId="1C8CBA94" w14:textId="77777777" w:rsidR="008059C5" w:rsidRPr="008059C5" w:rsidRDefault="008059C5" w:rsidP="008059C5">
            <w:pPr>
              <w:spacing w:before="80" w:after="60"/>
              <w:jc w:val="center"/>
              <w:rPr>
                <w:b/>
                <w:sz w:val="16"/>
                <w:szCs w:val="16"/>
              </w:rPr>
            </w:pPr>
            <w:r w:rsidRPr="008059C5">
              <w:rPr>
                <w:b/>
                <w:sz w:val="16"/>
                <w:szCs w:val="16"/>
              </w:rPr>
              <w:t>(%)</w:t>
            </w:r>
          </w:p>
        </w:tc>
        <w:tc>
          <w:tcPr>
            <w:tcW w:w="909" w:type="pct"/>
            <w:tcBorders>
              <w:top w:val="single" w:sz="12" w:space="0" w:color="A6A6A6" w:themeColor="background1" w:themeShade="A6"/>
              <w:bottom w:val="single" w:sz="12" w:space="0" w:color="A6A6A6" w:themeColor="background1" w:themeShade="A6"/>
            </w:tcBorders>
            <w:shd w:val="clear" w:color="auto" w:fill="auto"/>
            <w:hideMark/>
          </w:tcPr>
          <w:p w14:paraId="5DDE867F" w14:textId="77777777" w:rsidR="008059C5" w:rsidRPr="008059C5" w:rsidRDefault="008059C5" w:rsidP="008059C5">
            <w:pPr>
              <w:spacing w:before="80" w:after="60"/>
              <w:jc w:val="center"/>
              <w:rPr>
                <w:b/>
                <w:sz w:val="16"/>
                <w:szCs w:val="16"/>
              </w:rPr>
            </w:pPr>
            <w:r w:rsidRPr="008059C5">
              <w:rPr>
                <w:b/>
                <w:sz w:val="16"/>
                <w:szCs w:val="16"/>
              </w:rPr>
              <w:t>Australia CPI Change - 1yr</w:t>
            </w:r>
          </w:p>
          <w:p w14:paraId="3CDAA1F6" w14:textId="7C118535" w:rsidR="008059C5" w:rsidRPr="008059C5" w:rsidRDefault="008059C5" w:rsidP="008059C5">
            <w:pPr>
              <w:spacing w:before="80" w:after="60"/>
              <w:jc w:val="center"/>
              <w:rPr>
                <w:b/>
                <w:sz w:val="16"/>
                <w:szCs w:val="16"/>
              </w:rPr>
            </w:pPr>
            <w:r w:rsidRPr="008059C5">
              <w:rPr>
                <w:b/>
                <w:sz w:val="16"/>
                <w:szCs w:val="16"/>
              </w:rPr>
              <w:t>Dec</w:t>
            </w:r>
            <w:r w:rsidR="00002AA8">
              <w:rPr>
                <w:b/>
                <w:sz w:val="16"/>
                <w:szCs w:val="16"/>
              </w:rPr>
              <w:t>19</w:t>
            </w:r>
            <w:r w:rsidRPr="008059C5">
              <w:rPr>
                <w:b/>
                <w:sz w:val="16"/>
                <w:szCs w:val="16"/>
              </w:rPr>
              <w:t>-Dec</w:t>
            </w:r>
            <w:r w:rsidR="00002AA8">
              <w:rPr>
                <w:b/>
                <w:sz w:val="16"/>
                <w:szCs w:val="16"/>
              </w:rPr>
              <w:t>20</w:t>
            </w:r>
          </w:p>
          <w:p w14:paraId="2A841C75" w14:textId="77777777" w:rsidR="008059C5" w:rsidRPr="008059C5" w:rsidRDefault="008059C5" w:rsidP="008059C5">
            <w:pPr>
              <w:spacing w:before="80" w:after="60"/>
              <w:jc w:val="center"/>
              <w:rPr>
                <w:b/>
                <w:sz w:val="16"/>
                <w:szCs w:val="16"/>
              </w:rPr>
            </w:pPr>
            <w:r w:rsidRPr="008059C5">
              <w:rPr>
                <w:b/>
                <w:sz w:val="16"/>
                <w:szCs w:val="16"/>
              </w:rPr>
              <w:t>(%)</w:t>
            </w:r>
          </w:p>
        </w:tc>
        <w:tc>
          <w:tcPr>
            <w:tcW w:w="909" w:type="pct"/>
            <w:tcBorders>
              <w:top w:val="single" w:sz="12" w:space="0" w:color="A6A6A6" w:themeColor="background1" w:themeShade="A6"/>
              <w:bottom w:val="single" w:sz="12" w:space="0" w:color="A6A6A6" w:themeColor="background1" w:themeShade="A6"/>
            </w:tcBorders>
            <w:shd w:val="clear" w:color="auto" w:fill="auto"/>
            <w:hideMark/>
          </w:tcPr>
          <w:p w14:paraId="29446FEC" w14:textId="77777777" w:rsidR="008059C5" w:rsidRPr="008059C5" w:rsidRDefault="008059C5" w:rsidP="008059C5">
            <w:pPr>
              <w:spacing w:before="80" w:after="60"/>
              <w:jc w:val="center"/>
              <w:rPr>
                <w:b/>
                <w:sz w:val="16"/>
                <w:szCs w:val="16"/>
                <w:lang w:val="fr-BE"/>
              </w:rPr>
            </w:pPr>
            <w:r w:rsidRPr="008059C5">
              <w:rPr>
                <w:b/>
                <w:sz w:val="16"/>
                <w:szCs w:val="16"/>
                <w:lang w:val="fr-BE"/>
              </w:rPr>
              <w:t>Canberra CPI change - 5yrs</w:t>
            </w:r>
          </w:p>
          <w:p w14:paraId="41868C26" w14:textId="026FAAB5" w:rsidR="008059C5" w:rsidRPr="008059C5" w:rsidRDefault="008059C5" w:rsidP="008059C5">
            <w:pPr>
              <w:spacing w:before="80" w:after="60"/>
              <w:jc w:val="center"/>
              <w:rPr>
                <w:b/>
                <w:sz w:val="16"/>
                <w:szCs w:val="16"/>
                <w:lang w:val="fr-BE"/>
              </w:rPr>
            </w:pPr>
            <w:r w:rsidRPr="008059C5">
              <w:rPr>
                <w:b/>
                <w:sz w:val="16"/>
                <w:szCs w:val="16"/>
                <w:lang w:val="fr-BE"/>
              </w:rPr>
              <w:t>Dec1</w:t>
            </w:r>
            <w:r w:rsidR="00002AA8">
              <w:rPr>
                <w:b/>
                <w:sz w:val="16"/>
                <w:szCs w:val="16"/>
                <w:lang w:val="fr-BE"/>
              </w:rPr>
              <w:t>5</w:t>
            </w:r>
            <w:r w:rsidRPr="008059C5">
              <w:rPr>
                <w:b/>
                <w:sz w:val="16"/>
                <w:szCs w:val="16"/>
                <w:lang w:val="fr-BE"/>
              </w:rPr>
              <w:t>-Dec</w:t>
            </w:r>
            <w:r w:rsidR="00002AA8">
              <w:rPr>
                <w:b/>
                <w:sz w:val="16"/>
                <w:szCs w:val="16"/>
                <w:lang w:val="fr-BE"/>
              </w:rPr>
              <w:t>20</w:t>
            </w:r>
          </w:p>
          <w:p w14:paraId="61BB585B" w14:textId="77777777" w:rsidR="008059C5" w:rsidRPr="008059C5" w:rsidRDefault="008059C5" w:rsidP="008059C5">
            <w:pPr>
              <w:spacing w:before="80" w:after="60"/>
              <w:jc w:val="center"/>
              <w:rPr>
                <w:b/>
                <w:sz w:val="16"/>
                <w:szCs w:val="16"/>
              </w:rPr>
            </w:pPr>
            <w:r w:rsidRPr="008059C5">
              <w:rPr>
                <w:b/>
                <w:sz w:val="16"/>
                <w:szCs w:val="16"/>
              </w:rPr>
              <w:t>(%)</w:t>
            </w:r>
          </w:p>
        </w:tc>
        <w:tc>
          <w:tcPr>
            <w:tcW w:w="909" w:type="pct"/>
            <w:tcBorders>
              <w:top w:val="single" w:sz="12" w:space="0" w:color="A6A6A6" w:themeColor="background1" w:themeShade="A6"/>
              <w:bottom w:val="single" w:sz="12" w:space="0" w:color="A6A6A6" w:themeColor="background1" w:themeShade="A6"/>
            </w:tcBorders>
            <w:shd w:val="clear" w:color="auto" w:fill="auto"/>
            <w:hideMark/>
          </w:tcPr>
          <w:p w14:paraId="6B3990FE" w14:textId="77777777" w:rsidR="008059C5" w:rsidRPr="008059C5" w:rsidRDefault="008059C5" w:rsidP="008059C5">
            <w:pPr>
              <w:spacing w:before="80" w:after="60"/>
              <w:jc w:val="center"/>
              <w:rPr>
                <w:b/>
                <w:sz w:val="16"/>
                <w:szCs w:val="16"/>
                <w:lang w:val="fr-BE"/>
              </w:rPr>
            </w:pPr>
            <w:r w:rsidRPr="008059C5">
              <w:rPr>
                <w:b/>
                <w:sz w:val="16"/>
                <w:szCs w:val="16"/>
                <w:lang w:val="fr-BE"/>
              </w:rPr>
              <w:t>Australia CPI Change - 5yrs</w:t>
            </w:r>
          </w:p>
          <w:p w14:paraId="1A7C5CBB" w14:textId="126547E2" w:rsidR="008059C5" w:rsidRPr="008059C5" w:rsidRDefault="008059C5" w:rsidP="008059C5">
            <w:pPr>
              <w:spacing w:before="80" w:after="60"/>
              <w:jc w:val="center"/>
              <w:rPr>
                <w:b/>
                <w:sz w:val="16"/>
                <w:szCs w:val="16"/>
                <w:lang w:val="fr-BE"/>
              </w:rPr>
            </w:pPr>
            <w:r w:rsidRPr="008059C5">
              <w:rPr>
                <w:b/>
                <w:sz w:val="16"/>
                <w:szCs w:val="16"/>
                <w:lang w:val="fr-BE"/>
              </w:rPr>
              <w:t>Dec1</w:t>
            </w:r>
            <w:r w:rsidR="00002AA8">
              <w:rPr>
                <w:b/>
                <w:sz w:val="16"/>
                <w:szCs w:val="16"/>
                <w:lang w:val="fr-BE"/>
              </w:rPr>
              <w:t>5</w:t>
            </w:r>
            <w:r w:rsidRPr="008059C5">
              <w:rPr>
                <w:b/>
                <w:sz w:val="16"/>
                <w:szCs w:val="16"/>
                <w:lang w:val="fr-BE"/>
              </w:rPr>
              <w:t>-Dec</w:t>
            </w:r>
            <w:r w:rsidR="00002AA8">
              <w:rPr>
                <w:b/>
                <w:sz w:val="16"/>
                <w:szCs w:val="16"/>
                <w:lang w:val="fr-BE"/>
              </w:rPr>
              <w:t>20</w:t>
            </w:r>
          </w:p>
          <w:p w14:paraId="2FFE4089" w14:textId="77777777" w:rsidR="008059C5" w:rsidRPr="008059C5" w:rsidRDefault="008059C5" w:rsidP="008059C5">
            <w:pPr>
              <w:spacing w:before="80" w:after="60"/>
              <w:jc w:val="center"/>
              <w:rPr>
                <w:b/>
                <w:sz w:val="16"/>
                <w:szCs w:val="16"/>
              </w:rPr>
            </w:pPr>
            <w:r w:rsidRPr="008059C5">
              <w:rPr>
                <w:b/>
                <w:sz w:val="16"/>
                <w:szCs w:val="16"/>
              </w:rPr>
              <w:t>(%)</w:t>
            </w:r>
          </w:p>
        </w:tc>
      </w:tr>
      <w:tr w:rsidR="00F346CD" w:rsidRPr="008059C5" w14:paraId="60FF2C2E" w14:textId="77777777" w:rsidTr="009F1C2F">
        <w:trPr>
          <w:trHeight w:val="13"/>
        </w:trPr>
        <w:tc>
          <w:tcPr>
            <w:tcW w:w="1363" w:type="pct"/>
            <w:tcBorders>
              <w:top w:val="single" w:sz="12" w:space="0" w:color="A6A6A6" w:themeColor="background1" w:themeShade="A6"/>
            </w:tcBorders>
            <w:shd w:val="clear" w:color="auto" w:fill="D9E2F3" w:themeFill="accent1" w:themeFillTint="33"/>
            <w:hideMark/>
          </w:tcPr>
          <w:p w14:paraId="0BE72DBD"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 xml:space="preserve">Food &amp; Non-Alcoholic Beverages </w:t>
            </w:r>
          </w:p>
        </w:tc>
        <w:tc>
          <w:tcPr>
            <w:tcW w:w="910" w:type="pct"/>
            <w:tcBorders>
              <w:top w:val="single" w:sz="12" w:space="0" w:color="A6A6A6" w:themeColor="background1" w:themeShade="A6"/>
              <w:left w:val="nil"/>
              <w:bottom w:val="nil"/>
              <w:right w:val="nil"/>
            </w:tcBorders>
            <w:shd w:val="clear" w:color="auto" w:fill="B4C6E7" w:themeFill="accent1" w:themeFillTint="66"/>
            <w:noWrap/>
            <w:vAlign w:val="bottom"/>
            <w:hideMark/>
          </w:tcPr>
          <w:p w14:paraId="3ED2680E" w14:textId="078C5731"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w:t>
            </w:r>
          </w:p>
        </w:tc>
        <w:tc>
          <w:tcPr>
            <w:tcW w:w="909" w:type="pct"/>
            <w:tcBorders>
              <w:top w:val="single" w:sz="12" w:space="0" w:color="A6A6A6" w:themeColor="background1" w:themeShade="A6"/>
              <w:left w:val="nil"/>
              <w:bottom w:val="nil"/>
              <w:right w:val="nil"/>
            </w:tcBorders>
            <w:shd w:val="clear" w:color="auto" w:fill="B4C6E7" w:themeFill="accent1" w:themeFillTint="66"/>
            <w:noWrap/>
            <w:vAlign w:val="bottom"/>
            <w:hideMark/>
          </w:tcPr>
          <w:p w14:paraId="28EEA400" w14:textId="605821D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2.3</w:t>
            </w:r>
          </w:p>
        </w:tc>
        <w:tc>
          <w:tcPr>
            <w:tcW w:w="909" w:type="pct"/>
            <w:tcBorders>
              <w:top w:val="single" w:sz="12" w:space="0" w:color="A6A6A6" w:themeColor="background1" w:themeShade="A6"/>
              <w:left w:val="nil"/>
              <w:bottom w:val="nil"/>
              <w:right w:val="nil"/>
            </w:tcBorders>
            <w:shd w:val="clear" w:color="auto" w:fill="8EAADB" w:themeFill="accent1" w:themeFillTint="99"/>
            <w:noWrap/>
            <w:vAlign w:val="bottom"/>
            <w:hideMark/>
          </w:tcPr>
          <w:p w14:paraId="66164F57" w14:textId="7FFB67B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8.5</w:t>
            </w:r>
          </w:p>
        </w:tc>
        <w:tc>
          <w:tcPr>
            <w:tcW w:w="909" w:type="pct"/>
            <w:tcBorders>
              <w:top w:val="single" w:sz="12" w:space="0" w:color="A6A6A6" w:themeColor="background1" w:themeShade="A6"/>
              <w:left w:val="nil"/>
              <w:bottom w:val="nil"/>
              <w:right w:val="nil"/>
            </w:tcBorders>
            <w:shd w:val="clear" w:color="auto" w:fill="8EAADB" w:themeFill="accent1" w:themeFillTint="99"/>
            <w:noWrap/>
            <w:vAlign w:val="bottom"/>
            <w:hideMark/>
          </w:tcPr>
          <w:p w14:paraId="00EEB76B" w14:textId="56B4FC7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8.0</w:t>
            </w:r>
          </w:p>
        </w:tc>
      </w:tr>
      <w:tr w:rsidR="00F346CD" w:rsidRPr="008059C5" w14:paraId="02048054" w14:textId="77777777" w:rsidTr="006666C7">
        <w:trPr>
          <w:trHeight w:val="306"/>
        </w:trPr>
        <w:tc>
          <w:tcPr>
            <w:tcW w:w="1363" w:type="pct"/>
            <w:shd w:val="clear" w:color="auto" w:fill="D9E2F3" w:themeFill="accent1" w:themeFillTint="33"/>
            <w:hideMark/>
          </w:tcPr>
          <w:p w14:paraId="384ED646"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Bread and cereal products</w:t>
            </w:r>
          </w:p>
        </w:tc>
        <w:tc>
          <w:tcPr>
            <w:tcW w:w="910" w:type="pct"/>
            <w:tcBorders>
              <w:top w:val="nil"/>
              <w:left w:val="nil"/>
              <w:bottom w:val="nil"/>
              <w:right w:val="nil"/>
            </w:tcBorders>
            <w:shd w:val="clear" w:color="auto" w:fill="B4C6E7" w:themeFill="accent1" w:themeFillTint="66"/>
            <w:noWrap/>
            <w:vAlign w:val="bottom"/>
            <w:hideMark/>
          </w:tcPr>
          <w:p w14:paraId="437F2082" w14:textId="566FA3F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w:t>
            </w:r>
          </w:p>
        </w:tc>
        <w:tc>
          <w:tcPr>
            <w:tcW w:w="909" w:type="pct"/>
            <w:tcBorders>
              <w:top w:val="nil"/>
              <w:left w:val="nil"/>
              <w:bottom w:val="nil"/>
              <w:right w:val="nil"/>
            </w:tcBorders>
            <w:shd w:val="clear" w:color="auto" w:fill="B4C6E7" w:themeFill="accent1" w:themeFillTint="66"/>
            <w:noWrap/>
            <w:vAlign w:val="bottom"/>
            <w:hideMark/>
          </w:tcPr>
          <w:p w14:paraId="7F0EF656" w14:textId="7A3A4043"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w:t>
            </w:r>
          </w:p>
        </w:tc>
        <w:tc>
          <w:tcPr>
            <w:tcW w:w="909" w:type="pct"/>
            <w:tcBorders>
              <w:top w:val="nil"/>
              <w:left w:val="nil"/>
              <w:bottom w:val="nil"/>
              <w:right w:val="nil"/>
            </w:tcBorders>
            <w:shd w:val="clear" w:color="auto" w:fill="8EAADB" w:themeFill="accent1" w:themeFillTint="99"/>
            <w:noWrap/>
            <w:vAlign w:val="bottom"/>
            <w:hideMark/>
          </w:tcPr>
          <w:p w14:paraId="7C0D3CA5" w14:textId="13FBEAA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2.3</w:t>
            </w:r>
          </w:p>
        </w:tc>
        <w:tc>
          <w:tcPr>
            <w:tcW w:w="909" w:type="pct"/>
            <w:tcBorders>
              <w:top w:val="nil"/>
              <w:left w:val="nil"/>
              <w:bottom w:val="nil"/>
              <w:right w:val="nil"/>
            </w:tcBorders>
            <w:shd w:val="clear" w:color="auto" w:fill="8EAADB" w:themeFill="accent1" w:themeFillTint="99"/>
            <w:noWrap/>
            <w:vAlign w:val="bottom"/>
            <w:hideMark/>
          </w:tcPr>
          <w:p w14:paraId="22DC8C71" w14:textId="4CB75C45"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3.1</w:t>
            </w:r>
          </w:p>
        </w:tc>
      </w:tr>
      <w:tr w:rsidR="00F346CD" w:rsidRPr="008059C5" w14:paraId="56C84C98" w14:textId="77777777" w:rsidTr="006666C7">
        <w:trPr>
          <w:trHeight w:val="88"/>
        </w:trPr>
        <w:tc>
          <w:tcPr>
            <w:tcW w:w="1363" w:type="pct"/>
            <w:shd w:val="clear" w:color="auto" w:fill="D9E2F3" w:themeFill="accent1" w:themeFillTint="33"/>
            <w:hideMark/>
          </w:tcPr>
          <w:p w14:paraId="01BBCF9D"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Meat and seafoods</w:t>
            </w:r>
          </w:p>
        </w:tc>
        <w:tc>
          <w:tcPr>
            <w:tcW w:w="910" w:type="pct"/>
            <w:tcBorders>
              <w:top w:val="nil"/>
              <w:left w:val="nil"/>
              <w:bottom w:val="nil"/>
              <w:right w:val="nil"/>
            </w:tcBorders>
            <w:shd w:val="clear" w:color="auto" w:fill="B4C6E7" w:themeFill="accent1" w:themeFillTint="66"/>
            <w:noWrap/>
            <w:vAlign w:val="bottom"/>
            <w:hideMark/>
          </w:tcPr>
          <w:p w14:paraId="1D187D40" w14:textId="22F85DF2"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3.7</w:t>
            </w:r>
          </w:p>
        </w:tc>
        <w:tc>
          <w:tcPr>
            <w:tcW w:w="909" w:type="pct"/>
            <w:tcBorders>
              <w:top w:val="nil"/>
              <w:left w:val="nil"/>
              <w:bottom w:val="nil"/>
              <w:right w:val="nil"/>
            </w:tcBorders>
            <w:shd w:val="clear" w:color="auto" w:fill="B4C6E7" w:themeFill="accent1" w:themeFillTint="66"/>
            <w:noWrap/>
            <w:vAlign w:val="bottom"/>
            <w:hideMark/>
          </w:tcPr>
          <w:p w14:paraId="4F89C81A" w14:textId="7902426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3.9</w:t>
            </w:r>
          </w:p>
        </w:tc>
        <w:tc>
          <w:tcPr>
            <w:tcW w:w="909" w:type="pct"/>
            <w:tcBorders>
              <w:top w:val="nil"/>
              <w:left w:val="nil"/>
              <w:bottom w:val="nil"/>
              <w:right w:val="nil"/>
            </w:tcBorders>
            <w:shd w:val="clear" w:color="auto" w:fill="8EAADB" w:themeFill="accent1" w:themeFillTint="99"/>
            <w:noWrap/>
            <w:vAlign w:val="bottom"/>
            <w:hideMark/>
          </w:tcPr>
          <w:p w14:paraId="73CE670F" w14:textId="2878B20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13.4</w:t>
            </w:r>
          </w:p>
        </w:tc>
        <w:tc>
          <w:tcPr>
            <w:tcW w:w="909" w:type="pct"/>
            <w:tcBorders>
              <w:top w:val="nil"/>
              <w:left w:val="nil"/>
              <w:bottom w:val="nil"/>
              <w:right w:val="nil"/>
            </w:tcBorders>
            <w:shd w:val="clear" w:color="auto" w:fill="8EAADB" w:themeFill="accent1" w:themeFillTint="99"/>
            <w:noWrap/>
            <w:vAlign w:val="bottom"/>
            <w:hideMark/>
          </w:tcPr>
          <w:p w14:paraId="50548D94" w14:textId="3B5268D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14.5</w:t>
            </w:r>
          </w:p>
        </w:tc>
      </w:tr>
      <w:tr w:rsidR="00F346CD" w:rsidRPr="008059C5" w14:paraId="5B5E6018" w14:textId="77777777" w:rsidTr="006666C7">
        <w:trPr>
          <w:trHeight w:val="13"/>
        </w:trPr>
        <w:tc>
          <w:tcPr>
            <w:tcW w:w="1363" w:type="pct"/>
            <w:shd w:val="clear" w:color="auto" w:fill="D9E2F3" w:themeFill="accent1" w:themeFillTint="33"/>
            <w:hideMark/>
          </w:tcPr>
          <w:p w14:paraId="5D2F3749"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Dairy &amp; related products</w:t>
            </w:r>
          </w:p>
        </w:tc>
        <w:tc>
          <w:tcPr>
            <w:tcW w:w="910" w:type="pct"/>
            <w:tcBorders>
              <w:top w:val="nil"/>
              <w:left w:val="nil"/>
              <w:bottom w:val="nil"/>
              <w:right w:val="nil"/>
            </w:tcBorders>
            <w:shd w:val="clear" w:color="auto" w:fill="B4C6E7" w:themeFill="accent1" w:themeFillTint="66"/>
            <w:noWrap/>
            <w:vAlign w:val="bottom"/>
            <w:hideMark/>
          </w:tcPr>
          <w:p w14:paraId="7768E413" w14:textId="25DB236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w:t>
            </w:r>
          </w:p>
        </w:tc>
        <w:tc>
          <w:tcPr>
            <w:tcW w:w="909" w:type="pct"/>
            <w:tcBorders>
              <w:top w:val="nil"/>
              <w:left w:val="nil"/>
              <w:bottom w:val="nil"/>
              <w:right w:val="nil"/>
            </w:tcBorders>
            <w:shd w:val="clear" w:color="auto" w:fill="B4C6E7" w:themeFill="accent1" w:themeFillTint="66"/>
            <w:noWrap/>
            <w:vAlign w:val="bottom"/>
            <w:hideMark/>
          </w:tcPr>
          <w:p w14:paraId="0E02B713" w14:textId="72DD520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w:t>
            </w:r>
          </w:p>
        </w:tc>
        <w:tc>
          <w:tcPr>
            <w:tcW w:w="909" w:type="pct"/>
            <w:tcBorders>
              <w:top w:val="nil"/>
              <w:left w:val="nil"/>
              <w:bottom w:val="nil"/>
              <w:right w:val="nil"/>
            </w:tcBorders>
            <w:shd w:val="clear" w:color="auto" w:fill="8EAADB" w:themeFill="accent1" w:themeFillTint="99"/>
            <w:noWrap/>
            <w:vAlign w:val="bottom"/>
            <w:hideMark/>
          </w:tcPr>
          <w:p w14:paraId="19360548" w14:textId="40DDE552"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5.2</w:t>
            </w:r>
          </w:p>
        </w:tc>
        <w:tc>
          <w:tcPr>
            <w:tcW w:w="909" w:type="pct"/>
            <w:tcBorders>
              <w:top w:val="nil"/>
              <w:left w:val="nil"/>
              <w:bottom w:val="nil"/>
              <w:right w:val="nil"/>
            </w:tcBorders>
            <w:shd w:val="clear" w:color="auto" w:fill="8EAADB" w:themeFill="accent1" w:themeFillTint="99"/>
            <w:noWrap/>
            <w:vAlign w:val="bottom"/>
            <w:hideMark/>
          </w:tcPr>
          <w:p w14:paraId="48756988" w14:textId="47AEAE1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6.4</w:t>
            </w:r>
          </w:p>
        </w:tc>
      </w:tr>
      <w:tr w:rsidR="00F346CD" w:rsidRPr="008059C5" w14:paraId="615BF1DE" w14:textId="77777777" w:rsidTr="006666C7">
        <w:trPr>
          <w:trHeight w:val="13"/>
        </w:trPr>
        <w:tc>
          <w:tcPr>
            <w:tcW w:w="1363" w:type="pct"/>
            <w:shd w:val="clear" w:color="auto" w:fill="D9E2F3" w:themeFill="accent1" w:themeFillTint="33"/>
            <w:hideMark/>
          </w:tcPr>
          <w:p w14:paraId="4E9962D1"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Fruit and vegetables</w:t>
            </w:r>
          </w:p>
        </w:tc>
        <w:tc>
          <w:tcPr>
            <w:tcW w:w="910" w:type="pct"/>
            <w:tcBorders>
              <w:top w:val="nil"/>
              <w:left w:val="nil"/>
              <w:bottom w:val="nil"/>
              <w:right w:val="nil"/>
            </w:tcBorders>
            <w:shd w:val="clear" w:color="auto" w:fill="B4C6E7" w:themeFill="accent1" w:themeFillTint="66"/>
            <w:noWrap/>
            <w:vAlign w:val="bottom"/>
            <w:hideMark/>
          </w:tcPr>
          <w:p w14:paraId="6D70CD8E" w14:textId="6558B53B"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2.7</w:t>
            </w:r>
          </w:p>
        </w:tc>
        <w:tc>
          <w:tcPr>
            <w:tcW w:w="909" w:type="pct"/>
            <w:tcBorders>
              <w:top w:val="nil"/>
              <w:left w:val="nil"/>
              <w:bottom w:val="nil"/>
              <w:right w:val="nil"/>
            </w:tcBorders>
            <w:shd w:val="clear" w:color="auto" w:fill="B4C6E7" w:themeFill="accent1" w:themeFillTint="66"/>
            <w:noWrap/>
            <w:vAlign w:val="bottom"/>
            <w:hideMark/>
          </w:tcPr>
          <w:p w14:paraId="1B8AB46D" w14:textId="490F305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3.3</w:t>
            </w:r>
          </w:p>
        </w:tc>
        <w:tc>
          <w:tcPr>
            <w:tcW w:w="909" w:type="pct"/>
            <w:tcBorders>
              <w:top w:val="nil"/>
              <w:left w:val="nil"/>
              <w:bottom w:val="nil"/>
              <w:right w:val="nil"/>
            </w:tcBorders>
            <w:shd w:val="clear" w:color="auto" w:fill="8EAADB" w:themeFill="accent1" w:themeFillTint="99"/>
            <w:noWrap/>
            <w:vAlign w:val="bottom"/>
            <w:hideMark/>
          </w:tcPr>
          <w:p w14:paraId="33388C8B" w14:textId="51EFD6D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11.6</w:t>
            </w:r>
          </w:p>
        </w:tc>
        <w:tc>
          <w:tcPr>
            <w:tcW w:w="909" w:type="pct"/>
            <w:tcBorders>
              <w:top w:val="nil"/>
              <w:left w:val="nil"/>
              <w:bottom w:val="nil"/>
              <w:right w:val="nil"/>
            </w:tcBorders>
            <w:shd w:val="clear" w:color="auto" w:fill="8EAADB" w:themeFill="accent1" w:themeFillTint="99"/>
            <w:noWrap/>
            <w:vAlign w:val="bottom"/>
            <w:hideMark/>
          </w:tcPr>
          <w:p w14:paraId="1B748D43" w14:textId="39C27B5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12.6</w:t>
            </w:r>
          </w:p>
        </w:tc>
      </w:tr>
      <w:tr w:rsidR="00F346CD" w:rsidRPr="008059C5" w14:paraId="4E231C1D" w14:textId="77777777" w:rsidTr="006666C7">
        <w:trPr>
          <w:trHeight w:val="13"/>
        </w:trPr>
        <w:tc>
          <w:tcPr>
            <w:tcW w:w="1363" w:type="pct"/>
            <w:shd w:val="clear" w:color="auto" w:fill="D9E2F3" w:themeFill="accent1" w:themeFillTint="33"/>
            <w:hideMark/>
          </w:tcPr>
          <w:p w14:paraId="1F5ACA23"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Food products n.e.c.</w:t>
            </w:r>
          </w:p>
        </w:tc>
        <w:tc>
          <w:tcPr>
            <w:tcW w:w="910" w:type="pct"/>
            <w:tcBorders>
              <w:top w:val="nil"/>
              <w:left w:val="nil"/>
              <w:bottom w:val="nil"/>
              <w:right w:val="nil"/>
            </w:tcBorders>
            <w:shd w:val="clear" w:color="auto" w:fill="B4C6E7" w:themeFill="accent1" w:themeFillTint="66"/>
            <w:noWrap/>
            <w:vAlign w:val="bottom"/>
            <w:hideMark/>
          </w:tcPr>
          <w:p w14:paraId="7909572F" w14:textId="7C3ACDCB"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w:t>
            </w:r>
          </w:p>
        </w:tc>
        <w:tc>
          <w:tcPr>
            <w:tcW w:w="909" w:type="pct"/>
            <w:tcBorders>
              <w:top w:val="nil"/>
              <w:left w:val="nil"/>
              <w:bottom w:val="nil"/>
              <w:right w:val="nil"/>
            </w:tcBorders>
            <w:shd w:val="clear" w:color="auto" w:fill="B4C6E7" w:themeFill="accent1" w:themeFillTint="66"/>
            <w:noWrap/>
            <w:vAlign w:val="bottom"/>
            <w:hideMark/>
          </w:tcPr>
          <w:p w14:paraId="7662A84C" w14:textId="516B9AE3"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2.3</w:t>
            </w:r>
          </w:p>
        </w:tc>
        <w:tc>
          <w:tcPr>
            <w:tcW w:w="909" w:type="pct"/>
            <w:tcBorders>
              <w:top w:val="nil"/>
              <w:left w:val="nil"/>
              <w:bottom w:val="nil"/>
              <w:right w:val="nil"/>
            </w:tcBorders>
            <w:shd w:val="clear" w:color="auto" w:fill="8EAADB" w:themeFill="accent1" w:themeFillTint="99"/>
            <w:noWrap/>
            <w:vAlign w:val="bottom"/>
            <w:hideMark/>
          </w:tcPr>
          <w:p w14:paraId="41DF6020" w14:textId="35608513"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1.4</w:t>
            </w:r>
          </w:p>
        </w:tc>
        <w:tc>
          <w:tcPr>
            <w:tcW w:w="909" w:type="pct"/>
            <w:tcBorders>
              <w:top w:val="nil"/>
              <w:left w:val="nil"/>
              <w:bottom w:val="nil"/>
              <w:right w:val="nil"/>
            </w:tcBorders>
            <w:shd w:val="clear" w:color="auto" w:fill="8EAADB" w:themeFill="accent1" w:themeFillTint="99"/>
            <w:noWrap/>
            <w:vAlign w:val="bottom"/>
            <w:hideMark/>
          </w:tcPr>
          <w:p w14:paraId="3177707C" w14:textId="2BAC916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w:t>
            </w:r>
          </w:p>
        </w:tc>
      </w:tr>
      <w:tr w:rsidR="00F346CD" w:rsidRPr="008059C5" w14:paraId="7C4E7670" w14:textId="77777777" w:rsidTr="006666C7">
        <w:trPr>
          <w:trHeight w:val="13"/>
        </w:trPr>
        <w:tc>
          <w:tcPr>
            <w:tcW w:w="1363" w:type="pct"/>
            <w:shd w:val="clear" w:color="auto" w:fill="D9E2F3" w:themeFill="accent1" w:themeFillTint="33"/>
            <w:hideMark/>
          </w:tcPr>
          <w:p w14:paraId="33FA60EC"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Non-alcoholic beverages</w:t>
            </w:r>
          </w:p>
        </w:tc>
        <w:tc>
          <w:tcPr>
            <w:tcW w:w="910" w:type="pct"/>
            <w:tcBorders>
              <w:top w:val="nil"/>
              <w:left w:val="nil"/>
              <w:bottom w:val="nil"/>
              <w:right w:val="nil"/>
            </w:tcBorders>
            <w:shd w:val="clear" w:color="auto" w:fill="B4C6E7" w:themeFill="accent1" w:themeFillTint="66"/>
            <w:noWrap/>
            <w:vAlign w:val="bottom"/>
            <w:hideMark/>
          </w:tcPr>
          <w:p w14:paraId="27651627" w14:textId="049937D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2.4</w:t>
            </w:r>
          </w:p>
        </w:tc>
        <w:tc>
          <w:tcPr>
            <w:tcW w:w="909" w:type="pct"/>
            <w:tcBorders>
              <w:top w:val="nil"/>
              <w:left w:val="nil"/>
              <w:bottom w:val="nil"/>
              <w:right w:val="nil"/>
            </w:tcBorders>
            <w:shd w:val="clear" w:color="auto" w:fill="B4C6E7" w:themeFill="accent1" w:themeFillTint="66"/>
            <w:noWrap/>
            <w:vAlign w:val="bottom"/>
            <w:hideMark/>
          </w:tcPr>
          <w:p w14:paraId="6C0F9687" w14:textId="0B1DE21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3.2</w:t>
            </w:r>
          </w:p>
        </w:tc>
        <w:tc>
          <w:tcPr>
            <w:tcW w:w="909" w:type="pct"/>
            <w:tcBorders>
              <w:top w:val="nil"/>
              <w:left w:val="nil"/>
              <w:bottom w:val="nil"/>
              <w:right w:val="nil"/>
            </w:tcBorders>
            <w:shd w:val="clear" w:color="auto" w:fill="8EAADB" w:themeFill="accent1" w:themeFillTint="99"/>
            <w:noWrap/>
            <w:vAlign w:val="bottom"/>
            <w:hideMark/>
          </w:tcPr>
          <w:p w14:paraId="2D0EBA5F" w14:textId="68053A4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6.3</w:t>
            </w:r>
          </w:p>
        </w:tc>
        <w:tc>
          <w:tcPr>
            <w:tcW w:w="909" w:type="pct"/>
            <w:tcBorders>
              <w:top w:val="nil"/>
              <w:left w:val="nil"/>
              <w:bottom w:val="nil"/>
              <w:right w:val="nil"/>
            </w:tcBorders>
            <w:shd w:val="clear" w:color="auto" w:fill="8EAADB" w:themeFill="accent1" w:themeFillTint="99"/>
            <w:noWrap/>
            <w:vAlign w:val="bottom"/>
            <w:hideMark/>
          </w:tcPr>
          <w:p w14:paraId="291095C5" w14:textId="62979C5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3.7</w:t>
            </w:r>
          </w:p>
        </w:tc>
      </w:tr>
      <w:tr w:rsidR="00F346CD" w:rsidRPr="008059C5" w14:paraId="42B3153A" w14:textId="77777777" w:rsidTr="006666C7">
        <w:trPr>
          <w:trHeight w:val="13"/>
        </w:trPr>
        <w:tc>
          <w:tcPr>
            <w:tcW w:w="1363" w:type="pct"/>
            <w:shd w:val="clear" w:color="auto" w:fill="D9E2F3" w:themeFill="accent1" w:themeFillTint="33"/>
            <w:hideMark/>
          </w:tcPr>
          <w:p w14:paraId="692298A7"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Meals out and takeaway foods</w:t>
            </w:r>
          </w:p>
        </w:tc>
        <w:tc>
          <w:tcPr>
            <w:tcW w:w="910" w:type="pct"/>
            <w:tcBorders>
              <w:top w:val="nil"/>
              <w:left w:val="nil"/>
              <w:bottom w:val="nil"/>
              <w:right w:val="nil"/>
            </w:tcBorders>
            <w:shd w:val="clear" w:color="auto" w:fill="B4C6E7" w:themeFill="accent1" w:themeFillTint="66"/>
            <w:noWrap/>
            <w:vAlign w:val="bottom"/>
            <w:hideMark/>
          </w:tcPr>
          <w:p w14:paraId="6F472325" w14:textId="16C61DC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0.8</w:t>
            </w:r>
          </w:p>
        </w:tc>
        <w:tc>
          <w:tcPr>
            <w:tcW w:w="909" w:type="pct"/>
            <w:tcBorders>
              <w:top w:val="nil"/>
              <w:left w:val="nil"/>
              <w:bottom w:val="nil"/>
              <w:right w:val="nil"/>
            </w:tcBorders>
            <w:shd w:val="clear" w:color="auto" w:fill="B4C6E7" w:themeFill="accent1" w:themeFillTint="66"/>
            <w:noWrap/>
            <w:vAlign w:val="bottom"/>
            <w:hideMark/>
          </w:tcPr>
          <w:p w14:paraId="171C3289" w14:textId="25EDFFC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1.7</w:t>
            </w:r>
          </w:p>
        </w:tc>
        <w:tc>
          <w:tcPr>
            <w:tcW w:w="909" w:type="pct"/>
            <w:tcBorders>
              <w:top w:val="nil"/>
              <w:left w:val="nil"/>
              <w:bottom w:val="nil"/>
              <w:right w:val="nil"/>
            </w:tcBorders>
            <w:shd w:val="clear" w:color="auto" w:fill="8EAADB" w:themeFill="accent1" w:themeFillTint="99"/>
            <w:noWrap/>
            <w:vAlign w:val="bottom"/>
            <w:hideMark/>
          </w:tcPr>
          <w:p w14:paraId="2FCB816B" w14:textId="289AA1BB"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11.1</w:t>
            </w:r>
          </w:p>
        </w:tc>
        <w:tc>
          <w:tcPr>
            <w:tcW w:w="909" w:type="pct"/>
            <w:tcBorders>
              <w:top w:val="nil"/>
              <w:left w:val="nil"/>
              <w:bottom w:val="nil"/>
              <w:right w:val="nil"/>
            </w:tcBorders>
            <w:shd w:val="clear" w:color="auto" w:fill="8EAADB" w:themeFill="accent1" w:themeFillTint="99"/>
            <w:noWrap/>
            <w:vAlign w:val="bottom"/>
            <w:hideMark/>
          </w:tcPr>
          <w:p w14:paraId="2D30C2EF" w14:textId="2E2D259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9.8</w:t>
            </w:r>
          </w:p>
        </w:tc>
      </w:tr>
      <w:tr w:rsidR="00F346CD" w:rsidRPr="008059C5" w14:paraId="3A076D3B" w14:textId="77777777" w:rsidTr="002E0B70">
        <w:trPr>
          <w:trHeight w:val="13"/>
        </w:trPr>
        <w:tc>
          <w:tcPr>
            <w:tcW w:w="1363" w:type="pct"/>
            <w:hideMark/>
          </w:tcPr>
          <w:p w14:paraId="6B423A12"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 xml:space="preserve">Alcohol &amp; Tobacco </w:t>
            </w:r>
          </w:p>
        </w:tc>
        <w:tc>
          <w:tcPr>
            <w:tcW w:w="910" w:type="pct"/>
            <w:tcBorders>
              <w:top w:val="nil"/>
              <w:left w:val="nil"/>
              <w:bottom w:val="nil"/>
              <w:right w:val="nil"/>
            </w:tcBorders>
            <w:shd w:val="clear" w:color="auto" w:fill="auto"/>
            <w:noWrap/>
            <w:vAlign w:val="bottom"/>
            <w:hideMark/>
          </w:tcPr>
          <w:p w14:paraId="66BAA2DF" w14:textId="07B15D63"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7.5</w:t>
            </w:r>
          </w:p>
        </w:tc>
        <w:tc>
          <w:tcPr>
            <w:tcW w:w="909" w:type="pct"/>
            <w:tcBorders>
              <w:top w:val="nil"/>
              <w:left w:val="nil"/>
              <w:bottom w:val="nil"/>
              <w:right w:val="nil"/>
            </w:tcBorders>
            <w:shd w:val="clear" w:color="auto" w:fill="auto"/>
            <w:noWrap/>
            <w:vAlign w:val="bottom"/>
            <w:hideMark/>
          </w:tcPr>
          <w:p w14:paraId="2107393A" w14:textId="6AACFBB8"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9.3</w:t>
            </w:r>
          </w:p>
        </w:tc>
        <w:tc>
          <w:tcPr>
            <w:tcW w:w="909" w:type="pct"/>
            <w:tcBorders>
              <w:top w:val="nil"/>
              <w:left w:val="nil"/>
              <w:bottom w:val="nil"/>
              <w:right w:val="nil"/>
            </w:tcBorders>
            <w:shd w:val="clear" w:color="auto" w:fill="auto"/>
            <w:noWrap/>
            <w:vAlign w:val="bottom"/>
            <w:hideMark/>
          </w:tcPr>
          <w:p w14:paraId="2D2B3559" w14:textId="3806775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36.3</w:t>
            </w:r>
          </w:p>
        </w:tc>
        <w:tc>
          <w:tcPr>
            <w:tcW w:w="909" w:type="pct"/>
            <w:tcBorders>
              <w:top w:val="nil"/>
              <w:left w:val="nil"/>
              <w:bottom w:val="nil"/>
              <w:right w:val="nil"/>
            </w:tcBorders>
            <w:shd w:val="clear" w:color="auto" w:fill="auto"/>
            <w:noWrap/>
            <w:vAlign w:val="bottom"/>
            <w:hideMark/>
          </w:tcPr>
          <w:p w14:paraId="6DAA518D" w14:textId="45CF94C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41.6</w:t>
            </w:r>
          </w:p>
        </w:tc>
      </w:tr>
      <w:tr w:rsidR="00F346CD" w:rsidRPr="008059C5" w14:paraId="5800FC77" w14:textId="77777777" w:rsidTr="002E0B70">
        <w:trPr>
          <w:trHeight w:val="13"/>
        </w:trPr>
        <w:tc>
          <w:tcPr>
            <w:tcW w:w="1363" w:type="pct"/>
            <w:hideMark/>
          </w:tcPr>
          <w:p w14:paraId="49F65690"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 xml:space="preserve">Alcohol </w:t>
            </w:r>
          </w:p>
        </w:tc>
        <w:tc>
          <w:tcPr>
            <w:tcW w:w="910" w:type="pct"/>
            <w:tcBorders>
              <w:top w:val="nil"/>
              <w:left w:val="nil"/>
              <w:bottom w:val="nil"/>
              <w:right w:val="nil"/>
            </w:tcBorders>
            <w:shd w:val="clear" w:color="auto" w:fill="auto"/>
            <w:noWrap/>
            <w:vAlign w:val="bottom"/>
            <w:hideMark/>
          </w:tcPr>
          <w:p w14:paraId="0A639BE5" w14:textId="393FEA7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w:t>
            </w:r>
          </w:p>
        </w:tc>
        <w:tc>
          <w:tcPr>
            <w:tcW w:w="909" w:type="pct"/>
            <w:tcBorders>
              <w:top w:val="nil"/>
              <w:left w:val="nil"/>
              <w:bottom w:val="nil"/>
              <w:right w:val="nil"/>
            </w:tcBorders>
            <w:shd w:val="clear" w:color="auto" w:fill="auto"/>
            <w:noWrap/>
            <w:vAlign w:val="bottom"/>
            <w:hideMark/>
          </w:tcPr>
          <w:p w14:paraId="2A6061E8" w14:textId="6AFDF56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w:t>
            </w:r>
          </w:p>
        </w:tc>
        <w:tc>
          <w:tcPr>
            <w:tcW w:w="909" w:type="pct"/>
            <w:tcBorders>
              <w:top w:val="nil"/>
              <w:left w:val="nil"/>
              <w:bottom w:val="nil"/>
              <w:right w:val="nil"/>
            </w:tcBorders>
            <w:shd w:val="clear" w:color="auto" w:fill="auto"/>
            <w:noWrap/>
            <w:vAlign w:val="bottom"/>
            <w:hideMark/>
          </w:tcPr>
          <w:p w14:paraId="4E98C038" w14:textId="74FA6F5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10.0</w:t>
            </w:r>
          </w:p>
        </w:tc>
        <w:tc>
          <w:tcPr>
            <w:tcW w:w="909" w:type="pct"/>
            <w:tcBorders>
              <w:top w:val="nil"/>
              <w:left w:val="nil"/>
              <w:bottom w:val="nil"/>
              <w:right w:val="nil"/>
            </w:tcBorders>
            <w:shd w:val="clear" w:color="auto" w:fill="auto"/>
            <w:noWrap/>
            <w:vAlign w:val="bottom"/>
            <w:hideMark/>
          </w:tcPr>
          <w:p w14:paraId="5513145C" w14:textId="0A8C6832"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8.7</w:t>
            </w:r>
          </w:p>
        </w:tc>
      </w:tr>
      <w:tr w:rsidR="00F346CD" w:rsidRPr="008059C5" w14:paraId="198F7994" w14:textId="77777777" w:rsidTr="002E0B70">
        <w:trPr>
          <w:trHeight w:val="23"/>
        </w:trPr>
        <w:tc>
          <w:tcPr>
            <w:tcW w:w="1363" w:type="pct"/>
            <w:hideMark/>
          </w:tcPr>
          <w:p w14:paraId="38E2426A"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Tobacco</w:t>
            </w:r>
          </w:p>
        </w:tc>
        <w:tc>
          <w:tcPr>
            <w:tcW w:w="910" w:type="pct"/>
            <w:tcBorders>
              <w:top w:val="nil"/>
              <w:left w:val="nil"/>
              <w:bottom w:val="nil"/>
              <w:right w:val="nil"/>
            </w:tcBorders>
            <w:shd w:val="clear" w:color="auto" w:fill="auto"/>
            <w:noWrap/>
            <w:vAlign w:val="bottom"/>
            <w:hideMark/>
          </w:tcPr>
          <w:p w14:paraId="5B1AA689" w14:textId="7BE06210"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19.8</w:t>
            </w:r>
          </w:p>
        </w:tc>
        <w:tc>
          <w:tcPr>
            <w:tcW w:w="909" w:type="pct"/>
            <w:tcBorders>
              <w:top w:val="nil"/>
              <w:left w:val="nil"/>
              <w:bottom w:val="nil"/>
              <w:right w:val="nil"/>
            </w:tcBorders>
            <w:shd w:val="clear" w:color="auto" w:fill="auto"/>
            <w:noWrap/>
            <w:vAlign w:val="bottom"/>
            <w:hideMark/>
          </w:tcPr>
          <w:p w14:paraId="2873C14B" w14:textId="41BDD1B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19.9</w:t>
            </w:r>
          </w:p>
        </w:tc>
        <w:tc>
          <w:tcPr>
            <w:tcW w:w="909" w:type="pct"/>
            <w:tcBorders>
              <w:top w:val="nil"/>
              <w:left w:val="nil"/>
              <w:bottom w:val="nil"/>
              <w:right w:val="nil"/>
            </w:tcBorders>
            <w:shd w:val="clear" w:color="auto" w:fill="auto"/>
            <w:noWrap/>
            <w:vAlign w:val="bottom"/>
            <w:hideMark/>
          </w:tcPr>
          <w:p w14:paraId="7BCB26D2" w14:textId="2BE3615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106.1</w:t>
            </w:r>
          </w:p>
        </w:tc>
        <w:tc>
          <w:tcPr>
            <w:tcW w:w="909" w:type="pct"/>
            <w:tcBorders>
              <w:top w:val="nil"/>
              <w:left w:val="nil"/>
              <w:bottom w:val="nil"/>
              <w:right w:val="nil"/>
            </w:tcBorders>
            <w:shd w:val="clear" w:color="auto" w:fill="auto"/>
            <w:noWrap/>
            <w:vAlign w:val="bottom"/>
            <w:hideMark/>
          </w:tcPr>
          <w:p w14:paraId="3B9D388E" w14:textId="7A6A947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104.6</w:t>
            </w:r>
          </w:p>
        </w:tc>
      </w:tr>
      <w:tr w:rsidR="00F346CD" w:rsidRPr="008059C5" w14:paraId="2548F433" w14:textId="77777777" w:rsidTr="006666C7">
        <w:trPr>
          <w:trHeight w:val="290"/>
        </w:trPr>
        <w:tc>
          <w:tcPr>
            <w:tcW w:w="1363" w:type="pct"/>
            <w:shd w:val="clear" w:color="auto" w:fill="D9E2F3" w:themeFill="accent1" w:themeFillTint="33"/>
            <w:hideMark/>
          </w:tcPr>
          <w:p w14:paraId="3037DC03"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Clothing &amp; Footwear</w:t>
            </w:r>
          </w:p>
        </w:tc>
        <w:tc>
          <w:tcPr>
            <w:tcW w:w="910" w:type="pct"/>
            <w:tcBorders>
              <w:top w:val="nil"/>
              <w:left w:val="nil"/>
              <w:bottom w:val="nil"/>
              <w:right w:val="nil"/>
            </w:tcBorders>
            <w:shd w:val="clear" w:color="auto" w:fill="B4C6E7" w:themeFill="accent1" w:themeFillTint="66"/>
            <w:noWrap/>
            <w:vAlign w:val="bottom"/>
            <w:hideMark/>
          </w:tcPr>
          <w:p w14:paraId="6A00303C" w14:textId="515CF6C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0.5</w:t>
            </w:r>
          </w:p>
        </w:tc>
        <w:tc>
          <w:tcPr>
            <w:tcW w:w="909" w:type="pct"/>
            <w:tcBorders>
              <w:top w:val="nil"/>
              <w:left w:val="nil"/>
              <w:bottom w:val="nil"/>
              <w:right w:val="nil"/>
            </w:tcBorders>
            <w:shd w:val="clear" w:color="auto" w:fill="B4C6E7" w:themeFill="accent1" w:themeFillTint="66"/>
            <w:noWrap/>
            <w:vAlign w:val="bottom"/>
            <w:hideMark/>
          </w:tcPr>
          <w:p w14:paraId="24476323" w14:textId="0632CE2B"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w:t>
            </w:r>
          </w:p>
        </w:tc>
        <w:tc>
          <w:tcPr>
            <w:tcW w:w="909" w:type="pct"/>
            <w:tcBorders>
              <w:top w:val="nil"/>
              <w:left w:val="nil"/>
              <w:bottom w:val="nil"/>
              <w:right w:val="nil"/>
            </w:tcBorders>
            <w:shd w:val="clear" w:color="auto" w:fill="8EAADB" w:themeFill="accent1" w:themeFillTint="99"/>
            <w:noWrap/>
            <w:vAlign w:val="bottom"/>
            <w:hideMark/>
          </w:tcPr>
          <w:p w14:paraId="61B2FA6C" w14:textId="5ADE7B5B"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c>
          <w:tcPr>
            <w:tcW w:w="909" w:type="pct"/>
            <w:tcBorders>
              <w:top w:val="nil"/>
              <w:left w:val="nil"/>
              <w:bottom w:val="nil"/>
              <w:right w:val="nil"/>
            </w:tcBorders>
            <w:shd w:val="clear" w:color="auto" w:fill="8EAADB" w:themeFill="accent1" w:themeFillTint="99"/>
            <w:noWrap/>
            <w:vAlign w:val="bottom"/>
            <w:hideMark/>
          </w:tcPr>
          <w:p w14:paraId="2A3DF0BB" w14:textId="42A251F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-4.2</w:t>
            </w:r>
          </w:p>
        </w:tc>
      </w:tr>
      <w:tr w:rsidR="00F346CD" w:rsidRPr="008059C5" w14:paraId="3C1C89F2" w14:textId="77777777" w:rsidTr="002E0B70">
        <w:trPr>
          <w:trHeight w:val="13"/>
        </w:trPr>
        <w:tc>
          <w:tcPr>
            <w:tcW w:w="1363" w:type="pct"/>
            <w:hideMark/>
          </w:tcPr>
          <w:p w14:paraId="7ACD2031"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bCs/>
                <w:sz w:val="16"/>
                <w:szCs w:val="16"/>
              </w:rPr>
              <w:t xml:space="preserve">Housing </w:t>
            </w:r>
          </w:p>
        </w:tc>
        <w:tc>
          <w:tcPr>
            <w:tcW w:w="910" w:type="pct"/>
            <w:tcBorders>
              <w:top w:val="nil"/>
              <w:left w:val="nil"/>
              <w:bottom w:val="nil"/>
              <w:right w:val="nil"/>
            </w:tcBorders>
            <w:shd w:val="clear" w:color="auto" w:fill="auto"/>
            <w:noWrap/>
            <w:vAlign w:val="bottom"/>
            <w:hideMark/>
          </w:tcPr>
          <w:p w14:paraId="2A58E593" w14:textId="133CA9F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0.5</w:t>
            </w:r>
          </w:p>
        </w:tc>
        <w:tc>
          <w:tcPr>
            <w:tcW w:w="909" w:type="pct"/>
            <w:tcBorders>
              <w:top w:val="nil"/>
              <w:left w:val="nil"/>
              <w:bottom w:val="nil"/>
              <w:right w:val="nil"/>
            </w:tcBorders>
            <w:shd w:val="clear" w:color="auto" w:fill="auto"/>
            <w:noWrap/>
            <w:vAlign w:val="bottom"/>
            <w:hideMark/>
          </w:tcPr>
          <w:p w14:paraId="2F6BEFED" w14:textId="624D74D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nil"/>
              <w:left w:val="nil"/>
              <w:bottom w:val="nil"/>
              <w:right w:val="nil"/>
            </w:tcBorders>
            <w:shd w:val="clear" w:color="auto" w:fill="auto"/>
            <w:noWrap/>
            <w:vAlign w:val="bottom"/>
            <w:hideMark/>
          </w:tcPr>
          <w:p w14:paraId="5AE0216D" w14:textId="17E2F00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15.7</w:t>
            </w:r>
          </w:p>
        </w:tc>
        <w:tc>
          <w:tcPr>
            <w:tcW w:w="909" w:type="pct"/>
            <w:tcBorders>
              <w:top w:val="nil"/>
              <w:left w:val="nil"/>
              <w:bottom w:val="nil"/>
              <w:right w:val="nil"/>
            </w:tcBorders>
            <w:shd w:val="clear" w:color="auto" w:fill="auto"/>
            <w:noWrap/>
            <w:vAlign w:val="bottom"/>
            <w:hideMark/>
          </w:tcPr>
          <w:p w14:paraId="636F33A1" w14:textId="7846B5B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6.1</w:t>
            </w:r>
          </w:p>
        </w:tc>
      </w:tr>
      <w:tr w:rsidR="00F346CD" w:rsidRPr="008059C5" w14:paraId="1EA63B37" w14:textId="77777777" w:rsidTr="002E0B70">
        <w:trPr>
          <w:trHeight w:val="290"/>
        </w:trPr>
        <w:tc>
          <w:tcPr>
            <w:tcW w:w="1363" w:type="pct"/>
            <w:hideMark/>
          </w:tcPr>
          <w:p w14:paraId="2DE4D651"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Rents</w:t>
            </w:r>
          </w:p>
        </w:tc>
        <w:tc>
          <w:tcPr>
            <w:tcW w:w="910" w:type="pct"/>
            <w:tcBorders>
              <w:top w:val="nil"/>
              <w:left w:val="nil"/>
              <w:bottom w:val="nil"/>
              <w:right w:val="nil"/>
            </w:tcBorders>
            <w:shd w:val="clear" w:color="auto" w:fill="auto"/>
            <w:noWrap/>
            <w:vAlign w:val="bottom"/>
            <w:hideMark/>
          </w:tcPr>
          <w:p w14:paraId="3EFEAD41" w14:textId="569F3FF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1.4</w:t>
            </w:r>
          </w:p>
        </w:tc>
        <w:tc>
          <w:tcPr>
            <w:tcW w:w="909" w:type="pct"/>
            <w:tcBorders>
              <w:top w:val="nil"/>
              <w:left w:val="nil"/>
              <w:bottom w:val="nil"/>
              <w:right w:val="nil"/>
            </w:tcBorders>
            <w:shd w:val="clear" w:color="auto" w:fill="auto"/>
            <w:noWrap/>
            <w:vAlign w:val="bottom"/>
            <w:hideMark/>
          </w:tcPr>
          <w:p w14:paraId="4B49698F" w14:textId="0DE09DA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w:t>
            </w:r>
          </w:p>
        </w:tc>
        <w:tc>
          <w:tcPr>
            <w:tcW w:w="909" w:type="pct"/>
            <w:tcBorders>
              <w:top w:val="nil"/>
              <w:left w:val="nil"/>
              <w:bottom w:val="nil"/>
              <w:right w:val="nil"/>
            </w:tcBorders>
            <w:shd w:val="clear" w:color="auto" w:fill="auto"/>
            <w:noWrap/>
            <w:vAlign w:val="bottom"/>
            <w:hideMark/>
          </w:tcPr>
          <w:p w14:paraId="5A636FB6" w14:textId="5ED7BEB1"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10.1</w:t>
            </w:r>
          </w:p>
        </w:tc>
        <w:tc>
          <w:tcPr>
            <w:tcW w:w="909" w:type="pct"/>
            <w:tcBorders>
              <w:top w:val="nil"/>
              <w:left w:val="nil"/>
              <w:bottom w:val="nil"/>
              <w:right w:val="nil"/>
            </w:tcBorders>
            <w:shd w:val="clear" w:color="auto" w:fill="auto"/>
            <w:noWrap/>
            <w:vAlign w:val="bottom"/>
            <w:hideMark/>
          </w:tcPr>
          <w:p w14:paraId="33C16E03" w14:textId="553297B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w:t>
            </w:r>
          </w:p>
        </w:tc>
      </w:tr>
      <w:tr w:rsidR="00F346CD" w:rsidRPr="008059C5" w14:paraId="28BDA195" w14:textId="77777777" w:rsidTr="002E0B70">
        <w:trPr>
          <w:trHeight w:val="196"/>
        </w:trPr>
        <w:tc>
          <w:tcPr>
            <w:tcW w:w="1363" w:type="pct"/>
          </w:tcPr>
          <w:p w14:paraId="6A3A6373"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New dwelling purchase</w:t>
            </w:r>
          </w:p>
        </w:tc>
        <w:tc>
          <w:tcPr>
            <w:tcW w:w="910" w:type="pct"/>
            <w:tcBorders>
              <w:top w:val="nil"/>
              <w:left w:val="nil"/>
              <w:bottom w:val="nil"/>
              <w:right w:val="nil"/>
            </w:tcBorders>
            <w:shd w:val="clear" w:color="auto" w:fill="auto"/>
            <w:noWrap/>
            <w:vAlign w:val="bottom"/>
          </w:tcPr>
          <w:p w14:paraId="5D063500" w14:textId="060B60D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0.7</w:t>
            </w:r>
          </w:p>
        </w:tc>
        <w:tc>
          <w:tcPr>
            <w:tcW w:w="909" w:type="pct"/>
            <w:tcBorders>
              <w:top w:val="nil"/>
              <w:left w:val="nil"/>
              <w:bottom w:val="nil"/>
              <w:right w:val="nil"/>
            </w:tcBorders>
            <w:shd w:val="clear" w:color="auto" w:fill="auto"/>
            <w:noWrap/>
            <w:vAlign w:val="bottom"/>
          </w:tcPr>
          <w:p w14:paraId="522C355D" w14:textId="1656E7C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1.7</w:t>
            </w:r>
          </w:p>
        </w:tc>
        <w:tc>
          <w:tcPr>
            <w:tcW w:w="909" w:type="pct"/>
            <w:tcBorders>
              <w:top w:val="nil"/>
              <w:left w:val="nil"/>
              <w:bottom w:val="nil"/>
              <w:right w:val="nil"/>
            </w:tcBorders>
            <w:shd w:val="clear" w:color="auto" w:fill="auto"/>
            <w:noWrap/>
            <w:vAlign w:val="bottom"/>
          </w:tcPr>
          <w:p w14:paraId="05080E00" w14:textId="56297B5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12.1</w:t>
            </w:r>
          </w:p>
        </w:tc>
        <w:tc>
          <w:tcPr>
            <w:tcW w:w="909" w:type="pct"/>
            <w:tcBorders>
              <w:top w:val="nil"/>
              <w:left w:val="nil"/>
              <w:bottom w:val="nil"/>
              <w:right w:val="nil"/>
            </w:tcBorders>
            <w:shd w:val="clear" w:color="auto" w:fill="auto"/>
            <w:noWrap/>
            <w:vAlign w:val="bottom"/>
          </w:tcPr>
          <w:p w14:paraId="210DC7FB" w14:textId="57332A1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8.9</w:t>
            </w:r>
          </w:p>
        </w:tc>
      </w:tr>
      <w:tr w:rsidR="00F346CD" w:rsidRPr="008059C5" w14:paraId="3B04E657" w14:textId="77777777" w:rsidTr="002E0B70">
        <w:trPr>
          <w:trHeight w:val="196"/>
        </w:trPr>
        <w:tc>
          <w:tcPr>
            <w:tcW w:w="1363" w:type="pct"/>
            <w:hideMark/>
          </w:tcPr>
          <w:p w14:paraId="0DEC89DA"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Property rates &amp; charges</w:t>
            </w:r>
          </w:p>
        </w:tc>
        <w:tc>
          <w:tcPr>
            <w:tcW w:w="910" w:type="pct"/>
            <w:tcBorders>
              <w:top w:val="nil"/>
              <w:left w:val="nil"/>
              <w:bottom w:val="nil"/>
              <w:right w:val="nil"/>
            </w:tcBorders>
            <w:shd w:val="clear" w:color="auto" w:fill="auto"/>
            <w:noWrap/>
            <w:vAlign w:val="bottom"/>
            <w:hideMark/>
          </w:tcPr>
          <w:p w14:paraId="467136ED" w14:textId="00C912C8"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w:t>
            </w:r>
          </w:p>
        </w:tc>
        <w:tc>
          <w:tcPr>
            <w:tcW w:w="909" w:type="pct"/>
            <w:tcBorders>
              <w:top w:val="nil"/>
              <w:left w:val="nil"/>
              <w:bottom w:val="nil"/>
              <w:right w:val="nil"/>
            </w:tcBorders>
            <w:shd w:val="clear" w:color="auto" w:fill="auto"/>
            <w:noWrap/>
            <w:vAlign w:val="bottom"/>
            <w:hideMark/>
          </w:tcPr>
          <w:p w14:paraId="00550DEC" w14:textId="4B665D7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w:t>
            </w:r>
          </w:p>
        </w:tc>
        <w:tc>
          <w:tcPr>
            <w:tcW w:w="909" w:type="pct"/>
            <w:tcBorders>
              <w:top w:val="nil"/>
              <w:left w:val="nil"/>
              <w:bottom w:val="nil"/>
              <w:right w:val="nil"/>
            </w:tcBorders>
            <w:shd w:val="clear" w:color="auto" w:fill="auto"/>
            <w:noWrap/>
            <w:vAlign w:val="bottom"/>
            <w:hideMark/>
          </w:tcPr>
          <w:p w14:paraId="5A03D8D2" w14:textId="5524A4D1"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34.6</w:t>
            </w:r>
          </w:p>
        </w:tc>
        <w:tc>
          <w:tcPr>
            <w:tcW w:w="909" w:type="pct"/>
            <w:tcBorders>
              <w:top w:val="nil"/>
              <w:left w:val="nil"/>
              <w:bottom w:val="nil"/>
              <w:right w:val="nil"/>
            </w:tcBorders>
            <w:shd w:val="clear" w:color="auto" w:fill="auto"/>
            <w:noWrap/>
            <w:vAlign w:val="bottom"/>
            <w:hideMark/>
          </w:tcPr>
          <w:p w14:paraId="60A1D212" w14:textId="4DF1970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13.3</w:t>
            </w:r>
          </w:p>
        </w:tc>
      </w:tr>
      <w:tr w:rsidR="00F346CD" w:rsidRPr="008059C5" w14:paraId="7223A89D" w14:textId="77777777" w:rsidTr="002E0B70">
        <w:trPr>
          <w:trHeight w:val="290"/>
        </w:trPr>
        <w:tc>
          <w:tcPr>
            <w:tcW w:w="1363" w:type="pct"/>
            <w:hideMark/>
          </w:tcPr>
          <w:p w14:paraId="46055D5D"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Utilities</w:t>
            </w:r>
          </w:p>
        </w:tc>
        <w:tc>
          <w:tcPr>
            <w:tcW w:w="910" w:type="pct"/>
            <w:tcBorders>
              <w:top w:val="nil"/>
              <w:left w:val="nil"/>
              <w:bottom w:val="nil"/>
              <w:right w:val="nil"/>
            </w:tcBorders>
            <w:shd w:val="clear" w:color="auto" w:fill="auto"/>
            <w:noWrap/>
            <w:vAlign w:val="bottom"/>
            <w:hideMark/>
          </w:tcPr>
          <w:p w14:paraId="56DB96BF" w14:textId="4329D78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nil"/>
              <w:left w:val="nil"/>
              <w:bottom w:val="nil"/>
              <w:right w:val="nil"/>
            </w:tcBorders>
            <w:shd w:val="clear" w:color="auto" w:fill="auto"/>
            <w:noWrap/>
            <w:vAlign w:val="bottom"/>
            <w:hideMark/>
          </w:tcPr>
          <w:p w14:paraId="4132EEAF" w14:textId="56D105C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-6.6</w:t>
            </w:r>
          </w:p>
        </w:tc>
        <w:tc>
          <w:tcPr>
            <w:tcW w:w="909" w:type="pct"/>
            <w:tcBorders>
              <w:top w:val="nil"/>
              <w:left w:val="nil"/>
              <w:bottom w:val="nil"/>
              <w:right w:val="nil"/>
            </w:tcBorders>
            <w:shd w:val="clear" w:color="auto" w:fill="auto"/>
            <w:noWrap/>
            <w:vAlign w:val="bottom"/>
            <w:hideMark/>
          </w:tcPr>
          <w:p w14:paraId="59FB8C7C" w14:textId="218A493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21.6</w:t>
            </w:r>
          </w:p>
        </w:tc>
        <w:tc>
          <w:tcPr>
            <w:tcW w:w="909" w:type="pct"/>
            <w:tcBorders>
              <w:top w:val="nil"/>
              <w:left w:val="nil"/>
              <w:bottom w:val="nil"/>
              <w:right w:val="nil"/>
            </w:tcBorders>
            <w:shd w:val="clear" w:color="auto" w:fill="auto"/>
            <w:noWrap/>
            <w:vAlign w:val="bottom"/>
            <w:hideMark/>
          </w:tcPr>
          <w:p w14:paraId="224953E1" w14:textId="20522252"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5.6</w:t>
            </w:r>
          </w:p>
        </w:tc>
      </w:tr>
      <w:tr w:rsidR="00F346CD" w:rsidRPr="008059C5" w14:paraId="4A89452B" w14:textId="77777777" w:rsidTr="002E0B70">
        <w:trPr>
          <w:trHeight w:val="13"/>
        </w:trPr>
        <w:tc>
          <w:tcPr>
            <w:tcW w:w="1363" w:type="pct"/>
            <w:hideMark/>
          </w:tcPr>
          <w:p w14:paraId="5D0892FC" w14:textId="77777777" w:rsidR="00F346CD" w:rsidRPr="008059C5" w:rsidRDefault="00F346CD" w:rsidP="00F346CD">
            <w:pPr>
              <w:numPr>
                <w:ilvl w:val="1"/>
                <w:numId w:val="6"/>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i/>
                <w:sz w:val="16"/>
                <w:szCs w:val="16"/>
              </w:rPr>
            </w:pPr>
            <w:r w:rsidRPr="008059C5">
              <w:rPr>
                <w:i/>
                <w:sz w:val="16"/>
                <w:szCs w:val="16"/>
              </w:rPr>
              <w:t>Water &amp; sewerage</w:t>
            </w:r>
          </w:p>
        </w:tc>
        <w:tc>
          <w:tcPr>
            <w:tcW w:w="910" w:type="pct"/>
            <w:tcBorders>
              <w:top w:val="nil"/>
              <w:left w:val="nil"/>
              <w:bottom w:val="nil"/>
              <w:right w:val="nil"/>
            </w:tcBorders>
            <w:shd w:val="clear" w:color="auto" w:fill="auto"/>
            <w:noWrap/>
            <w:vAlign w:val="bottom"/>
            <w:hideMark/>
          </w:tcPr>
          <w:p w14:paraId="2CFBA271" w14:textId="0D7A38E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-0.1</w:t>
            </w:r>
          </w:p>
        </w:tc>
        <w:tc>
          <w:tcPr>
            <w:tcW w:w="909" w:type="pct"/>
            <w:tcBorders>
              <w:top w:val="nil"/>
              <w:left w:val="nil"/>
              <w:bottom w:val="nil"/>
              <w:right w:val="nil"/>
            </w:tcBorders>
            <w:shd w:val="clear" w:color="auto" w:fill="auto"/>
            <w:noWrap/>
            <w:vAlign w:val="bottom"/>
            <w:hideMark/>
          </w:tcPr>
          <w:p w14:paraId="4C939B2C" w14:textId="235F691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-3.3</w:t>
            </w:r>
          </w:p>
        </w:tc>
        <w:tc>
          <w:tcPr>
            <w:tcW w:w="909" w:type="pct"/>
            <w:tcBorders>
              <w:top w:val="nil"/>
              <w:left w:val="nil"/>
              <w:bottom w:val="nil"/>
              <w:right w:val="nil"/>
            </w:tcBorders>
            <w:shd w:val="clear" w:color="auto" w:fill="auto"/>
            <w:noWrap/>
            <w:vAlign w:val="bottom"/>
            <w:hideMark/>
          </w:tcPr>
          <w:p w14:paraId="55B4C3D2" w14:textId="03FF629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5.2</w:t>
            </w:r>
          </w:p>
        </w:tc>
        <w:tc>
          <w:tcPr>
            <w:tcW w:w="909" w:type="pct"/>
            <w:tcBorders>
              <w:top w:val="nil"/>
              <w:left w:val="nil"/>
              <w:bottom w:val="nil"/>
              <w:right w:val="nil"/>
            </w:tcBorders>
            <w:shd w:val="clear" w:color="auto" w:fill="auto"/>
            <w:noWrap/>
            <w:vAlign w:val="bottom"/>
            <w:hideMark/>
          </w:tcPr>
          <w:p w14:paraId="12C92B27" w14:textId="70C0CE4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2.2</w:t>
            </w:r>
          </w:p>
        </w:tc>
      </w:tr>
      <w:tr w:rsidR="00F346CD" w:rsidRPr="008059C5" w14:paraId="3C48F90A" w14:textId="77777777" w:rsidTr="002E0B70">
        <w:trPr>
          <w:trHeight w:val="290"/>
        </w:trPr>
        <w:tc>
          <w:tcPr>
            <w:tcW w:w="1363" w:type="pct"/>
            <w:hideMark/>
          </w:tcPr>
          <w:p w14:paraId="0F2F5FD6" w14:textId="77777777" w:rsidR="00F346CD" w:rsidRPr="008059C5" w:rsidRDefault="00F346CD" w:rsidP="00F346CD">
            <w:pPr>
              <w:numPr>
                <w:ilvl w:val="1"/>
                <w:numId w:val="6"/>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i/>
                <w:sz w:val="16"/>
                <w:szCs w:val="16"/>
              </w:rPr>
            </w:pPr>
            <w:r w:rsidRPr="008059C5">
              <w:rPr>
                <w:i/>
                <w:sz w:val="16"/>
                <w:szCs w:val="16"/>
              </w:rPr>
              <w:t>Electricity</w:t>
            </w:r>
          </w:p>
        </w:tc>
        <w:tc>
          <w:tcPr>
            <w:tcW w:w="910" w:type="pct"/>
            <w:tcBorders>
              <w:top w:val="nil"/>
              <w:left w:val="nil"/>
              <w:bottom w:val="nil"/>
              <w:right w:val="nil"/>
            </w:tcBorders>
            <w:shd w:val="clear" w:color="auto" w:fill="auto"/>
            <w:noWrap/>
            <w:vAlign w:val="bottom"/>
            <w:hideMark/>
          </w:tcPr>
          <w:p w14:paraId="277C46B9" w14:textId="20B94EC3"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c>
          <w:tcPr>
            <w:tcW w:w="909" w:type="pct"/>
            <w:tcBorders>
              <w:top w:val="nil"/>
              <w:left w:val="nil"/>
              <w:bottom w:val="nil"/>
              <w:right w:val="nil"/>
            </w:tcBorders>
            <w:shd w:val="clear" w:color="auto" w:fill="auto"/>
            <w:noWrap/>
            <w:vAlign w:val="bottom"/>
            <w:hideMark/>
          </w:tcPr>
          <w:p w14:paraId="65B1E09A" w14:textId="690D59F1"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-9.2</w:t>
            </w:r>
          </w:p>
        </w:tc>
        <w:tc>
          <w:tcPr>
            <w:tcW w:w="909" w:type="pct"/>
            <w:tcBorders>
              <w:top w:val="nil"/>
              <w:left w:val="nil"/>
              <w:bottom w:val="nil"/>
              <w:right w:val="nil"/>
            </w:tcBorders>
            <w:shd w:val="clear" w:color="auto" w:fill="auto"/>
            <w:noWrap/>
            <w:vAlign w:val="bottom"/>
            <w:hideMark/>
          </w:tcPr>
          <w:p w14:paraId="74025307" w14:textId="0290A02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27.7</w:t>
            </w:r>
          </w:p>
        </w:tc>
        <w:tc>
          <w:tcPr>
            <w:tcW w:w="909" w:type="pct"/>
            <w:tcBorders>
              <w:top w:val="nil"/>
              <w:left w:val="nil"/>
              <w:bottom w:val="nil"/>
              <w:right w:val="nil"/>
            </w:tcBorders>
            <w:shd w:val="clear" w:color="auto" w:fill="auto"/>
            <w:noWrap/>
            <w:vAlign w:val="bottom"/>
            <w:hideMark/>
          </w:tcPr>
          <w:p w14:paraId="183820A4" w14:textId="667A88A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4.8</w:t>
            </w:r>
          </w:p>
        </w:tc>
      </w:tr>
      <w:tr w:rsidR="00F346CD" w:rsidRPr="008059C5" w14:paraId="60671DAE" w14:textId="77777777" w:rsidTr="002E0B70">
        <w:trPr>
          <w:trHeight w:val="13"/>
        </w:trPr>
        <w:tc>
          <w:tcPr>
            <w:tcW w:w="1363" w:type="pct"/>
            <w:hideMark/>
          </w:tcPr>
          <w:p w14:paraId="5686B6B8" w14:textId="77777777" w:rsidR="00F346CD" w:rsidRPr="008059C5" w:rsidRDefault="00F346CD" w:rsidP="00F346CD">
            <w:pPr>
              <w:numPr>
                <w:ilvl w:val="1"/>
                <w:numId w:val="6"/>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i/>
                <w:sz w:val="16"/>
                <w:szCs w:val="16"/>
              </w:rPr>
            </w:pPr>
            <w:r w:rsidRPr="008059C5">
              <w:rPr>
                <w:i/>
                <w:iCs/>
                <w:sz w:val="16"/>
                <w:szCs w:val="16"/>
              </w:rPr>
              <w:t xml:space="preserve">Gas </w:t>
            </w:r>
          </w:p>
        </w:tc>
        <w:tc>
          <w:tcPr>
            <w:tcW w:w="910" w:type="pct"/>
            <w:tcBorders>
              <w:top w:val="nil"/>
              <w:left w:val="nil"/>
              <w:bottom w:val="nil"/>
              <w:right w:val="nil"/>
            </w:tcBorders>
            <w:shd w:val="clear" w:color="auto" w:fill="auto"/>
            <w:noWrap/>
            <w:vAlign w:val="bottom"/>
            <w:hideMark/>
          </w:tcPr>
          <w:p w14:paraId="091C92A1" w14:textId="6E1D986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w:t>
            </w:r>
          </w:p>
        </w:tc>
        <w:tc>
          <w:tcPr>
            <w:tcW w:w="909" w:type="pct"/>
            <w:tcBorders>
              <w:top w:val="nil"/>
              <w:left w:val="nil"/>
              <w:bottom w:val="nil"/>
              <w:right w:val="nil"/>
            </w:tcBorders>
            <w:shd w:val="clear" w:color="auto" w:fill="auto"/>
            <w:noWrap/>
            <w:vAlign w:val="bottom"/>
            <w:hideMark/>
          </w:tcPr>
          <w:p w14:paraId="2831DF8A" w14:textId="065B9DD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c>
          <w:tcPr>
            <w:tcW w:w="909" w:type="pct"/>
            <w:tcBorders>
              <w:top w:val="nil"/>
              <w:left w:val="nil"/>
              <w:bottom w:val="nil"/>
              <w:right w:val="nil"/>
            </w:tcBorders>
            <w:shd w:val="clear" w:color="auto" w:fill="auto"/>
            <w:noWrap/>
            <w:vAlign w:val="bottom"/>
            <w:hideMark/>
          </w:tcPr>
          <w:p w14:paraId="1C597BB0" w14:textId="72490C6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26.2</w:t>
            </w:r>
          </w:p>
        </w:tc>
        <w:tc>
          <w:tcPr>
            <w:tcW w:w="909" w:type="pct"/>
            <w:tcBorders>
              <w:top w:val="nil"/>
              <w:left w:val="nil"/>
              <w:bottom w:val="nil"/>
              <w:right w:val="nil"/>
            </w:tcBorders>
            <w:shd w:val="clear" w:color="auto" w:fill="auto"/>
            <w:noWrap/>
            <w:vAlign w:val="bottom"/>
            <w:hideMark/>
          </w:tcPr>
          <w:p w14:paraId="2FEADE83" w14:textId="55F596A2"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11.9</w:t>
            </w:r>
          </w:p>
        </w:tc>
      </w:tr>
      <w:tr w:rsidR="00F346CD" w:rsidRPr="008059C5" w14:paraId="60737477" w14:textId="77777777" w:rsidTr="006666C7">
        <w:trPr>
          <w:trHeight w:val="13"/>
        </w:trPr>
        <w:tc>
          <w:tcPr>
            <w:tcW w:w="1363" w:type="pct"/>
            <w:shd w:val="clear" w:color="auto" w:fill="D9E2F3" w:themeFill="accent1" w:themeFillTint="33"/>
            <w:hideMark/>
          </w:tcPr>
          <w:p w14:paraId="6EEA9119"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Furnishings, household equipment/ services</w:t>
            </w:r>
          </w:p>
        </w:tc>
        <w:tc>
          <w:tcPr>
            <w:tcW w:w="910" w:type="pct"/>
            <w:tcBorders>
              <w:top w:val="nil"/>
              <w:left w:val="nil"/>
              <w:bottom w:val="nil"/>
              <w:right w:val="nil"/>
            </w:tcBorders>
            <w:shd w:val="clear" w:color="auto" w:fill="B4C6E7" w:themeFill="accent1" w:themeFillTint="66"/>
            <w:noWrap/>
            <w:vAlign w:val="bottom"/>
            <w:hideMark/>
          </w:tcPr>
          <w:p w14:paraId="37CD53B5" w14:textId="30E68A21"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3.5</w:t>
            </w:r>
          </w:p>
        </w:tc>
        <w:tc>
          <w:tcPr>
            <w:tcW w:w="909" w:type="pct"/>
            <w:tcBorders>
              <w:top w:val="nil"/>
              <w:left w:val="nil"/>
              <w:bottom w:val="nil"/>
              <w:right w:val="nil"/>
            </w:tcBorders>
            <w:shd w:val="clear" w:color="auto" w:fill="B4C6E7" w:themeFill="accent1" w:themeFillTint="66"/>
            <w:noWrap/>
            <w:vAlign w:val="bottom"/>
            <w:hideMark/>
          </w:tcPr>
          <w:p w14:paraId="5B1128AF" w14:textId="24282A00"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3.6</w:t>
            </w:r>
          </w:p>
        </w:tc>
        <w:tc>
          <w:tcPr>
            <w:tcW w:w="909" w:type="pct"/>
            <w:tcBorders>
              <w:top w:val="nil"/>
              <w:left w:val="nil"/>
              <w:bottom w:val="nil"/>
              <w:right w:val="nil"/>
            </w:tcBorders>
            <w:shd w:val="clear" w:color="auto" w:fill="8EAADB" w:themeFill="accent1" w:themeFillTint="99"/>
            <w:noWrap/>
            <w:vAlign w:val="bottom"/>
            <w:hideMark/>
          </w:tcPr>
          <w:p w14:paraId="3C52AAED" w14:textId="335A49A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4.6</w:t>
            </w:r>
          </w:p>
        </w:tc>
        <w:tc>
          <w:tcPr>
            <w:tcW w:w="909" w:type="pct"/>
            <w:tcBorders>
              <w:top w:val="nil"/>
              <w:left w:val="nil"/>
              <w:bottom w:val="nil"/>
              <w:right w:val="nil"/>
            </w:tcBorders>
            <w:shd w:val="clear" w:color="auto" w:fill="8EAADB" w:themeFill="accent1" w:themeFillTint="99"/>
            <w:noWrap/>
            <w:vAlign w:val="bottom"/>
            <w:hideMark/>
          </w:tcPr>
          <w:p w14:paraId="4A740869" w14:textId="16D45228"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3.7</w:t>
            </w:r>
          </w:p>
        </w:tc>
      </w:tr>
      <w:tr w:rsidR="00F346CD" w:rsidRPr="008059C5" w14:paraId="2217C23E" w14:textId="77777777" w:rsidTr="002E0B70">
        <w:trPr>
          <w:trHeight w:val="290"/>
        </w:trPr>
        <w:tc>
          <w:tcPr>
            <w:tcW w:w="1363" w:type="pct"/>
            <w:hideMark/>
          </w:tcPr>
          <w:p w14:paraId="4847EEA5"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Childcare</w:t>
            </w:r>
          </w:p>
        </w:tc>
        <w:tc>
          <w:tcPr>
            <w:tcW w:w="910" w:type="pct"/>
            <w:tcBorders>
              <w:top w:val="nil"/>
              <w:left w:val="nil"/>
              <w:bottom w:val="nil"/>
              <w:right w:val="nil"/>
            </w:tcBorders>
            <w:shd w:val="clear" w:color="auto" w:fill="auto"/>
            <w:noWrap/>
            <w:vAlign w:val="bottom"/>
            <w:hideMark/>
          </w:tcPr>
          <w:p w14:paraId="0A9AFB9F" w14:textId="146AD46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3.8</w:t>
            </w:r>
          </w:p>
        </w:tc>
        <w:tc>
          <w:tcPr>
            <w:tcW w:w="909" w:type="pct"/>
            <w:tcBorders>
              <w:top w:val="nil"/>
              <w:left w:val="nil"/>
              <w:bottom w:val="nil"/>
              <w:right w:val="nil"/>
            </w:tcBorders>
            <w:shd w:val="clear" w:color="auto" w:fill="auto"/>
            <w:noWrap/>
            <w:vAlign w:val="bottom"/>
            <w:hideMark/>
          </w:tcPr>
          <w:p w14:paraId="76B3C7C5" w14:textId="49447A1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2.4</w:t>
            </w:r>
          </w:p>
        </w:tc>
        <w:tc>
          <w:tcPr>
            <w:tcW w:w="909" w:type="pct"/>
            <w:tcBorders>
              <w:top w:val="nil"/>
              <w:left w:val="nil"/>
              <w:bottom w:val="nil"/>
              <w:right w:val="nil"/>
            </w:tcBorders>
            <w:shd w:val="clear" w:color="auto" w:fill="auto"/>
            <w:noWrap/>
            <w:vAlign w:val="bottom"/>
            <w:hideMark/>
          </w:tcPr>
          <w:p w14:paraId="6A03B591" w14:textId="1304A8F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7.9</w:t>
            </w:r>
          </w:p>
        </w:tc>
        <w:tc>
          <w:tcPr>
            <w:tcW w:w="909" w:type="pct"/>
            <w:tcBorders>
              <w:top w:val="nil"/>
              <w:left w:val="nil"/>
              <w:bottom w:val="nil"/>
              <w:right w:val="nil"/>
            </w:tcBorders>
            <w:shd w:val="clear" w:color="auto" w:fill="auto"/>
            <w:noWrap/>
            <w:vAlign w:val="bottom"/>
            <w:hideMark/>
          </w:tcPr>
          <w:p w14:paraId="2B59762F" w14:textId="0587CC80"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15.6</w:t>
            </w:r>
          </w:p>
        </w:tc>
      </w:tr>
      <w:tr w:rsidR="00F346CD" w:rsidRPr="008059C5" w14:paraId="365A6FB5" w14:textId="77777777" w:rsidTr="006666C7">
        <w:trPr>
          <w:trHeight w:val="13"/>
        </w:trPr>
        <w:tc>
          <w:tcPr>
            <w:tcW w:w="1363" w:type="pct"/>
            <w:shd w:val="clear" w:color="auto" w:fill="D9E2F3" w:themeFill="accent1" w:themeFillTint="33"/>
            <w:hideMark/>
          </w:tcPr>
          <w:p w14:paraId="04837DD9"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Health</w:t>
            </w:r>
          </w:p>
        </w:tc>
        <w:tc>
          <w:tcPr>
            <w:tcW w:w="910" w:type="pct"/>
            <w:tcBorders>
              <w:top w:val="nil"/>
              <w:left w:val="nil"/>
              <w:bottom w:val="nil"/>
              <w:right w:val="nil"/>
            </w:tcBorders>
            <w:shd w:val="clear" w:color="auto" w:fill="B4C6E7" w:themeFill="accent1" w:themeFillTint="66"/>
            <w:noWrap/>
            <w:vAlign w:val="bottom"/>
            <w:hideMark/>
          </w:tcPr>
          <w:p w14:paraId="437F9F96" w14:textId="0067DA7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2.0</w:t>
            </w:r>
          </w:p>
        </w:tc>
        <w:tc>
          <w:tcPr>
            <w:tcW w:w="909" w:type="pct"/>
            <w:tcBorders>
              <w:top w:val="nil"/>
              <w:left w:val="nil"/>
              <w:bottom w:val="nil"/>
              <w:right w:val="nil"/>
            </w:tcBorders>
            <w:shd w:val="clear" w:color="auto" w:fill="B4C6E7" w:themeFill="accent1" w:themeFillTint="66"/>
            <w:noWrap/>
            <w:vAlign w:val="bottom"/>
            <w:hideMark/>
          </w:tcPr>
          <w:p w14:paraId="121A0859" w14:textId="3167459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c>
          <w:tcPr>
            <w:tcW w:w="909" w:type="pct"/>
            <w:tcBorders>
              <w:top w:val="nil"/>
              <w:left w:val="nil"/>
              <w:bottom w:val="nil"/>
              <w:right w:val="nil"/>
            </w:tcBorders>
            <w:shd w:val="clear" w:color="auto" w:fill="8EAADB" w:themeFill="accent1" w:themeFillTint="99"/>
            <w:noWrap/>
            <w:vAlign w:val="bottom"/>
            <w:hideMark/>
          </w:tcPr>
          <w:p w14:paraId="0BBF036B" w14:textId="2B0519F8"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18.6</w:t>
            </w:r>
          </w:p>
        </w:tc>
        <w:tc>
          <w:tcPr>
            <w:tcW w:w="909" w:type="pct"/>
            <w:tcBorders>
              <w:top w:val="nil"/>
              <w:left w:val="nil"/>
              <w:bottom w:val="nil"/>
              <w:right w:val="nil"/>
            </w:tcBorders>
            <w:shd w:val="clear" w:color="auto" w:fill="8EAADB" w:themeFill="accent1" w:themeFillTint="99"/>
            <w:noWrap/>
            <w:vAlign w:val="bottom"/>
            <w:hideMark/>
          </w:tcPr>
          <w:p w14:paraId="39F2E57B" w14:textId="15F38C2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18.2</w:t>
            </w:r>
          </w:p>
        </w:tc>
      </w:tr>
      <w:tr w:rsidR="00F346CD" w:rsidRPr="008059C5" w14:paraId="6C657218" w14:textId="77777777" w:rsidTr="002E0B70">
        <w:trPr>
          <w:trHeight w:val="290"/>
        </w:trPr>
        <w:tc>
          <w:tcPr>
            <w:tcW w:w="1363" w:type="pct"/>
            <w:hideMark/>
          </w:tcPr>
          <w:p w14:paraId="467C4C4B"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Transport</w:t>
            </w:r>
          </w:p>
        </w:tc>
        <w:tc>
          <w:tcPr>
            <w:tcW w:w="910" w:type="pct"/>
            <w:tcBorders>
              <w:top w:val="nil"/>
              <w:left w:val="nil"/>
              <w:bottom w:val="nil"/>
              <w:right w:val="nil"/>
            </w:tcBorders>
            <w:shd w:val="clear" w:color="auto" w:fill="auto"/>
            <w:noWrap/>
            <w:vAlign w:val="bottom"/>
            <w:hideMark/>
          </w:tcPr>
          <w:p w14:paraId="2987B569" w14:textId="3CFCE22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-4.2</w:t>
            </w:r>
          </w:p>
        </w:tc>
        <w:tc>
          <w:tcPr>
            <w:tcW w:w="909" w:type="pct"/>
            <w:tcBorders>
              <w:top w:val="nil"/>
              <w:left w:val="nil"/>
              <w:bottom w:val="nil"/>
              <w:right w:val="nil"/>
            </w:tcBorders>
            <w:shd w:val="clear" w:color="auto" w:fill="auto"/>
            <w:noWrap/>
            <w:vAlign w:val="bottom"/>
            <w:hideMark/>
          </w:tcPr>
          <w:p w14:paraId="564740A7" w14:textId="6302D29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-4.6</w:t>
            </w:r>
          </w:p>
        </w:tc>
        <w:tc>
          <w:tcPr>
            <w:tcW w:w="909" w:type="pct"/>
            <w:tcBorders>
              <w:top w:val="nil"/>
              <w:left w:val="nil"/>
              <w:bottom w:val="nil"/>
              <w:right w:val="nil"/>
            </w:tcBorders>
            <w:shd w:val="clear" w:color="auto" w:fill="auto"/>
            <w:noWrap/>
            <w:vAlign w:val="bottom"/>
            <w:hideMark/>
          </w:tcPr>
          <w:p w14:paraId="068839C3" w14:textId="48571D5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4.2</w:t>
            </w:r>
          </w:p>
        </w:tc>
        <w:tc>
          <w:tcPr>
            <w:tcW w:w="909" w:type="pct"/>
            <w:tcBorders>
              <w:top w:val="nil"/>
              <w:left w:val="nil"/>
              <w:bottom w:val="nil"/>
              <w:right w:val="nil"/>
            </w:tcBorders>
            <w:shd w:val="clear" w:color="auto" w:fill="auto"/>
            <w:noWrap/>
            <w:vAlign w:val="bottom"/>
            <w:hideMark/>
          </w:tcPr>
          <w:p w14:paraId="331CA151" w14:textId="1DA9CC68"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3.9</w:t>
            </w:r>
          </w:p>
        </w:tc>
      </w:tr>
      <w:tr w:rsidR="00F346CD" w:rsidRPr="008059C5" w14:paraId="09323F6C" w14:textId="77777777" w:rsidTr="002E0B70">
        <w:trPr>
          <w:trHeight w:val="290"/>
        </w:trPr>
        <w:tc>
          <w:tcPr>
            <w:tcW w:w="1363" w:type="pct"/>
            <w:hideMark/>
          </w:tcPr>
          <w:p w14:paraId="0AD7027A"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 xml:space="preserve">Automotive Fuel </w:t>
            </w:r>
          </w:p>
        </w:tc>
        <w:tc>
          <w:tcPr>
            <w:tcW w:w="910" w:type="pct"/>
            <w:tcBorders>
              <w:top w:val="nil"/>
              <w:left w:val="nil"/>
              <w:bottom w:val="nil"/>
              <w:right w:val="nil"/>
            </w:tcBorders>
            <w:shd w:val="clear" w:color="auto" w:fill="auto"/>
            <w:noWrap/>
            <w:vAlign w:val="bottom"/>
            <w:hideMark/>
          </w:tcPr>
          <w:p w14:paraId="7586AA41" w14:textId="04F77A6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-15.8</w:t>
            </w:r>
          </w:p>
        </w:tc>
        <w:tc>
          <w:tcPr>
            <w:tcW w:w="909" w:type="pct"/>
            <w:tcBorders>
              <w:top w:val="nil"/>
              <w:left w:val="nil"/>
              <w:bottom w:val="nil"/>
              <w:right w:val="nil"/>
            </w:tcBorders>
            <w:shd w:val="clear" w:color="auto" w:fill="auto"/>
            <w:noWrap/>
            <w:vAlign w:val="bottom"/>
            <w:hideMark/>
          </w:tcPr>
          <w:p w14:paraId="4A3E78B2" w14:textId="6102EB3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-16.7</w:t>
            </w:r>
          </w:p>
        </w:tc>
        <w:tc>
          <w:tcPr>
            <w:tcW w:w="909" w:type="pct"/>
            <w:tcBorders>
              <w:top w:val="nil"/>
              <w:left w:val="nil"/>
              <w:bottom w:val="nil"/>
              <w:right w:val="nil"/>
            </w:tcBorders>
            <w:shd w:val="clear" w:color="auto" w:fill="auto"/>
            <w:noWrap/>
            <w:vAlign w:val="bottom"/>
            <w:hideMark/>
          </w:tcPr>
          <w:p w14:paraId="59A932E2" w14:textId="59268D1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-0.5</w:t>
            </w:r>
          </w:p>
        </w:tc>
        <w:tc>
          <w:tcPr>
            <w:tcW w:w="909" w:type="pct"/>
            <w:tcBorders>
              <w:top w:val="nil"/>
              <w:left w:val="nil"/>
              <w:bottom w:val="nil"/>
              <w:right w:val="nil"/>
            </w:tcBorders>
            <w:shd w:val="clear" w:color="auto" w:fill="auto"/>
            <w:noWrap/>
            <w:vAlign w:val="bottom"/>
            <w:hideMark/>
          </w:tcPr>
          <w:p w14:paraId="4B11E95C" w14:textId="1FB7DD8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0.5</w:t>
            </w:r>
          </w:p>
        </w:tc>
      </w:tr>
      <w:tr w:rsidR="00F346CD" w:rsidRPr="008059C5" w14:paraId="1FB3D470" w14:textId="77777777" w:rsidTr="002E0B70">
        <w:trPr>
          <w:trHeight w:val="290"/>
        </w:trPr>
        <w:tc>
          <w:tcPr>
            <w:tcW w:w="1363" w:type="pct"/>
            <w:hideMark/>
          </w:tcPr>
          <w:p w14:paraId="67B7D345"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Public Transport</w:t>
            </w:r>
          </w:p>
        </w:tc>
        <w:tc>
          <w:tcPr>
            <w:tcW w:w="910" w:type="pct"/>
            <w:tcBorders>
              <w:top w:val="nil"/>
              <w:left w:val="nil"/>
              <w:bottom w:val="nil"/>
              <w:right w:val="nil"/>
            </w:tcBorders>
            <w:shd w:val="clear" w:color="auto" w:fill="auto"/>
            <w:noWrap/>
            <w:vAlign w:val="bottom"/>
            <w:hideMark/>
          </w:tcPr>
          <w:p w14:paraId="1230F162" w14:textId="5EAF207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-0.1</w:t>
            </w:r>
          </w:p>
        </w:tc>
        <w:tc>
          <w:tcPr>
            <w:tcW w:w="909" w:type="pct"/>
            <w:tcBorders>
              <w:top w:val="nil"/>
              <w:left w:val="nil"/>
              <w:bottom w:val="nil"/>
              <w:right w:val="nil"/>
            </w:tcBorders>
            <w:shd w:val="clear" w:color="auto" w:fill="auto"/>
            <w:noWrap/>
            <w:vAlign w:val="bottom"/>
            <w:hideMark/>
          </w:tcPr>
          <w:p w14:paraId="7AA904FB" w14:textId="2E5C5E6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-0.7</w:t>
            </w:r>
          </w:p>
        </w:tc>
        <w:tc>
          <w:tcPr>
            <w:tcW w:w="909" w:type="pct"/>
            <w:tcBorders>
              <w:top w:val="nil"/>
              <w:left w:val="nil"/>
              <w:bottom w:val="nil"/>
              <w:right w:val="nil"/>
            </w:tcBorders>
            <w:shd w:val="clear" w:color="auto" w:fill="auto"/>
            <w:noWrap/>
            <w:vAlign w:val="bottom"/>
            <w:hideMark/>
          </w:tcPr>
          <w:p w14:paraId="4130FCDB" w14:textId="571AFC02"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6.4</w:t>
            </w:r>
          </w:p>
        </w:tc>
        <w:tc>
          <w:tcPr>
            <w:tcW w:w="909" w:type="pct"/>
            <w:tcBorders>
              <w:top w:val="nil"/>
              <w:left w:val="nil"/>
              <w:bottom w:val="nil"/>
              <w:right w:val="nil"/>
            </w:tcBorders>
            <w:shd w:val="clear" w:color="auto" w:fill="auto"/>
            <w:noWrap/>
            <w:vAlign w:val="bottom"/>
            <w:hideMark/>
          </w:tcPr>
          <w:p w14:paraId="0F613826" w14:textId="35AF830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7.1</w:t>
            </w:r>
          </w:p>
        </w:tc>
      </w:tr>
      <w:tr w:rsidR="00F346CD" w:rsidRPr="008059C5" w14:paraId="149EF402" w14:textId="77777777" w:rsidTr="00BF12CA">
        <w:trPr>
          <w:trHeight w:val="290"/>
        </w:trPr>
        <w:tc>
          <w:tcPr>
            <w:tcW w:w="1363" w:type="pct"/>
            <w:shd w:val="clear" w:color="auto" w:fill="D9E2F3" w:themeFill="accent1" w:themeFillTint="33"/>
            <w:hideMark/>
          </w:tcPr>
          <w:p w14:paraId="50E97CDE"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Communication</w:t>
            </w:r>
          </w:p>
        </w:tc>
        <w:tc>
          <w:tcPr>
            <w:tcW w:w="910" w:type="pct"/>
            <w:tcBorders>
              <w:top w:val="nil"/>
              <w:left w:val="nil"/>
              <w:bottom w:val="nil"/>
              <w:right w:val="nil"/>
            </w:tcBorders>
            <w:shd w:val="clear" w:color="auto" w:fill="B4C6E7" w:themeFill="accent1" w:themeFillTint="66"/>
            <w:noWrap/>
            <w:vAlign w:val="bottom"/>
            <w:hideMark/>
          </w:tcPr>
          <w:p w14:paraId="2868229F" w14:textId="6E484C8F"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-2.5</w:t>
            </w:r>
          </w:p>
        </w:tc>
        <w:tc>
          <w:tcPr>
            <w:tcW w:w="909" w:type="pct"/>
            <w:tcBorders>
              <w:top w:val="nil"/>
              <w:left w:val="nil"/>
              <w:bottom w:val="nil"/>
              <w:right w:val="nil"/>
            </w:tcBorders>
            <w:shd w:val="clear" w:color="auto" w:fill="B4C6E7" w:themeFill="accent1" w:themeFillTint="66"/>
            <w:noWrap/>
            <w:vAlign w:val="bottom"/>
            <w:hideMark/>
          </w:tcPr>
          <w:p w14:paraId="3E04FCA9" w14:textId="3BA6247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-2.7</w:t>
            </w:r>
          </w:p>
        </w:tc>
        <w:tc>
          <w:tcPr>
            <w:tcW w:w="909" w:type="pct"/>
            <w:tcBorders>
              <w:top w:val="nil"/>
              <w:left w:val="nil"/>
              <w:bottom w:val="nil"/>
              <w:right w:val="nil"/>
            </w:tcBorders>
            <w:shd w:val="clear" w:color="auto" w:fill="8EAADB" w:themeFill="accent1" w:themeFillTint="99"/>
            <w:noWrap/>
            <w:vAlign w:val="bottom"/>
            <w:hideMark/>
          </w:tcPr>
          <w:p w14:paraId="605DC37F" w14:textId="7D49C9B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-18.3</w:t>
            </w:r>
          </w:p>
        </w:tc>
        <w:tc>
          <w:tcPr>
            <w:tcW w:w="909" w:type="pct"/>
            <w:tcBorders>
              <w:top w:val="nil"/>
              <w:left w:val="nil"/>
              <w:bottom w:val="nil"/>
              <w:right w:val="nil"/>
            </w:tcBorders>
            <w:shd w:val="clear" w:color="auto" w:fill="8EAADB" w:themeFill="accent1" w:themeFillTint="99"/>
            <w:noWrap/>
            <w:vAlign w:val="bottom"/>
            <w:hideMark/>
          </w:tcPr>
          <w:p w14:paraId="0821D2C1" w14:textId="54300E33"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-18.7</w:t>
            </w:r>
          </w:p>
        </w:tc>
      </w:tr>
      <w:tr w:rsidR="00115AF1" w:rsidRPr="008059C5" w14:paraId="3F20475A" w14:textId="77777777" w:rsidTr="00BF12CA">
        <w:trPr>
          <w:trHeight w:val="13"/>
        </w:trPr>
        <w:tc>
          <w:tcPr>
            <w:tcW w:w="1363" w:type="pct"/>
            <w:shd w:val="clear" w:color="auto" w:fill="D9E2F3" w:themeFill="accent1" w:themeFillTint="33"/>
            <w:hideMark/>
          </w:tcPr>
          <w:p w14:paraId="3103A58D"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Telecommunication Equipment &amp; Services</w:t>
            </w:r>
          </w:p>
        </w:tc>
        <w:tc>
          <w:tcPr>
            <w:tcW w:w="910" w:type="pct"/>
            <w:tcBorders>
              <w:top w:val="nil"/>
              <w:left w:val="nil"/>
              <w:bottom w:val="nil"/>
              <w:right w:val="nil"/>
            </w:tcBorders>
            <w:shd w:val="clear" w:color="auto" w:fill="B4C6E7" w:themeFill="accent1" w:themeFillTint="66"/>
            <w:noWrap/>
            <w:vAlign w:val="bottom"/>
            <w:hideMark/>
          </w:tcPr>
          <w:p w14:paraId="73F2EE3B" w14:textId="04DE2E78"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-2.7</w:t>
            </w:r>
          </w:p>
        </w:tc>
        <w:tc>
          <w:tcPr>
            <w:tcW w:w="909" w:type="pct"/>
            <w:tcBorders>
              <w:top w:val="nil"/>
              <w:left w:val="nil"/>
              <w:bottom w:val="nil"/>
              <w:right w:val="nil"/>
            </w:tcBorders>
            <w:shd w:val="clear" w:color="auto" w:fill="B4C6E7" w:themeFill="accent1" w:themeFillTint="66"/>
            <w:noWrap/>
            <w:vAlign w:val="bottom"/>
            <w:hideMark/>
          </w:tcPr>
          <w:p w14:paraId="49AA4FBC" w14:textId="2D4FAF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-2.7</w:t>
            </w:r>
          </w:p>
        </w:tc>
        <w:tc>
          <w:tcPr>
            <w:tcW w:w="909" w:type="pct"/>
            <w:tcBorders>
              <w:top w:val="nil"/>
              <w:left w:val="nil"/>
              <w:bottom w:val="nil"/>
              <w:right w:val="nil"/>
            </w:tcBorders>
            <w:shd w:val="clear" w:color="auto" w:fill="8EAADB" w:themeFill="accent1" w:themeFillTint="99"/>
            <w:noWrap/>
            <w:vAlign w:val="bottom"/>
            <w:hideMark/>
          </w:tcPr>
          <w:p w14:paraId="25C1B458" w14:textId="7AC4ABC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-19.8</w:t>
            </w:r>
          </w:p>
        </w:tc>
        <w:tc>
          <w:tcPr>
            <w:tcW w:w="909" w:type="pct"/>
            <w:tcBorders>
              <w:top w:val="nil"/>
              <w:left w:val="nil"/>
              <w:bottom w:val="nil"/>
              <w:right w:val="nil"/>
            </w:tcBorders>
            <w:shd w:val="clear" w:color="auto" w:fill="8EAADB" w:themeFill="accent1" w:themeFillTint="99"/>
            <w:noWrap/>
            <w:vAlign w:val="bottom"/>
            <w:hideMark/>
          </w:tcPr>
          <w:p w14:paraId="13304DAB" w14:textId="0D8CB0A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-19.9</w:t>
            </w:r>
          </w:p>
        </w:tc>
      </w:tr>
      <w:tr w:rsidR="00F346CD" w:rsidRPr="008059C5" w14:paraId="24074861" w14:textId="77777777" w:rsidTr="00115AF1">
        <w:trPr>
          <w:trHeight w:val="13"/>
        </w:trPr>
        <w:tc>
          <w:tcPr>
            <w:tcW w:w="1363" w:type="pct"/>
            <w:shd w:val="clear" w:color="auto" w:fill="auto"/>
            <w:hideMark/>
          </w:tcPr>
          <w:p w14:paraId="545E244E"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Recreation &amp; culture</w:t>
            </w:r>
          </w:p>
        </w:tc>
        <w:tc>
          <w:tcPr>
            <w:tcW w:w="910" w:type="pct"/>
            <w:tcBorders>
              <w:top w:val="nil"/>
              <w:left w:val="nil"/>
              <w:bottom w:val="nil"/>
              <w:right w:val="nil"/>
            </w:tcBorders>
            <w:shd w:val="clear" w:color="auto" w:fill="auto"/>
            <w:noWrap/>
            <w:vAlign w:val="bottom"/>
            <w:hideMark/>
          </w:tcPr>
          <w:p w14:paraId="3AA3B1A8" w14:textId="7597E67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1.6</w:t>
            </w:r>
          </w:p>
        </w:tc>
        <w:tc>
          <w:tcPr>
            <w:tcW w:w="909" w:type="pct"/>
            <w:tcBorders>
              <w:top w:val="nil"/>
              <w:left w:val="nil"/>
              <w:bottom w:val="nil"/>
              <w:right w:val="nil"/>
            </w:tcBorders>
            <w:shd w:val="clear" w:color="auto" w:fill="auto"/>
            <w:noWrap/>
            <w:vAlign w:val="bottom"/>
            <w:hideMark/>
          </w:tcPr>
          <w:p w14:paraId="34E35465" w14:textId="3ED239F5"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0.0</w:t>
            </w:r>
          </w:p>
        </w:tc>
        <w:tc>
          <w:tcPr>
            <w:tcW w:w="909" w:type="pct"/>
            <w:tcBorders>
              <w:top w:val="nil"/>
              <w:left w:val="nil"/>
              <w:bottom w:val="nil"/>
              <w:right w:val="nil"/>
            </w:tcBorders>
            <w:shd w:val="clear" w:color="auto" w:fill="auto"/>
            <w:noWrap/>
            <w:vAlign w:val="bottom"/>
            <w:hideMark/>
          </w:tcPr>
          <w:p w14:paraId="102982C8" w14:textId="64F7698B"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7.1</w:t>
            </w:r>
          </w:p>
        </w:tc>
        <w:tc>
          <w:tcPr>
            <w:tcW w:w="909" w:type="pct"/>
            <w:tcBorders>
              <w:top w:val="nil"/>
              <w:left w:val="nil"/>
              <w:bottom w:val="nil"/>
              <w:right w:val="nil"/>
            </w:tcBorders>
            <w:shd w:val="clear" w:color="auto" w:fill="auto"/>
            <w:noWrap/>
            <w:vAlign w:val="bottom"/>
            <w:hideMark/>
          </w:tcPr>
          <w:p w14:paraId="238AEF33" w14:textId="4184FBA4"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3.1</w:t>
            </w:r>
          </w:p>
        </w:tc>
      </w:tr>
      <w:tr w:rsidR="00F346CD" w:rsidRPr="008059C5" w14:paraId="1EC247E5" w14:textId="77777777" w:rsidTr="00115AF1">
        <w:trPr>
          <w:trHeight w:val="13"/>
        </w:trPr>
        <w:tc>
          <w:tcPr>
            <w:tcW w:w="1363" w:type="pct"/>
            <w:shd w:val="clear" w:color="auto" w:fill="auto"/>
            <w:hideMark/>
          </w:tcPr>
          <w:p w14:paraId="46706457"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Audio, visual and computing equipment</w:t>
            </w:r>
          </w:p>
        </w:tc>
        <w:tc>
          <w:tcPr>
            <w:tcW w:w="910" w:type="pct"/>
            <w:tcBorders>
              <w:top w:val="nil"/>
              <w:left w:val="nil"/>
              <w:bottom w:val="nil"/>
              <w:right w:val="nil"/>
            </w:tcBorders>
            <w:shd w:val="clear" w:color="auto" w:fill="auto"/>
            <w:noWrap/>
            <w:vAlign w:val="bottom"/>
            <w:hideMark/>
          </w:tcPr>
          <w:p w14:paraId="60C632CC" w14:textId="674E580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0.6</w:t>
            </w:r>
          </w:p>
        </w:tc>
        <w:tc>
          <w:tcPr>
            <w:tcW w:w="909" w:type="pct"/>
            <w:tcBorders>
              <w:top w:val="nil"/>
              <w:left w:val="nil"/>
              <w:bottom w:val="nil"/>
              <w:right w:val="nil"/>
            </w:tcBorders>
            <w:shd w:val="clear" w:color="auto" w:fill="auto"/>
            <w:noWrap/>
            <w:vAlign w:val="bottom"/>
            <w:hideMark/>
          </w:tcPr>
          <w:p w14:paraId="2E97AA1B" w14:textId="4777A48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-0.4</w:t>
            </w:r>
          </w:p>
        </w:tc>
        <w:tc>
          <w:tcPr>
            <w:tcW w:w="909" w:type="pct"/>
            <w:tcBorders>
              <w:top w:val="nil"/>
              <w:left w:val="nil"/>
              <w:bottom w:val="nil"/>
              <w:right w:val="nil"/>
            </w:tcBorders>
            <w:shd w:val="clear" w:color="auto" w:fill="auto"/>
            <w:noWrap/>
            <w:vAlign w:val="bottom"/>
            <w:hideMark/>
          </w:tcPr>
          <w:p w14:paraId="0B659A2A" w14:textId="57020A8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-24.6</w:t>
            </w:r>
          </w:p>
        </w:tc>
        <w:tc>
          <w:tcPr>
            <w:tcW w:w="909" w:type="pct"/>
            <w:tcBorders>
              <w:top w:val="nil"/>
              <w:left w:val="nil"/>
              <w:bottom w:val="nil"/>
              <w:right w:val="nil"/>
            </w:tcBorders>
            <w:shd w:val="clear" w:color="auto" w:fill="auto"/>
            <w:noWrap/>
            <w:vAlign w:val="bottom"/>
            <w:hideMark/>
          </w:tcPr>
          <w:p w14:paraId="53D7F441" w14:textId="2304FD5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-28.2</w:t>
            </w:r>
          </w:p>
        </w:tc>
      </w:tr>
      <w:tr w:rsidR="00F346CD" w:rsidRPr="008059C5" w14:paraId="1FD1B037" w14:textId="77777777" w:rsidTr="00115AF1">
        <w:trPr>
          <w:trHeight w:val="42"/>
        </w:trPr>
        <w:tc>
          <w:tcPr>
            <w:tcW w:w="1363" w:type="pct"/>
            <w:shd w:val="clear" w:color="auto" w:fill="auto"/>
            <w:hideMark/>
          </w:tcPr>
          <w:p w14:paraId="1E4CCD59"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Audio, visual and computing media &amp; services</w:t>
            </w:r>
          </w:p>
        </w:tc>
        <w:tc>
          <w:tcPr>
            <w:tcW w:w="910" w:type="pct"/>
            <w:tcBorders>
              <w:top w:val="nil"/>
              <w:left w:val="nil"/>
              <w:bottom w:val="nil"/>
              <w:right w:val="nil"/>
            </w:tcBorders>
            <w:shd w:val="clear" w:color="auto" w:fill="auto"/>
            <w:noWrap/>
            <w:vAlign w:val="bottom"/>
            <w:hideMark/>
          </w:tcPr>
          <w:p w14:paraId="036E88CE" w14:textId="61661365"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w:t>
            </w:r>
          </w:p>
        </w:tc>
        <w:tc>
          <w:tcPr>
            <w:tcW w:w="909" w:type="pct"/>
            <w:tcBorders>
              <w:top w:val="nil"/>
              <w:left w:val="nil"/>
              <w:bottom w:val="nil"/>
              <w:right w:val="nil"/>
            </w:tcBorders>
            <w:shd w:val="clear" w:color="auto" w:fill="auto"/>
            <w:noWrap/>
            <w:vAlign w:val="bottom"/>
            <w:hideMark/>
          </w:tcPr>
          <w:p w14:paraId="42830686" w14:textId="20410EA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-0.8</w:t>
            </w:r>
          </w:p>
        </w:tc>
        <w:tc>
          <w:tcPr>
            <w:tcW w:w="909" w:type="pct"/>
            <w:tcBorders>
              <w:top w:val="nil"/>
              <w:left w:val="nil"/>
              <w:bottom w:val="nil"/>
              <w:right w:val="nil"/>
            </w:tcBorders>
            <w:shd w:val="clear" w:color="auto" w:fill="auto"/>
            <w:noWrap/>
            <w:vAlign w:val="bottom"/>
            <w:hideMark/>
          </w:tcPr>
          <w:p w14:paraId="379E2BA8" w14:textId="7048583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3.9</w:t>
            </w:r>
          </w:p>
        </w:tc>
        <w:tc>
          <w:tcPr>
            <w:tcW w:w="909" w:type="pct"/>
            <w:tcBorders>
              <w:top w:val="nil"/>
              <w:left w:val="nil"/>
              <w:bottom w:val="nil"/>
              <w:right w:val="nil"/>
            </w:tcBorders>
            <w:shd w:val="clear" w:color="auto" w:fill="auto"/>
            <w:noWrap/>
            <w:vAlign w:val="bottom"/>
            <w:hideMark/>
          </w:tcPr>
          <w:p w14:paraId="49FD91DD" w14:textId="763FE22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4.4</w:t>
            </w:r>
          </w:p>
        </w:tc>
      </w:tr>
      <w:tr w:rsidR="00115AF1" w:rsidRPr="008059C5" w14:paraId="0F153F62" w14:textId="77777777" w:rsidTr="00BF12CA">
        <w:trPr>
          <w:trHeight w:val="290"/>
        </w:trPr>
        <w:tc>
          <w:tcPr>
            <w:tcW w:w="1363" w:type="pct"/>
            <w:shd w:val="clear" w:color="auto" w:fill="D9E2F3" w:themeFill="accent1" w:themeFillTint="33"/>
            <w:hideMark/>
          </w:tcPr>
          <w:p w14:paraId="4A61FB28"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Education</w:t>
            </w:r>
          </w:p>
        </w:tc>
        <w:tc>
          <w:tcPr>
            <w:tcW w:w="910" w:type="pct"/>
            <w:tcBorders>
              <w:top w:val="nil"/>
              <w:left w:val="nil"/>
              <w:bottom w:val="nil"/>
              <w:right w:val="nil"/>
            </w:tcBorders>
            <w:shd w:val="clear" w:color="auto" w:fill="B4C6E7" w:themeFill="accent1" w:themeFillTint="66"/>
            <w:noWrap/>
            <w:vAlign w:val="bottom"/>
            <w:hideMark/>
          </w:tcPr>
          <w:p w14:paraId="2BED0AD2" w14:textId="55A56D4D"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3.3</w:t>
            </w:r>
          </w:p>
        </w:tc>
        <w:tc>
          <w:tcPr>
            <w:tcW w:w="909" w:type="pct"/>
            <w:tcBorders>
              <w:top w:val="nil"/>
              <w:left w:val="nil"/>
              <w:bottom w:val="nil"/>
              <w:right w:val="nil"/>
            </w:tcBorders>
            <w:shd w:val="clear" w:color="auto" w:fill="B4C6E7" w:themeFill="accent1" w:themeFillTint="66"/>
            <w:noWrap/>
            <w:vAlign w:val="bottom"/>
            <w:hideMark/>
          </w:tcPr>
          <w:p w14:paraId="3FC4D33C" w14:textId="44AB2E05"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w:t>
            </w:r>
          </w:p>
        </w:tc>
        <w:tc>
          <w:tcPr>
            <w:tcW w:w="909" w:type="pct"/>
            <w:tcBorders>
              <w:top w:val="nil"/>
              <w:left w:val="nil"/>
              <w:bottom w:val="nil"/>
              <w:right w:val="nil"/>
            </w:tcBorders>
            <w:shd w:val="clear" w:color="auto" w:fill="8EAADB" w:themeFill="accent1" w:themeFillTint="99"/>
            <w:noWrap/>
            <w:vAlign w:val="bottom"/>
            <w:hideMark/>
          </w:tcPr>
          <w:p w14:paraId="7CE8806E" w14:textId="10F3142A"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18.0</w:t>
            </w:r>
          </w:p>
        </w:tc>
        <w:tc>
          <w:tcPr>
            <w:tcW w:w="909" w:type="pct"/>
            <w:tcBorders>
              <w:top w:val="nil"/>
              <w:left w:val="nil"/>
              <w:bottom w:val="nil"/>
              <w:right w:val="nil"/>
            </w:tcBorders>
            <w:shd w:val="clear" w:color="auto" w:fill="8EAADB" w:themeFill="accent1" w:themeFillTint="99"/>
            <w:noWrap/>
            <w:vAlign w:val="bottom"/>
            <w:hideMark/>
          </w:tcPr>
          <w:p w14:paraId="7E9401C8" w14:textId="738FF5E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15.1</w:t>
            </w:r>
          </w:p>
        </w:tc>
      </w:tr>
      <w:tr w:rsidR="00F346CD" w:rsidRPr="008059C5" w14:paraId="720C3F4C" w14:textId="77777777" w:rsidTr="00115AF1">
        <w:trPr>
          <w:trHeight w:val="13"/>
        </w:trPr>
        <w:tc>
          <w:tcPr>
            <w:tcW w:w="1363" w:type="pct"/>
            <w:shd w:val="clear" w:color="auto" w:fill="auto"/>
            <w:hideMark/>
          </w:tcPr>
          <w:p w14:paraId="3D2D5178"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Insurance &amp; financial services</w:t>
            </w:r>
          </w:p>
        </w:tc>
        <w:tc>
          <w:tcPr>
            <w:tcW w:w="910" w:type="pct"/>
            <w:tcBorders>
              <w:top w:val="nil"/>
              <w:left w:val="nil"/>
              <w:bottom w:val="nil"/>
              <w:right w:val="nil"/>
            </w:tcBorders>
            <w:shd w:val="clear" w:color="auto" w:fill="auto"/>
            <w:noWrap/>
            <w:vAlign w:val="bottom"/>
            <w:hideMark/>
          </w:tcPr>
          <w:p w14:paraId="0E9B2B49" w14:textId="51C76C9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w:t>
            </w:r>
          </w:p>
        </w:tc>
        <w:tc>
          <w:tcPr>
            <w:tcW w:w="909" w:type="pct"/>
            <w:tcBorders>
              <w:top w:val="nil"/>
              <w:left w:val="nil"/>
              <w:bottom w:val="nil"/>
              <w:right w:val="nil"/>
            </w:tcBorders>
            <w:shd w:val="clear" w:color="auto" w:fill="auto"/>
            <w:noWrap/>
            <w:vAlign w:val="bottom"/>
            <w:hideMark/>
          </w:tcPr>
          <w:p w14:paraId="71D835F4" w14:textId="41764551"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w:t>
            </w:r>
          </w:p>
        </w:tc>
        <w:tc>
          <w:tcPr>
            <w:tcW w:w="909" w:type="pct"/>
            <w:tcBorders>
              <w:top w:val="nil"/>
              <w:left w:val="nil"/>
              <w:bottom w:val="nil"/>
              <w:right w:val="nil"/>
            </w:tcBorders>
            <w:shd w:val="clear" w:color="auto" w:fill="auto"/>
            <w:noWrap/>
            <w:vAlign w:val="bottom"/>
            <w:hideMark/>
          </w:tcPr>
          <w:p w14:paraId="0E9AD8D1" w14:textId="59C2A12B"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w:t>
            </w:r>
          </w:p>
        </w:tc>
        <w:tc>
          <w:tcPr>
            <w:tcW w:w="909" w:type="pct"/>
            <w:tcBorders>
              <w:top w:val="nil"/>
              <w:left w:val="nil"/>
              <w:bottom w:val="nil"/>
              <w:right w:val="nil"/>
            </w:tcBorders>
            <w:shd w:val="clear" w:color="auto" w:fill="auto"/>
            <w:noWrap/>
            <w:vAlign w:val="bottom"/>
            <w:hideMark/>
          </w:tcPr>
          <w:p w14:paraId="657C711C" w14:textId="19A514E2"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7.6</w:t>
            </w:r>
          </w:p>
        </w:tc>
      </w:tr>
      <w:tr w:rsidR="00F346CD" w:rsidRPr="008059C5" w14:paraId="3AEF4FD6" w14:textId="77777777" w:rsidTr="009F1C2F">
        <w:trPr>
          <w:trHeight w:val="290"/>
        </w:trPr>
        <w:tc>
          <w:tcPr>
            <w:tcW w:w="1363" w:type="pct"/>
            <w:tcBorders>
              <w:bottom w:val="single" w:sz="12" w:space="0" w:color="A6A6A6" w:themeColor="background1" w:themeShade="A6"/>
            </w:tcBorders>
            <w:shd w:val="clear" w:color="auto" w:fill="auto"/>
            <w:hideMark/>
          </w:tcPr>
          <w:p w14:paraId="5AE537AD" w14:textId="77777777" w:rsidR="00F346CD" w:rsidRPr="008059C5" w:rsidRDefault="00F346CD" w:rsidP="00F346CD">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059C5">
              <w:rPr>
                <w:sz w:val="16"/>
                <w:szCs w:val="16"/>
              </w:rPr>
              <w:t>Insurance</w:t>
            </w:r>
          </w:p>
        </w:tc>
        <w:tc>
          <w:tcPr>
            <w:tcW w:w="910" w:type="pct"/>
            <w:tcBorders>
              <w:top w:val="nil"/>
              <w:left w:val="nil"/>
              <w:bottom w:val="single" w:sz="12" w:space="0" w:color="A6A6A6" w:themeColor="background1" w:themeShade="A6"/>
              <w:right w:val="nil"/>
            </w:tcBorders>
            <w:shd w:val="clear" w:color="auto" w:fill="auto"/>
            <w:noWrap/>
            <w:vAlign w:val="bottom"/>
            <w:hideMark/>
          </w:tcPr>
          <w:p w14:paraId="2695C56F" w14:textId="56BFF4B9"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w:t>
            </w:r>
          </w:p>
        </w:tc>
        <w:tc>
          <w:tcPr>
            <w:tcW w:w="909" w:type="pct"/>
            <w:tcBorders>
              <w:top w:val="nil"/>
              <w:left w:val="nil"/>
              <w:bottom w:val="single" w:sz="12" w:space="0" w:color="A6A6A6" w:themeColor="background1" w:themeShade="A6"/>
              <w:right w:val="nil"/>
            </w:tcBorders>
            <w:shd w:val="clear" w:color="auto" w:fill="auto"/>
            <w:noWrap/>
            <w:vAlign w:val="bottom"/>
            <w:hideMark/>
          </w:tcPr>
          <w:p w14:paraId="5AC40824" w14:textId="6260EC06"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2.7</w:t>
            </w:r>
          </w:p>
        </w:tc>
        <w:tc>
          <w:tcPr>
            <w:tcW w:w="909" w:type="pct"/>
            <w:tcBorders>
              <w:top w:val="nil"/>
              <w:left w:val="nil"/>
              <w:bottom w:val="single" w:sz="12" w:space="0" w:color="A6A6A6" w:themeColor="background1" w:themeShade="A6"/>
              <w:right w:val="nil"/>
            </w:tcBorders>
            <w:shd w:val="clear" w:color="auto" w:fill="auto"/>
            <w:noWrap/>
            <w:vAlign w:val="bottom"/>
            <w:hideMark/>
          </w:tcPr>
          <w:p w14:paraId="2D793E99" w14:textId="5D5CB565"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9.6</w:t>
            </w:r>
          </w:p>
        </w:tc>
        <w:tc>
          <w:tcPr>
            <w:tcW w:w="909" w:type="pct"/>
            <w:tcBorders>
              <w:top w:val="nil"/>
              <w:left w:val="nil"/>
              <w:bottom w:val="single" w:sz="12" w:space="0" w:color="A6A6A6" w:themeColor="background1" w:themeShade="A6"/>
              <w:right w:val="nil"/>
            </w:tcBorders>
            <w:shd w:val="clear" w:color="auto" w:fill="auto"/>
            <w:noWrap/>
            <w:vAlign w:val="bottom"/>
            <w:hideMark/>
          </w:tcPr>
          <w:p w14:paraId="1F632E2E" w14:textId="6A12AE8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18.7</w:t>
            </w:r>
          </w:p>
        </w:tc>
      </w:tr>
      <w:tr w:rsidR="00F346CD" w:rsidRPr="008059C5" w14:paraId="4F740E47" w14:textId="77777777" w:rsidTr="009F1C2F">
        <w:trPr>
          <w:trHeight w:val="290"/>
        </w:trPr>
        <w:tc>
          <w:tcPr>
            <w:tcW w:w="1363" w:type="pct"/>
            <w:tcBorders>
              <w:top w:val="single" w:sz="12" w:space="0" w:color="A6A6A6" w:themeColor="background1" w:themeShade="A6"/>
              <w:bottom w:val="single" w:sz="12" w:space="0" w:color="A6A6A6" w:themeColor="background1" w:themeShade="A6"/>
            </w:tcBorders>
            <w:shd w:val="clear" w:color="auto" w:fill="D9E2F3" w:themeFill="accent1" w:themeFillTint="33"/>
            <w:hideMark/>
          </w:tcPr>
          <w:p w14:paraId="09D69645" w14:textId="77777777"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8059C5">
              <w:rPr>
                <w:b/>
                <w:sz w:val="16"/>
                <w:szCs w:val="16"/>
              </w:rPr>
              <w:t>CPI All Groups</w:t>
            </w:r>
          </w:p>
        </w:tc>
        <w:tc>
          <w:tcPr>
            <w:tcW w:w="910" w:type="pct"/>
            <w:tcBorders>
              <w:top w:val="single" w:sz="12" w:space="0" w:color="A6A6A6" w:themeColor="background1" w:themeShade="A6"/>
              <w:left w:val="nil"/>
              <w:bottom w:val="single" w:sz="12" w:space="0" w:color="A6A6A6" w:themeColor="background1" w:themeShade="A6"/>
              <w:right w:val="nil"/>
            </w:tcBorders>
            <w:shd w:val="clear" w:color="auto" w:fill="B4C6E7" w:themeFill="accent1" w:themeFillTint="66"/>
            <w:noWrap/>
            <w:vAlign w:val="bottom"/>
            <w:hideMark/>
          </w:tcPr>
          <w:p w14:paraId="084F7A29" w14:textId="6D8C76A1"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w:t>
            </w:r>
          </w:p>
        </w:tc>
        <w:tc>
          <w:tcPr>
            <w:tcW w:w="909" w:type="pct"/>
            <w:tcBorders>
              <w:top w:val="single" w:sz="12" w:space="0" w:color="A6A6A6" w:themeColor="background1" w:themeShade="A6"/>
              <w:left w:val="nil"/>
              <w:bottom w:val="single" w:sz="12" w:space="0" w:color="A6A6A6" w:themeColor="background1" w:themeShade="A6"/>
              <w:right w:val="nil"/>
            </w:tcBorders>
            <w:shd w:val="clear" w:color="auto" w:fill="B4C6E7" w:themeFill="accent1" w:themeFillTint="66"/>
            <w:noWrap/>
            <w:vAlign w:val="bottom"/>
            <w:hideMark/>
          </w:tcPr>
          <w:p w14:paraId="6C0E26FF" w14:textId="36E24B0E"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single" w:sz="12" w:space="0" w:color="A6A6A6" w:themeColor="background1" w:themeShade="A6"/>
              <w:left w:val="nil"/>
              <w:bottom w:val="single" w:sz="12" w:space="0" w:color="A6A6A6" w:themeColor="background1" w:themeShade="A6"/>
              <w:right w:val="nil"/>
            </w:tcBorders>
            <w:shd w:val="clear" w:color="auto" w:fill="8EAADB" w:themeFill="accent1" w:themeFillTint="99"/>
            <w:noWrap/>
            <w:vAlign w:val="bottom"/>
            <w:hideMark/>
          </w:tcPr>
          <w:p w14:paraId="75FAF600" w14:textId="4303E063"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9.7</w:t>
            </w:r>
          </w:p>
        </w:tc>
        <w:tc>
          <w:tcPr>
            <w:tcW w:w="909" w:type="pct"/>
            <w:tcBorders>
              <w:top w:val="single" w:sz="12" w:space="0" w:color="A6A6A6" w:themeColor="background1" w:themeShade="A6"/>
              <w:left w:val="nil"/>
              <w:bottom w:val="single" w:sz="12" w:space="0" w:color="A6A6A6" w:themeColor="background1" w:themeShade="A6"/>
              <w:right w:val="nil"/>
            </w:tcBorders>
            <w:shd w:val="clear" w:color="auto" w:fill="8EAADB" w:themeFill="accent1" w:themeFillTint="99"/>
            <w:noWrap/>
            <w:vAlign w:val="bottom"/>
            <w:hideMark/>
          </w:tcPr>
          <w:p w14:paraId="37BC5776" w14:textId="28409ECC" w:rsidR="00F346CD" w:rsidRPr="008059C5" w:rsidRDefault="00F346CD" w:rsidP="00F346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7.9</w:t>
            </w:r>
          </w:p>
        </w:tc>
      </w:tr>
    </w:tbl>
    <w:p w14:paraId="1EF91E5F" w14:textId="359212D9" w:rsidR="00DA06D5" w:rsidRDefault="00B01433" w:rsidP="00D102CC">
      <w:pPr>
        <w:pStyle w:val="Source"/>
      </w:pPr>
      <w:r>
        <w:t xml:space="preserve">Source: </w:t>
      </w:r>
      <w:r w:rsidRPr="00B01433">
        <w:t xml:space="preserve">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20" w:history="1">
        <w:r w:rsidRPr="00B01433">
          <w:rPr>
            <w:rStyle w:val="Hyperlink"/>
            <w:i/>
            <w:iCs/>
          </w:rPr>
          <w:t>Consumer Price Index, Australia</w:t>
        </w:r>
      </w:hyperlink>
      <w:r w:rsidRPr="00B01433">
        <w:rPr>
          <w:i/>
          <w:iCs/>
        </w:rPr>
        <w:t>,</w:t>
      </w:r>
      <w:r w:rsidR="00C877F1">
        <w:rPr>
          <w:i/>
          <w:iCs/>
        </w:rPr>
        <w:t xml:space="preserve"> </w:t>
      </w:r>
      <w:r w:rsidR="00C877F1" w:rsidRPr="00C877F1">
        <w:t>Reference period December 2020,</w:t>
      </w:r>
      <w:r w:rsidRPr="00FB42FE">
        <w:t xml:space="preserve"> </w:t>
      </w:r>
      <w:r w:rsidR="00BB5962">
        <w:t xml:space="preserve">ABS, </w:t>
      </w:r>
      <w:r w:rsidR="001172C0">
        <w:t>2021</w:t>
      </w:r>
      <w:r w:rsidR="00FB42FE">
        <w:t xml:space="preserve">, </w:t>
      </w:r>
      <w:r w:rsidRPr="00B01433">
        <w:t>accessed 8 July 2021.</w:t>
      </w:r>
    </w:p>
    <w:p w14:paraId="666480D0" w14:textId="507F6537" w:rsidR="009952D9" w:rsidRDefault="00FA681C" w:rsidP="009863A2">
      <w:pPr>
        <w:pStyle w:val="BodyText"/>
      </w:pPr>
      <w:r>
        <w:t xml:space="preserve">Over the past 12 months and </w:t>
      </w:r>
      <w:r w:rsidR="00AE3F4B">
        <w:t xml:space="preserve">the last </w:t>
      </w:r>
      <w:r w:rsidR="00B17B36">
        <w:t>five</w:t>
      </w:r>
      <w:r>
        <w:t xml:space="preserve"> years, the overall CPI has risen at a higher rate in Canberra than nationally. </w:t>
      </w:r>
      <w:r w:rsidR="005E4F24">
        <w:t xml:space="preserve">Figure 3 shows that </w:t>
      </w:r>
      <w:r w:rsidR="006E1D0E">
        <w:t xml:space="preserve">over the past five years, </w:t>
      </w:r>
      <w:r w:rsidR="005E4F24">
        <w:t xml:space="preserve">prices for </w:t>
      </w:r>
      <w:r w:rsidR="00C87897">
        <w:t xml:space="preserve">health, education, </w:t>
      </w:r>
      <w:r w:rsidR="00B276E9">
        <w:t xml:space="preserve">and </w:t>
      </w:r>
      <w:r w:rsidR="00C87897">
        <w:t>ho</w:t>
      </w:r>
      <w:r w:rsidR="00857F7D">
        <w:t xml:space="preserve">using (including utilities) </w:t>
      </w:r>
      <w:r w:rsidR="008C2A59">
        <w:t xml:space="preserve">in Canberra </w:t>
      </w:r>
      <w:r w:rsidR="006E1D0E">
        <w:t xml:space="preserve">have </w:t>
      </w:r>
      <w:r w:rsidR="00857F7D">
        <w:t>increased at a rate above the overall CPI</w:t>
      </w:r>
      <w:r w:rsidR="006E1D0E">
        <w:t xml:space="preserve">. </w:t>
      </w:r>
      <w:r w:rsidR="00FC2BD5">
        <w:t xml:space="preserve">Further, </w:t>
      </w:r>
      <w:r w:rsidR="0097398F">
        <w:t xml:space="preserve">Canberra has seen </w:t>
      </w:r>
      <w:r w:rsidR="0074222A">
        <w:t xml:space="preserve">higher </w:t>
      </w:r>
      <w:r w:rsidR="00DD0233">
        <w:t xml:space="preserve">price increases </w:t>
      </w:r>
      <w:r w:rsidR="00F027E8">
        <w:t xml:space="preserve">for these essential goods and services </w:t>
      </w:r>
      <w:r w:rsidR="00DD0233">
        <w:t xml:space="preserve">compared to </w:t>
      </w:r>
      <w:r w:rsidR="00B829C1">
        <w:t>those seen nationally.</w:t>
      </w:r>
      <w:r w:rsidR="00464DA9">
        <w:t xml:space="preserve"> </w:t>
      </w:r>
      <w:r w:rsidR="00F027E8">
        <w:t>Over the last five years Canberrans have seen</w:t>
      </w:r>
      <w:r w:rsidR="00210B44">
        <w:t xml:space="preserve"> prices</w:t>
      </w:r>
      <w:r w:rsidR="00F027E8">
        <w:t xml:space="preserve"> increase by 18.6%</w:t>
      </w:r>
      <w:r w:rsidR="00210B44">
        <w:t xml:space="preserve"> for health, </w:t>
      </w:r>
      <w:r w:rsidR="008C515A">
        <w:t>18.0</w:t>
      </w:r>
      <w:r w:rsidR="00E26933">
        <w:t xml:space="preserve">% for education, and </w:t>
      </w:r>
      <w:r w:rsidR="008C515A">
        <w:t xml:space="preserve">15.7% for housing. </w:t>
      </w:r>
      <w:r w:rsidR="003E726D">
        <w:t xml:space="preserve">Figure </w:t>
      </w:r>
      <w:r w:rsidR="002933E9">
        <w:t xml:space="preserve">4 shows that </w:t>
      </w:r>
      <w:r w:rsidR="008B4DB4">
        <w:t>p</w:t>
      </w:r>
      <w:r w:rsidR="00356423" w:rsidRPr="00356423">
        <w:t>rices for non-discretionary food items such as meat and seafood (13.4%) and fruit and vegetables (11.6%)</w:t>
      </w:r>
      <w:r w:rsidR="00283916">
        <w:t xml:space="preserve"> also</w:t>
      </w:r>
      <w:r w:rsidR="00356423" w:rsidRPr="00356423">
        <w:t xml:space="preserve"> rose at rates above the overall CPI.</w:t>
      </w:r>
      <w:r w:rsidR="00356423">
        <w:t xml:space="preserve"> </w:t>
      </w:r>
    </w:p>
    <w:p w14:paraId="50B2D634" w14:textId="003A9701" w:rsidR="00991B86" w:rsidRDefault="00281C32" w:rsidP="009863A2">
      <w:pPr>
        <w:pStyle w:val="BodyText"/>
      </w:pPr>
      <w:r>
        <w:t>ACT households</w:t>
      </w:r>
      <w:r w:rsidR="00F546D9">
        <w:t xml:space="preserve"> have seen </w:t>
      </w:r>
      <w:r w:rsidR="00C6152D">
        <w:t>even</w:t>
      </w:r>
      <w:r w:rsidR="00283916">
        <w:t xml:space="preserve"> larger </w:t>
      </w:r>
      <w:r w:rsidR="00F546D9">
        <w:t>price</w:t>
      </w:r>
      <w:r w:rsidR="00C6152D">
        <w:t xml:space="preserve"> increases</w:t>
      </w:r>
      <w:r w:rsidR="00F546D9">
        <w:t xml:space="preserve"> for electricity </w:t>
      </w:r>
      <w:r w:rsidR="00C95693">
        <w:t xml:space="preserve">(27.7%) </w:t>
      </w:r>
      <w:r w:rsidR="00F546D9">
        <w:t xml:space="preserve">and gas </w:t>
      </w:r>
      <w:r w:rsidR="00C95693">
        <w:t>(26.2%)</w:t>
      </w:r>
      <w:r w:rsidR="007D2DA7">
        <w:t xml:space="preserve"> </w:t>
      </w:r>
      <w:r>
        <w:t>which have risen</w:t>
      </w:r>
      <w:r w:rsidR="00401E95">
        <w:t xml:space="preserve"> </w:t>
      </w:r>
      <w:r w:rsidR="00F546D9">
        <w:t>well above the national rate</w:t>
      </w:r>
      <w:r w:rsidR="00401E95">
        <w:t>s.</w:t>
      </w:r>
      <w:r w:rsidR="00921B97">
        <w:t xml:space="preserve"> </w:t>
      </w:r>
      <w:r w:rsidR="008938D9">
        <w:t xml:space="preserve">Over the past 20 years, electricity prices </w:t>
      </w:r>
      <w:r w:rsidR="009952D9">
        <w:t xml:space="preserve">in Canberra </w:t>
      </w:r>
      <w:r w:rsidR="008938D9">
        <w:t xml:space="preserve">have increased by </w:t>
      </w:r>
      <w:r w:rsidR="00737D80">
        <w:t xml:space="preserve">almost 60%, while gas prices have doubled (see Figure </w:t>
      </w:r>
      <w:r w:rsidR="00411A55">
        <w:t>5</w:t>
      </w:r>
      <w:r w:rsidR="00737D80">
        <w:t>).</w:t>
      </w:r>
      <w:r w:rsidR="00984A0F">
        <w:rPr>
          <w:rStyle w:val="FootnoteReference"/>
        </w:rPr>
        <w:footnoteReference w:id="10"/>
      </w:r>
      <w:r w:rsidR="00737D80">
        <w:t xml:space="preserve"> </w:t>
      </w:r>
      <w:r w:rsidR="001D4641">
        <w:t>While</w:t>
      </w:r>
      <w:r w:rsidR="00895FA3">
        <w:t xml:space="preserve"> electricity prices </w:t>
      </w:r>
      <w:r w:rsidR="00562A9D">
        <w:t xml:space="preserve">in Canberra </w:t>
      </w:r>
      <w:r w:rsidR="00895FA3">
        <w:t>dropped by 2.6%</w:t>
      </w:r>
      <w:r w:rsidR="001D4641">
        <w:t xml:space="preserve"> in the last 12 months, they </w:t>
      </w:r>
      <w:r w:rsidR="00BF3B00">
        <w:t xml:space="preserve">will </w:t>
      </w:r>
      <w:r w:rsidR="00F65756">
        <w:t>increase</w:t>
      </w:r>
      <w:r w:rsidR="00BF3B00">
        <w:t xml:space="preserve"> yet again</w:t>
      </w:r>
      <w:r w:rsidR="00F65756">
        <w:t xml:space="preserve"> in 2021-22 </w:t>
      </w:r>
      <w:r w:rsidR="00083220">
        <w:t xml:space="preserve">due to </w:t>
      </w:r>
      <w:r w:rsidR="004818D8">
        <w:t xml:space="preserve">ActewAGL’s regulated standing offers </w:t>
      </w:r>
      <w:r w:rsidR="00083220">
        <w:t>increasing</w:t>
      </w:r>
      <w:r w:rsidR="000A2071">
        <w:t xml:space="preserve"> by almost 12%</w:t>
      </w:r>
      <w:r w:rsidR="009863A2">
        <w:t>, resulting in an annual bill increase of $3.76 per week or $195 over the year for an</w:t>
      </w:r>
      <w:r w:rsidR="00384AFF">
        <w:t xml:space="preserve"> </w:t>
      </w:r>
      <w:r w:rsidR="009863A2">
        <w:t>average residential</w:t>
      </w:r>
      <w:r w:rsidR="00083220">
        <w:t xml:space="preserve"> standing offer</w:t>
      </w:r>
      <w:r w:rsidR="009863A2">
        <w:t xml:space="preserve"> customer consuming 6,500kWh</w:t>
      </w:r>
      <w:r w:rsidR="00895FA3">
        <w:t>.</w:t>
      </w:r>
      <w:r w:rsidR="007D7156">
        <w:rPr>
          <w:rStyle w:val="FootnoteReference"/>
        </w:rPr>
        <w:footnoteReference w:id="11"/>
      </w:r>
      <w:r w:rsidR="00490D93">
        <w:t xml:space="preserve"> </w:t>
      </w:r>
      <w:r w:rsidR="00866F3B">
        <w:t>ACT e</w:t>
      </w:r>
      <w:r w:rsidR="00490D93">
        <w:t>lectricity prices are forecast to rise</w:t>
      </w:r>
      <w:r w:rsidR="00866F3B">
        <w:t xml:space="preserve"> by a further 4%</w:t>
      </w:r>
      <w:r w:rsidR="00490D93">
        <w:t xml:space="preserve"> in 2022-23</w:t>
      </w:r>
      <w:r w:rsidR="008B3BF3">
        <w:t>, while they are forecast to decline in most other jurisdictions.</w:t>
      </w:r>
      <w:r w:rsidR="008B3BF3">
        <w:rPr>
          <w:rStyle w:val="FootnoteReference"/>
        </w:rPr>
        <w:footnoteReference w:id="12"/>
      </w:r>
      <w:r w:rsidR="001B218F">
        <w:t xml:space="preserve"> </w:t>
      </w:r>
      <w:r w:rsidR="006B18AD">
        <w:t>A key driver of</w:t>
      </w:r>
      <w:r w:rsidR="009051CB">
        <w:t xml:space="preserve"> the increase in ACT electricity prices over the </w:t>
      </w:r>
      <w:r w:rsidR="0012539B">
        <w:t xml:space="preserve">coming </w:t>
      </w:r>
      <w:r w:rsidR="009051CB">
        <w:t>year is the ACT Government’s Large-scale Feed-in Tariff Scheme</w:t>
      </w:r>
      <w:r w:rsidR="0017508D">
        <w:t xml:space="preserve"> </w:t>
      </w:r>
      <w:r w:rsidR="0012539B">
        <w:t>which is</w:t>
      </w:r>
      <w:r w:rsidR="00DE451B">
        <w:t xml:space="preserve"> the</w:t>
      </w:r>
      <w:r w:rsidR="0017508D">
        <w:t xml:space="preserve"> key contributor to achieving the ACT’s</w:t>
      </w:r>
      <w:r w:rsidR="00F60F44">
        <w:t xml:space="preserve"> 100% renewable </w:t>
      </w:r>
      <w:r w:rsidR="00D95F1D">
        <w:t>electricity</w:t>
      </w:r>
      <w:r w:rsidR="00F60F44">
        <w:t xml:space="preserve"> target.</w:t>
      </w:r>
      <w:r w:rsidR="000D69E7">
        <w:rPr>
          <w:rStyle w:val="FootnoteReference"/>
        </w:rPr>
        <w:footnoteReference w:id="13"/>
      </w:r>
      <w:r w:rsidR="00F60F44">
        <w:t xml:space="preserve"> </w:t>
      </w:r>
      <w:r w:rsidR="00991B86">
        <w:t>As the ACT transitions to net zero greenhouse gas emissions by 2045, it will be critical to ensure that</w:t>
      </w:r>
      <w:r w:rsidR="00D95F1D">
        <w:t xml:space="preserve"> Canberra’s </w:t>
      </w:r>
      <w:r w:rsidR="005E4F65">
        <w:t>low-income households</w:t>
      </w:r>
      <w:r w:rsidR="006B485B">
        <w:t xml:space="preserve"> </w:t>
      </w:r>
      <w:r w:rsidR="00F60F44">
        <w:t>are not left worse of</w:t>
      </w:r>
      <w:r w:rsidR="00DE4C4A">
        <w:t>f</w:t>
      </w:r>
      <w:r w:rsidR="00F60F44">
        <w:t xml:space="preserve"> </w:t>
      </w:r>
      <w:r w:rsidR="006728BE">
        <w:t>and are</w:t>
      </w:r>
      <w:r w:rsidR="0017508D">
        <w:t xml:space="preserve"> not </w:t>
      </w:r>
      <w:r w:rsidR="00F60F44">
        <w:t xml:space="preserve">disproportionately impacted by </w:t>
      </w:r>
      <w:r w:rsidR="0017508D">
        <w:t xml:space="preserve">any increases in </w:t>
      </w:r>
      <w:r w:rsidR="00562A9D">
        <w:t>energy prices</w:t>
      </w:r>
      <w:r w:rsidR="00395A19">
        <w:t xml:space="preserve"> in the short, </w:t>
      </w:r>
      <w:r w:rsidR="00A837BF">
        <w:t>medium,</w:t>
      </w:r>
      <w:r w:rsidR="00395A19">
        <w:t xml:space="preserve"> and long term.</w:t>
      </w:r>
    </w:p>
    <w:p w14:paraId="0C5E0DB5" w14:textId="47276FDF" w:rsidR="0078288F" w:rsidRDefault="0078288F" w:rsidP="00D66142">
      <w:pPr>
        <w:pStyle w:val="Figuretabletitle"/>
      </w:pPr>
      <w:r>
        <w:t xml:space="preserve">Figure </w:t>
      </w:r>
      <w:r w:rsidR="00411A55">
        <w:t>3</w:t>
      </w:r>
      <w:r w:rsidR="007A5255">
        <w:t xml:space="preserve"> </w:t>
      </w:r>
      <w:r w:rsidR="007A5255" w:rsidRPr="007A5255">
        <w:t xml:space="preserve">Change in </w:t>
      </w:r>
      <w:r w:rsidR="007A5255" w:rsidRPr="00D66142">
        <w:t>CPI</w:t>
      </w:r>
      <w:r w:rsidR="007A5255" w:rsidRPr="007A5255">
        <w:t xml:space="preserve"> Groups and CPI All Groups, Canberra and Australia, Dec</w:t>
      </w:r>
      <w:r w:rsidR="00ED7475">
        <w:t>ember</w:t>
      </w:r>
      <w:r w:rsidR="007A5255" w:rsidRPr="007A5255">
        <w:t xml:space="preserve"> 201</w:t>
      </w:r>
      <w:r w:rsidR="007A5255">
        <w:t>5</w:t>
      </w:r>
      <w:r w:rsidR="007A5255" w:rsidRPr="007A5255">
        <w:t xml:space="preserve"> – Dec</w:t>
      </w:r>
      <w:r w:rsidR="00ED7475">
        <w:t>ember</w:t>
      </w:r>
      <w:r w:rsidR="007A5255" w:rsidRPr="007A5255">
        <w:t xml:space="preserve"> 20</w:t>
      </w:r>
      <w:r w:rsidR="007A5255">
        <w:t>20</w:t>
      </w:r>
    </w:p>
    <w:p w14:paraId="3F578AD6" w14:textId="79A30B66" w:rsidR="002E349F" w:rsidRDefault="002E349F" w:rsidP="00DE0F81">
      <w:pPr>
        <w:pStyle w:val="Image"/>
      </w:pPr>
      <w:r>
        <w:rPr>
          <w:noProof/>
        </w:rPr>
        <w:drawing>
          <wp:inline distT="0" distB="0" distL="0" distR="0" wp14:anchorId="7EF94375" wp14:editId="4901C715">
            <wp:extent cx="5400040" cy="4451350"/>
            <wp:effectExtent l="0" t="0" r="0" b="6350"/>
            <wp:docPr id="8" name="Picture 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4451350"/>
                    </a:xfrm>
                    <a:prstGeom prst="rect">
                      <a:avLst/>
                    </a:prstGeom>
                  </pic:spPr>
                </pic:pic>
              </a:graphicData>
            </a:graphic>
          </wp:inline>
        </w:drawing>
      </w:r>
    </w:p>
    <w:p w14:paraId="75442128" w14:textId="222538FA" w:rsidR="00C35CCC" w:rsidRDefault="00D66142" w:rsidP="00C35CCC">
      <w:pPr>
        <w:pStyle w:val="Source"/>
      </w:pPr>
      <w:r>
        <w:t xml:space="preserve">Source: </w:t>
      </w:r>
      <w:r w:rsidR="00C35CCC">
        <w:t xml:space="preserve">ABS, </w:t>
      </w:r>
      <w:r w:rsidR="00C35CCC" w:rsidRPr="00B01433">
        <w:t xml:space="preserve">‘Table 11. CPI: Group, Sub-group and Expenditure Class, Percentage change from previous quarter by Capital City’ [time series spreadsheets], </w:t>
      </w:r>
      <w:hyperlink r:id="rId22" w:history="1">
        <w:r w:rsidR="00C35CCC" w:rsidRPr="00B01433">
          <w:rPr>
            <w:rStyle w:val="Hyperlink"/>
            <w:i/>
            <w:iCs/>
          </w:rPr>
          <w:t>Consumer Price Index, Australia</w:t>
        </w:r>
      </w:hyperlink>
      <w:r w:rsidR="00C35CCC" w:rsidRPr="00B01433">
        <w:rPr>
          <w:i/>
          <w:iCs/>
        </w:rPr>
        <w:t>,</w:t>
      </w:r>
      <w:r w:rsidR="00C35CCC">
        <w:rPr>
          <w:i/>
          <w:iCs/>
        </w:rPr>
        <w:t xml:space="preserve"> </w:t>
      </w:r>
      <w:r w:rsidR="00C35CCC" w:rsidRPr="00C877F1">
        <w:t>Reference period December 2020,</w:t>
      </w:r>
      <w:r w:rsidR="00C35CCC" w:rsidRPr="00FB42FE">
        <w:t xml:space="preserve"> </w:t>
      </w:r>
      <w:r w:rsidR="00C35CCC">
        <w:t xml:space="preserve">ABS, 2021, </w:t>
      </w:r>
      <w:r w:rsidR="00C35CCC" w:rsidRPr="00B01433">
        <w:t>accessed 8 July 2021.</w:t>
      </w:r>
    </w:p>
    <w:p w14:paraId="62AD7FD8" w14:textId="619248EC" w:rsidR="009011C4" w:rsidRDefault="007A5255" w:rsidP="00016FAF">
      <w:pPr>
        <w:pStyle w:val="Figuretabletitle"/>
      </w:pPr>
      <w:r>
        <w:t xml:space="preserve">Figure </w:t>
      </w:r>
      <w:r w:rsidR="00411A55">
        <w:t>4</w:t>
      </w:r>
      <w:r>
        <w:t xml:space="preserve"> </w:t>
      </w:r>
      <w:r w:rsidR="00016FAF" w:rsidRPr="00016FAF">
        <w:t>Change in CPI sub-groups and expenditure classes and CPI All Groups, Canberra and Australia, Dec</w:t>
      </w:r>
      <w:r w:rsidR="00ED7475">
        <w:t>ember</w:t>
      </w:r>
      <w:r w:rsidR="00016FAF" w:rsidRPr="00016FAF">
        <w:t xml:space="preserve"> 201</w:t>
      </w:r>
      <w:r w:rsidR="00016FAF">
        <w:t>5</w:t>
      </w:r>
      <w:r w:rsidR="00016FAF" w:rsidRPr="00016FAF">
        <w:t xml:space="preserve"> – Dec</w:t>
      </w:r>
      <w:r w:rsidR="00ED7475">
        <w:t>ember</w:t>
      </w:r>
      <w:r w:rsidR="00016FAF" w:rsidRPr="00016FAF">
        <w:t xml:space="preserve"> 20</w:t>
      </w:r>
      <w:r w:rsidR="00016FAF">
        <w:t>20</w:t>
      </w:r>
    </w:p>
    <w:p w14:paraId="38040E35" w14:textId="705F88C1" w:rsidR="00581942" w:rsidRDefault="00581942" w:rsidP="00F42300">
      <w:pPr>
        <w:pStyle w:val="Image"/>
      </w:pPr>
      <w:r>
        <w:rPr>
          <w:noProof/>
        </w:rPr>
        <w:drawing>
          <wp:inline distT="0" distB="0" distL="0" distR="0" wp14:anchorId="1C0E48EE" wp14:editId="2312513D">
            <wp:extent cx="5400040" cy="6478905"/>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6478905"/>
                    </a:xfrm>
                    <a:prstGeom prst="rect">
                      <a:avLst/>
                    </a:prstGeom>
                  </pic:spPr>
                </pic:pic>
              </a:graphicData>
            </a:graphic>
          </wp:inline>
        </w:drawing>
      </w:r>
    </w:p>
    <w:p w14:paraId="59B48A84" w14:textId="3A593CEB" w:rsidR="00545B4E" w:rsidRDefault="00545B4E" w:rsidP="00545B4E">
      <w:pPr>
        <w:pStyle w:val="Source"/>
      </w:pPr>
      <w:r w:rsidRPr="00545B4E">
        <w:rPr>
          <w:sz w:val="18"/>
        </w:rPr>
        <w:t xml:space="preserve">Source: ABS, ‘Table 11. CPI: Group, Sub-group and Expenditure Class, Percentage change from previous quarter by Capital City’ [time series spreadsheets], </w:t>
      </w:r>
      <w:hyperlink r:id="rId24" w:history="1">
        <w:r w:rsidRPr="00545B4E">
          <w:rPr>
            <w:rStyle w:val="Hyperlink"/>
            <w:i/>
            <w:iCs/>
          </w:rPr>
          <w:t>Consumer Price Index, Australia</w:t>
        </w:r>
      </w:hyperlink>
      <w:r w:rsidRPr="00545B4E">
        <w:rPr>
          <w:i/>
          <w:iCs/>
          <w:sz w:val="18"/>
        </w:rPr>
        <w:t xml:space="preserve">, </w:t>
      </w:r>
      <w:r w:rsidRPr="00545B4E">
        <w:rPr>
          <w:sz w:val="18"/>
        </w:rPr>
        <w:t>Reference period December 2020, ABS, 2021, accessed 8 July 2021.</w:t>
      </w:r>
      <w:r>
        <w:t xml:space="preserve"> </w:t>
      </w:r>
    </w:p>
    <w:p w14:paraId="158B1767" w14:textId="3FCC3074" w:rsidR="00411A55" w:rsidRDefault="00411A55" w:rsidP="00830799">
      <w:pPr>
        <w:pStyle w:val="Figuretabletitle"/>
      </w:pPr>
      <w:r>
        <w:t xml:space="preserve">Figure 5 Energy retail price indices (inflation </w:t>
      </w:r>
      <w:r w:rsidRPr="00830799">
        <w:t>adjusted</w:t>
      </w:r>
      <w:r>
        <w:t xml:space="preserve">), Canberra and Australia, </w:t>
      </w:r>
      <w:r w:rsidR="00C42662">
        <w:br/>
      </w:r>
      <w:r>
        <w:t>2000-2020</w:t>
      </w:r>
    </w:p>
    <w:p w14:paraId="7969192A" w14:textId="5F0E8E44" w:rsidR="00356F70" w:rsidRDefault="00356F70" w:rsidP="00AD6CEF">
      <w:pPr>
        <w:pStyle w:val="Image"/>
      </w:pPr>
      <w:r>
        <w:rPr>
          <w:noProof/>
        </w:rPr>
        <w:drawing>
          <wp:inline distT="0" distB="0" distL="0" distR="0" wp14:anchorId="4C74B8BE" wp14:editId="33F3095D">
            <wp:extent cx="5400040" cy="3425190"/>
            <wp:effectExtent l="0" t="0" r="0" b="381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425190"/>
                    </a:xfrm>
                    <a:prstGeom prst="rect">
                      <a:avLst/>
                    </a:prstGeom>
                  </pic:spPr>
                </pic:pic>
              </a:graphicData>
            </a:graphic>
          </wp:inline>
        </w:drawing>
      </w:r>
    </w:p>
    <w:p w14:paraId="6EB85E56" w14:textId="7CD09A96" w:rsidR="00E25226" w:rsidRDefault="00E25226" w:rsidP="00E25226">
      <w:pPr>
        <w:pStyle w:val="Source"/>
      </w:pPr>
      <w:r>
        <w:t>Source: Adapted from</w:t>
      </w:r>
      <w:r w:rsidR="00830799">
        <w:t>:</w:t>
      </w:r>
      <w:r>
        <w:t xml:space="preserve"> </w:t>
      </w:r>
      <w:r w:rsidR="005E19AF" w:rsidRPr="005E19AF">
        <w:t xml:space="preserve">AER, ‘Figure 6.10: Energy retail price indices (inflation adjusted)’, </w:t>
      </w:r>
      <w:hyperlink r:id="rId26" w:history="1">
        <w:r w:rsidR="005E19AF" w:rsidRPr="005E19AF">
          <w:rPr>
            <w:rStyle w:val="Hyperlink"/>
            <w:i/>
            <w:iCs/>
          </w:rPr>
          <w:t>State of the Energy Market Report 2021</w:t>
        </w:r>
      </w:hyperlink>
      <w:r w:rsidR="005E19AF" w:rsidRPr="005E19AF">
        <w:t>, Australian Energy Regulator, 2021, accessed 12 July 2021.</w:t>
      </w:r>
    </w:p>
    <w:p w14:paraId="6C47BD3A" w14:textId="2EFD2939" w:rsidR="00A75453" w:rsidRDefault="00E97F35" w:rsidP="00E97F35">
      <w:pPr>
        <w:pStyle w:val="BodyText"/>
      </w:pPr>
      <w:r>
        <w:t>Table 2 highlights how increases in the prices of essential goods and services such as housing, food, energy, and health disproportionately impact low-income households. For ACT households in the lowest income quintile</w:t>
      </w:r>
      <w:r w:rsidR="00C65801">
        <w:t>,</w:t>
      </w:r>
      <w:r>
        <w:t xml:space="preserve"> these items make up just over half </w:t>
      </w:r>
      <w:r w:rsidR="00574648">
        <w:t xml:space="preserve">(51.1%) </w:t>
      </w:r>
      <w:r>
        <w:t xml:space="preserve">of household expenditure, compared to </w:t>
      </w:r>
      <w:r w:rsidR="009761B2">
        <w:t>a bit over one third</w:t>
      </w:r>
      <w:r>
        <w:t xml:space="preserve"> </w:t>
      </w:r>
      <w:r w:rsidR="00574648">
        <w:t xml:space="preserve">(36.0%) </w:t>
      </w:r>
      <w:r>
        <w:t>for those in the highest income quintile.</w:t>
      </w:r>
    </w:p>
    <w:p w14:paraId="3B131C40" w14:textId="410E59B0" w:rsidR="00157499" w:rsidRDefault="00157499" w:rsidP="00C65801">
      <w:pPr>
        <w:pStyle w:val="Figuretabletitle"/>
      </w:pPr>
      <w:r w:rsidRPr="00157499">
        <w:t xml:space="preserve">Table </w:t>
      </w:r>
      <w:r w:rsidR="00D76BE3">
        <w:t>2</w:t>
      </w:r>
      <w:r w:rsidRPr="00157499">
        <w:t xml:space="preserve"> Proportion of household </w:t>
      </w:r>
      <w:r w:rsidRPr="00C65801">
        <w:t>expenditure</w:t>
      </w:r>
      <w:r w:rsidR="0088729B">
        <w:t xml:space="preserve"> on selected essential goods and services</w:t>
      </w:r>
      <w:r w:rsidR="00E97F35">
        <w:t xml:space="preserve"> by </w:t>
      </w:r>
      <w:r w:rsidRPr="00157499">
        <w:t>equivalised disposable household income quintiles, ACT, 2015-16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874"/>
        <w:gridCol w:w="874"/>
        <w:gridCol w:w="874"/>
        <w:gridCol w:w="874"/>
        <w:gridCol w:w="874"/>
        <w:gridCol w:w="873"/>
      </w:tblGrid>
      <w:tr w:rsidR="00B27DD0" w:rsidRPr="003E790B" w14:paraId="0DCDB264" w14:textId="77777777" w:rsidTr="009F1C2F">
        <w:trPr>
          <w:trHeight w:val="290"/>
          <w:tblHeader/>
        </w:trPr>
        <w:tc>
          <w:tcPr>
            <w:tcW w:w="1917" w:type="pct"/>
            <w:tcBorders>
              <w:top w:val="single" w:sz="12" w:space="0" w:color="A6A6A6" w:themeColor="background1" w:themeShade="A6"/>
              <w:bottom w:val="single" w:sz="12" w:space="0" w:color="A6A6A6" w:themeColor="background1" w:themeShade="A6"/>
            </w:tcBorders>
            <w:noWrap/>
            <w:hideMark/>
          </w:tcPr>
          <w:p w14:paraId="018474E6" w14:textId="77777777" w:rsidR="00B27DD0" w:rsidRPr="003E790B" w:rsidRDefault="00B27DD0" w:rsidP="002E0B70">
            <w:pPr>
              <w:pStyle w:val="Tableheading"/>
            </w:pPr>
            <w:r w:rsidRPr="003E790B">
              <w:t>Goods and services</w:t>
            </w:r>
          </w:p>
        </w:tc>
        <w:tc>
          <w:tcPr>
            <w:tcW w:w="514" w:type="pct"/>
            <w:tcBorders>
              <w:top w:val="single" w:sz="12" w:space="0" w:color="A6A6A6" w:themeColor="background1" w:themeShade="A6"/>
              <w:bottom w:val="single" w:sz="12" w:space="0" w:color="A6A6A6" w:themeColor="background1" w:themeShade="A6"/>
            </w:tcBorders>
            <w:noWrap/>
            <w:hideMark/>
          </w:tcPr>
          <w:p w14:paraId="518547FD" w14:textId="77777777" w:rsidR="00B27DD0" w:rsidRPr="003E790B" w:rsidRDefault="00B27DD0" w:rsidP="002E0B70">
            <w:pPr>
              <w:pStyle w:val="Tableheading"/>
            </w:pPr>
            <w:r>
              <w:t>Q1 - low</w:t>
            </w:r>
          </w:p>
        </w:tc>
        <w:tc>
          <w:tcPr>
            <w:tcW w:w="514" w:type="pct"/>
            <w:tcBorders>
              <w:top w:val="single" w:sz="12" w:space="0" w:color="A6A6A6" w:themeColor="background1" w:themeShade="A6"/>
              <w:bottom w:val="single" w:sz="12" w:space="0" w:color="A6A6A6" w:themeColor="background1" w:themeShade="A6"/>
            </w:tcBorders>
            <w:hideMark/>
          </w:tcPr>
          <w:p w14:paraId="012783BD" w14:textId="77777777" w:rsidR="00B27DD0" w:rsidRPr="003E790B" w:rsidRDefault="00B27DD0" w:rsidP="002E0B70">
            <w:pPr>
              <w:pStyle w:val="Tableheading"/>
            </w:pPr>
            <w:r>
              <w:t>Q2</w:t>
            </w:r>
          </w:p>
        </w:tc>
        <w:tc>
          <w:tcPr>
            <w:tcW w:w="514" w:type="pct"/>
            <w:tcBorders>
              <w:top w:val="single" w:sz="12" w:space="0" w:color="A6A6A6" w:themeColor="background1" w:themeShade="A6"/>
              <w:bottom w:val="single" w:sz="12" w:space="0" w:color="A6A6A6" w:themeColor="background1" w:themeShade="A6"/>
            </w:tcBorders>
            <w:hideMark/>
          </w:tcPr>
          <w:p w14:paraId="63F5ABE5" w14:textId="77777777" w:rsidR="00B27DD0" w:rsidRPr="003E790B" w:rsidRDefault="00B27DD0" w:rsidP="002E0B70">
            <w:pPr>
              <w:pStyle w:val="Tableheading"/>
            </w:pPr>
            <w:r>
              <w:t>Q3</w:t>
            </w:r>
          </w:p>
        </w:tc>
        <w:tc>
          <w:tcPr>
            <w:tcW w:w="514" w:type="pct"/>
            <w:tcBorders>
              <w:top w:val="single" w:sz="12" w:space="0" w:color="A6A6A6" w:themeColor="background1" w:themeShade="A6"/>
              <w:bottom w:val="single" w:sz="12" w:space="0" w:color="A6A6A6" w:themeColor="background1" w:themeShade="A6"/>
            </w:tcBorders>
            <w:hideMark/>
          </w:tcPr>
          <w:p w14:paraId="62D05FE9" w14:textId="77777777" w:rsidR="00B27DD0" w:rsidRPr="003E790B" w:rsidRDefault="00B27DD0" w:rsidP="002E0B70">
            <w:pPr>
              <w:pStyle w:val="Tableheading"/>
            </w:pPr>
            <w:r>
              <w:t>Q4</w:t>
            </w:r>
          </w:p>
        </w:tc>
        <w:tc>
          <w:tcPr>
            <w:tcW w:w="514" w:type="pct"/>
            <w:tcBorders>
              <w:top w:val="single" w:sz="12" w:space="0" w:color="A6A6A6" w:themeColor="background1" w:themeShade="A6"/>
              <w:bottom w:val="single" w:sz="12" w:space="0" w:color="A6A6A6" w:themeColor="background1" w:themeShade="A6"/>
            </w:tcBorders>
            <w:hideMark/>
          </w:tcPr>
          <w:p w14:paraId="6EFC4C47" w14:textId="77777777" w:rsidR="00B27DD0" w:rsidRPr="003E790B" w:rsidRDefault="00B27DD0" w:rsidP="002E0B70">
            <w:pPr>
              <w:pStyle w:val="Tableheading"/>
            </w:pPr>
            <w:r>
              <w:t>Q5 - high</w:t>
            </w:r>
          </w:p>
        </w:tc>
        <w:tc>
          <w:tcPr>
            <w:tcW w:w="513" w:type="pct"/>
            <w:tcBorders>
              <w:top w:val="single" w:sz="12" w:space="0" w:color="A6A6A6" w:themeColor="background1" w:themeShade="A6"/>
              <w:bottom w:val="single" w:sz="12" w:space="0" w:color="A6A6A6" w:themeColor="background1" w:themeShade="A6"/>
            </w:tcBorders>
            <w:noWrap/>
            <w:hideMark/>
          </w:tcPr>
          <w:p w14:paraId="60072971" w14:textId="77777777" w:rsidR="00B27DD0" w:rsidRPr="003E790B" w:rsidRDefault="00B27DD0" w:rsidP="002E0B70">
            <w:pPr>
              <w:pStyle w:val="Tableheading"/>
            </w:pPr>
            <w:r>
              <w:t>All</w:t>
            </w:r>
          </w:p>
        </w:tc>
      </w:tr>
      <w:tr w:rsidR="00B27DD0" w:rsidRPr="003E790B" w14:paraId="6D275CAF" w14:textId="77777777" w:rsidTr="009F1C2F">
        <w:trPr>
          <w:trHeight w:val="290"/>
        </w:trPr>
        <w:tc>
          <w:tcPr>
            <w:tcW w:w="1917" w:type="pct"/>
            <w:tcBorders>
              <w:top w:val="single" w:sz="12" w:space="0" w:color="A6A6A6" w:themeColor="background1" w:themeShade="A6"/>
            </w:tcBorders>
            <w:shd w:val="clear" w:color="auto" w:fill="D9E2F3" w:themeFill="accent1" w:themeFillTint="33"/>
            <w:noWrap/>
            <w:hideMark/>
          </w:tcPr>
          <w:p w14:paraId="27414DBE" w14:textId="77777777" w:rsidR="00B27DD0" w:rsidRPr="003E790B" w:rsidRDefault="00B27DD0" w:rsidP="002E0B70">
            <w:pPr>
              <w:pStyle w:val="TableBody"/>
            </w:pPr>
            <w:r w:rsidRPr="003E790B">
              <w:t>Current housing costs (selected dwelling)</w:t>
            </w:r>
          </w:p>
        </w:tc>
        <w:tc>
          <w:tcPr>
            <w:tcW w:w="514" w:type="pct"/>
            <w:tcBorders>
              <w:top w:val="single" w:sz="12" w:space="0" w:color="A6A6A6" w:themeColor="background1" w:themeShade="A6"/>
            </w:tcBorders>
            <w:shd w:val="clear" w:color="auto" w:fill="D9E2F3" w:themeFill="accent1" w:themeFillTint="33"/>
            <w:noWrap/>
            <w:vAlign w:val="center"/>
            <w:hideMark/>
          </w:tcPr>
          <w:p w14:paraId="0F503A55" w14:textId="77777777" w:rsidR="00B27DD0" w:rsidRPr="003E790B" w:rsidRDefault="00B27DD0" w:rsidP="002E0B70">
            <w:pPr>
              <w:pStyle w:val="TableBody"/>
              <w:jc w:val="right"/>
            </w:pPr>
            <w:r w:rsidRPr="003E790B">
              <w:t>23.2</w:t>
            </w:r>
          </w:p>
        </w:tc>
        <w:tc>
          <w:tcPr>
            <w:tcW w:w="514" w:type="pct"/>
            <w:tcBorders>
              <w:top w:val="single" w:sz="12" w:space="0" w:color="A6A6A6" w:themeColor="background1" w:themeShade="A6"/>
            </w:tcBorders>
            <w:shd w:val="clear" w:color="auto" w:fill="D9E2F3" w:themeFill="accent1" w:themeFillTint="33"/>
            <w:noWrap/>
            <w:vAlign w:val="center"/>
            <w:hideMark/>
          </w:tcPr>
          <w:p w14:paraId="13DA8D39" w14:textId="77777777" w:rsidR="00B27DD0" w:rsidRPr="003E790B" w:rsidRDefault="00B27DD0" w:rsidP="002E0B70">
            <w:pPr>
              <w:pStyle w:val="TableBody"/>
              <w:jc w:val="right"/>
            </w:pPr>
            <w:r w:rsidRPr="003E790B">
              <w:t>18.4</w:t>
            </w:r>
          </w:p>
        </w:tc>
        <w:tc>
          <w:tcPr>
            <w:tcW w:w="514" w:type="pct"/>
            <w:tcBorders>
              <w:top w:val="single" w:sz="12" w:space="0" w:color="A6A6A6" w:themeColor="background1" w:themeShade="A6"/>
            </w:tcBorders>
            <w:shd w:val="clear" w:color="auto" w:fill="D9E2F3" w:themeFill="accent1" w:themeFillTint="33"/>
            <w:noWrap/>
            <w:vAlign w:val="center"/>
            <w:hideMark/>
          </w:tcPr>
          <w:p w14:paraId="42687BFA" w14:textId="77777777" w:rsidR="00B27DD0" w:rsidRPr="003E790B" w:rsidRDefault="00B27DD0" w:rsidP="002E0B70">
            <w:pPr>
              <w:pStyle w:val="TableBody"/>
              <w:jc w:val="right"/>
            </w:pPr>
            <w:r w:rsidRPr="003E790B">
              <w:t>22.3</w:t>
            </w:r>
          </w:p>
        </w:tc>
        <w:tc>
          <w:tcPr>
            <w:tcW w:w="514" w:type="pct"/>
            <w:tcBorders>
              <w:top w:val="single" w:sz="12" w:space="0" w:color="A6A6A6" w:themeColor="background1" w:themeShade="A6"/>
            </w:tcBorders>
            <w:shd w:val="clear" w:color="auto" w:fill="D9E2F3" w:themeFill="accent1" w:themeFillTint="33"/>
            <w:noWrap/>
            <w:vAlign w:val="center"/>
            <w:hideMark/>
          </w:tcPr>
          <w:p w14:paraId="3D690F78" w14:textId="77777777" w:rsidR="00B27DD0" w:rsidRPr="003E790B" w:rsidRDefault="00B27DD0" w:rsidP="002E0B70">
            <w:pPr>
              <w:pStyle w:val="TableBody"/>
              <w:jc w:val="right"/>
            </w:pPr>
            <w:r w:rsidRPr="003E790B">
              <w:t>13.6</w:t>
            </w:r>
          </w:p>
        </w:tc>
        <w:tc>
          <w:tcPr>
            <w:tcW w:w="514" w:type="pct"/>
            <w:tcBorders>
              <w:top w:val="single" w:sz="12" w:space="0" w:color="A6A6A6" w:themeColor="background1" w:themeShade="A6"/>
            </w:tcBorders>
            <w:shd w:val="clear" w:color="auto" w:fill="D9E2F3" w:themeFill="accent1" w:themeFillTint="33"/>
            <w:noWrap/>
            <w:vAlign w:val="center"/>
            <w:hideMark/>
          </w:tcPr>
          <w:p w14:paraId="02834CC8" w14:textId="77777777" w:rsidR="00B27DD0" w:rsidRPr="003E790B" w:rsidRDefault="00B27DD0" w:rsidP="002E0B70">
            <w:pPr>
              <w:pStyle w:val="TableBody"/>
              <w:jc w:val="right"/>
            </w:pPr>
            <w:r w:rsidRPr="003E790B">
              <w:t>14.0</w:t>
            </w:r>
          </w:p>
        </w:tc>
        <w:tc>
          <w:tcPr>
            <w:tcW w:w="513" w:type="pct"/>
            <w:tcBorders>
              <w:top w:val="single" w:sz="12" w:space="0" w:color="A6A6A6" w:themeColor="background1" w:themeShade="A6"/>
            </w:tcBorders>
            <w:shd w:val="clear" w:color="auto" w:fill="D9E2F3" w:themeFill="accent1" w:themeFillTint="33"/>
            <w:noWrap/>
            <w:vAlign w:val="center"/>
            <w:hideMark/>
          </w:tcPr>
          <w:p w14:paraId="02255480" w14:textId="77777777" w:rsidR="00B27DD0" w:rsidRPr="003E790B" w:rsidRDefault="00B27DD0" w:rsidP="002E0B70">
            <w:pPr>
              <w:pStyle w:val="TableBody"/>
              <w:jc w:val="right"/>
            </w:pPr>
            <w:r w:rsidRPr="003E790B">
              <w:t>17.7</w:t>
            </w:r>
          </w:p>
        </w:tc>
      </w:tr>
      <w:tr w:rsidR="00B27DD0" w:rsidRPr="003E790B" w14:paraId="09E3C86F" w14:textId="77777777" w:rsidTr="00057CF1">
        <w:trPr>
          <w:trHeight w:val="290"/>
        </w:trPr>
        <w:tc>
          <w:tcPr>
            <w:tcW w:w="1917" w:type="pct"/>
            <w:noWrap/>
            <w:hideMark/>
          </w:tcPr>
          <w:p w14:paraId="1A1BA088" w14:textId="77777777" w:rsidR="00B27DD0" w:rsidRPr="003E790B" w:rsidRDefault="00B27DD0" w:rsidP="002E0B70">
            <w:pPr>
              <w:pStyle w:val="TableBody"/>
            </w:pPr>
            <w:r w:rsidRPr="003E790B">
              <w:t>Food and non-alcoholic beverages</w:t>
            </w:r>
          </w:p>
        </w:tc>
        <w:tc>
          <w:tcPr>
            <w:tcW w:w="514" w:type="pct"/>
            <w:noWrap/>
            <w:vAlign w:val="center"/>
            <w:hideMark/>
          </w:tcPr>
          <w:p w14:paraId="30EA3016" w14:textId="77777777" w:rsidR="00B27DD0" w:rsidRPr="003E790B" w:rsidRDefault="00B27DD0" w:rsidP="002E0B70">
            <w:pPr>
              <w:pStyle w:val="TableBody"/>
              <w:jc w:val="right"/>
            </w:pPr>
            <w:r w:rsidRPr="003E790B">
              <w:t>20.5</w:t>
            </w:r>
          </w:p>
        </w:tc>
        <w:tc>
          <w:tcPr>
            <w:tcW w:w="514" w:type="pct"/>
            <w:noWrap/>
            <w:vAlign w:val="center"/>
            <w:hideMark/>
          </w:tcPr>
          <w:p w14:paraId="23439C0D" w14:textId="77777777" w:rsidR="00B27DD0" w:rsidRPr="003E790B" w:rsidRDefault="00B27DD0" w:rsidP="002E0B70">
            <w:pPr>
              <w:pStyle w:val="TableBody"/>
              <w:jc w:val="right"/>
            </w:pPr>
            <w:r w:rsidRPr="003E790B">
              <w:t>17.1</w:t>
            </w:r>
          </w:p>
        </w:tc>
        <w:tc>
          <w:tcPr>
            <w:tcW w:w="514" w:type="pct"/>
            <w:noWrap/>
            <w:vAlign w:val="center"/>
            <w:hideMark/>
          </w:tcPr>
          <w:p w14:paraId="73C67350" w14:textId="77777777" w:rsidR="00B27DD0" w:rsidRPr="003E790B" w:rsidRDefault="00B27DD0" w:rsidP="002E0B70">
            <w:pPr>
              <w:pStyle w:val="TableBody"/>
              <w:jc w:val="right"/>
            </w:pPr>
            <w:r w:rsidRPr="003E790B">
              <w:t>17.2</w:t>
            </w:r>
          </w:p>
        </w:tc>
        <w:tc>
          <w:tcPr>
            <w:tcW w:w="514" w:type="pct"/>
            <w:noWrap/>
            <w:vAlign w:val="center"/>
            <w:hideMark/>
          </w:tcPr>
          <w:p w14:paraId="1F42C70A" w14:textId="77777777" w:rsidR="00B27DD0" w:rsidRPr="003E790B" w:rsidRDefault="00B27DD0" w:rsidP="002E0B70">
            <w:pPr>
              <w:pStyle w:val="TableBody"/>
              <w:jc w:val="right"/>
            </w:pPr>
            <w:r w:rsidRPr="003E790B">
              <w:t>15.1</w:t>
            </w:r>
          </w:p>
        </w:tc>
        <w:tc>
          <w:tcPr>
            <w:tcW w:w="514" w:type="pct"/>
            <w:noWrap/>
            <w:vAlign w:val="center"/>
            <w:hideMark/>
          </w:tcPr>
          <w:p w14:paraId="5FDA9197" w14:textId="77777777" w:rsidR="00B27DD0" w:rsidRPr="003E790B" w:rsidRDefault="00B27DD0" w:rsidP="002E0B70">
            <w:pPr>
              <w:pStyle w:val="TableBody"/>
              <w:jc w:val="right"/>
            </w:pPr>
            <w:r w:rsidRPr="003E790B">
              <w:t>14.2</w:t>
            </w:r>
          </w:p>
        </w:tc>
        <w:tc>
          <w:tcPr>
            <w:tcW w:w="513" w:type="pct"/>
            <w:noWrap/>
            <w:vAlign w:val="center"/>
            <w:hideMark/>
          </w:tcPr>
          <w:p w14:paraId="5F102838" w14:textId="77777777" w:rsidR="00B27DD0" w:rsidRPr="003E790B" w:rsidRDefault="00B27DD0" w:rsidP="002E0B70">
            <w:pPr>
              <w:pStyle w:val="TableBody"/>
              <w:jc w:val="right"/>
            </w:pPr>
            <w:r w:rsidRPr="003E790B">
              <w:t>16.1</w:t>
            </w:r>
          </w:p>
        </w:tc>
      </w:tr>
      <w:tr w:rsidR="00B27DD0" w:rsidRPr="003E790B" w14:paraId="087F1A15" w14:textId="77777777" w:rsidTr="003027F6">
        <w:trPr>
          <w:trHeight w:val="290"/>
        </w:trPr>
        <w:tc>
          <w:tcPr>
            <w:tcW w:w="1917" w:type="pct"/>
            <w:shd w:val="clear" w:color="auto" w:fill="D9E2F3" w:themeFill="accent1" w:themeFillTint="33"/>
            <w:noWrap/>
            <w:hideMark/>
          </w:tcPr>
          <w:p w14:paraId="23F06C03" w14:textId="77777777" w:rsidR="00B27DD0" w:rsidRPr="003E790B" w:rsidRDefault="00B27DD0" w:rsidP="002E0B70">
            <w:pPr>
              <w:pStyle w:val="TableBody"/>
            </w:pPr>
            <w:r w:rsidRPr="003E790B">
              <w:t>Domestic fuel and power</w:t>
            </w:r>
          </w:p>
        </w:tc>
        <w:tc>
          <w:tcPr>
            <w:tcW w:w="514" w:type="pct"/>
            <w:shd w:val="clear" w:color="auto" w:fill="D9E2F3" w:themeFill="accent1" w:themeFillTint="33"/>
            <w:noWrap/>
            <w:vAlign w:val="center"/>
            <w:hideMark/>
          </w:tcPr>
          <w:p w14:paraId="596C72E6" w14:textId="77777777" w:rsidR="00B27DD0" w:rsidRPr="003E790B" w:rsidRDefault="00B27DD0" w:rsidP="002E0B70">
            <w:pPr>
              <w:pStyle w:val="TableBody"/>
              <w:jc w:val="right"/>
            </w:pPr>
            <w:r w:rsidRPr="003E790B">
              <w:t>4.0</w:t>
            </w:r>
          </w:p>
        </w:tc>
        <w:tc>
          <w:tcPr>
            <w:tcW w:w="514" w:type="pct"/>
            <w:shd w:val="clear" w:color="auto" w:fill="D9E2F3" w:themeFill="accent1" w:themeFillTint="33"/>
            <w:noWrap/>
            <w:vAlign w:val="center"/>
            <w:hideMark/>
          </w:tcPr>
          <w:p w14:paraId="3080CA28" w14:textId="77777777" w:rsidR="00B27DD0" w:rsidRPr="003E790B" w:rsidRDefault="00B27DD0" w:rsidP="002E0B70">
            <w:pPr>
              <w:pStyle w:val="TableBody"/>
              <w:jc w:val="right"/>
            </w:pPr>
            <w:r w:rsidRPr="003E790B">
              <w:t>4.4</w:t>
            </w:r>
          </w:p>
        </w:tc>
        <w:tc>
          <w:tcPr>
            <w:tcW w:w="514" w:type="pct"/>
            <w:shd w:val="clear" w:color="auto" w:fill="D9E2F3" w:themeFill="accent1" w:themeFillTint="33"/>
            <w:noWrap/>
            <w:vAlign w:val="center"/>
            <w:hideMark/>
          </w:tcPr>
          <w:p w14:paraId="57D829E3" w14:textId="77777777" w:rsidR="00B27DD0" w:rsidRPr="003E790B" w:rsidRDefault="00B27DD0" w:rsidP="002E0B70">
            <w:pPr>
              <w:pStyle w:val="TableBody"/>
              <w:jc w:val="right"/>
            </w:pPr>
            <w:r w:rsidRPr="003E790B">
              <w:t>3.0</w:t>
            </w:r>
          </w:p>
        </w:tc>
        <w:tc>
          <w:tcPr>
            <w:tcW w:w="514" w:type="pct"/>
            <w:shd w:val="clear" w:color="auto" w:fill="D9E2F3" w:themeFill="accent1" w:themeFillTint="33"/>
            <w:noWrap/>
            <w:vAlign w:val="center"/>
            <w:hideMark/>
          </w:tcPr>
          <w:p w14:paraId="1ACBBCA3" w14:textId="77777777" w:rsidR="00B27DD0" w:rsidRPr="003E790B" w:rsidRDefault="00B27DD0" w:rsidP="002E0B70">
            <w:pPr>
              <w:pStyle w:val="TableBody"/>
              <w:jc w:val="right"/>
            </w:pPr>
            <w:r w:rsidRPr="003E790B">
              <w:t>2.2</w:t>
            </w:r>
          </w:p>
        </w:tc>
        <w:tc>
          <w:tcPr>
            <w:tcW w:w="514" w:type="pct"/>
            <w:shd w:val="clear" w:color="auto" w:fill="D9E2F3" w:themeFill="accent1" w:themeFillTint="33"/>
            <w:noWrap/>
            <w:vAlign w:val="center"/>
            <w:hideMark/>
          </w:tcPr>
          <w:p w14:paraId="15108485" w14:textId="77777777" w:rsidR="00B27DD0" w:rsidRPr="003E790B" w:rsidRDefault="00B27DD0" w:rsidP="002E0B70">
            <w:pPr>
              <w:pStyle w:val="TableBody"/>
              <w:jc w:val="right"/>
            </w:pPr>
            <w:r w:rsidRPr="003E790B">
              <w:t>2.4</w:t>
            </w:r>
          </w:p>
        </w:tc>
        <w:tc>
          <w:tcPr>
            <w:tcW w:w="513" w:type="pct"/>
            <w:shd w:val="clear" w:color="auto" w:fill="D9E2F3" w:themeFill="accent1" w:themeFillTint="33"/>
            <w:noWrap/>
            <w:vAlign w:val="center"/>
            <w:hideMark/>
          </w:tcPr>
          <w:p w14:paraId="35B8AAD9" w14:textId="77777777" w:rsidR="00B27DD0" w:rsidRPr="003E790B" w:rsidRDefault="00B27DD0" w:rsidP="002E0B70">
            <w:pPr>
              <w:pStyle w:val="TableBody"/>
              <w:jc w:val="right"/>
            </w:pPr>
            <w:r w:rsidRPr="003E790B">
              <w:t>2.8</w:t>
            </w:r>
          </w:p>
        </w:tc>
      </w:tr>
      <w:tr w:rsidR="003027F6" w:rsidRPr="003E790B" w14:paraId="6B48DF2A" w14:textId="77777777" w:rsidTr="009F1C2F">
        <w:trPr>
          <w:trHeight w:val="290"/>
        </w:trPr>
        <w:tc>
          <w:tcPr>
            <w:tcW w:w="1917" w:type="pct"/>
            <w:tcBorders>
              <w:bottom w:val="single" w:sz="12" w:space="0" w:color="A6A6A6" w:themeColor="background1" w:themeShade="A6"/>
            </w:tcBorders>
            <w:shd w:val="clear" w:color="auto" w:fill="FFFFFF" w:themeFill="background1"/>
            <w:noWrap/>
            <w:hideMark/>
          </w:tcPr>
          <w:p w14:paraId="05E39BE3" w14:textId="77777777" w:rsidR="00B27DD0" w:rsidRPr="003E790B" w:rsidRDefault="00B27DD0" w:rsidP="002E0B70">
            <w:pPr>
              <w:pStyle w:val="TableBody"/>
            </w:pPr>
            <w:r w:rsidRPr="003E790B">
              <w:t>Medical care and health expenses</w:t>
            </w:r>
          </w:p>
        </w:tc>
        <w:tc>
          <w:tcPr>
            <w:tcW w:w="514" w:type="pct"/>
            <w:tcBorders>
              <w:bottom w:val="single" w:sz="12" w:space="0" w:color="A6A6A6" w:themeColor="background1" w:themeShade="A6"/>
            </w:tcBorders>
            <w:shd w:val="clear" w:color="auto" w:fill="FFFFFF" w:themeFill="background1"/>
            <w:noWrap/>
            <w:vAlign w:val="center"/>
            <w:hideMark/>
          </w:tcPr>
          <w:p w14:paraId="07DFF436" w14:textId="77777777" w:rsidR="00B27DD0" w:rsidRPr="003E790B" w:rsidRDefault="00B27DD0" w:rsidP="002E0B70">
            <w:pPr>
              <w:pStyle w:val="TableBody"/>
              <w:jc w:val="right"/>
            </w:pPr>
            <w:r w:rsidRPr="003E790B">
              <w:t>3.4</w:t>
            </w:r>
          </w:p>
        </w:tc>
        <w:tc>
          <w:tcPr>
            <w:tcW w:w="514" w:type="pct"/>
            <w:tcBorders>
              <w:bottom w:val="single" w:sz="12" w:space="0" w:color="A6A6A6" w:themeColor="background1" w:themeShade="A6"/>
            </w:tcBorders>
            <w:shd w:val="clear" w:color="auto" w:fill="FFFFFF" w:themeFill="background1"/>
            <w:noWrap/>
            <w:vAlign w:val="center"/>
            <w:hideMark/>
          </w:tcPr>
          <w:p w14:paraId="35A87D8E" w14:textId="77777777" w:rsidR="00B27DD0" w:rsidRPr="003E790B" w:rsidRDefault="00B27DD0" w:rsidP="002E0B70">
            <w:pPr>
              <w:pStyle w:val="TableBody"/>
              <w:jc w:val="right"/>
            </w:pPr>
            <w:r w:rsidRPr="003E790B">
              <w:t>5.7</w:t>
            </w:r>
          </w:p>
        </w:tc>
        <w:tc>
          <w:tcPr>
            <w:tcW w:w="514" w:type="pct"/>
            <w:tcBorders>
              <w:bottom w:val="single" w:sz="12" w:space="0" w:color="A6A6A6" w:themeColor="background1" w:themeShade="A6"/>
            </w:tcBorders>
            <w:shd w:val="clear" w:color="auto" w:fill="FFFFFF" w:themeFill="background1"/>
            <w:noWrap/>
            <w:vAlign w:val="center"/>
            <w:hideMark/>
          </w:tcPr>
          <w:p w14:paraId="1BE5846F" w14:textId="77777777" w:rsidR="00B27DD0" w:rsidRPr="003E790B" w:rsidRDefault="00B27DD0" w:rsidP="002E0B70">
            <w:pPr>
              <w:pStyle w:val="TableBody"/>
              <w:jc w:val="right"/>
            </w:pPr>
            <w:r w:rsidRPr="003E790B">
              <w:t>4.5</w:t>
            </w:r>
          </w:p>
        </w:tc>
        <w:tc>
          <w:tcPr>
            <w:tcW w:w="514" w:type="pct"/>
            <w:tcBorders>
              <w:bottom w:val="single" w:sz="12" w:space="0" w:color="A6A6A6" w:themeColor="background1" w:themeShade="A6"/>
            </w:tcBorders>
            <w:shd w:val="clear" w:color="auto" w:fill="FFFFFF" w:themeFill="background1"/>
            <w:noWrap/>
            <w:vAlign w:val="center"/>
            <w:hideMark/>
          </w:tcPr>
          <w:p w14:paraId="4F16539D" w14:textId="77777777" w:rsidR="00B27DD0" w:rsidRPr="003E790B" w:rsidRDefault="00B27DD0" w:rsidP="002E0B70">
            <w:pPr>
              <w:pStyle w:val="TableBody"/>
              <w:jc w:val="right"/>
            </w:pPr>
            <w:r w:rsidRPr="003E790B">
              <w:t>7.1</w:t>
            </w:r>
          </w:p>
        </w:tc>
        <w:tc>
          <w:tcPr>
            <w:tcW w:w="514" w:type="pct"/>
            <w:tcBorders>
              <w:bottom w:val="single" w:sz="12" w:space="0" w:color="A6A6A6" w:themeColor="background1" w:themeShade="A6"/>
            </w:tcBorders>
            <w:shd w:val="clear" w:color="auto" w:fill="FFFFFF" w:themeFill="background1"/>
            <w:noWrap/>
            <w:vAlign w:val="center"/>
            <w:hideMark/>
          </w:tcPr>
          <w:p w14:paraId="26929E34" w14:textId="77777777" w:rsidR="00B27DD0" w:rsidRPr="003E790B" w:rsidRDefault="00B27DD0" w:rsidP="002E0B70">
            <w:pPr>
              <w:pStyle w:val="TableBody"/>
              <w:jc w:val="right"/>
            </w:pPr>
            <w:r w:rsidRPr="003E790B">
              <w:t>5.4</w:t>
            </w:r>
          </w:p>
        </w:tc>
        <w:tc>
          <w:tcPr>
            <w:tcW w:w="513" w:type="pct"/>
            <w:tcBorders>
              <w:bottom w:val="single" w:sz="12" w:space="0" w:color="A6A6A6" w:themeColor="background1" w:themeShade="A6"/>
            </w:tcBorders>
            <w:shd w:val="clear" w:color="auto" w:fill="FFFFFF" w:themeFill="background1"/>
            <w:noWrap/>
            <w:vAlign w:val="center"/>
            <w:hideMark/>
          </w:tcPr>
          <w:p w14:paraId="61CC0782" w14:textId="77777777" w:rsidR="00B27DD0" w:rsidRPr="003E790B" w:rsidRDefault="00B27DD0" w:rsidP="002E0B70">
            <w:pPr>
              <w:pStyle w:val="TableBody"/>
              <w:jc w:val="right"/>
            </w:pPr>
            <w:r w:rsidRPr="003E790B">
              <w:t>5.5</w:t>
            </w:r>
          </w:p>
        </w:tc>
      </w:tr>
      <w:tr w:rsidR="009F1A41" w:rsidRPr="003E790B" w14:paraId="059AA7F8" w14:textId="77777777" w:rsidTr="009F1C2F">
        <w:trPr>
          <w:trHeight w:val="290"/>
        </w:trPr>
        <w:tc>
          <w:tcPr>
            <w:tcW w:w="1917" w:type="pct"/>
            <w:tcBorders>
              <w:top w:val="single" w:sz="12" w:space="0" w:color="A6A6A6" w:themeColor="background1" w:themeShade="A6"/>
              <w:bottom w:val="single" w:sz="12" w:space="0" w:color="A6A6A6" w:themeColor="background1" w:themeShade="A6"/>
            </w:tcBorders>
            <w:shd w:val="clear" w:color="auto" w:fill="D9E2F3" w:themeFill="accent1" w:themeFillTint="33"/>
            <w:noWrap/>
          </w:tcPr>
          <w:p w14:paraId="40A90F8C" w14:textId="618E5817" w:rsidR="009F1A41" w:rsidRPr="003E790B" w:rsidRDefault="003027F6" w:rsidP="002E0B70">
            <w:pPr>
              <w:pStyle w:val="TableBody"/>
            </w:pPr>
            <w:r>
              <w:t>Total</w:t>
            </w:r>
          </w:p>
        </w:tc>
        <w:tc>
          <w:tcPr>
            <w:tcW w:w="514" w:type="pct"/>
            <w:tcBorders>
              <w:top w:val="single" w:sz="12" w:space="0" w:color="A6A6A6" w:themeColor="background1" w:themeShade="A6"/>
              <w:bottom w:val="single" w:sz="12" w:space="0" w:color="A6A6A6" w:themeColor="background1" w:themeShade="A6"/>
            </w:tcBorders>
            <w:shd w:val="clear" w:color="auto" w:fill="D9E2F3" w:themeFill="accent1" w:themeFillTint="33"/>
            <w:noWrap/>
            <w:vAlign w:val="center"/>
          </w:tcPr>
          <w:p w14:paraId="30C63F88" w14:textId="03190EB5" w:rsidR="009F1A41" w:rsidRPr="003E790B" w:rsidRDefault="00A77560" w:rsidP="002E0B70">
            <w:pPr>
              <w:pStyle w:val="TableBody"/>
              <w:jc w:val="right"/>
            </w:pPr>
            <w:r>
              <w:t>51.1</w:t>
            </w:r>
          </w:p>
        </w:tc>
        <w:tc>
          <w:tcPr>
            <w:tcW w:w="514" w:type="pct"/>
            <w:tcBorders>
              <w:top w:val="single" w:sz="12" w:space="0" w:color="A6A6A6" w:themeColor="background1" w:themeShade="A6"/>
              <w:bottom w:val="single" w:sz="12" w:space="0" w:color="A6A6A6" w:themeColor="background1" w:themeShade="A6"/>
            </w:tcBorders>
            <w:shd w:val="clear" w:color="auto" w:fill="D9E2F3" w:themeFill="accent1" w:themeFillTint="33"/>
            <w:noWrap/>
            <w:vAlign w:val="center"/>
          </w:tcPr>
          <w:p w14:paraId="40801DCC" w14:textId="5CA7B21A" w:rsidR="009F1A41" w:rsidRPr="003E790B" w:rsidRDefault="000D41F0" w:rsidP="002E0B70">
            <w:pPr>
              <w:pStyle w:val="TableBody"/>
              <w:jc w:val="right"/>
            </w:pPr>
            <w:r>
              <w:t>45.6</w:t>
            </w:r>
          </w:p>
        </w:tc>
        <w:tc>
          <w:tcPr>
            <w:tcW w:w="514" w:type="pct"/>
            <w:tcBorders>
              <w:top w:val="single" w:sz="12" w:space="0" w:color="A6A6A6" w:themeColor="background1" w:themeShade="A6"/>
              <w:bottom w:val="single" w:sz="12" w:space="0" w:color="A6A6A6" w:themeColor="background1" w:themeShade="A6"/>
            </w:tcBorders>
            <w:shd w:val="clear" w:color="auto" w:fill="D9E2F3" w:themeFill="accent1" w:themeFillTint="33"/>
            <w:noWrap/>
            <w:vAlign w:val="center"/>
          </w:tcPr>
          <w:p w14:paraId="0E03E956" w14:textId="6C1EDACB" w:rsidR="009F1A41" w:rsidRPr="003E790B" w:rsidRDefault="00D509B8" w:rsidP="002E0B70">
            <w:pPr>
              <w:pStyle w:val="TableBody"/>
              <w:jc w:val="right"/>
            </w:pPr>
            <w:r>
              <w:t>47.0</w:t>
            </w:r>
          </w:p>
        </w:tc>
        <w:tc>
          <w:tcPr>
            <w:tcW w:w="514" w:type="pct"/>
            <w:tcBorders>
              <w:top w:val="single" w:sz="12" w:space="0" w:color="A6A6A6" w:themeColor="background1" w:themeShade="A6"/>
              <w:bottom w:val="single" w:sz="12" w:space="0" w:color="A6A6A6" w:themeColor="background1" w:themeShade="A6"/>
            </w:tcBorders>
            <w:shd w:val="clear" w:color="auto" w:fill="D9E2F3" w:themeFill="accent1" w:themeFillTint="33"/>
            <w:noWrap/>
            <w:vAlign w:val="center"/>
          </w:tcPr>
          <w:p w14:paraId="471B53FF" w14:textId="3B09898D" w:rsidR="009F1A41" w:rsidRPr="003E790B" w:rsidRDefault="00D509B8" w:rsidP="002E0B70">
            <w:pPr>
              <w:pStyle w:val="TableBody"/>
              <w:jc w:val="right"/>
            </w:pPr>
            <w:r>
              <w:t>38.0</w:t>
            </w:r>
          </w:p>
        </w:tc>
        <w:tc>
          <w:tcPr>
            <w:tcW w:w="514" w:type="pct"/>
            <w:tcBorders>
              <w:top w:val="single" w:sz="12" w:space="0" w:color="A6A6A6" w:themeColor="background1" w:themeShade="A6"/>
              <w:bottom w:val="single" w:sz="12" w:space="0" w:color="A6A6A6" w:themeColor="background1" w:themeShade="A6"/>
            </w:tcBorders>
            <w:shd w:val="clear" w:color="auto" w:fill="D9E2F3" w:themeFill="accent1" w:themeFillTint="33"/>
            <w:noWrap/>
            <w:vAlign w:val="center"/>
          </w:tcPr>
          <w:p w14:paraId="7E72299C" w14:textId="0ED956A0" w:rsidR="009F1A41" w:rsidRPr="003E790B" w:rsidRDefault="003027F6" w:rsidP="002E0B70">
            <w:pPr>
              <w:pStyle w:val="TableBody"/>
              <w:jc w:val="right"/>
            </w:pPr>
            <w:r>
              <w:t>36.0</w:t>
            </w:r>
          </w:p>
        </w:tc>
        <w:tc>
          <w:tcPr>
            <w:tcW w:w="513" w:type="pct"/>
            <w:tcBorders>
              <w:top w:val="single" w:sz="12" w:space="0" w:color="A6A6A6" w:themeColor="background1" w:themeShade="A6"/>
              <w:bottom w:val="single" w:sz="12" w:space="0" w:color="A6A6A6" w:themeColor="background1" w:themeShade="A6"/>
            </w:tcBorders>
            <w:shd w:val="clear" w:color="auto" w:fill="D9E2F3" w:themeFill="accent1" w:themeFillTint="33"/>
            <w:noWrap/>
            <w:vAlign w:val="center"/>
          </w:tcPr>
          <w:p w14:paraId="7CB34CEA" w14:textId="0355CAEC" w:rsidR="009F1A41" w:rsidRPr="003E790B" w:rsidRDefault="003027F6" w:rsidP="002E0B70">
            <w:pPr>
              <w:pStyle w:val="TableBody"/>
              <w:jc w:val="right"/>
            </w:pPr>
            <w:r>
              <w:t>42.1</w:t>
            </w:r>
          </w:p>
        </w:tc>
      </w:tr>
    </w:tbl>
    <w:p w14:paraId="73DD7E52" w14:textId="3E06AE1F" w:rsidR="00B27DD0" w:rsidRPr="006171DB" w:rsidRDefault="00C65801" w:rsidP="00C65801">
      <w:pPr>
        <w:pStyle w:val="Source"/>
      </w:pPr>
      <w:r>
        <w:t xml:space="preserve">Source: </w:t>
      </w:r>
      <w:r w:rsidRPr="00C65801">
        <w:t>ABS</w:t>
      </w:r>
      <w:r w:rsidR="00815E02">
        <w:t>,</w:t>
      </w:r>
      <w:r w:rsidRPr="00C65801">
        <w:t xml:space="preserve"> ‘Table 21.1 Household Expenditure, Broad expenditure groups, Equivalised disposable household income quintiles, ACT’, </w:t>
      </w:r>
      <w:hyperlink r:id="rId27" w:history="1">
        <w:r w:rsidRPr="00C65801">
          <w:rPr>
            <w:rStyle w:val="Hyperlink"/>
            <w:i/>
            <w:iCs/>
          </w:rPr>
          <w:t>Household Expenditure Survey, Australia: Summary of Result</w:t>
        </w:r>
        <w:r w:rsidR="004411CF">
          <w:rPr>
            <w:rStyle w:val="Hyperlink"/>
            <w:i/>
            <w:iCs/>
          </w:rPr>
          <w:t>s, 2015-16 financial year</w:t>
        </w:r>
      </w:hyperlink>
      <w:r w:rsidRPr="00C65801">
        <w:t xml:space="preserve">, </w:t>
      </w:r>
      <w:r w:rsidR="004411CF">
        <w:t xml:space="preserve">ABS, </w:t>
      </w:r>
      <w:r w:rsidR="00815E02">
        <w:t xml:space="preserve">2017, </w:t>
      </w:r>
      <w:r w:rsidRPr="00C65801">
        <w:t>accessed 8 July 2021.</w:t>
      </w:r>
    </w:p>
    <w:p w14:paraId="51FFD91E" w14:textId="7F26DCC1" w:rsidR="000F1206" w:rsidRDefault="0052760C" w:rsidP="00420D89">
      <w:pPr>
        <w:pStyle w:val="Heading1"/>
      </w:pPr>
      <w:bookmarkStart w:id="3" w:name="_Toc79584857"/>
      <w:r>
        <w:t>The ACT’s h</w:t>
      </w:r>
      <w:r w:rsidR="000F1206">
        <w:t xml:space="preserve">ousing </w:t>
      </w:r>
      <w:r w:rsidR="007417E4">
        <w:t>affordability</w:t>
      </w:r>
      <w:r>
        <w:t xml:space="preserve"> crisis</w:t>
      </w:r>
      <w:bookmarkEnd w:id="3"/>
    </w:p>
    <w:p w14:paraId="4A8AEAA9" w14:textId="3C99ADBB" w:rsidR="007417E4" w:rsidRDefault="00D3276F" w:rsidP="007417E4">
      <w:pPr>
        <w:pStyle w:val="BodyText"/>
      </w:pPr>
      <w:r>
        <w:t xml:space="preserve">Based on </w:t>
      </w:r>
      <w:r w:rsidR="00DA73B7">
        <w:t>the most</w:t>
      </w:r>
      <w:r>
        <w:t xml:space="preserve"> recent ABS</w:t>
      </w:r>
      <w:r w:rsidR="00DA73B7">
        <w:t xml:space="preserve"> housing and occupancy</w:t>
      </w:r>
      <w:r>
        <w:t xml:space="preserve"> data,</w:t>
      </w:r>
      <w:r w:rsidR="006E32E7">
        <w:t xml:space="preserve"> as a proportion of household income,</w:t>
      </w:r>
      <w:r>
        <w:t xml:space="preserve"> </w:t>
      </w:r>
      <w:r w:rsidR="00021FA2" w:rsidRPr="00021FA2">
        <w:t xml:space="preserve">housing is </w:t>
      </w:r>
      <w:r w:rsidR="00E80441">
        <w:t>a much greater expense</w:t>
      </w:r>
      <w:r w:rsidR="00021FA2" w:rsidRPr="00021FA2">
        <w:t xml:space="preserve"> for low- and middle-income households in the ACT</w:t>
      </w:r>
      <w:r w:rsidR="00093308">
        <w:t xml:space="preserve"> (see Figure </w:t>
      </w:r>
      <w:r w:rsidR="00411A55">
        <w:t>6</w:t>
      </w:r>
      <w:r w:rsidR="00093308">
        <w:t>)</w:t>
      </w:r>
      <w:r w:rsidR="00021FA2" w:rsidRPr="00021FA2">
        <w:t>. Accessible, affordable, safe, and secure housing provides the necessary foundation from which people can actively meet their social, physical, and emotional needs. We need to ensure that everyone has access to healthy and affordable housing in the ACT. The lack of affordable rental properties for low-income households in the ACT is a critical issue that needs to be addressed</w:t>
      </w:r>
      <w:r w:rsidR="00F34C63">
        <w:t xml:space="preserve"> urgently</w:t>
      </w:r>
      <w:r w:rsidR="00021FA2" w:rsidRPr="00021FA2">
        <w:t>.</w:t>
      </w:r>
    </w:p>
    <w:p w14:paraId="1ECF2553" w14:textId="3204168B" w:rsidR="00794BF0" w:rsidRPr="007417E4" w:rsidRDefault="00F968D4" w:rsidP="000C265E">
      <w:pPr>
        <w:pStyle w:val="Figuretabletitle"/>
      </w:pPr>
      <w:r>
        <w:t xml:space="preserve">Figure </w:t>
      </w:r>
      <w:r w:rsidR="006C08BF">
        <w:t>6</w:t>
      </w:r>
      <w:r w:rsidR="000C265E">
        <w:t xml:space="preserve"> </w:t>
      </w:r>
      <w:r w:rsidR="000C265E" w:rsidRPr="000C265E">
        <w:t>Housing costs as a proportion of gross household income, ACT, 2017-18</w:t>
      </w:r>
    </w:p>
    <w:p w14:paraId="04DF5EE7" w14:textId="5E3BD952" w:rsidR="00D57F80" w:rsidRDefault="00D57F80" w:rsidP="00D57F80">
      <w:pPr>
        <w:pStyle w:val="Image"/>
      </w:pPr>
      <w:r w:rsidRPr="00D57F80">
        <w:drawing>
          <wp:inline distT="0" distB="0" distL="0" distR="0" wp14:anchorId="390D0298" wp14:editId="3186F483">
            <wp:extent cx="5400040" cy="2889250"/>
            <wp:effectExtent l="0" t="0" r="0" b="635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2889250"/>
                    </a:xfrm>
                    <a:prstGeom prst="rect">
                      <a:avLst/>
                    </a:prstGeom>
                  </pic:spPr>
                </pic:pic>
              </a:graphicData>
            </a:graphic>
          </wp:inline>
        </w:drawing>
      </w:r>
    </w:p>
    <w:p w14:paraId="33C5CF62" w14:textId="438B17B3" w:rsidR="00DE0F81" w:rsidRDefault="00DE0F81" w:rsidP="00DE0F81">
      <w:pPr>
        <w:pStyle w:val="Source"/>
      </w:pPr>
      <w:r>
        <w:t xml:space="preserve">Source: </w:t>
      </w:r>
      <w:r w:rsidRPr="00DE0F81">
        <w:t>ABS</w:t>
      </w:r>
      <w:r w:rsidR="00F84ED6">
        <w:t xml:space="preserve">, </w:t>
      </w:r>
      <w:r w:rsidRPr="00DE0F81">
        <w:t xml:space="preserve">‘Table 12.3 Housing Costs as a Proportion of Gross Household Income, Selected household characteristics, States, and territories, 2017–18’, </w:t>
      </w:r>
      <w:hyperlink r:id="rId29" w:history="1">
        <w:r w:rsidRPr="00DE0F81">
          <w:rPr>
            <w:rStyle w:val="Hyperlink"/>
            <w:i/>
            <w:iCs/>
          </w:rPr>
          <w:t>Housing Occupancy and Cost</w:t>
        </w:r>
        <w:r w:rsidR="00A96647">
          <w:rPr>
            <w:rStyle w:val="Hyperlink"/>
            <w:i/>
            <w:iCs/>
          </w:rPr>
          <w:t>s, 2017-18 financial year</w:t>
        </w:r>
      </w:hyperlink>
      <w:r w:rsidRPr="00DE0F81">
        <w:t xml:space="preserve">, </w:t>
      </w:r>
      <w:r w:rsidR="00A96647">
        <w:t xml:space="preserve">ABS, 2019, </w:t>
      </w:r>
      <w:r w:rsidRPr="00DE0F81">
        <w:t>accessed 8 July 2021.</w:t>
      </w:r>
    </w:p>
    <w:p w14:paraId="733119C0" w14:textId="6EDAE187" w:rsidR="00BC763F" w:rsidRDefault="00AC3062" w:rsidP="003B34D9">
      <w:pPr>
        <w:pStyle w:val="BodyText"/>
      </w:pPr>
      <w:r>
        <w:t xml:space="preserve">Housing stress is defined as </w:t>
      </w:r>
      <w:r w:rsidR="00E81626">
        <w:t>a household in the two</w:t>
      </w:r>
      <w:r w:rsidR="00E7215E">
        <w:t xml:space="preserve"> lowest</w:t>
      </w:r>
      <w:r w:rsidR="00E81626">
        <w:t xml:space="preserve"> income quintiles spending </w:t>
      </w:r>
      <w:r w:rsidR="00875D33">
        <w:t>more than 30% of gross household income on housing.</w:t>
      </w:r>
      <w:r w:rsidR="00D264D3" w:rsidRPr="00D264D3">
        <w:t xml:space="preserve"> </w:t>
      </w:r>
      <w:r w:rsidR="00EE5ADF">
        <w:t>In Australia, t</w:t>
      </w:r>
      <w:r w:rsidR="00D264D3" w:rsidRPr="00D264D3">
        <w:t>he ACT has the highest rate of rental stress among lower income private rental households at 73%</w:t>
      </w:r>
      <w:r w:rsidR="00D264D3">
        <w:t>.</w:t>
      </w:r>
      <w:r w:rsidR="00D264D3">
        <w:rPr>
          <w:rStyle w:val="FootnoteReference"/>
        </w:rPr>
        <w:footnoteReference w:id="14"/>
      </w:r>
      <w:r w:rsidR="00A9589F">
        <w:t xml:space="preserve"> </w:t>
      </w:r>
      <w:r w:rsidR="0078501A">
        <w:t xml:space="preserve">Over the past five years </w:t>
      </w:r>
      <w:r w:rsidR="000633BA">
        <w:t xml:space="preserve">the CPI for rents in Canberra </w:t>
      </w:r>
      <w:r w:rsidR="001303F3">
        <w:t>has</w:t>
      </w:r>
      <w:r w:rsidR="000633BA">
        <w:t xml:space="preserve"> increased by 10.1%</w:t>
      </w:r>
      <w:r w:rsidR="00227364">
        <w:t>,</w:t>
      </w:r>
      <w:r w:rsidR="006F2823">
        <w:t xml:space="preserve"> which </w:t>
      </w:r>
      <w:r w:rsidR="001303F3">
        <w:t>is</w:t>
      </w:r>
      <w:r w:rsidR="006F2823">
        <w:t xml:space="preserve"> well above the national rate of 1.0% over the same period</w:t>
      </w:r>
      <w:r w:rsidR="00796649">
        <w:t xml:space="preserve"> (see Table 1)</w:t>
      </w:r>
      <w:r w:rsidR="006F2823">
        <w:t>.</w:t>
      </w:r>
      <w:r w:rsidR="00FD6FFF">
        <w:t xml:space="preserve"> Canberra is currently the most expensive capital city in which to rent</w:t>
      </w:r>
      <w:r w:rsidR="0063149F">
        <w:t xml:space="preserve"> (see Figure </w:t>
      </w:r>
      <w:r w:rsidR="00411A55">
        <w:t>7</w:t>
      </w:r>
      <w:r w:rsidR="0063149F">
        <w:t>).</w:t>
      </w:r>
      <w:r w:rsidR="00D301EA">
        <w:rPr>
          <w:rStyle w:val="FootnoteReference"/>
        </w:rPr>
        <w:footnoteReference w:id="15"/>
      </w:r>
      <w:r w:rsidR="00F52533">
        <w:t xml:space="preserve"> The Domain Rental Report </w:t>
      </w:r>
      <w:r w:rsidR="00F21B37">
        <w:t xml:space="preserve">for </w:t>
      </w:r>
      <w:r w:rsidR="00F21B37" w:rsidRPr="00F21B37">
        <w:t xml:space="preserve">June 2021 </w:t>
      </w:r>
      <w:r w:rsidR="00F52533">
        <w:t xml:space="preserve">found that the median </w:t>
      </w:r>
      <w:r w:rsidR="00B84E8C">
        <w:t xml:space="preserve">weekly rent </w:t>
      </w:r>
      <w:r w:rsidR="00F21B37">
        <w:t xml:space="preserve">in Canberra </w:t>
      </w:r>
      <w:r w:rsidR="00950E30">
        <w:t xml:space="preserve">is $630 for houses and </w:t>
      </w:r>
      <w:r w:rsidR="00123C19">
        <w:t>$500</w:t>
      </w:r>
      <w:r w:rsidR="00F23127">
        <w:t xml:space="preserve"> for units</w:t>
      </w:r>
      <w:r w:rsidR="00123C19">
        <w:t xml:space="preserve"> </w:t>
      </w:r>
      <w:r w:rsidR="00C42DFD">
        <w:t xml:space="preserve">compared to </w:t>
      </w:r>
      <w:r w:rsidR="00123C19">
        <w:t>national median weekly rent</w:t>
      </w:r>
      <w:r w:rsidR="00C42DFD">
        <w:t>s of $477</w:t>
      </w:r>
      <w:r w:rsidR="003038F7">
        <w:t xml:space="preserve"> for houses</w:t>
      </w:r>
      <w:r w:rsidR="00C42DFD">
        <w:t xml:space="preserve"> and $427 </w:t>
      </w:r>
      <w:r w:rsidR="003038F7">
        <w:t>for units.</w:t>
      </w:r>
      <w:r w:rsidR="00D42F95">
        <w:rPr>
          <w:rStyle w:val="FootnoteReference"/>
        </w:rPr>
        <w:footnoteReference w:id="16"/>
      </w:r>
      <w:r w:rsidR="003038F7">
        <w:t xml:space="preserve"> At the same time, </w:t>
      </w:r>
      <w:r w:rsidR="003F1CBA">
        <w:t xml:space="preserve">the </w:t>
      </w:r>
      <w:r w:rsidR="00B77826">
        <w:t xml:space="preserve">vacancy </w:t>
      </w:r>
      <w:r w:rsidR="0059281D">
        <w:t xml:space="preserve">rate for rental properties in Canberra </w:t>
      </w:r>
      <w:r w:rsidR="009610A2">
        <w:t>is</w:t>
      </w:r>
      <w:r w:rsidR="0059281D">
        <w:t xml:space="preserve"> just 0.8%</w:t>
      </w:r>
      <w:r w:rsidR="00D75991">
        <w:t xml:space="preserve">, leaving </w:t>
      </w:r>
      <w:r w:rsidR="00C96334">
        <w:t>prospective tenants with little choice or market power.</w:t>
      </w:r>
      <w:r w:rsidR="00C96334">
        <w:rPr>
          <w:rStyle w:val="FootnoteReference"/>
        </w:rPr>
        <w:footnoteReference w:id="17"/>
      </w:r>
    </w:p>
    <w:p w14:paraId="40FC9930" w14:textId="09AEE994" w:rsidR="001D25E7" w:rsidRDefault="00952778" w:rsidP="00CC746E">
      <w:pPr>
        <w:pStyle w:val="Figuretabletitle"/>
      </w:pPr>
      <w:r>
        <w:t xml:space="preserve">Figure </w:t>
      </w:r>
      <w:r w:rsidR="006C08BF">
        <w:t>7</w:t>
      </w:r>
      <w:r w:rsidR="008C301C">
        <w:t xml:space="preserve"> </w:t>
      </w:r>
      <w:r w:rsidR="008C301C" w:rsidRPr="008C301C">
        <w:t xml:space="preserve">Median house and unit rents by capital city, </w:t>
      </w:r>
      <w:r w:rsidR="008C301C">
        <w:t xml:space="preserve">Domain </w:t>
      </w:r>
      <w:r w:rsidR="008C301C" w:rsidRPr="00CC746E">
        <w:t>Rental</w:t>
      </w:r>
      <w:r w:rsidR="008C301C">
        <w:t xml:space="preserve"> Report </w:t>
      </w:r>
      <w:r w:rsidR="008C301C" w:rsidRPr="008C301C">
        <w:t>June 202</w:t>
      </w:r>
      <w:r w:rsidR="008C301C">
        <w:t>1</w:t>
      </w:r>
    </w:p>
    <w:p w14:paraId="793119F4" w14:textId="626B456D" w:rsidR="00DD4753" w:rsidRDefault="00DD4753" w:rsidP="00CC746E">
      <w:pPr>
        <w:pStyle w:val="Image"/>
      </w:pPr>
      <w:r>
        <w:rPr>
          <w:noProof/>
        </w:rPr>
        <w:drawing>
          <wp:inline distT="0" distB="0" distL="0" distR="0" wp14:anchorId="48534A07" wp14:editId="24DF66F5">
            <wp:extent cx="5400040" cy="3153410"/>
            <wp:effectExtent l="0" t="0" r="0" b="889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153410"/>
                    </a:xfrm>
                    <a:prstGeom prst="rect">
                      <a:avLst/>
                    </a:prstGeom>
                  </pic:spPr>
                </pic:pic>
              </a:graphicData>
            </a:graphic>
          </wp:inline>
        </w:drawing>
      </w:r>
    </w:p>
    <w:p w14:paraId="1D7D0005" w14:textId="18C7B3AC" w:rsidR="00CC746E" w:rsidRDefault="00CC746E" w:rsidP="00CC746E">
      <w:pPr>
        <w:pStyle w:val="Source"/>
      </w:pPr>
      <w:r>
        <w:t xml:space="preserve">Source: </w:t>
      </w:r>
      <w:r w:rsidRPr="00CC746E">
        <w:t xml:space="preserve">Domain, </w:t>
      </w:r>
      <w:hyperlink r:id="rId31" w:history="1">
        <w:r w:rsidRPr="00CC746E">
          <w:rPr>
            <w:rStyle w:val="Hyperlink"/>
            <w:i/>
            <w:iCs/>
          </w:rPr>
          <w:t>June 2021 Rental Report</w:t>
        </w:r>
      </w:hyperlink>
      <w:r w:rsidRPr="00CC746E">
        <w:t>, Domain website, n.d., accessed 8 July 2021.</w:t>
      </w:r>
    </w:p>
    <w:p w14:paraId="52F51319" w14:textId="78FD732F" w:rsidR="00805E8B" w:rsidRDefault="00471907" w:rsidP="003B34D9">
      <w:pPr>
        <w:pStyle w:val="BodyText"/>
      </w:pPr>
      <w:r>
        <w:t>Anglicare Australia</w:t>
      </w:r>
      <w:r w:rsidR="003315E8">
        <w:t>’s</w:t>
      </w:r>
      <w:r w:rsidR="00130147">
        <w:t xml:space="preserve"> annual</w:t>
      </w:r>
      <w:r>
        <w:t xml:space="preserve"> Rental Affordability Snapshot </w:t>
      </w:r>
      <w:r w:rsidR="00630D0A">
        <w:t>has consistently found</w:t>
      </w:r>
      <w:r w:rsidR="00365C97">
        <w:t xml:space="preserve"> a severe </w:t>
      </w:r>
      <w:r w:rsidR="00475A2E">
        <w:t xml:space="preserve">shortage </w:t>
      </w:r>
      <w:r w:rsidR="00365C97">
        <w:t xml:space="preserve">of affordable and appropriate private rental properties on the market for </w:t>
      </w:r>
      <w:r w:rsidR="009E3DBC">
        <w:t>low-income households</w:t>
      </w:r>
      <w:r w:rsidR="00475A2E">
        <w:t xml:space="preserve"> in Canberra</w:t>
      </w:r>
      <w:r w:rsidR="009E3DBC">
        <w:t xml:space="preserve"> (see Table 3).</w:t>
      </w:r>
      <w:r w:rsidR="00475A2E">
        <w:rPr>
          <w:rStyle w:val="FootnoteReference"/>
        </w:rPr>
        <w:footnoteReference w:id="18"/>
      </w:r>
      <w:r w:rsidR="00887EF4">
        <w:t xml:space="preserve"> </w:t>
      </w:r>
      <w:r w:rsidR="00A267B1">
        <w:t xml:space="preserve">In </w:t>
      </w:r>
      <w:r w:rsidR="00E35D78">
        <w:t xml:space="preserve">March </w:t>
      </w:r>
      <w:r w:rsidR="00A267B1">
        <w:t xml:space="preserve">2021, out of 1,002 private rental properties advertised in Canberra none were affordable for households on working age </w:t>
      </w:r>
      <w:r w:rsidR="00E35D78">
        <w:t>social security</w:t>
      </w:r>
      <w:r w:rsidR="00A267B1">
        <w:t xml:space="preserve"> payments</w:t>
      </w:r>
      <w:r w:rsidR="00F904E9">
        <w:t xml:space="preserve"> such as JobSeeker, Youth Allowance, and the Disability Support P</w:t>
      </w:r>
      <w:r w:rsidR="00635D30">
        <w:t>ension</w:t>
      </w:r>
      <w:r w:rsidR="00F904E9">
        <w:t>.</w:t>
      </w:r>
      <w:r w:rsidR="00857D37">
        <w:t xml:space="preserve"> </w:t>
      </w:r>
      <w:r w:rsidR="00E35D78">
        <w:t>An extremely</w:t>
      </w:r>
      <w:r w:rsidR="00857D37">
        <w:t xml:space="preserve"> small proportion were affordable for households receiving the age pension or on the minimum wage. </w:t>
      </w:r>
    </w:p>
    <w:p w14:paraId="1915C97C" w14:textId="77777777" w:rsidR="00474CE5" w:rsidRDefault="00474CE5">
      <w:pPr>
        <w:rPr>
          <w:b/>
          <w:sz w:val="20"/>
        </w:rPr>
      </w:pPr>
      <w:r>
        <w:br w:type="page"/>
      </w:r>
    </w:p>
    <w:p w14:paraId="294DC376" w14:textId="6FAE022F" w:rsidR="00805E8B" w:rsidRDefault="00AF6590" w:rsidP="003A5204">
      <w:pPr>
        <w:pStyle w:val="Figuretabletitle"/>
      </w:pPr>
      <w:r>
        <w:t xml:space="preserve">Table 3 </w:t>
      </w:r>
      <w:r w:rsidR="003A5204" w:rsidRPr="003A5204">
        <w:t xml:space="preserve">Rental Affordability in </w:t>
      </w:r>
      <w:r w:rsidR="002A039D">
        <w:t>Canberra</w:t>
      </w:r>
      <w:r w:rsidR="003A5204" w:rsidRPr="003A5204">
        <w:t>, analysed by household type and percentage</w:t>
      </w:r>
      <w:r w:rsidR="008B7C20">
        <w:t>, 2016-2021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938"/>
        <w:gridCol w:w="841"/>
        <w:gridCol w:w="841"/>
        <w:gridCol w:w="841"/>
        <w:gridCol w:w="841"/>
        <w:gridCol w:w="841"/>
        <w:gridCol w:w="841"/>
      </w:tblGrid>
      <w:tr w:rsidR="00EC5823" w14:paraId="394072EE" w14:textId="056FA2C5" w:rsidTr="00D80CC3">
        <w:trPr>
          <w:cantSplit/>
          <w:tblHeader/>
        </w:trPr>
        <w:tc>
          <w:tcPr>
            <w:tcW w:w="0" w:type="auto"/>
            <w:tcBorders>
              <w:top w:val="single" w:sz="12" w:space="0" w:color="A6A6A6" w:themeColor="background1" w:themeShade="A6"/>
              <w:bottom w:val="single" w:sz="12" w:space="0" w:color="A6A6A6" w:themeColor="background1" w:themeShade="A6"/>
            </w:tcBorders>
          </w:tcPr>
          <w:p w14:paraId="0E1047D8" w14:textId="3E26A6F2" w:rsidR="00547DAA" w:rsidRPr="001C7356" w:rsidRDefault="00547DAA" w:rsidP="00547DAA">
            <w:pPr>
              <w:pStyle w:val="TableBody"/>
              <w:rPr>
                <w:b/>
                <w:bCs/>
              </w:rPr>
            </w:pPr>
            <w:r w:rsidRPr="001C7356">
              <w:rPr>
                <w:b/>
                <w:bCs/>
              </w:rPr>
              <w:t>Household Type</w:t>
            </w:r>
          </w:p>
        </w:tc>
        <w:tc>
          <w:tcPr>
            <w:tcW w:w="0" w:type="auto"/>
            <w:tcBorders>
              <w:top w:val="single" w:sz="12" w:space="0" w:color="A6A6A6" w:themeColor="background1" w:themeShade="A6"/>
              <w:bottom w:val="single" w:sz="12" w:space="0" w:color="A6A6A6" w:themeColor="background1" w:themeShade="A6"/>
            </w:tcBorders>
          </w:tcPr>
          <w:p w14:paraId="21A0CF03" w14:textId="5EDB1124" w:rsidR="00547DAA" w:rsidRPr="001C7356" w:rsidRDefault="00547DAA" w:rsidP="00547DAA">
            <w:pPr>
              <w:pStyle w:val="TableBody"/>
              <w:rPr>
                <w:b/>
                <w:bCs/>
              </w:rPr>
            </w:pPr>
            <w:r w:rsidRPr="001C7356">
              <w:rPr>
                <w:b/>
                <w:bCs/>
              </w:rPr>
              <w:t>Payment Type</w:t>
            </w:r>
          </w:p>
        </w:tc>
        <w:tc>
          <w:tcPr>
            <w:tcW w:w="0" w:type="auto"/>
            <w:tcBorders>
              <w:top w:val="single" w:sz="12" w:space="0" w:color="A6A6A6" w:themeColor="background1" w:themeShade="A6"/>
              <w:bottom w:val="single" w:sz="12" w:space="0" w:color="A6A6A6" w:themeColor="background1" w:themeShade="A6"/>
            </w:tcBorders>
          </w:tcPr>
          <w:p w14:paraId="313259A4" w14:textId="22935E2E" w:rsidR="00547DAA" w:rsidRPr="001C7356" w:rsidRDefault="00547DAA" w:rsidP="00547DAA">
            <w:pPr>
              <w:pStyle w:val="TableBody"/>
              <w:rPr>
                <w:b/>
                <w:bCs/>
              </w:rPr>
            </w:pPr>
            <w:r w:rsidRPr="001C7356">
              <w:rPr>
                <w:b/>
                <w:bCs/>
              </w:rPr>
              <w:t>2016</w:t>
            </w:r>
          </w:p>
        </w:tc>
        <w:tc>
          <w:tcPr>
            <w:tcW w:w="0" w:type="auto"/>
            <w:tcBorders>
              <w:top w:val="single" w:sz="12" w:space="0" w:color="A6A6A6" w:themeColor="background1" w:themeShade="A6"/>
              <w:bottom w:val="single" w:sz="12" w:space="0" w:color="A6A6A6" w:themeColor="background1" w:themeShade="A6"/>
            </w:tcBorders>
          </w:tcPr>
          <w:p w14:paraId="73A5C137" w14:textId="3F757C59" w:rsidR="00547DAA" w:rsidRPr="001C7356" w:rsidRDefault="00547DAA" w:rsidP="00547DAA">
            <w:pPr>
              <w:pStyle w:val="TableBody"/>
              <w:rPr>
                <w:b/>
                <w:bCs/>
              </w:rPr>
            </w:pPr>
            <w:r w:rsidRPr="001C7356">
              <w:rPr>
                <w:b/>
                <w:bCs/>
              </w:rPr>
              <w:t>2017</w:t>
            </w:r>
          </w:p>
        </w:tc>
        <w:tc>
          <w:tcPr>
            <w:tcW w:w="0" w:type="auto"/>
            <w:tcBorders>
              <w:top w:val="single" w:sz="12" w:space="0" w:color="A6A6A6" w:themeColor="background1" w:themeShade="A6"/>
              <w:bottom w:val="single" w:sz="12" w:space="0" w:color="A6A6A6" w:themeColor="background1" w:themeShade="A6"/>
            </w:tcBorders>
          </w:tcPr>
          <w:p w14:paraId="38F2569D" w14:textId="2DEE3D2C" w:rsidR="00547DAA" w:rsidRPr="001C7356" w:rsidRDefault="00547DAA" w:rsidP="00547DAA">
            <w:pPr>
              <w:pStyle w:val="TableBody"/>
              <w:rPr>
                <w:b/>
                <w:bCs/>
              </w:rPr>
            </w:pPr>
            <w:r w:rsidRPr="001C7356">
              <w:rPr>
                <w:b/>
                <w:bCs/>
              </w:rPr>
              <w:t>2018</w:t>
            </w:r>
          </w:p>
        </w:tc>
        <w:tc>
          <w:tcPr>
            <w:tcW w:w="0" w:type="auto"/>
            <w:tcBorders>
              <w:top w:val="single" w:sz="12" w:space="0" w:color="A6A6A6" w:themeColor="background1" w:themeShade="A6"/>
              <w:bottom w:val="single" w:sz="12" w:space="0" w:color="A6A6A6" w:themeColor="background1" w:themeShade="A6"/>
            </w:tcBorders>
          </w:tcPr>
          <w:p w14:paraId="43F193C9" w14:textId="456EE965" w:rsidR="00547DAA" w:rsidRPr="001C7356" w:rsidRDefault="00547DAA" w:rsidP="00547DAA">
            <w:pPr>
              <w:pStyle w:val="TableBody"/>
              <w:rPr>
                <w:b/>
                <w:bCs/>
              </w:rPr>
            </w:pPr>
            <w:r w:rsidRPr="001C7356">
              <w:rPr>
                <w:b/>
                <w:bCs/>
              </w:rPr>
              <w:t>2019</w:t>
            </w:r>
          </w:p>
        </w:tc>
        <w:tc>
          <w:tcPr>
            <w:tcW w:w="0" w:type="auto"/>
            <w:tcBorders>
              <w:top w:val="single" w:sz="12" w:space="0" w:color="A6A6A6" w:themeColor="background1" w:themeShade="A6"/>
              <w:bottom w:val="single" w:sz="12" w:space="0" w:color="A6A6A6" w:themeColor="background1" w:themeShade="A6"/>
            </w:tcBorders>
          </w:tcPr>
          <w:p w14:paraId="25BF5C30" w14:textId="0D089108" w:rsidR="00547DAA" w:rsidRPr="001C7356" w:rsidRDefault="00547DAA" w:rsidP="00547DAA">
            <w:pPr>
              <w:pStyle w:val="TableBody"/>
              <w:rPr>
                <w:b/>
                <w:bCs/>
              </w:rPr>
            </w:pPr>
            <w:r w:rsidRPr="001C7356">
              <w:rPr>
                <w:b/>
                <w:bCs/>
              </w:rPr>
              <w:t>2020</w:t>
            </w:r>
          </w:p>
        </w:tc>
        <w:tc>
          <w:tcPr>
            <w:tcW w:w="0" w:type="auto"/>
            <w:tcBorders>
              <w:top w:val="single" w:sz="12" w:space="0" w:color="A6A6A6" w:themeColor="background1" w:themeShade="A6"/>
              <w:bottom w:val="single" w:sz="12" w:space="0" w:color="A6A6A6" w:themeColor="background1" w:themeShade="A6"/>
            </w:tcBorders>
          </w:tcPr>
          <w:p w14:paraId="26C41E49" w14:textId="21A2EA6E" w:rsidR="00547DAA" w:rsidRPr="001C7356" w:rsidRDefault="00547DAA" w:rsidP="00547DAA">
            <w:pPr>
              <w:pStyle w:val="TableBody"/>
              <w:rPr>
                <w:b/>
                <w:bCs/>
              </w:rPr>
            </w:pPr>
            <w:r w:rsidRPr="001C7356">
              <w:rPr>
                <w:b/>
                <w:bCs/>
              </w:rPr>
              <w:t>2021</w:t>
            </w:r>
          </w:p>
        </w:tc>
      </w:tr>
      <w:tr w:rsidR="00630D0A" w14:paraId="6771236E" w14:textId="6BAA313A" w:rsidTr="00D80CC3">
        <w:trPr>
          <w:cantSplit/>
        </w:trPr>
        <w:tc>
          <w:tcPr>
            <w:tcW w:w="0" w:type="auto"/>
            <w:tcBorders>
              <w:top w:val="single" w:sz="12" w:space="0" w:color="A6A6A6" w:themeColor="background1" w:themeShade="A6"/>
            </w:tcBorders>
            <w:shd w:val="clear" w:color="auto" w:fill="D9E2F3" w:themeFill="accent1" w:themeFillTint="33"/>
          </w:tcPr>
          <w:p w14:paraId="0585703A" w14:textId="77777777" w:rsidR="00BD2AFD" w:rsidRDefault="00BD2AFD" w:rsidP="00BD2AFD">
            <w:pPr>
              <w:pStyle w:val="TableBody"/>
            </w:pPr>
            <w:r>
              <w:t xml:space="preserve">Couple, two children </w:t>
            </w:r>
          </w:p>
          <w:p w14:paraId="6B2F1897" w14:textId="77777777" w:rsidR="00BD2AFD" w:rsidRDefault="00BD2AFD" w:rsidP="00BD2AFD">
            <w:pPr>
              <w:pStyle w:val="TableBody"/>
            </w:pPr>
            <w:r>
              <w:t xml:space="preserve">(one aged less than 5, </w:t>
            </w:r>
          </w:p>
          <w:p w14:paraId="4686A0F6" w14:textId="08CF498D" w:rsidR="00547DAA" w:rsidRDefault="00BD2AFD" w:rsidP="00BD2AFD">
            <w:pPr>
              <w:pStyle w:val="TableBody"/>
            </w:pPr>
            <w:r>
              <w:t>one aged less than 10)</w:t>
            </w:r>
          </w:p>
        </w:tc>
        <w:tc>
          <w:tcPr>
            <w:tcW w:w="0" w:type="auto"/>
            <w:tcBorders>
              <w:top w:val="single" w:sz="12" w:space="0" w:color="A6A6A6" w:themeColor="background1" w:themeShade="A6"/>
            </w:tcBorders>
            <w:shd w:val="clear" w:color="auto" w:fill="D9E2F3" w:themeFill="accent1" w:themeFillTint="33"/>
          </w:tcPr>
          <w:p w14:paraId="35D9DC4D" w14:textId="7F7F7A3E" w:rsidR="00547DAA" w:rsidRDefault="00EF0278" w:rsidP="00EC5823">
            <w:pPr>
              <w:pStyle w:val="TableBody"/>
            </w:pPr>
            <w:r>
              <w:t>Jobseeker Payment</w:t>
            </w:r>
            <w:r w:rsidR="00EC5823">
              <w:t xml:space="preserve"> </w:t>
            </w:r>
            <w:r>
              <w:t>(both adults)</w:t>
            </w:r>
          </w:p>
        </w:tc>
        <w:tc>
          <w:tcPr>
            <w:tcW w:w="0" w:type="auto"/>
            <w:tcBorders>
              <w:top w:val="single" w:sz="12" w:space="0" w:color="A6A6A6" w:themeColor="background1" w:themeShade="A6"/>
            </w:tcBorders>
            <w:shd w:val="clear" w:color="auto" w:fill="D9E2F3" w:themeFill="accent1" w:themeFillTint="33"/>
          </w:tcPr>
          <w:p w14:paraId="01E55523" w14:textId="31ACC996" w:rsidR="00547DAA" w:rsidRDefault="00EF0278" w:rsidP="000B0FB8">
            <w:pPr>
              <w:pStyle w:val="TableBody"/>
              <w:jc w:val="right"/>
            </w:pPr>
            <w:r>
              <w:t>0</w:t>
            </w:r>
          </w:p>
        </w:tc>
        <w:tc>
          <w:tcPr>
            <w:tcW w:w="0" w:type="auto"/>
            <w:tcBorders>
              <w:top w:val="single" w:sz="12" w:space="0" w:color="A6A6A6" w:themeColor="background1" w:themeShade="A6"/>
            </w:tcBorders>
            <w:shd w:val="clear" w:color="auto" w:fill="D9E2F3" w:themeFill="accent1" w:themeFillTint="33"/>
          </w:tcPr>
          <w:p w14:paraId="55FFC70D" w14:textId="4CBE52AA" w:rsidR="00547DAA" w:rsidRDefault="00EF0278" w:rsidP="000B0FB8">
            <w:pPr>
              <w:pStyle w:val="TableBody"/>
              <w:jc w:val="right"/>
            </w:pPr>
            <w:r>
              <w:t>0</w:t>
            </w:r>
          </w:p>
        </w:tc>
        <w:tc>
          <w:tcPr>
            <w:tcW w:w="0" w:type="auto"/>
            <w:tcBorders>
              <w:top w:val="single" w:sz="12" w:space="0" w:color="A6A6A6" w:themeColor="background1" w:themeShade="A6"/>
            </w:tcBorders>
            <w:shd w:val="clear" w:color="auto" w:fill="D9E2F3" w:themeFill="accent1" w:themeFillTint="33"/>
          </w:tcPr>
          <w:p w14:paraId="5084256D" w14:textId="3C760F10" w:rsidR="00547DAA" w:rsidRDefault="00EF0278" w:rsidP="000B0FB8">
            <w:pPr>
              <w:pStyle w:val="TableBody"/>
              <w:jc w:val="right"/>
            </w:pPr>
            <w:r>
              <w:t>0</w:t>
            </w:r>
          </w:p>
        </w:tc>
        <w:tc>
          <w:tcPr>
            <w:tcW w:w="0" w:type="auto"/>
            <w:tcBorders>
              <w:top w:val="single" w:sz="12" w:space="0" w:color="A6A6A6" w:themeColor="background1" w:themeShade="A6"/>
            </w:tcBorders>
            <w:shd w:val="clear" w:color="auto" w:fill="D9E2F3" w:themeFill="accent1" w:themeFillTint="33"/>
          </w:tcPr>
          <w:p w14:paraId="789CA00F" w14:textId="182CA159" w:rsidR="00547DAA" w:rsidRDefault="00EF0278" w:rsidP="000B0FB8">
            <w:pPr>
              <w:pStyle w:val="TableBody"/>
              <w:jc w:val="right"/>
            </w:pPr>
            <w:r>
              <w:t>0</w:t>
            </w:r>
          </w:p>
        </w:tc>
        <w:tc>
          <w:tcPr>
            <w:tcW w:w="0" w:type="auto"/>
            <w:tcBorders>
              <w:top w:val="single" w:sz="12" w:space="0" w:color="A6A6A6" w:themeColor="background1" w:themeShade="A6"/>
            </w:tcBorders>
            <w:shd w:val="clear" w:color="auto" w:fill="D9E2F3" w:themeFill="accent1" w:themeFillTint="33"/>
          </w:tcPr>
          <w:p w14:paraId="2BB55B02" w14:textId="03368038" w:rsidR="00547DAA" w:rsidRDefault="00EF0278" w:rsidP="000B0FB8">
            <w:pPr>
              <w:pStyle w:val="TableBody"/>
              <w:jc w:val="right"/>
            </w:pPr>
            <w:r>
              <w:t>0</w:t>
            </w:r>
          </w:p>
        </w:tc>
        <w:tc>
          <w:tcPr>
            <w:tcW w:w="0" w:type="auto"/>
            <w:tcBorders>
              <w:top w:val="single" w:sz="12" w:space="0" w:color="A6A6A6" w:themeColor="background1" w:themeShade="A6"/>
            </w:tcBorders>
            <w:shd w:val="clear" w:color="auto" w:fill="D9E2F3" w:themeFill="accent1" w:themeFillTint="33"/>
          </w:tcPr>
          <w:p w14:paraId="7B2F7906" w14:textId="5CE19040" w:rsidR="00547DAA" w:rsidRDefault="00EF0278" w:rsidP="000B0FB8">
            <w:pPr>
              <w:pStyle w:val="TableBody"/>
              <w:jc w:val="right"/>
            </w:pPr>
            <w:r>
              <w:t>0</w:t>
            </w:r>
          </w:p>
        </w:tc>
      </w:tr>
      <w:tr w:rsidR="00630D0A" w14:paraId="320EC3AD" w14:textId="3BDEBE89" w:rsidTr="00D80CC3">
        <w:trPr>
          <w:cantSplit/>
        </w:trPr>
        <w:tc>
          <w:tcPr>
            <w:tcW w:w="0" w:type="auto"/>
            <w:shd w:val="clear" w:color="auto" w:fill="auto"/>
          </w:tcPr>
          <w:p w14:paraId="37DDCA00" w14:textId="77777777" w:rsidR="008C7B4A" w:rsidRDefault="008C7B4A" w:rsidP="008C7B4A">
            <w:pPr>
              <w:pStyle w:val="TableBody"/>
            </w:pPr>
            <w:r>
              <w:t xml:space="preserve">Single, two children </w:t>
            </w:r>
          </w:p>
          <w:p w14:paraId="529B41D5" w14:textId="77777777" w:rsidR="008C7B4A" w:rsidRDefault="008C7B4A" w:rsidP="008C7B4A">
            <w:pPr>
              <w:pStyle w:val="TableBody"/>
            </w:pPr>
            <w:r>
              <w:t xml:space="preserve">(one aged less than 5, </w:t>
            </w:r>
          </w:p>
          <w:p w14:paraId="2FE28F2F" w14:textId="29396E6F" w:rsidR="00547DAA" w:rsidRDefault="008C7B4A" w:rsidP="008C7B4A">
            <w:pPr>
              <w:pStyle w:val="TableBody"/>
            </w:pPr>
            <w:r>
              <w:t>one aged less than 10)</w:t>
            </w:r>
          </w:p>
        </w:tc>
        <w:tc>
          <w:tcPr>
            <w:tcW w:w="0" w:type="auto"/>
            <w:shd w:val="clear" w:color="auto" w:fill="auto"/>
          </w:tcPr>
          <w:p w14:paraId="219BBE71" w14:textId="21AA0BB5" w:rsidR="00547DAA" w:rsidRDefault="00142657" w:rsidP="00547DAA">
            <w:pPr>
              <w:pStyle w:val="TableBody"/>
            </w:pPr>
            <w:r w:rsidRPr="00142657">
              <w:t>Parenting Payment Single</w:t>
            </w:r>
          </w:p>
        </w:tc>
        <w:tc>
          <w:tcPr>
            <w:tcW w:w="0" w:type="auto"/>
            <w:shd w:val="clear" w:color="auto" w:fill="auto"/>
          </w:tcPr>
          <w:p w14:paraId="6EE5A9A6" w14:textId="53968CA0" w:rsidR="00547DAA" w:rsidRDefault="00142657" w:rsidP="000B0FB8">
            <w:pPr>
              <w:pStyle w:val="TableBody"/>
              <w:jc w:val="right"/>
            </w:pPr>
            <w:r>
              <w:t>0</w:t>
            </w:r>
          </w:p>
        </w:tc>
        <w:tc>
          <w:tcPr>
            <w:tcW w:w="0" w:type="auto"/>
            <w:shd w:val="clear" w:color="auto" w:fill="auto"/>
          </w:tcPr>
          <w:p w14:paraId="7BAA32C6" w14:textId="519DA7CC" w:rsidR="00547DAA" w:rsidRDefault="00142657" w:rsidP="000B0FB8">
            <w:pPr>
              <w:pStyle w:val="TableBody"/>
              <w:jc w:val="right"/>
            </w:pPr>
            <w:r>
              <w:t>0</w:t>
            </w:r>
          </w:p>
        </w:tc>
        <w:tc>
          <w:tcPr>
            <w:tcW w:w="0" w:type="auto"/>
            <w:shd w:val="clear" w:color="auto" w:fill="auto"/>
          </w:tcPr>
          <w:p w14:paraId="4B6ABE4E" w14:textId="283B1680" w:rsidR="00547DAA" w:rsidRDefault="00142657" w:rsidP="000B0FB8">
            <w:pPr>
              <w:pStyle w:val="TableBody"/>
              <w:jc w:val="right"/>
            </w:pPr>
            <w:r>
              <w:t>0</w:t>
            </w:r>
          </w:p>
        </w:tc>
        <w:tc>
          <w:tcPr>
            <w:tcW w:w="0" w:type="auto"/>
            <w:shd w:val="clear" w:color="auto" w:fill="auto"/>
          </w:tcPr>
          <w:p w14:paraId="59139139" w14:textId="7DDAFAB9" w:rsidR="00547DAA" w:rsidRDefault="00142657" w:rsidP="000B0FB8">
            <w:pPr>
              <w:pStyle w:val="TableBody"/>
              <w:jc w:val="right"/>
            </w:pPr>
            <w:r>
              <w:t>0</w:t>
            </w:r>
          </w:p>
        </w:tc>
        <w:tc>
          <w:tcPr>
            <w:tcW w:w="0" w:type="auto"/>
            <w:shd w:val="clear" w:color="auto" w:fill="auto"/>
          </w:tcPr>
          <w:p w14:paraId="5EB71E35" w14:textId="54D17D52" w:rsidR="00547DAA" w:rsidRDefault="00142657" w:rsidP="000B0FB8">
            <w:pPr>
              <w:pStyle w:val="TableBody"/>
              <w:jc w:val="right"/>
            </w:pPr>
            <w:r>
              <w:t>0</w:t>
            </w:r>
          </w:p>
        </w:tc>
        <w:tc>
          <w:tcPr>
            <w:tcW w:w="0" w:type="auto"/>
            <w:shd w:val="clear" w:color="auto" w:fill="auto"/>
          </w:tcPr>
          <w:p w14:paraId="6B40661C" w14:textId="03C1A535" w:rsidR="00547DAA" w:rsidRDefault="00142657" w:rsidP="000B0FB8">
            <w:pPr>
              <w:pStyle w:val="TableBody"/>
              <w:jc w:val="right"/>
            </w:pPr>
            <w:r>
              <w:t>0</w:t>
            </w:r>
          </w:p>
        </w:tc>
      </w:tr>
      <w:tr w:rsidR="00630D0A" w14:paraId="567BE373" w14:textId="33049D56" w:rsidTr="00D80CC3">
        <w:trPr>
          <w:cantSplit/>
        </w:trPr>
        <w:tc>
          <w:tcPr>
            <w:tcW w:w="0" w:type="auto"/>
            <w:shd w:val="clear" w:color="auto" w:fill="D9E2F3" w:themeFill="accent1" w:themeFillTint="33"/>
          </w:tcPr>
          <w:p w14:paraId="693AE59A" w14:textId="7257B562" w:rsidR="00547DAA" w:rsidRDefault="00EE2777" w:rsidP="00547DAA">
            <w:pPr>
              <w:pStyle w:val="TableBody"/>
            </w:pPr>
            <w:r w:rsidRPr="00EE2777">
              <w:t>Couple, no children</w:t>
            </w:r>
          </w:p>
        </w:tc>
        <w:tc>
          <w:tcPr>
            <w:tcW w:w="0" w:type="auto"/>
            <w:shd w:val="clear" w:color="auto" w:fill="D9E2F3" w:themeFill="accent1" w:themeFillTint="33"/>
          </w:tcPr>
          <w:p w14:paraId="1387236F" w14:textId="6EC75C73" w:rsidR="00547DAA" w:rsidRDefault="008A09AB" w:rsidP="00547DAA">
            <w:pPr>
              <w:pStyle w:val="TableBody"/>
            </w:pPr>
            <w:r w:rsidRPr="008A09AB">
              <w:t>Age Pension</w:t>
            </w:r>
          </w:p>
        </w:tc>
        <w:tc>
          <w:tcPr>
            <w:tcW w:w="0" w:type="auto"/>
            <w:shd w:val="clear" w:color="auto" w:fill="D9E2F3" w:themeFill="accent1" w:themeFillTint="33"/>
          </w:tcPr>
          <w:p w14:paraId="42670EAC" w14:textId="12018C33" w:rsidR="008A09AB" w:rsidRDefault="008A09AB" w:rsidP="0064405E">
            <w:pPr>
              <w:pStyle w:val="TableBody"/>
              <w:jc w:val="right"/>
            </w:pPr>
            <w:r>
              <w:t>3</w:t>
            </w:r>
          </w:p>
        </w:tc>
        <w:tc>
          <w:tcPr>
            <w:tcW w:w="0" w:type="auto"/>
            <w:shd w:val="clear" w:color="auto" w:fill="D9E2F3" w:themeFill="accent1" w:themeFillTint="33"/>
          </w:tcPr>
          <w:p w14:paraId="06AAC2EA" w14:textId="484B10CB" w:rsidR="008A09AB" w:rsidRDefault="008A09AB" w:rsidP="0064405E">
            <w:pPr>
              <w:pStyle w:val="TableBody"/>
              <w:jc w:val="right"/>
            </w:pPr>
            <w:r>
              <w:t>3</w:t>
            </w:r>
          </w:p>
        </w:tc>
        <w:tc>
          <w:tcPr>
            <w:tcW w:w="0" w:type="auto"/>
            <w:shd w:val="clear" w:color="auto" w:fill="D9E2F3" w:themeFill="accent1" w:themeFillTint="33"/>
          </w:tcPr>
          <w:p w14:paraId="60044A19" w14:textId="542C553D" w:rsidR="008A09AB" w:rsidRDefault="008A09AB" w:rsidP="0064405E">
            <w:pPr>
              <w:pStyle w:val="TableBody"/>
              <w:jc w:val="right"/>
            </w:pPr>
            <w:r>
              <w:t>5</w:t>
            </w:r>
          </w:p>
        </w:tc>
        <w:tc>
          <w:tcPr>
            <w:tcW w:w="0" w:type="auto"/>
            <w:shd w:val="clear" w:color="auto" w:fill="D9E2F3" w:themeFill="accent1" w:themeFillTint="33"/>
          </w:tcPr>
          <w:p w14:paraId="1F9B78AD" w14:textId="40591720" w:rsidR="008A09AB" w:rsidRDefault="008A09AB" w:rsidP="0064405E">
            <w:pPr>
              <w:pStyle w:val="TableBody"/>
              <w:jc w:val="right"/>
            </w:pPr>
            <w:r>
              <w:t>1</w:t>
            </w:r>
          </w:p>
        </w:tc>
        <w:tc>
          <w:tcPr>
            <w:tcW w:w="0" w:type="auto"/>
            <w:shd w:val="clear" w:color="auto" w:fill="D9E2F3" w:themeFill="accent1" w:themeFillTint="33"/>
          </w:tcPr>
          <w:p w14:paraId="2A71454A" w14:textId="37BF86C6" w:rsidR="000B0FB8" w:rsidRDefault="000B0FB8" w:rsidP="0064405E">
            <w:pPr>
              <w:pStyle w:val="TableBody"/>
              <w:jc w:val="right"/>
            </w:pPr>
            <w:r>
              <w:t>1</w:t>
            </w:r>
          </w:p>
        </w:tc>
        <w:tc>
          <w:tcPr>
            <w:tcW w:w="0" w:type="auto"/>
            <w:shd w:val="clear" w:color="auto" w:fill="D9E2F3" w:themeFill="accent1" w:themeFillTint="33"/>
          </w:tcPr>
          <w:p w14:paraId="5314A975" w14:textId="7FA4DEEC" w:rsidR="000B0FB8" w:rsidRDefault="000B0FB8" w:rsidP="0064405E">
            <w:pPr>
              <w:pStyle w:val="TableBody"/>
              <w:jc w:val="right"/>
            </w:pPr>
            <w:r>
              <w:t>25</w:t>
            </w:r>
          </w:p>
        </w:tc>
      </w:tr>
      <w:tr w:rsidR="00630D0A" w14:paraId="018553F2" w14:textId="03C4D48F" w:rsidTr="00D80CC3">
        <w:trPr>
          <w:cantSplit/>
        </w:trPr>
        <w:tc>
          <w:tcPr>
            <w:tcW w:w="0" w:type="auto"/>
            <w:shd w:val="clear" w:color="auto" w:fill="auto"/>
          </w:tcPr>
          <w:p w14:paraId="6AC707C8" w14:textId="77777777" w:rsidR="00B24A8E" w:rsidRDefault="00B24A8E" w:rsidP="00B24A8E">
            <w:pPr>
              <w:pStyle w:val="TableBody"/>
            </w:pPr>
            <w:r>
              <w:t xml:space="preserve">Single, one child </w:t>
            </w:r>
          </w:p>
          <w:p w14:paraId="295F604D" w14:textId="708282F5" w:rsidR="00547DAA" w:rsidRDefault="00B24A8E" w:rsidP="00B24A8E">
            <w:pPr>
              <w:pStyle w:val="TableBody"/>
            </w:pPr>
            <w:r>
              <w:t>(aged less than 5)</w:t>
            </w:r>
          </w:p>
        </w:tc>
        <w:tc>
          <w:tcPr>
            <w:tcW w:w="0" w:type="auto"/>
            <w:shd w:val="clear" w:color="auto" w:fill="auto"/>
          </w:tcPr>
          <w:p w14:paraId="4AFE3A4C" w14:textId="75CE58FE" w:rsidR="00547DAA" w:rsidRDefault="001C7356" w:rsidP="00547DAA">
            <w:pPr>
              <w:pStyle w:val="TableBody"/>
            </w:pPr>
            <w:r w:rsidRPr="001C7356">
              <w:t>Parenting Payment Single</w:t>
            </w:r>
          </w:p>
        </w:tc>
        <w:tc>
          <w:tcPr>
            <w:tcW w:w="0" w:type="auto"/>
            <w:shd w:val="clear" w:color="auto" w:fill="auto"/>
          </w:tcPr>
          <w:p w14:paraId="160F44A9" w14:textId="7B495D7C" w:rsidR="00547DAA" w:rsidRDefault="001C7356" w:rsidP="000B0FB8">
            <w:pPr>
              <w:pStyle w:val="TableBody"/>
              <w:jc w:val="right"/>
            </w:pPr>
            <w:r>
              <w:t>0</w:t>
            </w:r>
          </w:p>
        </w:tc>
        <w:tc>
          <w:tcPr>
            <w:tcW w:w="0" w:type="auto"/>
            <w:shd w:val="clear" w:color="auto" w:fill="auto"/>
          </w:tcPr>
          <w:p w14:paraId="62C9D312" w14:textId="48945CFA" w:rsidR="00547DAA" w:rsidRDefault="001C7356" w:rsidP="000B0FB8">
            <w:pPr>
              <w:pStyle w:val="TableBody"/>
              <w:jc w:val="right"/>
            </w:pPr>
            <w:r>
              <w:t>0</w:t>
            </w:r>
          </w:p>
        </w:tc>
        <w:tc>
          <w:tcPr>
            <w:tcW w:w="0" w:type="auto"/>
            <w:shd w:val="clear" w:color="auto" w:fill="auto"/>
          </w:tcPr>
          <w:p w14:paraId="73B344E9" w14:textId="7EBFBCA8" w:rsidR="00547DAA" w:rsidRDefault="001C7356" w:rsidP="000B0FB8">
            <w:pPr>
              <w:pStyle w:val="TableBody"/>
              <w:jc w:val="right"/>
            </w:pPr>
            <w:r>
              <w:t>0</w:t>
            </w:r>
          </w:p>
        </w:tc>
        <w:tc>
          <w:tcPr>
            <w:tcW w:w="0" w:type="auto"/>
            <w:shd w:val="clear" w:color="auto" w:fill="auto"/>
          </w:tcPr>
          <w:p w14:paraId="3F6783A6" w14:textId="1CB57112" w:rsidR="00547DAA" w:rsidRDefault="001C7356" w:rsidP="000B0FB8">
            <w:pPr>
              <w:pStyle w:val="TableBody"/>
              <w:jc w:val="right"/>
            </w:pPr>
            <w:r>
              <w:t>0</w:t>
            </w:r>
          </w:p>
        </w:tc>
        <w:tc>
          <w:tcPr>
            <w:tcW w:w="0" w:type="auto"/>
            <w:shd w:val="clear" w:color="auto" w:fill="auto"/>
          </w:tcPr>
          <w:p w14:paraId="01324B74" w14:textId="77BF72B6" w:rsidR="00547DAA" w:rsidRDefault="001C7356" w:rsidP="000B0FB8">
            <w:pPr>
              <w:pStyle w:val="TableBody"/>
              <w:jc w:val="right"/>
            </w:pPr>
            <w:r>
              <w:t>0</w:t>
            </w:r>
          </w:p>
        </w:tc>
        <w:tc>
          <w:tcPr>
            <w:tcW w:w="0" w:type="auto"/>
            <w:shd w:val="clear" w:color="auto" w:fill="auto"/>
          </w:tcPr>
          <w:p w14:paraId="311B19E3" w14:textId="06A0B2A5" w:rsidR="00547DAA" w:rsidRDefault="001C7356" w:rsidP="000B0FB8">
            <w:pPr>
              <w:pStyle w:val="TableBody"/>
              <w:jc w:val="right"/>
            </w:pPr>
            <w:r>
              <w:t>0</w:t>
            </w:r>
          </w:p>
        </w:tc>
      </w:tr>
      <w:tr w:rsidR="00630D0A" w14:paraId="7BAC05EC" w14:textId="79E0DF93" w:rsidTr="00D80CC3">
        <w:trPr>
          <w:cantSplit/>
        </w:trPr>
        <w:tc>
          <w:tcPr>
            <w:tcW w:w="0" w:type="auto"/>
            <w:shd w:val="clear" w:color="auto" w:fill="D9E2F3" w:themeFill="accent1" w:themeFillTint="33"/>
          </w:tcPr>
          <w:p w14:paraId="7A7ADF79" w14:textId="77777777" w:rsidR="00154C34" w:rsidRDefault="00154C34" w:rsidP="00154C34">
            <w:pPr>
              <w:pStyle w:val="TableBody"/>
            </w:pPr>
            <w:r>
              <w:t xml:space="preserve">Single, one child </w:t>
            </w:r>
          </w:p>
          <w:p w14:paraId="4E64F569" w14:textId="56DC289B" w:rsidR="00547DAA" w:rsidRDefault="00154C34" w:rsidP="00154C34">
            <w:pPr>
              <w:pStyle w:val="TableBody"/>
            </w:pPr>
            <w:r>
              <w:t>(aged over 8)</w:t>
            </w:r>
          </w:p>
        </w:tc>
        <w:tc>
          <w:tcPr>
            <w:tcW w:w="0" w:type="auto"/>
            <w:shd w:val="clear" w:color="auto" w:fill="D9E2F3" w:themeFill="accent1" w:themeFillTint="33"/>
          </w:tcPr>
          <w:p w14:paraId="1227A61F" w14:textId="7C02445F" w:rsidR="00547DAA" w:rsidRDefault="002E29A0" w:rsidP="00547DAA">
            <w:pPr>
              <w:pStyle w:val="TableBody"/>
            </w:pPr>
            <w:r w:rsidRPr="002E29A0">
              <w:t xml:space="preserve">Jobseeker Payment </w:t>
            </w:r>
            <w:r w:rsidR="00EC5823">
              <w:t>(</w:t>
            </w:r>
            <w:r w:rsidRPr="002E29A0">
              <w:t>formerly Newstart)</w:t>
            </w:r>
          </w:p>
        </w:tc>
        <w:tc>
          <w:tcPr>
            <w:tcW w:w="0" w:type="auto"/>
            <w:shd w:val="clear" w:color="auto" w:fill="D9E2F3" w:themeFill="accent1" w:themeFillTint="33"/>
          </w:tcPr>
          <w:p w14:paraId="161CB919" w14:textId="5DDCA547" w:rsidR="00547DAA" w:rsidRDefault="002E29A0" w:rsidP="000B0FB8">
            <w:pPr>
              <w:pStyle w:val="TableBody"/>
              <w:jc w:val="right"/>
            </w:pPr>
            <w:r>
              <w:t>0</w:t>
            </w:r>
          </w:p>
        </w:tc>
        <w:tc>
          <w:tcPr>
            <w:tcW w:w="0" w:type="auto"/>
            <w:shd w:val="clear" w:color="auto" w:fill="D9E2F3" w:themeFill="accent1" w:themeFillTint="33"/>
          </w:tcPr>
          <w:p w14:paraId="66F5B2A5" w14:textId="74BD6A6F" w:rsidR="00547DAA" w:rsidRDefault="002E29A0" w:rsidP="000B0FB8">
            <w:pPr>
              <w:pStyle w:val="TableBody"/>
              <w:jc w:val="right"/>
            </w:pPr>
            <w:r>
              <w:t>0</w:t>
            </w:r>
          </w:p>
        </w:tc>
        <w:tc>
          <w:tcPr>
            <w:tcW w:w="0" w:type="auto"/>
            <w:shd w:val="clear" w:color="auto" w:fill="D9E2F3" w:themeFill="accent1" w:themeFillTint="33"/>
          </w:tcPr>
          <w:p w14:paraId="7AD3577A" w14:textId="21A915C5" w:rsidR="00547DAA" w:rsidRDefault="002E29A0" w:rsidP="000B0FB8">
            <w:pPr>
              <w:pStyle w:val="TableBody"/>
              <w:jc w:val="right"/>
            </w:pPr>
            <w:r>
              <w:t>0</w:t>
            </w:r>
          </w:p>
        </w:tc>
        <w:tc>
          <w:tcPr>
            <w:tcW w:w="0" w:type="auto"/>
            <w:shd w:val="clear" w:color="auto" w:fill="D9E2F3" w:themeFill="accent1" w:themeFillTint="33"/>
          </w:tcPr>
          <w:p w14:paraId="18CFE6F9" w14:textId="6EB4DA57" w:rsidR="00547DAA" w:rsidRDefault="002E29A0" w:rsidP="000B0FB8">
            <w:pPr>
              <w:pStyle w:val="TableBody"/>
              <w:jc w:val="right"/>
            </w:pPr>
            <w:r>
              <w:t>0</w:t>
            </w:r>
          </w:p>
        </w:tc>
        <w:tc>
          <w:tcPr>
            <w:tcW w:w="0" w:type="auto"/>
            <w:shd w:val="clear" w:color="auto" w:fill="D9E2F3" w:themeFill="accent1" w:themeFillTint="33"/>
          </w:tcPr>
          <w:p w14:paraId="7ADC9779" w14:textId="2B292927" w:rsidR="00547DAA" w:rsidRDefault="002E29A0" w:rsidP="000B0FB8">
            <w:pPr>
              <w:pStyle w:val="TableBody"/>
              <w:jc w:val="right"/>
            </w:pPr>
            <w:r>
              <w:t>0</w:t>
            </w:r>
          </w:p>
        </w:tc>
        <w:tc>
          <w:tcPr>
            <w:tcW w:w="0" w:type="auto"/>
            <w:shd w:val="clear" w:color="auto" w:fill="D9E2F3" w:themeFill="accent1" w:themeFillTint="33"/>
          </w:tcPr>
          <w:p w14:paraId="42EE08BB" w14:textId="651C8639" w:rsidR="00547DAA" w:rsidRDefault="002E29A0" w:rsidP="000B0FB8">
            <w:pPr>
              <w:pStyle w:val="TableBody"/>
              <w:jc w:val="right"/>
            </w:pPr>
            <w:r>
              <w:t>0</w:t>
            </w:r>
          </w:p>
        </w:tc>
      </w:tr>
      <w:tr w:rsidR="00630D0A" w14:paraId="4F3CF00E" w14:textId="28F68757" w:rsidTr="00D80CC3">
        <w:trPr>
          <w:cantSplit/>
        </w:trPr>
        <w:tc>
          <w:tcPr>
            <w:tcW w:w="0" w:type="auto"/>
            <w:shd w:val="clear" w:color="auto" w:fill="auto"/>
          </w:tcPr>
          <w:p w14:paraId="7E8AFC58" w14:textId="4674ECA2" w:rsidR="00547DAA" w:rsidRDefault="00004C0B" w:rsidP="00547DAA">
            <w:pPr>
              <w:pStyle w:val="TableBody"/>
            </w:pPr>
            <w:r w:rsidRPr="00004C0B">
              <w:t>Single</w:t>
            </w:r>
          </w:p>
        </w:tc>
        <w:tc>
          <w:tcPr>
            <w:tcW w:w="0" w:type="auto"/>
            <w:shd w:val="clear" w:color="auto" w:fill="auto"/>
          </w:tcPr>
          <w:p w14:paraId="34FFBCFF" w14:textId="23F81384" w:rsidR="00547DAA" w:rsidRDefault="004F3B2A" w:rsidP="00547DAA">
            <w:pPr>
              <w:pStyle w:val="TableBody"/>
            </w:pPr>
            <w:r w:rsidRPr="004F3B2A">
              <w:t>Age Pension</w:t>
            </w:r>
          </w:p>
        </w:tc>
        <w:tc>
          <w:tcPr>
            <w:tcW w:w="0" w:type="auto"/>
            <w:shd w:val="clear" w:color="auto" w:fill="auto"/>
          </w:tcPr>
          <w:p w14:paraId="52025462" w14:textId="7C9201A5" w:rsidR="004F3B2A" w:rsidRDefault="004F3B2A" w:rsidP="0064405E">
            <w:pPr>
              <w:pStyle w:val="TableBody"/>
              <w:jc w:val="right"/>
            </w:pPr>
            <w:r>
              <w:t>23</w:t>
            </w:r>
          </w:p>
        </w:tc>
        <w:tc>
          <w:tcPr>
            <w:tcW w:w="0" w:type="auto"/>
            <w:shd w:val="clear" w:color="auto" w:fill="auto"/>
          </w:tcPr>
          <w:p w14:paraId="3E6C13F6" w14:textId="55468340" w:rsidR="004F3B2A" w:rsidRDefault="004F3B2A" w:rsidP="0064405E">
            <w:pPr>
              <w:pStyle w:val="TableBody"/>
              <w:jc w:val="right"/>
            </w:pPr>
            <w:r>
              <w:t>20</w:t>
            </w:r>
          </w:p>
        </w:tc>
        <w:tc>
          <w:tcPr>
            <w:tcW w:w="0" w:type="auto"/>
            <w:shd w:val="clear" w:color="auto" w:fill="auto"/>
          </w:tcPr>
          <w:p w14:paraId="53468E78" w14:textId="559607D9" w:rsidR="004F3B2A" w:rsidRDefault="004F3B2A" w:rsidP="0064405E">
            <w:pPr>
              <w:pStyle w:val="TableBody"/>
              <w:jc w:val="right"/>
            </w:pPr>
            <w:r>
              <w:t>17</w:t>
            </w:r>
          </w:p>
        </w:tc>
        <w:tc>
          <w:tcPr>
            <w:tcW w:w="0" w:type="auto"/>
            <w:shd w:val="clear" w:color="auto" w:fill="auto"/>
          </w:tcPr>
          <w:p w14:paraId="54D48415" w14:textId="3A4D976D" w:rsidR="004F3B2A" w:rsidRDefault="004F3B2A" w:rsidP="0064405E">
            <w:pPr>
              <w:pStyle w:val="TableBody"/>
              <w:jc w:val="right"/>
            </w:pPr>
            <w:r>
              <w:t>15</w:t>
            </w:r>
          </w:p>
        </w:tc>
        <w:tc>
          <w:tcPr>
            <w:tcW w:w="0" w:type="auto"/>
            <w:shd w:val="clear" w:color="auto" w:fill="auto"/>
          </w:tcPr>
          <w:p w14:paraId="77DC0872" w14:textId="0DCF6619" w:rsidR="00A07CB1" w:rsidRDefault="00A07CB1" w:rsidP="0064405E">
            <w:pPr>
              <w:pStyle w:val="TableBody"/>
              <w:jc w:val="right"/>
            </w:pPr>
            <w:r>
              <w:t>4</w:t>
            </w:r>
          </w:p>
        </w:tc>
        <w:tc>
          <w:tcPr>
            <w:tcW w:w="0" w:type="auto"/>
            <w:shd w:val="clear" w:color="auto" w:fill="auto"/>
          </w:tcPr>
          <w:p w14:paraId="14B2EC6D" w14:textId="7E3049CD" w:rsidR="00A07CB1" w:rsidRDefault="00A07CB1" w:rsidP="0064405E">
            <w:pPr>
              <w:pStyle w:val="TableBody"/>
              <w:jc w:val="right"/>
            </w:pPr>
            <w:r>
              <w:t>18</w:t>
            </w:r>
          </w:p>
        </w:tc>
      </w:tr>
      <w:tr w:rsidR="00630D0A" w14:paraId="692B4AC9" w14:textId="0EDE7E5B" w:rsidTr="00D80CC3">
        <w:trPr>
          <w:cantSplit/>
        </w:trPr>
        <w:tc>
          <w:tcPr>
            <w:tcW w:w="0" w:type="auto"/>
            <w:shd w:val="clear" w:color="auto" w:fill="D9E2F3" w:themeFill="accent1" w:themeFillTint="33"/>
          </w:tcPr>
          <w:p w14:paraId="6B143575" w14:textId="35F93575" w:rsidR="00547DAA" w:rsidRDefault="00C440D7" w:rsidP="00547DAA">
            <w:pPr>
              <w:pStyle w:val="TableBody"/>
            </w:pPr>
            <w:r w:rsidRPr="00C440D7">
              <w:t>Single aged over 21</w:t>
            </w:r>
          </w:p>
        </w:tc>
        <w:tc>
          <w:tcPr>
            <w:tcW w:w="0" w:type="auto"/>
            <w:shd w:val="clear" w:color="auto" w:fill="D9E2F3" w:themeFill="accent1" w:themeFillTint="33"/>
          </w:tcPr>
          <w:p w14:paraId="0153BEEC" w14:textId="09E888B1" w:rsidR="00547DAA" w:rsidRDefault="00B54AF2" w:rsidP="00547DAA">
            <w:pPr>
              <w:pStyle w:val="TableBody"/>
            </w:pPr>
            <w:r w:rsidRPr="00B54AF2">
              <w:t>Disability Support Pension</w:t>
            </w:r>
          </w:p>
        </w:tc>
        <w:tc>
          <w:tcPr>
            <w:tcW w:w="0" w:type="auto"/>
            <w:shd w:val="clear" w:color="auto" w:fill="D9E2F3" w:themeFill="accent1" w:themeFillTint="33"/>
          </w:tcPr>
          <w:p w14:paraId="04D00921" w14:textId="34FC18B0" w:rsidR="00B54AF2" w:rsidRDefault="00B54AF2" w:rsidP="0064405E">
            <w:pPr>
              <w:pStyle w:val="TableBody"/>
              <w:jc w:val="right"/>
            </w:pPr>
            <w:r>
              <w:t>2</w:t>
            </w:r>
          </w:p>
        </w:tc>
        <w:tc>
          <w:tcPr>
            <w:tcW w:w="0" w:type="auto"/>
            <w:shd w:val="clear" w:color="auto" w:fill="D9E2F3" w:themeFill="accent1" w:themeFillTint="33"/>
          </w:tcPr>
          <w:p w14:paraId="3BFADC9B" w14:textId="6856D832" w:rsidR="00B54AF2" w:rsidRDefault="00B54AF2" w:rsidP="0064405E">
            <w:pPr>
              <w:pStyle w:val="TableBody"/>
              <w:jc w:val="right"/>
            </w:pPr>
            <w:r>
              <w:t>1</w:t>
            </w:r>
          </w:p>
        </w:tc>
        <w:tc>
          <w:tcPr>
            <w:tcW w:w="0" w:type="auto"/>
            <w:shd w:val="clear" w:color="auto" w:fill="D9E2F3" w:themeFill="accent1" w:themeFillTint="33"/>
          </w:tcPr>
          <w:p w14:paraId="21EDEC54" w14:textId="231D1B7B" w:rsidR="00547DAA" w:rsidRDefault="00B54AF2" w:rsidP="000B0FB8">
            <w:pPr>
              <w:pStyle w:val="TableBody"/>
              <w:jc w:val="right"/>
            </w:pPr>
            <w:r>
              <w:t>0</w:t>
            </w:r>
          </w:p>
        </w:tc>
        <w:tc>
          <w:tcPr>
            <w:tcW w:w="0" w:type="auto"/>
            <w:shd w:val="clear" w:color="auto" w:fill="D9E2F3" w:themeFill="accent1" w:themeFillTint="33"/>
          </w:tcPr>
          <w:p w14:paraId="3F9007B7" w14:textId="2EB3FAFA" w:rsidR="00547DAA" w:rsidRDefault="00B54AF2" w:rsidP="000B0FB8">
            <w:pPr>
              <w:pStyle w:val="TableBody"/>
              <w:jc w:val="right"/>
            </w:pPr>
            <w:r>
              <w:t>0</w:t>
            </w:r>
          </w:p>
        </w:tc>
        <w:tc>
          <w:tcPr>
            <w:tcW w:w="0" w:type="auto"/>
            <w:shd w:val="clear" w:color="auto" w:fill="D9E2F3" w:themeFill="accent1" w:themeFillTint="33"/>
          </w:tcPr>
          <w:p w14:paraId="1384CFF9" w14:textId="49B012A0" w:rsidR="00547DAA" w:rsidRDefault="00B54AF2" w:rsidP="000B0FB8">
            <w:pPr>
              <w:pStyle w:val="TableBody"/>
              <w:jc w:val="right"/>
            </w:pPr>
            <w:r>
              <w:t>0</w:t>
            </w:r>
          </w:p>
        </w:tc>
        <w:tc>
          <w:tcPr>
            <w:tcW w:w="0" w:type="auto"/>
            <w:shd w:val="clear" w:color="auto" w:fill="D9E2F3" w:themeFill="accent1" w:themeFillTint="33"/>
          </w:tcPr>
          <w:p w14:paraId="08A220CF" w14:textId="02C75ABF" w:rsidR="00547DAA" w:rsidRDefault="00B54AF2" w:rsidP="000B0FB8">
            <w:pPr>
              <w:pStyle w:val="TableBody"/>
              <w:jc w:val="right"/>
            </w:pPr>
            <w:r>
              <w:t>0</w:t>
            </w:r>
          </w:p>
        </w:tc>
      </w:tr>
      <w:tr w:rsidR="00EC5823" w14:paraId="283A4BB3" w14:textId="77777777" w:rsidTr="00D80CC3">
        <w:trPr>
          <w:cantSplit/>
        </w:trPr>
        <w:tc>
          <w:tcPr>
            <w:tcW w:w="0" w:type="auto"/>
            <w:shd w:val="clear" w:color="auto" w:fill="auto"/>
          </w:tcPr>
          <w:p w14:paraId="3F246E04" w14:textId="6D73B9E8" w:rsidR="00A07CB1" w:rsidRDefault="00481CBA" w:rsidP="00547DAA">
            <w:pPr>
              <w:pStyle w:val="TableBody"/>
            </w:pPr>
            <w:r w:rsidRPr="00481CBA">
              <w:t>Single</w:t>
            </w:r>
          </w:p>
        </w:tc>
        <w:tc>
          <w:tcPr>
            <w:tcW w:w="0" w:type="auto"/>
            <w:shd w:val="clear" w:color="auto" w:fill="auto"/>
          </w:tcPr>
          <w:p w14:paraId="739D7055" w14:textId="42B467E3" w:rsidR="00A07CB1" w:rsidRDefault="001140A3" w:rsidP="00547DAA">
            <w:pPr>
              <w:pStyle w:val="TableBody"/>
            </w:pPr>
            <w:r w:rsidRPr="001140A3">
              <w:t>Jobseeker Payment</w:t>
            </w:r>
            <w:r w:rsidR="00EC5823">
              <w:t xml:space="preserve"> </w:t>
            </w:r>
            <w:r w:rsidRPr="001140A3">
              <w:t>(formerly Newstart)</w:t>
            </w:r>
          </w:p>
        </w:tc>
        <w:tc>
          <w:tcPr>
            <w:tcW w:w="0" w:type="auto"/>
            <w:shd w:val="clear" w:color="auto" w:fill="auto"/>
          </w:tcPr>
          <w:p w14:paraId="79EB67C2" w14:textId="754D7FAA" w:rsidR="00A07CB1" w:rsidRDefault="001140A3" w:rsidP="000B0FB8">
            <w:pPr>
              <w:pStyle w:val="TableBody"/>
              <w:jc w:val="right"/>
            </w:pPr>
            <w:r>
              <w:t>0</w:t>
            </w:r>
          </w:p>
        </w:tc>
        <w:tc>
          <w:tcPr>
            <w:tcW w:w="0" w:type="auto"/>
            <w:shd w:val="clear" w:color="auto" w:fill="auto"/>
          </w:tcPr>
          <w:p w14:paraId="56F8797B" w14:textId="3927A042" w:rsidR="00A07CB1" w:rsidRDefault="001140A3" w:rsidP="000B0FB8">
            <w:pPr>
              <w:pStyle w:val="TableBody"/>
              <w:jc w:val="right"/>
            </w:pPr>
            <w:r>
              <w:t>0</w:t>
            </w:r>
          </w:p>
        </w:tc>
        <w:tc>
          <w:tcPr>
            <w:tcW w:w="0" w:type="auto"/>
            <w:shd w:val="clear" w:color="auto" w:fill="auto"/>
          </w:tcPr>
          <w:p w14:paraId="15595534" w14:textId="403BD56D" w:rsidR="00A07CB1" w:rsidRDefault="001140A3" w:rsidP="000B0FB8">
            <w:pPr>
              <w:pStyle w:val="TableBody"/>
              <w:jc w:val="right"/>
            </w:pPr>
            <w:r>
              <w:t>0</w:t>
            </w:r>
          </w:p>
        </w:tc>
        <w:tc>
          <w:tcPr>
            <w:tcW w:w="0" w:type="auto"/>
            <w:shd w:val="clear" w:color="auto" w:fill="auto"/>
          </w:tcPr>
          <w:p w14:paraId="1F26667D" w14:textId="52777B15" w:rsidR="00A07CB1" w:rsidRDefault="001140A3" w:rsidP="000B0FB8">
            <w:pPr>
              <w:pStyle w:val="TableBody"/>
              <w:jc w:val="right"/>
            </w:pPr>
            <w:r>
              <w:t>0</w:t>
            </w:r>
          </w:p>
        </w:tc>
        <w:tc>
          <w:tcPr>
            <w:tcW w:w="0" w:type="auto"/>
            <w:shd w:val="clear" w:color="auto" w:fill="auto"/>
          </w:tcPr>
          <w:p w14:paraId="1F367E89" w14:textId="4CB9AF37" w:rsidR="00A07CB1" w:rsidRDefault="001140A3" w:rsidP="000B0FB8">
            <w:pPr>
              <w:pStyle w:val="TableBody"/>
              <w:jc w:val="right"/>
            </w:pPr>
            <w:r>
              <w:t>0</w:t>
            </w:r>
          </w:p>
        </w:tc>
        <w:tc>
          <w:tcPr>
            <w:tcW w:w="0" w:type="auto"/>
            <w:shd w:val="clear" w:color="auto" w:fill="auto"/>
          </w:tcPr>
          <w:p w14:paraId="08A11F4C" w14:textId="0A83C1FA" w:rsidR="00A07CB1" w:rsidRDefault="001140A3" w:rsidP="000B0FB8">
            <w:pPr>
              <w:pStyle w:val="TableBody"/>
              <w:jc w:val="right"/>
            </w:pPr>
            <w:r>
              <w:t>0</w:t>
            </w:r>
          </w:p>
        </w:tc>
      </w:tr>
      <w:tr w:rsidR="00EC5823" w14:paraId="60F0A34C" w14:textId="77777777" w:rsidTr="00D80CC3">
        <w:trPr>
          <w:cantSplit/>
        </w:trPr>
        <w:tc>
          <w:tcPr>
            <w:tcW w:w="0" w:type="auto"/>
            <w:shd w:val="clear" w:color="auto" w:fill="D9E2F3" w:themeFill="accent1" w:themeFillTint="33"/>
          </w:tcPr>
          <w:p w14:paraId="56F87007" w14:textId="1FA6F155" w:rsidR="00A07CB1" w:rsidRDefault="001B10D8" w:rsidP="00547DAA">
            <w:pPr>
              <w:pStyle w:val="TableBody"/>
            </w:pPr>
            <w:r w:rsidRPr="001B10D8">
              <w:t>Single aged over 18</w:t>
            </w:r>
          </w:p>
        </w:tc>
        <w:tc>
          <w:tcPr>
            <w:tcW w:w="0" w:type="auto"/>
            <w:shd w:val="clear" w:color="auto" w:fill="D9E2F3" w:themeFill="accent1" w:themeFillTint="33"/>
          </w:tcPr>
          <w:p w14:paraId="13EEAEE3" w14:textId="4DC51B14" w:rsidR="00A07CB1" w:rsidRDefault="00CC701A" w:rsidP="00547DAA">
            <w:pPr>
              <w:pStyle w:val="TableBody"/>
            </w:pPr>
            <w:r w:rsidRPr="00CC701A">
              <w:t>Youth Allowance</w:t>
            </w:r>
          </w:p>
        </w:tc>
        <w:tc>
          <w:tcPr>
            <w:tcW w:w="0" w:type="auto"/>
            <w:shd w:val="clear" w:color="auto" w:fill="D9E2F3" w:themeFill="accent1" w:themeFillTint="33"/>
          </w:tcPr>
          <w:p w14:paraId="46B7F4FC" w14:textId="52B3380A" w:rsidR="00A07CB1" w:rsidRDefault="00CC701A" w:rsidP="000B0FB8">
            <w:pPr>
              <w:pStyle w:val="TableBody"/>
              <w:jc w:val="right"/>
            </w:pPr>
            <w:r>
              <w:t>0</w:t>
            </w:r>
          </w:p>
        </w:tc>
        <w:tc>
          <w:tcPr>
            <w:tcW w:w="0" w:type="auto"/>
            <w:shd w:val="clear" w:color="auto" w:fill="D9E2F3" w:themeFill="accent1" w:themeFillTint="33"/>
          </w:tcPr>
          <w:p w14:paraId="1A3E3C12" w14:textId="4079ACFA" w:rsidR="00A07CB1" w:rsidRDefault="00CC701A" w:rsidP="000B0FB8">
            <w:pPr>
              <w:pStyle w:val="TableBody"/>
              <w:jc w:val="right"/>
            </w:pPr>
            <w:r>
              <w:t>0</w:t>
            </w:r>
          </w:p>
        </w:tc>
        <w:tc>
          <w:tcPr>
            <w:tcW w:w="0" w:type="auto"/>
            <w:shd w:val="clear" w:color="auto" w:fill="D9E2F3" w:themeFill="accent1" w:themeFillTint="33"/>
          </w:tcPr>
          <w:p w14:paraId="60932DD1" w14:textId="16EDC864" w:rsidR="00A07CB1" w:rsidRDefault="00CC701A" w:rsidP="000B0FB8">
            <w:pPr>
              <w:pStyle w:val="TableBody"/>
              <w:jc w:val="right"/>
            </w:pPr>
            <w:r>
              <w:t>0</w:t>
            </w:r>
          </w:p>
        </w:tc>
        <w:tc>
          <w:tcPr>
            <w:tcW w:w="0" w:type="auto"/>
            <w:shd w:val="clear" w:color="auto" w:fill="D9E2F3" w:themeFill="accent1" w:themeFillTint="33"/>
          </w:tcPr>
          <w:p w14:paraId="09519C5F" w14:textId="3B2D6870" w:rsidR="00A07CB1" w:rsidRDefault="00CC701A" w:rsidP="000B0FB8">
            <w:pPr>
              <w:pStyle w:val="TableBody"/>
              <w:jc w:val="right"/>
            </w:pPr>
            <w:r>
              <w:t>0</w:t>
            </w:r>
          </w:p>
        </w:tc>
        <w:tc>
          <w:tcPr>
            <w:tcW w:w="0" w:type="auto"/>
            <w:shd w:val="clear" w:color="auto" w:fill="D9E2F3" w:themeFill="accent1" w:themeFillTint="33"/>
          </w:tcPr>
          <w:p w14:paraId="1AE89C24" w14:textId="580C6ECC" w:rsidR="00A07CB1" w:rsidRDefault="00CC701A" w:rsidP="000B0FB8">
            <w:pPr>
              <w:pStyle w:val="TableBody"/>
              <w:jc w:val="right"/>
            </w:pPr>
            <w:r>
              <w:t>0</w:t>
            </w:r>
          </w:p>
        </w:tc>
        <w:tc>
          <w:tcPr>
            <w:tcW w:w="0" w:type="auto"/>
            <w:shd w:val="clear" w:color="auto" w:fill="D9E2F3" w:themeFill="accent1" w:themeFillTint="33"/>
          </w:tcPr>
          <w:p w14:paraId="68BACA52" w14:textId="70036757" w:rsidR="00A07CB1" w:rsidRDefault="00CC701A" w:rsidP="000B0FB8">
            <w:pPr>
              <w:pStyle w:val="TableBody"/>
              <w:jc w:val="right"/>
            </w:pPr>
            <w:r>
              <w:t>0</w:t>
            </w:r>
          </w:p>
        </w:tc>
      </w:tr>
      <w:tr w:rsidR="00A07CB1" w14:paraId="20E8733F" w14:textId="77777777" w:rsidTr="00D80CC3">
        <w:trPr>
          <w:cantSplit/>
        </w:trPr>
        <w:tc>
          <w:tcPr>
            <w:tcW w:w="0" w:type="auto"/>
          </w:tcPr>
          <w:p w14:paraId="52025F4C" w14:textId="77777777" w:rsidR="006F3123" w:rsidRDefault="006F3123" w:rsidP="006F3123">
            <w:pPr>
              <w:pStyle w:val="TableBody"/>
            </w:pPr>
            <w:r>
              <w:t xml:space="preserve">Couple, two children </w:t>
            </w:r>
          </w:p>
          <w:p w14:paraId="400EC0F9" w14:textId="77777777" w:rsidR="006F3123" w:rsidRDefault="006F3123" w:rsidP="006F3123">
            <w:pPr>
              <w:pStyle w:val="TableBody"/>
            </w:pPr>
            <w:r>
              <w:t xml:space="preserve">(one aged less than 5, </w:t>
            </w:r>
          </w:p>
          <w:p w14:paraId="7DC023B3" w14:textId="110DEC8C" w:rsidR="00A07CB1" w:rsidRDefault="006F3123" w:rsidP="006F3123">
            <w:pPr>
              <w:pStyle w:val="TableBody"/>
            </w:pPr>
            <w:r>
              <w:t>one aged less than 10)</w:t>
            </w:r>
          </w:p>
        </w:tc>
        <w:tc>
          <w:tcPr>
            <w:tcW w:w="0" w:type="auto"/>
          </w:tcPr>
          <w:p w14:paraId="4F267EB1" w14:textId="1F6C3CA1" w:rsidR="00A07CB1" w:rsidRDefault="000278B0" w:rsidP="00EC5823">
            <w:pPr>
              <w:pStyle w:val="TableBody"/>
            </w:pPr>
            <w:r>
              <w:t>Minimum Wage + FTB A</w:t>
            </w:r>
            <w:r w:rsidR="00EC5823">
              <w:t xml:space="preserve"> </w:t>
            </w:r>
            <w:r>
              <w:t>(both</w:t>
            </w:r>
            <w:r w:rsidR="00EC5823">
              <w:t xml:space="preserve"> </w:t>
            </w:r>
            <w:r>
              <w:t>adults)</w:t>
            </w:r>
          </w:p>
        </w:tc>
        <w:tc>
          <w:tcPr>
            <w:tcW w:w="0" w:type="auto"/>
          </w:tcPr>
          <w:p w14:paraId="12D71F1A" w14:textId="33943BBB" w:rsidR="000278B0" w:rsidRDefault="000278B0" w:rsidP="0064405E">
            <w:pPr>
              <w:pStyle w:val="TableBody"/>
              <w:jc w:val="right"/>
            </w:pPr>
            <w:r>
              <w:t>81</w:t>
            </w:r>
          </w:p>
        </w:tc>
        <w:tc>
          <w:tcPr>
            <w:tcW w:w="0" w:type="auto"/>
          </w:tcPr>
          <w:p w14:paraId="61D0D0E8" w14:textId="21BDD931" w:rsidR="004B68C8" w:rsidRDefault="004B68C8" w:rsidP="0064405E">
            <w:pPr>
              <w:pStyle w:val="TableBody"/>
              <w:jc w:val="right"/>
            </w:pPr>
            <w:r>
              <w:t>26</w:t>
            </w:r>
          </w:p>
        </w:tc>
        <w:tc>
          <w:tcPr>
            <w:tcW w:w="0" w:type="auto"/>
          </w:tcPr>
          <w:p w14:paraId="22EB316B" w14:textId="387A31B1" w:rsidR="004B68C8" w:rsidRDefault="004B68C8" w:rsidP="0064405E">
            <w:pPr>
              <w:pStyle w:val="TableBody"/>
              <w:jc w:val="right"/>
            </w:pPr>
            <w:r>
              <w:t>20</w:t>
            </w:r>
          </w:p>
        </w:tc>
        <w:tc>
          <w:tcPr>
            <w:tcW w:w="0" w:type="auto"/>
          </w:tcPr>
          <w:p w14:paraId="33D3A73F" w14:textId="09630F2D" w:rsidR="004B68C8" w:rsidRDefault="004B68C8" w:rsidP="0064405E">
            <w:pPr>
              <w:pStyle w:val="TableBody"/>
              <w:jc w:val="right"/>
            </w:pPr>
            <w:r>
              <w:t>16</w:t>
            </w:r>
          </w:p>
        </w:tc>
        <w:tc>
          <w:tcPr>
            <w:tcW w:w="0" w:type="auto"/>
          </w:tcPr>
          <w:p w14:paraId="59C3D967" w14:textId="3D2BA417" w:rsidR="004B68C8" w:rsidRDefault="004B68C8" w:rsidP="0064405E">
            <w:pPr>
              <w:pStyle w:val="TableBody"/>
              <w:jc w:val="right"/>
            </w:pPr>
            <w:r>
              <w:t>1</w:t>
            </w:r>
          </w:p>
        </w:tc>
        <w:tc>
          <w:tcPr>
            <w:tcW w:w="0" w:type="auto"/>
          </w:tcPr>
          <w:p w14:paraId="49782321" w14:textId="7D22D869" w:rsidR="004B68C8" w:rsidRDefault="004B68C8" w:rsidP="0064405E">
            <w:pPr>
              <w:pStyle w:val="TableBody"/>
              <w:jc w:val="right"/>
            </w:pPr>
            <w:r>
              <w:t>10</w:t>
            </w:r>
          </w:p>
        </w:tc>
      </w:tr>
      <w:tr w:rsidR="004B68C8" w14:paraId="61397ACB" w14:textId="77777777" w:rsidTr="00D80CC3">
        <w:trPr>
          <w:cantSplit/>
        </w:trPr>
        <w:tc>
          <w:tcPr>
            <w:tcW w:w="0" w:type="auto"/>
            <w:shd w:val="clear" w:color="auto" w:fill="D9E2F3" w:themeFill="accent1" w:themeFillTint="33"/>
          </w:tcPr>
          <w:p w14:paraId="1E6D9599" w14:textId="77777777" w:rsidR="0000342D" w:rsidRDefault="0000342D" w:rsidP="0000342D">
            <w:pPr>
              <w:pStyle w:val="TableBody"/>
            </w:pPr>
            <w:r>
              <w:t xml:space="preserve">Single, two children </w:t>
            </w:r>
          </w:p>
          <w:p w14:paraId="6D10E379" w14:textId="77777777" w:rsidR="0000342D" w:rsidRDefault="0000342D" w:rsidP="0000342D">
            <w:pPr>
              <w:pStyle w:val="TableBody"/>
            </w:pPr>
            <w:r>
              <w:t xml:space="preserve">(one aged less than 5, </w:t>
            </w:r>
          </w:p>
          <w:p w14:paraId="63AB494E" w14:textId="3BF39171" w:rsidR="004B68C8" w:rsidRDefault="0000342D" w:rsidP="0000342D">
            <w:pPr>
              <w:pStyle w:val="TableBody"/>
            </w:pPr>
            <w:r>
              <w:t>one aged less than 10)</w:t>
            </w:r>
          </w:p>
        </w:tc>
        <w:tc>
          <w:tcPr>
            <w:tcW w:w="0" w:type="auto"/>
            <w:shd w:val="clear" w:color="auto" w:fill="D9E2F3" w:themeFill="accent1" w:themeFillTint="33"/>
          </w:tcPr>
          <w:p w14:paraId="3D28164B" w14:textId="4C8E9335" w:rsidR="004B68C8" w:rsidRDefault="006A4FBB" w:rsidP="000278B0">
            <w:pPr>
              <w:pStyle w:val="TableBody"/>
            </w:pPr>
            <w:r w:rsidRPr="006A4FBB">
              <w:t>Minimum Wage + FTB A &amp; B</w:t>
            </w:r>
          </w:p>
        </w:tc>
        <w:tc>
          <w:tcPr>
            <w:tcW w:w="0" w:type="auto"/>
            <w:shd w:val="clear" w:color="auto" w:fill="D9E2F3" w:themeFill="accent1" w:themeFillTint="33"/>
          </w:tcPr>
          <w:p w14:paraId="45EC16BC" w14:textId="079F1B26" w:rsidR="004B68C8" w:rsidRDefault="006A4FBB" w:rsidP="000B0FB8">
            <w:pPr>
              <w:pStyle w:val="TableBody"/>
              <w:jc w:val="right"/>
            </w:pPr>
            <w:r>
              <w:t>0</w:t>
            </w:r>
          </w:p>
        </w:tc>
        <w:tc>
          <w:tcPr>
            <w:tcW w:w="0" w:type="auto"/>
            <w:shd w:val="clear" w:color="auto" w:fill="D9E2F3" w:themeFill="accent1" w:themeFillTint="33"/>
          </w:tcPr>
          <w:p w14:paraId="0D30FBD3" w14:textId="7DE1376D" w:rsidR="004B68C8" w:rsidRDefault="006A4FBB" w:rsidP="000B0FB8">
            <w:pPr>
              <w:pStyle w:val="TableBody"/>
              <w:jc w:val="right"/>
            </w:pPr>
            <w:r>
              <w:t>0</w:t>
            </w:r>
          </w:p>
        </w:tc>
        <w:tc>
          <w:tcPr>
            <w:tcW w:w="0" w:type="auto"/>
            <w:shd w:val="clear" w:color="auto" w:fill="D9E2F3" w:themeFill="accent1" w:themeFillTint="33"/>
          </w:tcPr>
          <w:p w14:paraId="2B3972BE" w14:textId="44183A65" w:rsidR="004B68C8" w:rsidRDefault="006A4FBB" w:rsidP="000B0FB8">
            <w:pPr>
              <w:pStyle w:val="TableBody"/>
              <w:jc w:val="right"/>
            </w:pPr>
            <w:r>
              <w:t>0</w:t>
            </w:r>
          </w:p>
        </w:tc>
        <w:tc>
          <w:tcPr>
            <w:tcW w:w="0" w:type="auto"/>
            <w:shd w:val="clear" w:color="auto" w:fill="D9E2F3" w:themeFill="accent1" w:themeFillTint="33"/>
          </w:tcPr>
          <w:p w14:paraId="55F3B97D" w14:textId="708520CF" w:rsidR="004B68C8" w:rsidRDefault="006A4FBB" w:rsidP="000B0FB8">
            <w:pPr>
              <w:pStyle w:val="TableBody"/>
              <w:jc w:val="right"/>
            </w:pPr>
            <w:r>
              <w:t>0</w:t>
            </w:r>
          </w:p>
        </w:tc>
        <w:tc>
          <w:tcPr>
            <w:tcW w:w="0" w:type="auto"/>
            <w:shd w:val="clear" w:color="auto" w:fill="D9E2F3" w:themeFill="accent1" w:themeFillTint="33"/>
          </w:tcPr>
          <w:p w14:paraId="021FE1C8" w14:textId="3E48A986" w:rsidR="004B68C8" w:rsidRDefault="006A4FBB" w:rsidP="000B0FB8">
            <w:pPr>
              <w:pStyle w:val="TableBody"/>
              <w:jc w:val="right"/>
            </w:pPr>
            <w:r>
              <w:t>0</w:t>
            </w:r>
          </w:p>
        </w:tc>
        <w:tc>
          <w:tcPr>
            <w:tcW w:w="0" w:type="auto"/>
            <w:shd w:val="clear" w:color="auto" w:fill="D9E2F3" w:themeFill="accent1" w:themeFillTint="33"/>
          </w:tcPr>
          <w:p w14:paraId="1C256251" w14:textId="16E719C3" w:rsidR="006A4FBB" w:rsidRDefault="006A4FBB" w:rsidP="0064405E">
            <w:pPr>
              <w:pStyle w:val="TableBody"/>
              <w:jc w:val="right"/>
            </w:pPr>
            <w:r>
              <w:t>6</w:t>
            </w:r>
          </w:p>
        </w:tc>
      </w:tr>
      <w:tr w:rsidR="004B68C8" w14:paraId="0E77D84C" w14:textId="77777777" w:rsidTr="00D80CC3">
        <w:trPr>
          <w:cantSplit/>
        </w:trPr>
        <w:tc>
          <w:tcPr>
            <w:tcW w:w="0" w:type="auto"/>
          </w:tcPr>
          <w:p w14:paraId="7A5F4EE4" w14:textId="0AD7C37E" w:rsidR="004B68C8" w:rsidRDefault="005D7101" w:rsidP="006F3123">
            <w:pPr>
              <w:pStyle w:val="TableBody"/>
            </w:pPr>
            <w:r w:rsidRPr="005D7101">
              <w:t>Single</w:t>
            </w:r>
          </w:p>
        </w:tc>
        <w:tc>
          <w:tcPr>
            <w:tcW w:w="0" w:type="auto"/>
          </w:tcPr>
          <w:p w14:paraId="35627F29" w14:textId="63200B01" w:rsidR="004B68C8" w:rsidRDefault="00EA5EF2" w:rsidP="000278B0">
            <w:pPr>
              <w:pStyle w:val="TableBody"/>
            </w:pPr>
            <w:r w:rsidRPr="00EA5EF2">
              <w:t>Minimum Wage</w:t>
            </w:r>
          </w:p>
        </w:tc>
        <w:tc>
          <w:tcPr>
            <w:tcW w:w="0" w:type="auto"/>
          </w:tcPr>
          <w:p w14:paraId="1EB504F7" w14:textId="537904C2" w:rsidR="00EA5EF2" w:rsidRDefault="00EA5EF2" w:rsidP="0064405E">
            <w:pPr>
              <w:pStyle w:val="TableBody"/>
              <w:jc w:val="right"/>
            </w:pPr>
            <w:r>
              <w:t>91</w:t>
            </w:r>
          </w:p>
        </w:tc>
        <w:tc>
          <w:tcPr>
            <w:tcW w:w="0" w:type="auto"/>
          </w:tcPr>
          <w:p w14:paraId="218C2CA2" w14:textId="4FB6E5AD" w:rsidR="00EA5EF2" w:rsidRDefault="00EA5EF2" w:rsidP="0064405E">
            <w:pPr>
              <w:pStyle w:val="TableBody"/>
              <w:jc w:val="right"/>
            </w:pPr>
            <w:r>
              <w:t>41</w:t>
            </w:r>
          </w:p>
        </w:tc>
        <w:tc>
          <w:tcPr>
            <w:tcW w:w="0" w:type="auto"/>
          </w:tcPr>
          <w:p w14:paraId="1998FF79" w14:textId="0802760A" w:rsidR="00EA5EF2" w:rsidRDefault="00EA5EF2" w:rsidP="0064405E">
            <w:pPr>
              <w:pStyle w:val="TableBody"/>
              <w:jc w:val="right"/>
            </w:pPr>
            <w:r>
              <w:t>47</w:t>
            </w:r>
          </w:p>
        </w:tc>
        <w:tc>
          <w:tcPr>
            <w:tcW w:w="0" w:type="auto"/>
          </w:tcPr>
          <w:p w14:paraId="1D8D766A" w14:textId="2DA842A7" w:rsidR="008C1BF3" w:rsidRDefault="008C1BF3" w:rsidP="0064405E">
            <w:pPr>
              <w:pStyle w:val="TableBody"/>
              <w:jc w:val="right"/>
            </w:pPr>
            <w:r>
              <w:t>56</w:t>
            </w:r>
          </w:p>
        </w:tc>
        <w:tc>
          <w:tcPr>
            <w:tcW w:w="0" w:type="auto"/>
          </w:tcPr>
          <w:p w14:paraId="57046F7D" w14:textId="2F72C7E0" w:rsidR="008C1BF3" w:rsidRDefault="008C1BF3" w:rsidP="0064405E">
            <w:pPr>
              <w:pStyle w:val="TableBody"/>
              <w:jc w:val="right"/>
            </w:pPr>
            <w:r>
              <w:t>46</w:t>
            </w:r>
          </w:p>
        </w:tc>
        <w:tc>
          <w:tcPr>
            <w:tcW w:w="0" w:type="auto"/>
          </w:tcPr>
          <w:p w14:paraId="6035E3FA" w14:textId="64A320B0" w:rsidR="008C1BF3" w:rsidRDefault="008C1BF3" w:rsidP="0064405E">
            <w:pPr>
              <w:pStyle w:val="TableBody"/>
              <w:jc w:val="right"/>
            </w:pPr>
            <w:r>
              <w:t>42</w:t>
            </w:r>
          </w:p>
        </w:tc>
      </w:tr>
      <w:tr w:rsidR="004B68C8" w14:paraId="18349E74" w14:textId="77777777" w:rsidTr="00D80CC3">
        <w:trPr>
          <w:cantSplit/>
        </w:trPr>
        <w:tc>
          <w:tcPr>
            <w:tcW w:w="0" w:type="auto"/>
            <w:tcBorders>
              <w:bottom w:val="single" w:sz="12" w:space="0" w:color="A6A6A6" w:themeColor="background1" w:themeShade="A6"/>
            </w:tcBorders>
            <w:shd w:val="clear" w:color="auto" w:fill="D9E2F3" w:themeFill="accent1" w:themeFillTint="33"/>
          </w:tcPr>
          <w:p w14:paraId="643DE1A7" w14:textId="77777777" w:rsidR="00D66B5E" w:rsidRDefault="00D66B5E" w:rsidP="00D66B5E">
            <w:pPr>
              <w:pStyle w:val="TableBody"/>
            </w:pPr>
            <w:r>
              <w:t>Couple, two children</w:t>
            </w:r>
          </w:p>
          <w:p w14:paraId="3506AFB7" w14:textId="77777777" w:rsidR="00D66B5E" w:rsidRDefault="00D66B5E" w:rsidP="00D66B5E">
            <w:pPr>
              <w:pStyle w:val="TableBody"/>
            </w:pPr>
            <w:r>
              <w:t>(one aged less than 5,</w:t>
            </w:r>
          </w:p>
          <w:p w14:paraId="2836782C" w14:textId="5C8FD679" w:rsidR="004B68C8" w:rsidRDefault="00D66B5E" w:rsidP="00D66B5E">
            <w:pPr>
              <w:pStyle w:val="TableBody"/>
            </w:pPr>
            <w:r>
              <w:t>one aged less than 10)</w:t>
            </w:r>
          </w:p>
        </w:tc>
        <w:tc>
          <w:tcPr>
            <w:tcW w:w="0" w:type="auto"/>
            <w:tcBorders>
              <w:bottom w:val="single" w:sz="12" w:space="0" w:color="A6A6A6" w:themeColor="background1" w:themeShade="A6"/>
            </w:tcBorders>
            <w:shd w:val="clear" w:color="auto" w:fill="D9E2F3" w:themeFill="accent1" w:themeFillTint="33"/>
          </w:tcPr>
          <w:p w14:paraId="4CACF7C4" w14:textId="05069925" w:rsidR="004B68C8" w:rsidRDefault="003D349A" w:rsidP="000278B0">
            <w:pPr>
              <w:pStyle w:val="TableBody"/>
            </w:pPr>
            <w:r w:rsidRPr="003D349A">
              <w:t>Minimum Wage + Parenting</w:t>
            </w:r>
            <w:r w:rsidR="00EC5823">
              <w:t xml:space="preserve"> </w:t>
            </w:r>
            <w:r w:rsidRPr="003D349A">
              <w:t>payment</w:t>
            </w:r>
            <w:r w:rsidR="00EC5823">
              <w:t xml:space="preserve"> </w:t>
            </w:r>
            <w:r w:rsidRPr="003D349A">
              <w:t>(partnered) + FTB A &amp; B</w:t>
            </w:r>
          </w:p>
        </w:tc>
        <w:tc>
          <w:tcPr>
            <w:tcW w:w="0" w:type="auto"/>
            <w:tcBorders>
              <w:bottom w:val="single" w:sz="12" w:space="0" w:color="A6A6A6" w:themeColor="background1" w:themeShade="A6"/>
            </w:tcBorders>
            <w:shd w:val="clear" w:color="auto" w:fill="D9E2F3" w:themeFill="accent1" w:themeFillTint="33"/>
          </w:tcPr>
          <w:p w14:paraId="22A9F47E" w14:textId="6F295953" w:rsidR="004B68C8" w:rsidRDefault="003D349A" w:rsidP="000B0FB8">
            <w:pPr>
              <w:pStyle w:val="TableBody"/>
              <w:jc w:val="right"/>
            </w:pPr>
            <w:r>
              <w:t>0</w:t>
            </w:r>
          </w:p>
        </w:tc>
        <w:tc>
          <w:tcPr>
            <w:tcW w:w="0" w:type="auto"/>
            <w:tcBorders>
              <w:bottom w:val="single" w:sz="12" w:space="0" w:color="A6A6A6" w:themeColor="background1" w:themeShade="A6"/>
            </w:tcBorders>
            <w:shd w:val="clear" w:color="auto" w:fill="D9E2F3" w:themeFill="accent1" w:themeFillTint="33"/>
          </w:tcPr>
          <w:p w14:paraId="6D155AE4" w14:textId="2054B58C" w:rsidR="004B68C8" w:rsidRDefault="003D349A" w:rsidP="000B0FB8">
            <w:pPr>
              <w:pStyle w:val="TableBody"/>
              <w:jc w:val="right"/>
            </w:pPr>
            <w:r>
              <w:t>0</w:t>
            </w:r>
          </w:p>
        </w:tc>
        <w:tc>
          <w:tcPr>
            <w:tcW w:w="0" w:type="auto"/>
            <w:tcBorders>
              <w:bottom w:val="single" w:sz="12" w:space="0" w:color="A6A6A6" w:themeColor="background1" w:themeShade="A6"/>
            </w:tcBorders>
            <w:shd w:val="clear" w:color="auto" w:fill="D9E2F3" w:themeFill="accent1" w:themeFillTint="33"/>
          </w:tcPr>
          <w:p w14:paraId="674CC3DA" w14:textId="6CC58104" w:rsidR="004B68C8" w:rsidRDefault="003D349A" w:rsidP="000B0FB8">
            <w:pPr>
              <w:pStyle w:val="TableBody"/>
              <w:jc w:val="right"/>
            </w:pPr>
            <w:r>
              <w:t>0</w:t>
            </w:r>
          </w:p>
        </w:tc>
        <w:tc>
          <w:tcPr>
            <w:tcW w:w="0" w:type="auto"/>
            <w:tcBorders>
              <w:bottom w:val="single" w:sz="12" w:space="0" w:color="A6A6A6" w:themeColor="background1" w:themeShade="A6"/>
            </w:tcBorders>
            <w:shd w:val="clear" w:color="auto" w:fill="D9E2F3" w:themeFill="accent1" w:themeFillTint="33"/>
          </w:tcPr>
          <w:p w14:paraId="0702791C" w14:textId="6FF36964" w:rsidR="004B68C8" w:rsidRDefault="003D349A" w:rsidP="000B0FB8">
            <w:pPr>
              <w:pStyle w:val="TableBody"/>
              <w:jc w:val="right"/>
            </w:pPr>
            <w:r>
              <w:t>0</w:t>
            </w:r>
          </w:p>
        </w:tc>
        <w:tc>
          <w:tcPr>
            <w:tcW w:w="0" w:type="auto"/>
            <w:tcBorders>
              <w:bottom w:val="single" w:sz="12" w:space="0" w:color="A6A6A6" w:themeColor="background1" w:themeShade="A6"/>
            </w:tcBorders>
            <w:shd w:val="clear" w:color="auto" w:fill="D9E2F3" w:themeFill="accent1" w:themeFillTint="33"/>
          </w:tcPr>
          <w:p w14:paraId="04ECE4C4" w14:textId="681F13BE" w:rsidR="004B68C8" w:rsidRDefault="003D349A" w:rsidP="000B0FB8">
            <w:pPr>
              <w:pStyle w:val="TableBody"/>
              <w:jc w:val="right"/>
            </w:pPr>
            <w:r>
              <w:t>0</w:t>
            </w:r>
          </w:p>
        </w:tc>
        <w:tc>
          <w:tcPr>
            <w:tcW w:w="0" w:type="auto"/>
            <w:tcBorders>
              <w:bottom w:val="single" w:sz="12" w:space="0" w:color="A6A6A6" w:themeColor="background1" w:themeShade="A6"/>
            </w:tcBorders>
            <w:shd w:val="clear" w:color="auto" w:fill="D9E2F3" w:themeFill="accent1" w:themeFillTint="33"/>
          </w:tcPr>
          <w:p w14:paraId="0F10F285" w14:textId="3707DDE1" w:rsidR="00FA2709" w:rsidRDefault="003D349A" w:rsidP="0064405E">
            <w:pPr>
              <w:pStyle w:val="TableBody"/>
              <w:jc w:val="right"/>
            </w:pPr>
            <w:r>
              <w:t>1</w:t>
            </w:r>
          </w:p>
        </w:tc>
      </w:tr>
      <w:tr w:rsidR="00EC5823" w14:paraId="4E9AE34E" w14:textId="77777777" w:rsidTr="00D80CC3">
        <w:trPr>
          <w:cantSplit/>
        </w:trPr>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34510752" w14:textId="6E836D29" w:rsidR="003D349A" w:rsidRPr="005B0C13" w:rsidRDefault="003D349A" w:rsidP="00D66B5E">
            <w:pPr>
              <w:pStyle w:val="TableBody"/>
              <w:rPr>
                <w:b/>
                <w:bCs/>
              </w:rPr>
            </w:pPr>
            <w:r w:rsidRPr="005B0C13">
              <w:rPr>
                <w:b/>
                <w:bCs/>
              </w:rPr>
              <w:t>Total properties found</w:t>
            </w:r>
          </w:p>
        </w:tc>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2392AEEE" w14:textId="77777777" w:rsidR="003D349A" w:rsidRPr="005B0C13" w:rsidRDefault="003D349A" w:rsidP="000278B0">
            <w:pPr>
              <w:pStyle w:val="TableBody"/>
              <w:rPr>
                <w:b/>
                <w:bCs/>
              </w:rPr>
            </w:pPr>
          </w:p>
        </w:tc>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4D4DA7A4" w14:textId="3360F69D" w:rsidR="003D349A" w:rsidRPr="005B0C13" w:rsidRDefault="003D349A" w:rsidP="000B0FB8">
            <w:pPr>
              <w:pStyle w:val="TableBody"/>
              <w:jc w:val="right"/>
              <w:rPr>
                <w:b/>
                <w:bCs/>
              </w:rPr>
            </w:pPr>
            <w:r w:rsidRPr="005B0C13">
              <w:rPr>
                <w:b/>
                <w:bCs/>
              </w:rPr>
              <w:t>1</w:t>
            </w:r>
            <w:r w:rsidR="00630D0A" w:rsidRPr="005B0C13">
              <w:rPr>
                <w:b/>
                <w:bCs/>
              </w:rPr>
              <w:t>,</w:t>
            </w:r>
            <w:r w:rsidRPr="005B0C13">
              <w:rPr>
                <w:b/>
                <w:bCs/>
              </w:rPr>
              <w:t>323</w:t>
            </w:r>
          </w:p>
        </w:tc>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37252DD9" w14:textId="29E1A301" w:rsidR="003D349A" w:rsidRPr="005B0C13" w:rsidRDefault="003D349A" w:rsidP="000B0FB8">
            <w:pPr>
              <w:pStyle w:val="TableBody"/>
              <w:jc w:val="right"/>
              <w:rPr>
                <w:b/>
                <w:bCs/>
              </w:rPr>
            </w:pPr>
            <w:r w:rsidRPr="005B0C13">
              <w:rPr>
                <w:b/>
                <w:bCs/>
              </w:rPr>
              <w:t>1</w:t>
            </w:r>
            <w:r w:rsidR="00630D0A" w:rsidRPr="005B0C13">
              <w:rPr>
                <w:b/>
                <w:bCs/>
              </w:rPr>
              <w:t>,</w:t>
            </w:r>
            <w:r w:rsidRPr="005B0C13">
              <w:rPr>
                <w:b/>
                <w:bCs/>
              </w:rPr>
              <w:t>164</w:t>
            </w:r>
          </w:p>
        </w:tc>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285CAD8F" w14:textId="50371928" w:rsidR="003D349A" w:rsidRPr="005B0C13" w:rsidRDefault="003D349A" w:rsidP="000B0FB8">
            <w:pPr>
              <w:pStyle w:val="TableBody"/>
              <w:jc w:val="right"/>
              <w:rPr>
                <w:b/>
                <w:bCs/>
              </w:rPr>
            </w:pPr>
            <w:r w:rsidRPr="005B0C13">
              <w:rPr>
                <w:b/>
                <w:bCs/>
              </w:rPr>
              <w:t>1</w:t>
            </w:r>
            <w:r w:rsidR="00630D0A" w:rsidRPr="005B0C13">
              <w:rPr>
                <w:b/>
                <w:bCs/>
              </w:rPr>
              <w:t>,</w:t>
            </w:r>
            <w:r w:rsidRPr="005B0C13">
              <w:rPr>
                <w:b/>
                <w:bCs/>
              </w:rPr>
              <w:t>078</w:t>
            </w:r>
          </w:p>
        </w:tc>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067B049E" w14:textId="6CCCEB6B" w:rsidR="003D349A" w:rsidRPr="005B0C13" w:rsidRDefault="003D349A" w:rsidP="000B0FB8">
            <w:pPr>
              <w:pStyle w:val="TableBody"/>
              <w:jc w:val="right"/>
              <w:rPr>
                <w:b/>
                <w:bCs/>
              </w:rPr>
            </w:pPr>
            <w:r w:rsidRPr="005B0C13">
              <w:rPr>
                <w:b/>
                <w:bCs/>
              </w:rPr>
              <w:t>1</w:t>
            </w:r>
            <w:r w:rsidR="00630D0A" w:rsidRPr="005B0C13">
              <w:rPr>
                <w:b/>
                <w:bCs/>
              </w:rPr>
              <w:t>,</w:t>
            </w:r>
            <w:r w:rsidRPr="005B0C13">
              <w:rPr>
                <w:b/>
                <w:bCs/>
              </w:rPr>
              <w:t>195</w:t>
            </w:r>
          </w:p>
        </w:tc>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386CE7AF" w14:textId="0C706A8D" w:rsidR="003D349A" w:rsidRPr="005B0C13" w:rsidRDefault="003D349A" w:rsidP="000B0FB8">
            <w:pPr>
              <w:pStyle w:val="TableBody"/>
              <w:jc w:val="right"/>
              <w:rPr>
                <w:b/>
                <w:bCs/>
              </w:rPr>
            </w:pPr>
            <w:r w:rsidRPr="005B0C13">
              <w:rPr>
                <w:b/>
                <w:bCs/>
              </w:rPr>
              <w:t>1</w:t>
            </w:r>
            <w:r w:rsidR="00630D0A" w:rsidRPr="005B0C13">
              <w:rPr>
                <w:b/>
                <w:bCs/>
              </w:rPr>
              <w:t>,</w:t>
            </w:r>
            <w:r w:rsidRPr="005B0C13">
              <w:rPr>
                <w:b/>
                <w:bCs/>
              </w:rPr>
              <w:t>166</w:t>
            </w:r>
          </w:p>
        </w:tc>
        <w:tc>
          <w:tcPr>
            <w:tcW w:w="0" w:type="auto"/>
            <w:tcBorders>
              <w:top w:val="single" w:sz="12" w:space="0" w:color="A6A6A6" w:themeColor="background1" w:themeShade="A6"/>
              <w:bottom w:val="single" w:sz="12" w:space="0" w:color="A6A6A6" w:themeColor="background1" w:themeShade="A6"/>
            </w:tcBorders>
            <w:shd w:val="clear" w:color="auto" w:fill="FFFFFF" w:themeFill="background1"/>
          </w:tcPr>
          <w:p w14:paraId="4500E696" w14:textId="4FB44E4E" w:rsidR="003D349A" w:rsidRPr="005B0C13" w:rsidRDefault="003D349A" w:rsidP="000B0FB8">
            <w:pPr>
              <w:pStyle w:val="TableBody"/>
              <w:jc w:val="right"/>
              <w:rPr>
                <w:b/>
                <w:bCs/>
              </w:rPr>
            </w:pPr>
            <w:r w:rsidRPr="005B0C13">
              <w:rPr>
                <w:b/>
                <w:bCs/>
              </w:rPr>
              <w:t>1</w:t>
            </w:r>
            <w:r w:rsidR="00630D0A" w:rsidRPr="005B0C13">
              <w:rPr>
                <w:b/>
                <w:bCs/>
              </w:rPr>
              <w:t>,</w:t>
            </w:r>
            <w:r w:rsidRPr="005B0C13">
              <w:rPr>
                <w:b/>
                <w:bCs/>
              </w:rPr>
              <w:t>002</w:t>
            </w:r>
          </w:p>
        </w:tc>
      </w:tr>
    </w:tbl>
    <w:p w14:paraId="1026DACB" w14:textId="1C77461D" w:rsidR="00931134" w:rsidRDefault="00367C15" w:rsidP="00367C15">
      <w:pPr>
        <w:pStyle w:val="Source"/>
      </w:pPr>
      <w:r>
        <w:t xml:space="preserve">Source: </w:t>
      </w:r>
      <w:r w:rsidR="005C7F58" w:rsidRPr="005C7F58">
        <w:t xml:space="preserve">Anglicare NSW South, NSW West and ACT, </w:t>
      </w:r>
      <w:hyperlink r:id="rId32" w:history="1">
        <w:r w:rsidR="005C7F58" w:rsidRPr="005C7F58">
          <w:rPr>
            <w:rStyle w:val="Hyperlink"/>
            <w:i/>
            <w:iCs/>
          </w:rPr>
          <w:t>Anglicare Research: Rental Affordability forcing more Canberrans into financial hardship</w:t>
        </w:r>
      </w:hyperlink>
      <w:r w:rsidR="005C7F58" w:rsidRPr="005C7F58">
        <w:t xml:space="preserve"> [media release], Anglicare NSW South, NSW West and ACT, 29 April 2021, accessed 22 June 2021.</w:t>
      </w:r>
    </w:p>
    <w:p w14:paraId="0D334467" w14:textId="77777777" w:rsidR="00B17CD7" w:rsidRDefault="00454AAB" w:rsidP="003B34D9">
      <w:pPr>
        <w:pStyle w:val="BodyText"/>
      </w:pPr>
      <w:r>
        <w:t xml:space="preserve">In addition to </w:t>
      </w:r>
      <w:r w:rsidR="00130147">
        <w:t xml:space="preserve">this chronic shortage </w:t>
      </w:r>
      <w:r>
        <w:t>of affordable private rental properties, it has been estimated that the ACT has a shortfall of 3,100 social housing properties</w:t>
      </w:r>
      <w:r w:rsidR="00473C85">
        <w:t xml:space="preserve">, </w:t>
      </w:r>
      <w:r w:rsidR="00473C85" w:rsidRPr="00473C85">
        <w:t>with 8,500 additional social housing dwellings needed by 2036 to meet the ACT’s current unmet and projected need</w:t>
      </w:r>
      <w:r w:rsidR="00473C85">
        <w:t>.</w:t>
      </w:r>
      <w:r>
        <w:rPr>
          <w:rStyle w:val="FootnoteReference"/>
        </w:rPr>
        <w:footnoteReference w:id="19"/>
      </w:r>
      <w:r w:rsidR="00797B55">
        <w:t xml:space="preserve"> </w:t>
      </w:r>
      <w:r w:rsidR="00DC3C6B">
        <w:t>The</w:t>
      </w:r>
      <w:r w:rsidR="001940BD">
        <w:t xml:space="preserve"> ACT Government’s Growing and Renewing Public Housing Program</w:t>
      </w:r>
      <w:r w:rsidR="00F320DB">
        <w:t xml:space="preserve"> currently falls far short of addressing this need, committing</w:t>
      </w:r>
      <w:r w:rsidR="00DC3C6B">
        <w:t xml:space="preserve"> to </w:t>
      </w:r>
      <w:r w:rsidR="004D48EA">
        <w:t xml:space="preserve">add at least 400 </w:t>
      </w:r>
      <w:r w:rsidR="002D7B1C">
        <w:t>more homes to the public housing portfolio</w:t>
      </w:r>
      <w:r w:rsidR="006C09CC">
        <w:t xml:space="preserve"> by 2025</w:t>
      </w:r>
      <w:r w:rsidR="00936B2D">
        <w:t>.</w:t>
      </w:r>
      <w:r w:rsidR="009B2622">
        <w:rPr>
          <w:rStyle w:val="FootnoteReference"/>
        </w:rPr>
        <w:footnoteReference w:id="20"/>
      </w:r>
      <w:r w:rsidR="00936B2D">
        <w:t xml:space="preserve"> </w:t>
      </w:r>
    </w:p>
    <w:p w14:paraId="22A2D7F1" w14:textId="3F449725" w:rsidR="00454AAB" w:rsidRDefault="00936B2D" w:rsidP="003B34D9">
      <w:pPr>
        <w:pStyle w:val="BodyText"/>
      </w:pPr>
      <w:r>
        <w:t>Much more</w:t>
      </w:r>
      <w:r w:rsidR="008B6CAC">
        <w:t xml:space="preserve"> </w:t>
      </w:r>
      <w:r w:rsidR="00A77942">
        <w:t>f</w:t>
      </w:r>
      <w:r w:rsidR="008B6CAC">
        <w:t xml:space="preserve">ederal and </w:t>
      </w:r>
      <w:r w:rsidR="00A77942">
        <w:t>t</w:t>
      </w:r>
      <w:r w:rsidR="008B6CAC">
        <w:t>erritory government</w:t>
      </w:r>
      <w:r>
        <w:t xml:space="preserve"> </w:t>
      </w:r>
      <w:r w:rsidR="009B2622">
        <w:t>investment will be needed to</w:t>
      </w:r>
      <w:r w:rsidR="0092030B">
        <w:t xml:space="preserve"> address</w:t>
      </w:r>
      <w:r w:rsidR="009B2622">
        <w:t xml:space="preserve"> our </w:t>
      </w:r>
      <w:r w:rsidR="0014373D">
        <w:t>worsening</w:t>
      </w:r>
      <w:r w:rsidR="009B2622">
        <w:t xml:space="preserve"> social housing </w:t>
      </w:r>
      <w:r w:rsidR="0092030B">
        <w:t>shortage</w:t>
      </w:r>
      <w:r w:rsidR="009B2622">
        <w:t xml:space="preserve"> and </w:t>
      </w:r>
      <w:r w:rsidR="0092030B">
        <w:t xml:space="preserve">growing </w:t>
      </w:r>
      <w:r w:rsidR="009B2622">
        <w:t>social housing waiting list.</w:t>
      </w:r>
      <w:r>
        <w:t xml:space="preserve"> </w:t>
      </w:r>
      <w:r w:rsidR="00B17CD7">
        <w:t>As at 30 June 2020, social housing households made up 6.7% of all ACT households.</w:t>
      </w:r>
      <w:r w:rsidR="00B17CD7">
        <w:rPr>
          <w:rStyle w:val="FootnoteReference"/>
        </w:rPr>
        <w:footnoteReference w:id="21"/>
      </w:r>
      <w:r w:rsidR="00B17CD7">
        <w:t xml:space="preserve"> This proportion – or social share – of households has been declining since 2014 when it was 7.6% (see Figure </w:t>
      </w:r>
      <w:r w:rsidR="00411A55">
        <w:t>8</w:t>
      </w:r>
      <w:r w:rsidR="00B17CD7">
        <w:t>).</w:t>
      </w:r>
      <w:r w:rsidR="00DC7E3D">
        <w:rPr>
          <w:rStyle w:val="FootnoteReference"/>
        </w:rPr>
        <w:footnoteReference w:id="22"/>
      </w:r>
      <w:r w:rsidR="00B17CD7">
        <w:t xml:space="preserve"> </w:t>
      </w:r>
      <w:r w:rsidR="00943E31">
        <w:t>Table 4 shows that a</w:t>
      </w:r>
      <w:r w:rsidR="00F36F40">
        <w:t xml:space="preserve">s at 5 July 2021, there were </w:t>
      </w:r>
      <w:r w:rsidR="00016DF9">
        <w:t xml:space="preserve">2,878 applications for social housing in the ACT, </w:t>
      </w:r>
      <w:r w:rsidR="003610F1">
        <w:t xml:space="preserve">with the average waiting time for standard housing </w:t>
      </w:r>
      <w:r w:rsidR="005428D9">
        <w:t xml:space="preserve">being </w:t>
      </w:r>
      <w:r w:rsidR="00201654">
        <w:t xml:space="preserve">1,404 days or </w:t>
      </w:r>
      <w:r w:rsidR="005428D9">
        <w:t>3.8 years.</w:t>
      </w:r>
      <w:r w:rsidR="00AC7DCC">
        <w:rPr>
          <w:rStyle w:val="FootnoteReference"/>
        </w:rPr>
        <w:footnoteReference w:id="23"/>
      </w:r>
    </w:p>
    <w:p w14:paraId="5BD8A85F" w14:textId="583CEAFC" w:rsidR="00ED2953" w:rsidRDefault="00ED2953" w:rsidP="00DC5176">
      <w:pPr>
        <w:pStyle w:val="Figuretabletitle"/>
      </w:pPr>
      <w:r>
        <w:t xml:space="preserve">Figure </w:t>
      </w:r>
      <w:r w:rsidR="006C08BF">
        <w:t>8</w:t>
      </w:r>
      <w:r>
        <w:t xml:space="preserve"> </w:t>
      </w:r>
      <w:r w:rsidR="00DC5176" w:rsidRPr="00DC5176">
        <w:t xml:space="preserve">Social housing households and all Australian households, by states and territories, </w:t>
      </w:r>
      <w:r w:rsidR="00DC5176">
        <w:t xml:space="preserve">ACT, </w:t>
      </w:r>
      <w:r w:rsidR="00DC5176" w:rsidRPr="00DC5176">
        <w:t>at 30 June 201</w:t>
      </w:r>
      <w:r w:rsidR="00DC5176">
        <w:t>4</w:t>
      </w:r>
      <w:r w:rsidR="00DC5176" w:rsidRPr="00DC5176">
        <w:t xml:space="preserve"> to 2020</w:t>
      </w:r>
    </w:p>
    <w:p w14:paraId="0F8D2A96" w14:textId="72ECB55C" w:rsidR="0091764E" w:rsidRDefault="0091764E" w:rsidP="00245B2E">
      <w:pPr>
        <w:pStyle w:val="Image"/>
      </w:pPr>
      <w:r>
        <w:rPr>
          <w:noProof/>
        </w:rPr>
        <w:drawing>
          <wp:inline distT="0" distB="0" distL="0" distR="0" wp14:anchorId="7DF6762A" wp14:editId="28416C18">
            <wp:extent cx="5400040" cy="2887980"/>
            <wp:effectExtent l="0" t="0" r="0" b="762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2887980"/>
                    </a:xfrm>
                    <a:prstGeom prst="rect">
                      <a:avLst/>
                    </a:prstGeom>
                  </pic:spPr>
                </pic:pic>
              </a:graphicData>
            </a:graphic>
          </wp:inline>
        </w:drawing>
      </w:r>
    </w:p>
    <w:p w14:paraId="40D03D72" w14:textId="77777777" w:rsidR="00327422" w:rsidRPr="00327422" w:rsidRDefault="008119CA" w:rsidP="00327422">
      <w:pPr>
        <w:pStyle w:val="Source"/>
      </w:pPr>
      <w:r>
        <w:t xml:space="preserve">Source: </w:t>
      </w:r>
      <w:r w:rsidR="00327422" w:rsidRPr="00327422">
        <w:t xml:space="preserve">AIHW, ‘Table SOCIAL SHARE.1: Social housing households and all Australian households, by states and territories, at 30 June 2010 to 2020’ [data tables], </w:t>
      </w:r>
      <w:hyperlink r:id="rId34" w:history="1">
        <w:r w:rsidR="00327422" w:rsidRPr="00327422">
          <w:rPr>
            <w:rStyle w:val="Hyperlink"/>
            <w:i/>
            <w:iCs/>
          </w:rPr>
          <w:t>Housing Assistance in Australia</w:t>
        </w:r>
      </w:hyperlink>
      <w:r w:rsidR="00327422" w:rsidRPr="00327422">
        <w:t>, 2021, accessed 8 July 2021.</w:t>
      </w:r>
    </w:p>
    <w:p w14:paraId="5CFC583B" w14:textId="7F16E132" w:rsidR="00B17CD7" w:rsidRDefault="00B17CD7" w:rsidP="00B17CD7">
      <w:pPr>
        <w:pStyle w:val="Figuretabletitle"/>
      </w:pPr>
      <w:r>
        <w:t xml:space="preserve">Table 4 </w:t>
      </w:r>
      <w:r w:rsidRPr="00B60B1E">
        <w:t xml:space="preserve">Housing ACT social housing waiting list and times, </w:t>
      </w:r>
      <w:r>
        <w:t>5 July 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4"/>
        <w:gridCol w:w="2835"/>
      </w:tblGrid>
      <w:tr w:rsidR="00B17CD7" w14:paraId="0198566A" w14:textId="77777777" w:rsidTr="00F418BC">
        <w:tc>
          <w:tcPr>
            <w:tcW w:w="2831" w:type="dxa"/>
            <w:tcBorders>
              <w:top w:val="single" w:sz="12" w:space="0" w:color="A6A6A6" w:themeColor="background1" w:themeShade="A6"/>
              <w:bottom w:val="single" w:sz="12" w:space="0" w:color="A6A6A6" w:themeColor="background1" w:themeShade="A6"/>
            </w:tcBorders>
          </w:tcPr>
          <w:p w14:paraId="57D1C585" w14:textId="77777777" w:rsidR="00B17CD7" w:rsidRDefault="00B17CD7" w:rsidP="002E0B70">
            <w:pPr>
              <w:pStyle w:val="Tableheading"/>
            </w:pPr>
            <w:r w:rsidRPr="00DE4C3A">
              <w:t>Application Category</w:t>
            </w:r>
          </w:p>
        </w:tc>
        <w:tc>
          <w:tcPr>
            <w:tcW w:w="2831" w:type="dxa"/>
            <w:tcBorders>
              <w:top w:val="single" w:sz="12" w:space="0" w:color="A6A6A6" w:themeColor="background1" w:themeShade="A6"/>
              <w:bottom w:val="single" w:sz="12" w:space="0" w:color="A6A6A6" w:themeColor="background1" w:themeShade="A6"/>
            </w:tcBorders>
          </w:tcPr>
          <w:p w14:paraId="25936359" w14:textId="77777777" w:rsidR="00B17CD7" w:rsidRDefault="00B17CD7" w:rsidP="002E0B70">
            <w:pPr>
              <w:pStyle w:val="Tableheading"/>
              <w:jc w:val="center"/>
            </w:pPr>
            <w:r w:rsidRPr="00DE4C3A">
              <w:t>Number of Applications</w:t>
            </w:r>
          </w:p>
        </w:tc>
        <w:tc>
          <w:tcPr>
            <w:tcW w:w="2832" w:type="dxa"/>
            <w:tcBorders>
              <w:top w:val="single" w:sz="12" w:space="0" w:color="A6A6A6" w:themeColor="background1" w:themeShade="A6"/>
              <w:bottom w:val="single" w:sz="12" w:space="0" w:color="A6A6A6" w:themeColor="background1" w:themeShade="A6"/>
            </w:tcBorders>
          </w:tcPr>
          <w:p w14:paraId="2257139E" w14:textId="77777777" w:rsidR="00B17CD7" w:rsidRDefault="00B17CD7" w:rsidP="002E0B70">
            <w:pPr>
              <w:pStyle w:val="Tableheading"/>
              <w:jc w:val="center"/>
            </w:pPr>
            <w:r w:rsidRPr="006A5FA2">
              <w:t>Average Waiting Time (days)</w:t>
            </w:r>
          </w:p>
        </w:tc>
      </w:tr>
      <w:tr w:rsidR="00B17CD7" w14:paraId="262D1E5F" w14:textId="77777777" w:rsidTr="00F418BC">
        <w:tc>
          <w:tcPr>
            <w:tcW w:w="2831" w:type="dxa"/>
            <w:tcBorders>
              <w:top w:val="single" w:sz="12" w:space="0" w:color="A6A6A6" w:themeColor="background1" w:themeShade="A6"/>
            </w:tcBorders>
            <w:shd w:val="clear" w:color="auto" w:fill="D9E2F3" w:themeFill="accent1" w:themeFillTint="33"/>
          </w:tcPr>
          <w:p w14:paraId="4C37D4F5" w14:textId="77777777" w:rsidR="00B17CD7" w:rsidRDefault="00B17CD7" w:rsidP="002E0B70">
            <w:pPr>
              <w:pStyle w:val="TableBody"/>
            </w:pPr>
            <w:r w:rsidRPr="006A5FA2">
              <w:t>Priority Housing</w:t>
            </w:r>
          </w:p>
        </w:tc>
        <w:tc>
          <w:tcPr>
            <w:tcW w:w="2831" w:type="dxa"/>
            <w:tcBorders>
              <w:top w:val="single" w:sz="12" w:space="0" w:color="A6A6A6" w:themeColor="background1" w:themeShade="A6"/>
            </w:tcBorders>
            <w:shd w:val="clear" w:color="auto" w:fill="D9E2F3" w:themeFill="accent1" w:themeFillTint="33"/>
          </w:tcPr>
          <w:p w14:paraId="14F19A8B" w14:textId="77777777" w:rsidR="00B17CD7" w:rsidRDefault="00B17CD7" w:rsidP="002E0B70">
            <w:pPr>
              <w:pStyle w:val="TableBody"/>
              <w:jc w:val="right"/>
            </w:pPr>
            <w:r w:rsidRPr="00C507A7">
              <w:t>187</w:t>
            </w:r>
          </w:p>
        </w:tc>
        <w:tc>
          <w:tcPr>
            <w:tcW w:w="2832" w:type="dxa"/>
            <w:tcBorders>
              <w:top w:val="single" w:sz="12" w:space="0" w:color="A6A6A6" w:themeColor="background1" w:themeShade="A6"/>
            </w:tcBorders>
            <w:shd w:val="clear" w:color="auto" w:fill="D9E2F3" w:themeFill="accent1" w:themeFillTint="33"/>
          </w:tcPr>
          <w:p w14:paraId="13C275C7" w14:textId="77777777" w:rsidR="00B17CD7" w:rsidRDefault="00B17CD7" w:rsidP="002E0B70">
            <w:pPr>
              <w:pStyle w:val="TableBody"/>
              <w:jc w:val="right"/>
            </w:pPr>
            <w:r w:rsidRPr="00943E31">
              <w:t>317</w:t>
            </w:r>
          </w:p>
        </w:tc>
      </w:tr>
      <w:tr w:rsidR="00B17CD7" w14:paraId="43D919C3" w14:textId="77777777" w:rsidTr="002E0B70">
        <w:tc>
          <w:tcPr>
            <w:tcW w:w="2831" w:type="dxa"/>
          </w:tcPr>
          <w:p w14:paraId="2BF2FC81" w14:textId="77777777" w:rsidR="00B17CD7" w:rsidRDefault="00B17CD7" w:rsidP="002E0B70">
            <w:pPr>
              <w:pStyle w:val="TableBody"/>
            </w:pPr>
            <w:r w:rsidRPr="006A5FA2">
              <w:t>High Needs Housing</w:t>
            </w:r>
          </w:p>
        </w:tc>
        <w:tc>
          <w:tcPr>
            <w:tcW w:w="2831" w:type="dxa"/>
          </w:tcPr>
          <w:p w14:paraId="23CD9A1C" w14:textId="77777777" w:rsidR="00B17CD7" w:rsidRDefault="00B17CD7" w:rsidP="002E0B70">
            <w:pPr>
              <w:pStyle w:val="TableBody"/>
              <w:jc w:val="right"/>
            </w:pPr>
            <w:r w:rsidRPr="00C00A4A">
              <w:t>1,733</w:t>
            </w:r>
          </w:p>
        </w:tc>
        <w:tc>
          <w:tcPr>
            <w:tcW w:w="2832" w:type="dxa"/>
          </w:tcPr>
          <w:p w14:paraId="219DF552" w14:textId="77777777" w:rsidR="00B17CD7" w:rsidRDefault="00B17CD7" w:rsidP="002E0B70">
            <w:pPr>
              <w:pStyle w:val="TableBody"/>
              <w:jc w:val="right"/>
            </w:pPr>
            <w:r w:rsidRPr="00943E31">
              <w:t>898</w:t>
            </w:r>
          </w:p>
        </w:tc>
      </w:tr>
      <w:tr w:rsidR="00B17CD7" w14:paraId="1DDE00B6" w14:textId="77777777" w:rsidTr="00F418BC">
        <w:tc>
          <w:tcPr>
            <w:tcW w:w="2831" w:type="dxa"/>
            <w:tcBorders>
              <w:bottom w:val="single" w:sz="12" w:space="0" w:color="A6A6A6" w:themeColor="background1" w:themeShade="A6"/>
            </w:tcBorders>
            <w:shd w:val="clear" w:color="auto" w:fill="D9E2F3" w:themeFill="accent1" w:themeFillTint="33"/>
          </w:tcPr>
          <w:p w14:paraId="7ABE38E9" w14:textId="77777777" w:rsidR="00B17CD7" w:rsidRDefault="00B17CD7" w:rsidP="002E0B70">
            <w:pPr>
              <w:pStyle w:val="TableBody"/>
            </w:pPr>
            <w:r w:rsidRPr="00612F94">
              <w:t>Standard Housing</w:t>
            </w:r>
          </w:p>
        </w:tc>
        <w:tc>
          <w:tcPr>
            <w:tcW w:w="2831" w:type="dxa"/>
            <w:tcBorders>
              <w:bottom w:val="single" w:sz="12" w:space="0" w:color="A6A6A6" w:themeColor="background1" w:themeShade="A6"/>
            </w:tcBorders>
            <w:shd w:val="clear" w:color="auto" w:fill="D9E2F3" w:themeFill="accent1" w:themeFillTint="33"/>
          </w:tcPr>
          <w:p w14:paraId="6E9A3223" w14:textId="77777777" w:rsidR="00B17CD7" w:rsidRDefault="00B17CD7" w:rsidP="002E0B70">
            <w:pPr>
              <w:pStyle w:val="TableBody"/>
              <w:jc w:val="right"/>
            </w:pPr>
            <w:r w:rsidRPr="00C00A4A">
              <w:t>958</w:t>
            </w:r>
          </w:p>
        </w:tc>
        <w:tc>
          <w:tcPr>
            <w:tcW w:w="2832" w:type="dxa"/>
            <w:tcBorders>
              <w:bottom w:val="single" w:sz="12" w:space="0" w:color="A6A6A6" w:themeColor="background1" w:themeShade="A6"/>
            </w:tcBorders>
            <w:shd w:val="clear" w:color="auto" w:fill="D9E2F3" w:themeFill="accent1" w:themeFillTint="33"/>
          </w:tcPr>
          <w:p w14:paraId="2C824D58" w14:textId="77777777" w:rsidR="00B17CD7" w:rsidRDefault="00B17CD7" w:rsidP="002E0B70">
            <w:pPr>
              <w:pStyle w:val="TableBody"/>
              <w:jc w:val="right"/>
            </w:pPr>
            <w:r w:rsidRPr="00943E31">
              <w:t>1,404</w:t>
            </w:r>
          </w:p>
        </w:tc>
      </w:tr>
      <w:tr w:rsidR="00B17CD7" w14:paraId="457E545D" w14:textId="77777777" w:rsidTr="00F418BC">
        <w:tc>
          <w:tcPr>
            <w:tcW w:w="2831" w:type="dxa"/>
            <w:tcBorders>
              <w:top w:val="single" w:sz="12" w:space="0" w:color="A6A6A6" w:themeColor="background1" w:themeShade="A6"/>
              <w:bottom w:val="single" w:sz="12" w:space="0" w:color="A6A6A6" w:themeColor="background1" w:themeShade="A6"/>
            </w:tcBorders>
          </w:tcPr>
          <w:p w14:paraId="68CE147D" w14:textId="77777777" w:rsidR="00B17CD7" w:rsidRPr="00612F94" w:rsidRDefault="00B17CD7" w:rsidP="002E0B70">
            <w:pPr>
              <w:pStyle w:val="TableBody"/>
            </w:pPr>
            <w:r>
              <w:t>Total applications</w:t>
            </w:r>
          </w:p>
        </w:tc>
        <w:tc>
          <w:tcPr>
            <w:tcW w:w="2831" w:type="dxa"/>
            <w:tcBorders>
              <w:top w:val="single" w:sz="12" w:space="0" w:color="A6A6A6" w:themeColor="background1" w:themeShade="A6"/>
              <w:bottom w:val="single" w:sz="12" w:space="0" w:color="A6A6A6" w:themeColor="background1" w:themeShade="A6"/>
            </w:tcBorders>
          </w:tcPr>
          <w:p w14:paraId="44F4FF76" w14:textId="77777777" w:rsidR="00B17CD7" w:rsidRPr="00D35213" w:rsidRDefault="00B17CD7" w:rsidP="002E0B70">
            <w:pPr>
              <w:pStyle w:val="TableBody"/>
              <w:jc w:val="right"/>
            </w:pPr>
            <w:r w:rsidRPr="00C00A4A">
              <w:t>2,878</w:t>
            </w:r>
          </w:p>
        </w:tc>
        <w:tc>
          <w:tcPr>
            <w:tcW w:w="2832" w:type="dxa"/>
            <w:tcBorders>
              <w:top w:val="single" w:sz="12" w:space="0" w:color="A6A6A6" w:themeColor="background1" w:themeShade="A6"/>
              <w:bottom w:val="single" w:sz="12" w:space="0" w:color="A6A6A6" w:themeColor="background1" w:themeShade="A6"/>
            </w:tcBorders>
          </w:tcPr>
          <w:p w14:paraId="05F93BF8" w14:textId="77777777" w:rsidR="00B17CD7" w:rsidRPr="0093123C" w:rsidRDefault="00B17CD7" w:rsidP="002E0B70">
            <w:pPr>
              <w:pStyle w:val="TableBody"/>
              <w:jc w:val="right"/>
            </w:pPr>
            <w:r>
              <w:t>n/a</w:t>
            </w:r>
          </w:p>
        </w:tc>
      </w:tr>
    </w:tbl>
    <w:p w14:paraId="1A774143" w14:textId="39CEB956" w:rsidR="00B17CD7" w:rsidRDefault="00631AD4" w:rsidP="00631AD4">
      <w:pPr>
        <w:pStyle w:val="Source"/>
      </w:pPr>
      <w:r>
        <w:t xml:space="preserve">Source: </w:t>
      </w:r>
      <w:r w:rsidRPr="00631AD4">
        <w:t xml:space="preserve">ACT Government Community Services Directorate, </w:t>
      </w:r>
      <w:hyperlink r:id="rId35" w:history="1">
        <w:r w:rsidRPr="00631AD4">
          <w:rPr>
            <w:rStyle w:val="Hyperlink"/>
            <w:i/>
            <w:iCs/>
          </w:rPr>
          <w:t>Social Housing Waiting List</w:t>
        </w:r>
      </w:hyperlink>
      <w:r w:rsidRPr="00631AD4">
        <w:t>, ACT Government Community Services Directorate, 5 July 2021, accessed 8 July 2021.</w:t>
      </w:r>
    </w:p>
    <w:p w14:paraId="6502653E" w14:textId="05328E9B" w:rsidR="006B55F2" w:rsidRDefault="00F77DF4" w:rsidP="003B34D9">
      <w:pPr>
        <w:pStyle w:val="BodyText"/>
      </w:pPr>
      <w:r w:rsidRPr="00F77DF4">
        <w:t xml:space="preserve">More public and community housing is </w:t>
      </w:r>
      <w:r w:rsidR="00E85F98">
        <w:t xml:space="preserve">a </w:t>
      </w:r>
      <w:r w:rsidRPr="00F77DF4">
        <w:t xml:space="preserve">cost-effective </w:t>
      </w:r>
      <w:r w:rsidR="006A3F1F">
        <w:t xml:space="preserve">and critical component of addressing </w:t>
      </w:r>
      <w:r w:rsidRPr="00F77DF4">
        <w:t>chronic homelessness</w:t>
      </w:r>
      <w:r w:rsidR="00E85F98">
        <w:t xml:space="preserve"> </w:t>
      </w:r>
      <w:r w:rsidR="006A3F1F">
        <w:t xml:space="preserve">in Canberra and our </w:t>
      </w:r>
      <w:r w:rsidR="00E85F98">
        <w:t>housing affordability crisis</w:t>
      </w:r>
      <w:r w:rsidRPr="00F77DF4">
        <w:t xml:space="preserve">. </w:t>
      </w:r>
      <w:r w:rsidR="00324F5A" w:rsidRPr="00F77DF4">
        <w:t>Direct public investment in social housing is a cost</w:t>
      </w:r>
      <w:r w:rsidR="00324F5A">
        <w:t>-</w:t>
      </w:r>
      <w:r w:rsidR="00324F5A" w:rsidRPr="00F77DF4">
        <w:t>effective way to boost growth in jobs and incomes</w:t>
      </w:r>
      <w:r w:rsidR="000336AD">
        <w:t xml:space="preserve"> while also </w:t>
      </w:r>
      <w:r w:rsidR="00F034F3">
        <w:t xml:space="preserve">avoiding </w:t>
      </w:r>
      <w:r w:rsidR="002061B1">
        <w:t xml:space="preserve">significant </w:t>
      </w:r>
      <w:r w:rsidR="00C05349">
        <w:t xml:space="preserve">social </w:t>
      </w:r>
      <w:r w:rsidR="00F034F3">
        <w:t>costs associated with home</w:t>
      </w:r>
      <w:r w:rsidR="0084719B">
        <w:t>lessness and</w:t>
      </w:r>
      <w:r w:rsidR="00A24430">
        <w:t xml:space="preserve"> </w:t>
      </w:r>
      <w:r w:rsidR="00E265D9">
        <w:t>related issues such as domestic and family violence</w:t>
      </w:r>
      <w:r w:rsidR="00324F5A" w:rsidRPr="00F77DF4">
        <w:t>.</w:t>
      </w:r>
      <w:r w:rsidR="00E265D9">
        <w:rPr>
          <w:rStyle w:val="FootnoteReference"/>
        </w:rPr>
        <w:footnoteReference w:id="24"/>
      </w:r>
      <w:r w:rsidR="00324F5A" w:rsidRPr="00F77DF4">
        <w:t xml:space="preserve"> </w:t>
      </w:r>
      <w:r w:rsidR="002061B1">
        <w:t>It has been estimated that f</w:t>
      </w:r>
      <w:r w:rsidR="00073F0F" w:rsidRPr="00073F0F">
        <w:t>or every $1 million of public investment in social housing, gross domestic product (GDP) is boosted by $1.3m</w:t>
      </w:r>
      <w:r w:rsidR="00073F0F">
        <w:t>.</w:t>
      </w:r>
      <w:r w:rsidR="00073F0F">
        <w:rPr>
          <w:rStyle w:val="FootnoteReference"/>
        </w:rPr>
        <w:footnoteReference w:id="25"/>
      </w:r>
      <w:r w:rsidR="00073F0F" w:rsidRPr="00073F0F">
        <w:t xml:space="preserve"> </w:t>
      </w:r>
      <w:r w:rsidR="006A3F1F">
        <w:t>A</w:t>
      </w:r>
      <w:r w:rsidRPr="00F77DF4">
        <w:t>ffordable rents, security of tenure, and other supports available to financially vulnerable people in social housing reduces their risk of homelessness by more than half.</w:t>
      </w:r>
      <w:r w:rsidR="00277827">
        <w:rPr>
          <w:rStyle w:val="FootnoteReference"/>
        </w:rPr>
        <w:footnoteReference w:id="26"/>
      </w:r>
      <w:r w:rsidRPr="00F77DF4">
        <w:t xml:space="preserve">  </w:t>
      </w:r>
      <w:r w:rsidR="00324F5A">
        <w:t>At the last Census, there were almost 1,600 people experiencing homelessness in the ACT.</w:t>
      </w:r>
      <w:r w:rsidR="00A26858">
        <w:rPr>
          <w:rStyle w:val="FootnoteReference"/>
        </w:rPr>
        <w:footnoteReference w:id="27"/>
      </w:r>
    </w:p>
    <w:p w14:paraId="500E8CF1" w14:textId="27F350A1" w:rsidR="00B61E07" w:rsidRDefault="00B61E07" w:rsidP="00B61E07">
      <w:pPr>
        <w:pStyle w:val="Heading1"/>
      </w:pPr>
      <w:bookmarkStart w:id="7" w:name="_Toc79584858"/>
      <w:r w:rsidRPr="00B61E07">
        <w:t>Tracking changes in the cost of living for low-income households: S</w:t>
      </w:r>
      <w:r w:rsidR="00205A37">
        <w:t>elected Living Cost Indexes</w:t>
      </w:r>
      <w:bookmarkEnd w:id="7"/>
    </w:p>
    <w:p w14:paraId="17E6A6B0" w14:textId="69787255" w:rsidR="0052760C" w:rsidRDefault="0052760C" w:rsidP="0052760C">
      <w:pPr>
        <w:pStyle w:val="BodyText"/>
      </w:pPr>
      <w:r>
        <w:t xml:space="preserve">The </w:t>
      </w:r>
      <w:r w:rsidR="00F76DDA">
        <w:t xml:space="preserve">ABS </w:t>
      </w:r>
      <w:r>
        <w:t xml:space="preserve">Selected Living Cost Indexes (SLCI) measure the cost of various baskets of goods </w:t>
      </w:r>
      <w:r w:rsidR="000710EA">
        <w:t>that</w:t>
      </w:r>
      <w:r>
        <w:t xml:space="preserve"> are specific to a number of different household types – including ‘Age pensioner’ and ‘Other government transfer recipients’ (</w:t>
      </w:r>
      <w:r w:rsidR="004A4504">
        <w:t>e.g.</w:t>
      </w:r>
      <w:r>
        <w:t xml:space="preserve"> JobSeeker and Youth Allowance recipients), ‘Employee’, and ‘Self-funded retiree’ households. An examination of changes in SLCI is important for determining how well Australia’s income support system is doing in terms of helping people to keep up with rising living costs. </w:t>
      </w:r>
      <w:r w:rsidR="00AA2849">
        <w:t>The SLCI for a</w:t>
      </w:r>
      <w:r>
        <w:t xml:space="preserve">ge pensioner and other government transfer recipient households </w:t>
      </w:r>
      <w:r w:rsidR="00AA2849">
        <w:t xml:space="preserve">is </w:t>
      </w:r>
      <w:r>
        <w:t xml:space="preserve">more likely to </w:t>
      </w:r>
      <w:r w:rsidR="00AA2849">
        <w:t xml:space="preserve">reflect the changes in cost of living for </w:t>
      </w:r>
      <w:r>
        <w:t xml:space="preserve">low-income households in the ACT. </w:t>
      </w:r>
    </w:p>
    <w:p w14:paraId="51E5C6BF" w14:textId="59AD18E7" w:rsidR="0052760C" w:rsidRPr="0052760C" w:rsidRDefault="0052760C" w:rsidP="0052760C">
      <w:pPr>
        <w:pStyle w:val="BodyText"/>
      </w:pPr>
      <w:r>
        <w:t>Each Living Cost Index (LCI) is measured at the national level</w:t>
      </w:r>
      <w:r w:rsidR="008B1A7A">
        <w:t>. U</w:t>
      </w:r>
      <w:r>
        <w:t xml:space="preserve">nlike the CPI, the SLCI are not produced for each capital </w:t>
      </w:r>
      <w:r w:rsidR="004A4504">
        <w:t>city,</w:t>
      </w:r>
      <w:r>
        <w:t xml:space="preserve"> so this analysis is not specific to Canberra or the ACT. </w:t>
      </w:r>
      <w:r w:rsidR="0000178D" w:rsidRPr="0000178D">
        <w:t>As we noted in our 2020 ACT Cost of Living Report, the COVID-19 pandemic has had a significant impact on the CPI and SLCI, but this impact has been experienced differently by different households depending on the source and level of their income.</w:t>
      </w:r>
      <w:r w:rsidR="00EE337A">
        <w:rPr>
          <w:rStyle w:val="FootnoteReference"/>
        </w:rPr>
        <w:footnoteReference w:id="28"/>
      </w:r>
      <w:r w:rsidR="0000178D" w:rsidRPr="0000178D">
        <w:t xml:space="preserve"> </w:t>
      </w:r>
      <w:r w:rsidR="00C82283">
        <w:t xml:space="preserve">Figure </w:t>
      </w:r>
      <w:r w:rsidR="00411A55">
        <w:t>9</w:t>
      </w:r>
      <w:r w:rsidR="00C82283">
        <w:t xml:space="preserve"> shows that </w:t>
      </w:r>
      <w:r w:rsidR="0090562C">
        <w:t xml:space="preserve">over </w:t>
      </w:r>
      <w:r w:rsidR="005723A5">
        <w:t>the 12 months from December 2019 to December 2020</w:t>
      </w:r>
      <w:r w:rsidR="0090562C">
        <w:t>, p</w:t>
      </w:r>
      <w:r w:rsidR="00D97D04">
        <w:t>rices increased the most for s</w:t>
      </w:r>
      <w:r w:rsidR="00C04F06">
        <w:t>elf-funded retiree</w:t>
      </w:r>
      <w:r w:rsidR="00D97D04">
        <w:t xml:space="preserve"> </w:t>
      </w:r>
      <w:r w:rsidR="005723A5">
        <w:t xml:space="preserve">households </w:t>
      </w:r>
      <w:r w:rsidR="00C04F06">
        <w:t xml:space="preserve">and </w:t>
      </w:r>
      <w:r w:rsidR="00D97D04">
        <w:t>other government transfer recipient households (0.8%)</w:t>
      </w:r>
      <w:r w:rsidR="000213D4">
        <w:t>, followed by pensioner and beneficiary households (0.7%) and age pensioner households (0.4%)</w:t>
      </w:r>
      <w:r w:rsidR="00784245">
        <w:t>.</w:t>
      </w:r>
      <w:r w:rsidR="000202D6">
        <w:rPr>
          <w:rStyle w:val="FootnoteReference"/>
        </w:rPr>
        <w:footnoteReference w:id="29"/>
      </w:r>
      <w:r w:rsidR="00784245">
        <w:t xml:space="preserve"> The LCI for employee households decreased by -0.5%.</w:t>
      </w:r>
      <w:r w:rsidR="0090562C">
        <w:rPr>
          <w:rStyle w:val="FootnoteReference"/>
        </w:rPr>
        <w:footnoteReference w:id="30"/>
      </w:r>
      <w:r w:rsidR="0090562C">
        <w:t xml:space="preserve"> </w:t>
      </w:r>
    </w:p>
    <w:p w14:paraId="2DBF1A1E" w14:textId="0FDA0E33" w:rsidR="009B28CE" w:rsidRDefault="00784245" w:rsidP="009B7BF1">
      <w:pPr>
        <w:pStyle w:val="Figuretabletitle"/>
      </w:pPr>
      <w:r>
        <w:t xml:space="preserve">Figure </w:t>
      </w:r>
      <w:r w:rsidR="006C08BF">
        <w:t>9</w:t>
      </w:r>
      <w:r>
        <w:t xml:space="preserve"> </w:t>
      </w:r>
      <w:r w:rsidR="009B7BF1" w:rsidRPr="009B7BF1">
        <w:t>Percentage change in CPI and Selected Living Cost Indexes, Dec</w:t>
      </w:r>
      <w:r w:rsidR="004D6A94">
        <w:t>ember</w:t>
      </w:r>
      <w:r w:rsidR="009B7BF1" w:rsidRPr="009B7BF1">
        <w:t xml:space="preserve"> 201</w:t>
      </w:r>
      <w:r w:rsidR="009B7BF1">
        <w:t>9</w:t>
      </w:r>
      <w:r w:rsidR="009B7BF1" w:rsidRPr="009B7BF1">
        <w:t xml:space="preserve"> – </w:t>
      </w:r>
      <w:r w:rsidR="005455B0">
        <w:br/>
      </w:r>
      <w:r w:rsidR="009B7BF1" w:rsidRPr="009B7BF1">
        <w:t>Dec</w:t>
      </w:r>
      <w:r w:rsidR="004D6A94">
        <w:t>ember</w:t>
      </w:r>
      <w:r w:rsidR="009B7BF1" w:rsidRPr="009B7BF1">
        <w:t xml:space="preserve"> 20</w:t>
      </w:r>
      <w:r w:rsidR="009B7BF1">
        <w:t>20</w:t>
      </w:r>
      <w:r w:rsidR="009B7BF1" w:rsidRPr="009B7BF1">
        <w:t>, Australia</w:t>
      </w:r>
    </w:p>
    <w:p w14:paraId="5190FBD2" w14:textId="24B682C6" w:rsidR="00695A86" w:rsidRDefault="002E3404" w:rsidP="00626DCD">
      <w:pPr>
        <w:pStyle w:val="Image"/>
      </w:pPr>
      <w:r>
        <w:rPr>
          <w:noProof/>
        </w:rPr>
        <w:drawing>
          <wp:inline distT="0" distB="0" distL="0" distR="0" wp14:anchorId="08C39ECE" wp14:editId="246F8EAD">
            <wp:extent cx="5400040" cy="2907665"/>
            <wp:effectExtent l="0" t="0" r="0" b="698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2907665"/>
                    </a:xfrm>
                    <a:prstGeom prst="rect">
                      <a:avLst/>
                    </a:prstGeom>
                  </pic:spPr>
                </pic:pic>
              </a:graphicData>
            </a:graphic>
          </wp:inline>
        </w:drawing>
      </w:r>
    </w:p>
    <w:p w14:paraId="0C97ECA8" w14:textId="5BE72780" w:rsidR="00626DCD" w:rsidRPr="009B28CE" w:rsidRDefault="00626DCD" w:rsidP="00626DCD">
      <w:pPr>
        <w:pStyle w:val="Source"/>
      </w:pPr>
      <w:r>
        <w:t xml:space="preserve">Source: </w:t>
      </w:r>
      <w:r w:rsidRPr="00626DCD">
        <w:t xml:space="preserve">ABS, ‘Key statistics’ [percentage change in CPI and SLCI, Dec Qtr 2019 to Dec Qtr 2020], </w:t>
      </w:r>
      <w:hyperlink r:id="rId37" w:history="1">
        <w:r w:rsidRPr="00382530">
          <w:rPr>
            <w:rStyle w:val="Hyperlink"/>
            <w:i/>
            <w:iCs/>
          </w:rPr>
          <w:t>Selected Living Cost Indexes, Australia</w:t>
        </w:r>
      </w:hyperlink>
      <w:r w:rsidRPr="00626DCD">
        <w:t xml:space="preserve">, </w:t>
      </w:r>
      <w:r w:rsidR="000E1BF0" w:rsidRPr="002772F5">
        <w:t xml:space="preserve">Reference period </w:t>
      </w:r>
      <w:r w:rsidR="002772F5" w:rsidRPr="002772F5">
        <w:t>December 2020</w:t>
      </w:r>
      <w:r w:rsidR="000E1BF0">
        <w:t xml:space="preserve">, ABS, </w:t>
      </w:r>
      <w:r>
        <w:t xml:space="preserve">2021, </w:t>
      </w:r>
      <w:r w:rsidRPr="00626DCD">
        <w:t>accessed 13 July 2021.</w:t>
      </w:r>
    </w:p>
    <w:p w14:paraId="58CBBADD" w14:textId="25A1ADA1" w:rsidR="00BE45C2" w:rsidRDefault="005B2863" w:rsidP="00626DCD">
      <w:pPr>
        <w:pStyle w:val="BodyText"/>
      </w:pPr>
      <w:r w:rsidRPr="005B2863">
        <w:t>Before the COVID-19 pandemic, it was estimated that 8.6% of the ACT population were living below the poverty line.</w:t>
      </w:r>
      <w:r w:rsidRPr="005B2863">
        <w:rPr>
          <w:vertAlign w:val="superscript"/>
        </w:rPr>
        <w:footnoteReference w:id="31"/>
      </w:r>
      <w:r w:rsidRPr="005B2863">
        <w:t xml:space="preserve"> The poverty rate for children aged 0-14 years in the ACT was estimated to be even higher, at 11.2%.</w:t>
      </w:r>
      <w:r w:rsidRPr="005B2863">
        <w:rPr>
          <w:vertAlign w:val="superscript"/>
        </w:rPr>
        <w:footnoteReference w:id="32"/>
      </w:r>
      <w:r w:rsidRPr="005B2863">
        <w:t xml:space="preserve"> Unemployment and </w:t>
      </w:r>
      <w:r w:rsidR="006E2E65">
        <w:t>inadequate</w:t>
      </w:r>
      <w:r w:rsidRPr="005B2863">
        <w:t xml:space="preserve"> income support payments are the major drivers of income poverty in Australia.</w:t>
      </w:r>
      <w:r w:rsidRPr="005B2863">
        <w:rPr>
          <w:vertAlign w:val="superscript"/>
        </w:rPr>
        <w:footnoteReference w:id="33"/>
      </w:r>
      <w:r w:rsidRPr="005B2863">
        <w:t xml:space="preserve"> During the COVID-19 pandemic the number of people in the ACT receiving income support while looking for work more than doubled from 7,135 in March 2020 to 14,858 in May 2020, remaining above 14,000 through to September 2020</w:t>
      </w:r>
      <w:r w:rsidR="00BE45C2">
        <w:t xml:space="preserve"> (see Figure </w:t>
      </w:r>
      <w:r w:rsidR="00D22598">
        <w:t>10</w:t>
      </w:r>
      <w:r w:rsidR="00BE45C2">
        <w:t>)</w:t>
      </w:r>
      <w:r w:rsidRPr="005B2863">
        <w:t>.</w:t>
      </w:r>
      <w:r w:rsidR="00931FF9">
        <w:rPr>
          <w:rStyle w:val="FootnoteReference"/>
        </w:rPr>
        <w:footnoteReference w:id="34"/>
      </w:r>
      <w:r w:rsidRPr="005B2863">
        <w:t xml:space="preserve"> </w:t>
      </w:r>
      <w:r w:rsidR="00BE45C2" w:rsidRPr="005B2863">
        <w:t xml:space="preserve">During </w:t>
      </w:r>
      <w:r w:rsidR="001C5862">
        <w:t>the p</w:t>
      </w:r>
      <w:r w:rsidR="00BE45C2" w:rsidRPr="005B2863">
        <w:t>eriod from 27 April 2020 to 24 September 2020 the Australian Government introduced the Coronavirus Supplement at a rate of $550 per fortnight. This effectively doubled the rate of the JobSeeker payment, bringing it above the poverty line of $457 per week for a single adult and $731 per week for a single parent with two children.</w:t>
      </w:r>
      <w:r w:rsidR="0040610A">
        <w:t xml:space="preserve"> This helped avoid a significant increase in poverty in the ACT.</w:t>
      </w:r>
    </w:p>
    <w:p w14:paraId="04F0FE7B" w14:textId="55B562A2" w:rsidR="00A937FE" w:rsidRDefault="00A937FE" w:rsidP="00A937F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t>A survey of over 600 people on JobSeeker or other related income support payments who were receiving the $550 per fortnight Coronavirus Supplement in August 2020 found that the increase to their income had made it much easier to cover the cost of essential goods and services:</w:t>
      </w:r>
    </w:p>
    <w:p w14:paraId="2C5F67A3" w14:textId="4DE2C191" w:rsidR="00A937FE" w:rsidRDefault="00A937FE" w:rsidP="00A937FE">
      <w:pPr>
        <w:pStyle w:val="ListBullet"/>
      </w:pPr>
      <w:r>
        <w:t>80.8% reported that they were eating better and more regularly</w:t>
      </w:r>
    </w:p>
    <w:p w14:paraId="63179F78" w14:textId="0423230B" w:rsidR="00A937FE" w:rsidRDefault="00A937FE" w:rsidP="00A937FE">
      <w:pPr>
        <w:pStyle w:val="ListBullet"/>
      </w:pPr>
      <w:r>
        <w:t>70.7% reported that they were now able to catch</w:t>
      </w:r>
      <w:r w:rsidR="00DD6A66">
        <w:t xml:space="preserve"> </w:t>
      </w:r>
      <w:r>
        <w:t>up on bills</w:t>
      </w:r>
    </w:p>
    <w:p w14:paraId="1C4DB4D5" w14:textId="7658C3C9" w:rsidR="00A937FE" w:rsidRDefault="00A937FE" w:rsidP="00A937FE">
      <w:pPr>
        <w:pStyle w:val="ListBullet"/>
      </w:pPr>
      <w:r>
        <w:t>67.8% reported they were able to pay for medicines/heath treatments</w:t>
      </w:r>
    </w:p>
    <w:p w14:paraId="6C1F1AFB" w14:textId="4D500514" w:rsidR="00A937FE" w:rsidRDefault="00A937FE" w:rsidP="00A937FE">
      <w:pPr>
        <w:pStyle w:val="ListBullet"/>
      </w:pPr>
      <w:r>
        <w:t>58.8% reported that they were finding it easier to pay rent/being able to move into better and safer accommodation</w:t>
      </w:r>
    </w:p>
    <w:p w14:paraId="005AF397" w14:textId="4ACA53C9" w:rsidR="00A937FE" w:rsidRDefault="00A937FE" w:rsidP="00A937FE">
      <w:pPr>
        <w:pStyle w:val="ListBullet"/>
      </w:pPr>
      <w:r>
        <w:t>56.2% were able to pay off debts</w:t>
      </w:r>
    </w:p>
    <w:p w14:paraId="3C3FAA9E" w14:textId="5EE4764B" w:rsidR="00A937FE" w:rsidRDefault="00A937FE" w:rsidP="00A937FE">
      <w:pPr>
        <w:pStyle w:val="ListBullet"/>
      </w:pPr>
      <w:r>
        <w:t xml:space="preserve">51.7% were able to save up for emergencies </w:t>
      </w:r>
    </w:p>
    <w:p w14:paraId="7181432B" w14:textId="735EEFF4" w:rsidR="00A937FE" w:rsidRDefault="00A937FE" w:rsidP="00A937FE">
      <w:pPr>
        <w:pStyle w:val="ListBullet"/>
      </w:pPr>
      <w:r>
        <w:t>51.6% were able to save up to purchase major household items (i.e. fridges, freezers, tables)</w:t>
      </w:r>
    </w:p>
    <w:p w14:paraId="371C1183" w14:textId="12108468" w:rsidR="00A937FE" w:rsidRDefault="00A937FE" w:rsidP="00A937FE">
      <w:pPr>
        <w:pStyle w:val="ListBullet"/>
      </w:pPr>
      <w:r>
        <w:t>26.0% were able to save up to pay for studying/training.</w:t>
      </w:r>
      <w:r w:rsidR="00C82B2F">
        <w:rPr>
          <w:rStyle w:val="FootnoteReference"/>
        </w:rPr>
        <w:footnoteReference w:id="35"/>
      </w:r>
    </w:p>
    <w:p w14:paraId="58E699C4" w14:textId="7503BD4F" w:rsidR="006E2E65" w:rsidRDefault="007C2BDB" w:rsidP="0089064E">
      <w:pPr>
        <w:pStyle w:val="Figuretabletitle"/>
      </w:pPr>
      <w:r>
        <w:t>Figure</w:t>
      </w:r>
      <w:r w:rsidR="000C69EE">
        <w:t xml:space="preserve"> </w:t>
      </w:r>
      <w:r w:rsidR="006C08BF">
        <w:t>10</w:t>
      </w:r>
      <w:r w:rsidR="000C69EE">
        <w:t xml:space="preserve"> </w:t>
      </w:r>
      <w:r w:rsidR="000C69EE" w:rsidRPr="000C69EE">
        <w:t xml:space="preserve">Total JobSeeker Payment and Youth Allowance (other) </w:t>
      </w:r>
      <w:r w:rsidR="00416C5B">
        <w:t>r</w:t>
      </w:r>
      <w:r w:rsidR="000C69EE" w:rsidRPr="000C69EE">
        <w:t xml:space="preserve">ecipients by </w:t>
      </w:r>
      <w:r w:rsidR="002B2F36">
        <w:t>sex</w:t>
      </w:r>
      <w:r w:rsidR="000C69EE">
        <w:t xml:space="preserve">, ACT, March 2020 – </w:t>
      </w:r>
      <w:r w:rsidR="00FE5E52">
        <w:t>June</w:t>
      </w:r>
      <w:r w:rsidR="000C69EE">
        <w:t xml:space="preserve"> 2021</w:t>
      </w:r>
    </w:p>
    <w:p w14:paraId="04705618" w14:textId="6F2D8687" w:rsidR="00EF2AFD" w:rsidRDefault="00EF2AFD" w:rsidP="00230CAF">
      <w:pPr>
        <w:pStyle w:val="Image"/>
      </w:pPr>
      <w:r>
        <w:rPr>
          <w:noProof/>
        </w:rPr>
        <w:drawing>
          <wp:inline distT="0" distB="0" distL="0" distR="0" wp14:anchorId="408EC9A0" wp14:editId="4AD4C0B8">
            <wp:extent cx="5400040" cy="3352800"/>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352800"/>
                    </a:xfrm>
                    <a:prstGeom prst="rect">
                      <a:avLst/>
                    </a:prstGeom>
                  </pic:spPr>
                </pic:pic>
              </a:graphicData>
            </a:graphic>
          </wp:inline>
        </w:drawing>
      </w:r>
    </w:p>
    <w:p w14:paraId="52838F6B" w14:textId="36FA13B3" w:rsidR="00230CAF" w:rsidRDefault="00230CAF" w:rsidP="00230CAF">
      <w:pPr>
        <w:pStyle w:val="Source"/>
      </w:pPr>
      <w:r>
        <w:t xml:space="preserve">Source: </w:t>
      </w:r>
      <w:r w:rsidRPr="00230CAF">
        <w:t xml:space="preserve">Chart created from Department of Social Services, </w:t>
      </w:r>
      <w:hyperlink r:id="rId39" w:history="1">
        <w:r w:rsidRPr="00230CAF">
          <w:rPr>
            <w:rStyle w:val="Hyperlink"/>
            <w:i/>
            <w:iCs/>
          </w:rPr>
          <w:t>JobSeeker Payment and Youth Allowance recipients – monthly profile</w:t>
        </w:r>
      </w:hyperlink>
      <w:r w:rsidRPr="00230CAF">
        <w:t xml:space="preserve"> [data set], data.gov.au, 2020-21, accessed 21 July 2021.</w:t>
      </w:r>
    </w:p>
    <w:p w14:paraId="1169BDC3" w14:textId="310C5CAA" w:rsidR="005B2863" w:rsidRDefault="005B2863" w:rsidP="005B286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5B2863">
        <w:t>Alongside JobKeeper, the $550 per fortnight Coronavirus Supplement saw a reduction in poverty in the ACT, ranging between 4.0% and 8.5% across Canberra regions in June 2020</w:t>
      </w:r>
      <w:r w:rsidR="00966F0D">
        <w:t xml:space="preserve"> – </w:t>
      </w:r>
      <w:r w:rsidR="00BF1087">
        <w:t>indicating a</w:t>
      </w:r>
      <w:r w:rsidR="003C19E4">
        <w:t>n overall</w:t>
      </w:r>
      <w:r w:rsidR="00BF1087">
        <w:t xml:space="preserve"> poverty rate of</w:t>
      </w:r>
      <w:r w:rsidR="00966F0D">
        <w:t xml:space="preserve"> 5.2% for the </w:t>
      </w:r>
      <w:r w:rsidR="002D2729">
        <w:t>ACT</w:t>
      </w:r>
      <w:r w:rsidR="00697586">
        <w:t xml:space="preserve"> (see </w:t>
      </w:r>
      <w:r w:rsidR="008F15C0">
        <w:t>Table 5</w:t>
      </w:r>
      <w:r w:rsidR="00697586">
        <w:t>)</w:t>
      </w:r>
      <w:r w:rsidRPr="005B2863">
        <w:t>.</w:t>
      </w:r>
      <w:r w:rsidR="0089064E">
        <w:rPr>
          <w:rStyle w:val="FootnoteReference"/>
        </w:rPr>
        <w:footnoteReference w:id="36"/>
      </w:r>
      <w:r w:rsidRPr="005B2863">
        <w:t xml:space="preserve"> The subsequent phasing out of the Coronavirus Supplement between September 2020 and March 2021 has seen the Jobseeker payment return to well below the poverty line, even with an increase to the base rate of $50 per fortnight from 1 April 2021. </w:t>
      </w:r>
      <w:r w:rsidR="006D40E8">
        <w:t xml:space="preserve">Even before the complete </w:t>
      </w:r>
      <w:r w:rsidRPr="005B2863">
        <w:t xml:space="preserve">withdrawal of </w:t>
      </w:r>
      <w:r w:rsidR="006D40E8">
        <w:t>the Coronavirus Supplement</w:t>
      </w:r>
      <w:r w:rsidRPr="005B2863">
        <w:t xml:space="preserve">, it </w:t>
      </w:r>
      <w:r w:rsidR="006D40E8">
        <w:t>was</w:t>
      </w:r>
      <w:r w:rsidRPr="005B2863">
        <w:t xml:space="preserve"> estimated that </w:t>
      </w:r>
      <w:r w:rsidR="002D2729">
        <w:t>by October 2020 poverty rates in the ACT ranged</w:t>
      </w:r>
      <w:r w:rsidRPr="005B2863">
        <w:t xml:space="preserve"> between 7.5% and 11.9%.</w:t>
      </w:r>
      <w:r w:rsidR="0089064E">
        <w:rPr>
          <w:rStyle w:val="FootnoteReference"/>
        </w:rPr>
        <w:footnoteReference w:id="37"/>
      </w:r>
      <w:r w:rsidRPr="005B2863">
        <w:t xml:space="preserve"> This equates to an estimated </w:t>
      </w:r>
      <w:r w:rsidR="009C288A">
        <w:t xml:space="preserve">9.0% or </w:t>
      </w:r>
      <w:r w:rsidRPr="005B2863">
        <w:t>38,300 Canberrans</w:t>
      </w:r>
      <w:r w:rsidR="00703D62">
        <w:t xml:space="preserve"> </w:t>
      </w:r>
      <w:r w:rsidRPr="005B2863">
        <w:t>living below the poverty line</w:t>
      </w:r>
      <w:r w:rsidR="00703D62">
        <w:t>.</w:t>
      </w:r>
      <w:r w:rsidR="0089064E">
        <w:rPr>
          <w:rStyle w:val="FootnoteReference"/>
        </w:rPr>
        <w:footnoteReference w:id="38"/>
      </w:r>
      <w:r w:rsidR="00703D62">
        <w:t xml:space="preserve"> Based on the </w:t>
      </w:r>
      <w:r w:rsidR="00DB2BF8">
        <w:t xml:space="preserve">pre-COVID child poverty rate of 11.2% </w:t>
      </w:r>
      <w:r w:rsidR="001971A7">
        <w:t>we estimate that this include</w:t>
      </w:r>
      <w:r w:rsidR="003C19E4">
        <w:t>d</w:t>
      </w:r>
      <w:r w:rsidR="00703D62" w:rsidRPr="00703D62">
        <w:t xml:space="preserve"> approximately 9,300 children aged 0-14 years</w:t>
      </w:r>
      <w:r w:rsidR="001971A7">
        <w:t xml:space="preserve"> living below the poverty line</w:t>
      </w:r>
      <w:r w:rsidR="003C19E4">
        <w:t xml:space="preserve"> in the ACT</w:t>
      </w:r>
      <w:r w:rsidR="001971A7">
        <w:t>.</w:t>
      </w:r>
    </w:p>
    <w:p w14:paraId="620F9CE4" w14:textId="2D7AED52" w:rsidR="00395A19" w:rsidRDefault="008F15C0" w:rsidP="003035CA">
      <w:pPr>
        <w:pStyle w:val="Figuretabletitle"/>
      </w:pPr>
      <w:r>
        <w:t>Table</w:t>
      </w:r>
      <w:r w:rsidR="00697586">
        <w:t xml:space="preserve"> </w:t>
      </w:r>
      <w:r>
        <w:t xml:space="preserve">5 </w:t>
      </w:r>
      <w:r w:rsidR="003035CA" w:rsidRPr="003035CA">
        <w:t>Poverty rates by SA3 region, ACT, March-October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248"/>
        <w:gridCol w:w="2110"/>
        <w:gridCol w:w="1763"/>
      </w:tblGrid>
      <w:tr w:rsidR="00E70EE4" w14:paraId="6C27D663" w14:textId="77777777" w:rsidTr="009F1C2F">
        <w:tc>
          <w:tcPr>
            <w:tcW w:w="2373" w:type="dxa"/>
            <w:tcBorders>
              <w:top w:val="single" w:sz="12" w:space="0" w:color="A6A6A6" w:themeColor="background1" w:themeShade="A6"/>
              <w:bottom w:val="single" w:sz="12" w:space="0" w:color="A6A6A6" w:themeColor="background1" w:themeShade="A6"/>
            </w:tcBorders>
            <w:shd w:val="clear" w:color="auto" w:fill="D9E2F3" w:themeFill="accent1" w:themeFillTint="33"/>
          </w:tcPr>
          <w:p w14:paraId="3A8FFA24" w14:textId="77777777" w:rsidR="00E70EE4" w:rsidRDefault="00E70EE4" w:rsidP="002E0B70">
            <w:pPr>
              <w:pStyle w:val="Tableheading"/>
            </w:pPr>
            <w:r>
              <w:t>Region</w:t>
            </w:r>
          </w:p>
        </w:tc>
        <w:tc>
          <w:tcPr>
            <w:tcW w:w="2248" w:type="dxa"/>
            <w:tcBorders>
              <w:top w:val="single" w:sz="12" w:space="0" w:color="A6A6A6" w:themeColor="background1" w:themeShade="A6"/>
              <w:bottom w:val="single" w:sz="12" w:space="0" w:color="A6A6A6" w:themeColor="background1" w:themeShade="A6"/>
            </w:tcBorders>
            <w:shd w:val="clear" w:color="auto" w:fill="D9E2F3" w:themeFill="accent1" w:themeFillTint="33"/>
          </w:tcPr>
          <w:p w14:paraId="407C0CA6" w14:textId="77777777" w:rsidR="00E70EE4" w:rsidRDefault="00E70EE4" w:rsidP="002E0B70">
            <w:pPr>
              <w:pStyle w:val="Tableheading"/>
              <w:jc w:val="right"/>
            </w:pPr>
            <w:r>
              <w:t xml:space="preserve">March 2020 </w:t>
            </w:r>
          </w:p>
          <w:p w14:paraId="71FE0069" w14:textId="77777777" w:rsidR="00E70EE4" w:rsidRDefault="00E70EE4" w:rsidP="002E0B70">
            <w:pPr>
              <w:pStyle w:val="Tableheading"/>
              <w:jc w:val="right"/>
            </w:pPr>
            <w:r>
              <w:t>Poverty Rate</w:t>
            </w:r>
          </w:p>
        </w:tc>
        <w:tc>
          <w:tcPr>
            <w:tcW w:w="2110" w:type="dxa"/>
            <w:tcBorders>
              <w:top w:val="single" w:sz="12" w:space="0" w:color="A6A6A6" w:themeColor="background1" w:themeShade="A6"/>
              <w:bottom w:val="single" w:sz="12" w:space="0" w:color="A6A6A6" w:themeColor="background1" w:themeShade="A6"/>
            </w:tcBorders>
            <w:shd w:val="clear" w:color="auto" w:fill="D9E2F3" w:themeFill="accent1" w:themeFillTint="33"/>
          </w:tcPr>
          <w:p w14:paraId="3862C09E" w14:textId="77777777" w:rsidR="00E70EE4" w:rsidRDefault="00E70EE4" w:rsidP="002E0B70">
            <w:pPr>
              <w:pStyle w:val="Tableheading"/>
              <w:jc w:val="right"/>
            </w:pPr>
            <w:r>
              <w:t xml:space="preserve">June 2020 </w:t>
            </w:r>
          </w:p>
          <w:p w14:paraId="3F844CA2" w14:textId="77777777" w:rsidR="00E70EE4" w:rsidRDefault="00E70EE4" w:rsidP="002E0B70">
            <w:pPr>
              <w:pStyle w:val="Tableheading"/>
              <w:jc w:val="right"/>
            </w:pPr>
            <w:r>
              <w:t>Poverty Rate</w:t>
            </w:r>
          </w:p>
        </w:tc>
        <w:tc>
          <w:tcPr>
            <w:tcW w:w="1763" w:type="dxa"/>
            <w:tcBorders>
              <w:top w:val="single" w:sz="12" w:space="0" w:color="A6A6A6" w:themeColor="background1" w:themeShade="A6"/>
              <w:bottom w:val="single" w:sz="12" w:space="0" w:color="A6A6A6" w:themeColor="background1" w:themeShade="A6"/>
            </w:tcBorders>
            <w:shd w:val="clear" w:color="auto" w:fill="D9E2F3" w:themeFill="accent1" w:themeFillTint="33"/>
          </w:tcPr>
          <w:p w14:paraId="517CB785" w14:textId="77777777" w:rsidR="00E70EE4" w:rsidRDefault="00E70EE4" w:rsidP="002E0B70">
            <w:pPr>
              <w:pStyle w:val="Tableheading"/>
              <w:jc w:val="right"/>
            </w:pPr>
            <w:r>
              <w:t>October 2020</w:t>
            </w:r>
          </w:p>
          <w:p w14:paraId="38994CE6" w14:textId="77777777" w:rsidR="00E70EE4" w:rsidRDefault="00E70EE4" w:rsidP="002E0B70">
            <w:pPr>
              <w:pStyle w:val="Tableheading"/>
              <w:jc w:val="right"/>
            </w:pPr>
            <w:r>
              <w:t>Poverty Rate</w:t>
            </w:r>
          </w:p>
        </w:tc>
      </w:tr>
      <w:tr w:rsidR="00E70EE4" w14:paraId="00F8FB70" w14:textId="77777777" w:rsidTr="009F1C2F">
        <w:tc>
          <w:tcPr>
            <w:tcW w:w="2373" w:type="dxa"/>
            <w:tcBorders>
              <w:top w:val="single" w:sz="12" w:space="0" w:color="A6A6A6" w:themeColor="background1" w:themeShade="A6"/>
            </w:tcBorders>
          </w:tcPr>
          <w:p w14:paraId="4F589511" w14:textId="77777777" w:rsidR="00E70EE4" w:rsidRDefault="00E70EE4" w:rsidP="002E0B70">
            <w:pPr>
              <w:pStyle w:val="TableBody"/>
            </w:pPr>
            <w:r w:rsidRPr="00D62E3C">
              <w:t>Belconnen</w:t>
            </w:r>
          </w:p>
        </w:tc>
        <w:tc>
          <w:tcPr>
            <w:tcW w:w="2248" w:type="dxa"/>
            <w:tcBorders>
              <w:top w:val="single" w:sz="12" w:space="0" w:color="A6A6A6" w:themeColor="background1" w:themeShade="A6"/>
            </w:tcBorders>
          </w:tcPr>
          <w:p w14:paraId="145B85D2" w14:textId="77777777" w:rsidR="00E70EE4" w:rsidRDefault="00E70EE4" w:rsidP="002E0B70">
            <w:pPr>
              <w:pStyle w:val="TableBody"/>
              <w:jc w:val="right"/>
            </w:pPr>
            <w:r w:rsidRPr="00992F70">
              <w:t>7.5%</w:t>
            </w:r>
          </w:p>
        </w:tc>
        <w:tc>
          <w:tcPr>
            <w:tcW w:w="2110" w:type="dxa"/>
            <w:tcBorders>
              <w:top w:val="single" w:sz="12" w:space="0" w:color="A6A6A6" w:themeColor="background1" w:themeShade="A6"/>
            </w:tcBorders>
          </w:tcPr>
          <w:p w14:paraId="16297832" w14:textId="77777777" w:rsidR="00E70EE4" w:rsidRDefault="00E70EE4" w:rsidP="002E0B70">
            <w:pPr>
              <w:pStyle w:val="TableBody"/>
              <w:jc w:val="right"/>
            </w:pPr>
            <w:r w:rsidRPr="000807B5">
              <w:t>5.7%</w:t>
            </w:r>
          </w:p>
        </w:tc>
        <w:tc>
          <w:tcPr>
            <w:tcW w:w="1763" w:type="dxa"/>
            <w:tcBorders>
              <w:top w:val="single" w:sz="12" w:space="0" w:color="A6A6A6" w:themeColor="background1" w:themeShade="A6"/>
            </w:tcBorders>
          </w:tcPr>
          <w:p w14:paraId="4FF4E4C3" w14:textId="77777777" w:rsidR="00E70EE4" w:rsidRDefault="00E70EE4" w:rsidP="002E0B70">
            <w:pPr>
              <w:pStyle w:val="TableBody"/>
              <w:jc w:val="right"/>
            </w:pPr>
            <w:r w:rsidRPr="0008036B">
              <w:t>10.5%</w:t>
            </w:r>
          </w:p>
        </w:tc>
      </w:tr>
      <w:tr w:rsidR="00E70EE4" w14:paraId="32776457" w14:textId="77777777" w:rsidTr="002E0B70">
        <w:tc>
          <w:tcPr>
            <w:tcW w:w="2373" w:type="dxa"/>
            <w:shd w:val="clear" w:color="auto" w:fill="D9E2F3" w:themeFill="accent1" w:themeFillTint="33"/>
          </w:tcPr>
          <w:p w14:paraId="6AD2AF0F" w14:textId="77777777" w:rsidR="00E70EE4" w:rsidRDefault="00E70EE4" w:rsidP="002E0B70">
            <w:pPr>
              <w:pStyle w:val="TableBody"/>
            </w:pPr>
            <w:r w:rsidRPr="00D62E3C">
              <w:t>Gungahlin</w:t>
            </w:r>
          </w:p>
        </w:tc>
        <w:tc>
          <w:tcPr>
            <w:tcW w:w="2248" w:type="dxa"/>
            <w:shd w:val="clear" w:color="auto" w:fill="D9E2F3" w:themeFill="accent1" w:themeFillTint="33"/>
          </w:tcPr>
          <w:p w14:paraId="2F92B535" w14:textId="77777777" w:rsidR="00E70EE4" w:rsidRDefault="00E70EE4" w:rsidP="002E0B70">
            <w:pPr>
              <w:pStyle w:val="TableBody"/>
              <w:jc w:val="right"/>
            </w:pPr>
            <w:r w:rsidRPr="00992F70">
              <w:t>5.7%</w:t>
            </w:r>
          </w:p>
        </w:tc>
        <w:tc>
          <w:tcPr>
            <w:tcW w:w="2110" w:type="dxa"/>
            <w:shd w:val="clear" w:color="auto" w:fill="D9E2F3" w:themeFill="accent1" w:themeFillTint="33"/>
          </w:tcPr>
          <w:p w14:paraId="2A3E80B5" w14:textId="77777777" w:rsidR="00E70EE4" w:rsidRDefault="00E70EE4" w:rsidP="002E0B70">
            <w:pPr>
              <w:pStyle w:val="TableBody"/>
              <w:jc w:val="right"/>
            </w:pPr>
            <w:r w:rsidRPr="000807B5">
              <w:t>4.7%</w:t>
            </w:r>
          </w:p>
        </w:tc>
        <w:tc>
          <w:tcPr>
            <w:tcW w:w="1763" w:type="dxa"/>
            <w:shd w:val="clear" w:color="auto" w:fill="D9E2F3" w:themeFill="accent1" w:themeFillTint="33"/>
          </w:tcPr>
          <w:p w14:paraId="3ADC5A0C" w14:textId="77777777" w:rsidR="00E70EE4" w:rsidRDefault="00E70EE4" w:rsidP="002E0B70">
            <w:pPr>
              <w:pStyle w:val="TableBody"/>
              <w:jc w:val="right"/>
            </w:pPr>
            <w:r w:rsidRPr="0008036B">
              <w:t>9.1%</w:t>
            </w:r>
          </w:p>
        </w:tc>
      </w:tr>
      <w:tr w:rsidR="00E70EE4" w14:paraId="70FE670F" w14:textId="77777777" w:rsidTr="002E0B70">
        <w:tc>
          <w:tcPr>
            <w:tcW w:w="2373" w:type="dxa"/>
          </w:tcPr>
          <w:p w14:paraId="29511940" w14:textId="77777777" w:rsidR="00E70EE4" w:rsidRDefault="00E70EE4" w:rsidP="002E0B70">
            <w:pPr>
              <w:pStyle w:val="TableBody"/>
            </w:pPr>
            <w:r w:rsidRPr="00D62E3C">
              <w:t>North Canberra</w:t>
            </w:r>
          </w:p>
        </w:tc>
        <w:tc>
          <w:tcPr>
            <w:tcW w:w="2248" w:type="dxa"/>
          </w:tcPr>
          <w:p w14:paraId="27427635" w14:textId="77777777" w:rsidR="00E70EE4" w:rsidRDefault="00E70EE4" w:rsidP="002E0B70">
            <w:pPr>
              <w:pStyle w:val="TableBody"/>
              <w:jc w:val="right"/>
            </w:pPr>
            <w:r w:rsidRPr="00992F70">
              <w:t>8.9%</w:t>
            </w:r>
          </w:p>
        </w:tc>
        <w:tc>
          <w:tcPr>
            <w:tcW w:w="2110" w:type="dxa"/>
          </w:tcPr>
          <w:p w14:paraId="3BBD8D72" w14:textId="77777777" w:rsidR="00E70EE4" w:rsidRDefault="00E70EE4" w:rsidP="002E0B70">
            <w:pPr>
              <w:pStyle w:val="TableBody"/>
              <w:jc w:val="right"/>
            </w:pPr>
            <w:r w:rsidRPr="000807B5">
              <w:t>8.5%</w:t>
            </w:r>
          </w:p>
        </w:tc>
        <w:tc>
          <w:tcPr>
            <w:tcW w:w="1763" w:type="dxa"/>
          </w:tcPr>
          <w:p w14:paraId="71E81F1C" w14:textId="77777777" w:rsidR="00E70EE4" w:rsidRDefault="00E70EE4" w:rsidP="002E0B70">
            <w:pPr>
              <w:pStyle w:val="TableBody"/>
              <w:jc w:val="right"/>
            </w:pPr>
            <w:r w:rsidRPr="0008036B">
              <w:t>11.9%</w:t>
            </w:r>
          </w:p>
        </w:tc>
      </w:tr>
      <w:tr w:rsidR="00E70EE4" w14:paraId="6BA7EDD7" w14:textId="77777777" w:rsidTr="002E0B70">
        <w:tc>
          <w:tcPr>
            <w:tcW w:w="2373" w:type="dxa"/>
            <w:shd w:val="clear" w:color="auto" w:fill="D9E2F3" w:themeFill="accent1" w:themeFillTint="33"/>
          </w:tcPr>
          <w:p w14:paraId="6AC4AE3F" w14:textId="77777777" w:rsidR="00E70EE4" w:rsidRDefault="00E70EE4" w:rsidP="002E0B70">
            <w:pPr>
              <w:pStyle w:val="TableBody"/>
            </w:pPr>
            <w:r w:rsidRPr="00D62E3C">
              <w:t>South Canberra</w:t>
            </w:r>
          </w:p>
        </w:tc>
        <w:tc>
          <w:tcPr>
            <w:tcW w:w="2248" w:type="dxa"/>
            <w:shd w:val="clear" w:color="auto" w:fill="D9E2F3" w:themeFill="accent1" w:themeFillTint="33"/>
          </w:tcPr>
          <w:p w14:paraId="165D9436" w14:textId="77777777" w:rsidR="00E70EE4" w:rsidRDefault="00E70EE4" w:rsidP="002E0B70">
            <w:pPr>
              <w:pStyle w:val="TableBody"/>
              <w:jc w:val="right"/>
            </w:pPr>
            <w:r w:rsidRPr="00992F70">
              <w:t>5.3%</w:t>
            </w:r>
          </w:p>
        </w:tc>
        <w:tc>
          <w:tcPr>
            <w:tcW w:w="2110" w:type="dxa"/>
            <w:shd w:val="clear" w:color="auto" w:fill="D9E2F3" w:themeFill="accent1" w:themeFillTint="33"/>
          </w:tcPr>
          <w:p w14:paraId="1F0B8FB2" w14:textId="77777777" w:rsidR="00E70EE4" w:rsidRDefault="00E70EE4" w:rsidP="002E0B70">
            <w:pPr>
              <w:pStyle w:val="TableBody"/>
              <w:jc w:val="right"/>
            </w:pPr>
            <w:r w:rsidRPr="000807B5">
              <w:t>4.4%</w:t>
            </w:r>
          </w:p>
        </w:tc>
        <w:tc>
          <w:tcPr>
            <w:tcW w:w="1763" w:type="dxa"/>
            <w:shd w:val="clear" w:color="auto" w:fill="D9E2F3" w:themeFill="accent1" w:themeFillTint="33"/>
          </w:tcPr>
          <w:p w14:paraId="19945C5C" w14:textId="77777777" w:rsidR="00E70EE4" w:rsidRDefault="00E70EE4" w:rsidP="002E0B70">
            <w:pPr>
              <w:pStyle w:val="TableBody"/>
              <w:jc w:val="right"/>
            </w:pPr>
            <w:r w:rsidRPr="0008036B">
              <w:t>7.5%</w:t>
            </w:r>
          </w:p>
        </w:tc>
      </w:tr>
      <w:tr w:rsidR="00E70EE4" w14:paraId="3388B9C3" w14:textId="77777777" w:rsidTr="002E0B70">
        <w:tc>
          <w:tcPr>
            <w:tcW w:w="2373" w:type="dxa"/>
          </w:tcPr>
          <w:p w14:paraId="245C48B1" w14:textId="77777777" w:rsidR="00E70EE4" w:rsidRDefault="00E70EE4" w:rsidP="002E0B70">
            <w:pPr>
              <w:pStyle w:val="TableBody"/>
            </w:pPr>
            <w:r w:rsidRPr="00D62E3C">
              <w:t>Tuggeranong</w:t>
            </w:r>
          </w:p>
        </w:tc>
        <w:tc>
          <w:tcPr>
            <w:tcW w:w="2248" w:type="dxa"/>
          </w:tcPr>
          <w:p w14:paraId="035D843F" w14:textId="77777777" w:rsidR="00E70EE4" w:rsidRDefault="00E70EE4" w:rsidP="002E0B70">
            <w:pPr>
              <w:pStyle w:val="TableBody"/>
              <w:jc w:val="right"/>
            </w:pPr>
            <w:r w:rsidRPr="00992F70">
              <w:t>6.4%</w:t>
            </w:r>
          </w:p>
        </w:tc>
        <w:tc>
          <w:tcPr>
            <w:tcW w:w="2110" w:type="dxa"/>
          </w:tcPr>
          <w:p w14:paraId="35A7257A" w14:textId="77777777" w:rsidR="00E70EE4" w:rsidRDefault="00E70EE4" w:rsidP="002E0B70">
            <w:pPr>
              <w:pStyle w:val="TableBody"/>
              <w:jc w:val="right"/>
            </w:pPr>
            <w:r w:rsidRPr="000807B5">
              <w:t>5.1%</w:t>
            </w:r>
          </w:p>
        </w:tc>
        <w:tc>
          <w:tcPr>
            <w:tcW w:w="1763" w:type="dxa"/>
          </w:tcPr>
          <w:p w14:paraId="685582D3" w14:textId="77777777" w:rsidR="00E70EE4" w:rsidRDefault="00E70EE4" w:rsidP="002E0B70">
            <w:pPr>
              <w:pStyle w:val="TableBody"/>
              <w:jc w:val="right"/>
            </w:pPr>
            <w:r w:rsidRPr="0008036B">
              <w:t>10.1%</w:t>
            </w:r>
          </w:p>
        </w:tc>
      </w:tr>
      <w:tr w:rsidR="00E70EE4" w14:paraId="34611594" w14:textId="77777777" w:rsidTr="009F1C2F">
        <w:tc>
          <w:tcPr>
            <w:tcW w:w="2373" w:type="dxa"/>
            <w:shd w:val="clear" w:color="auto" w:fill="D9E2F3" w:themeFill="accent1" w:themeFillTint="33"/>
          </w:tcPr>
          <w:p w14:paraId="1F4B30E7" w14:textId="77777777" w:rsidR="00E70EE4" w:rsidRDefault="00E70EE4" w:rsidP="002E0B70">
            <w:pPr>
              <w:pStyle w:val="TableBody"/>
            </w:pPr>
            <w:r w:rsidRPr="00D62E3C">
              <w:t>Weston Creek</w:t>
            </w:r>
          </w:p>
        </w:tc>
        <w:tc>
          <w:tcPr>
            <w:tcW w:w="2248" w:type="dxa"/>
            <w:shd w:val="clear" w:color="auto" w:fill="D9E2F3" w:themeFill="accent1" w:themeFillTint="33"/>
          </w:tcPr>
          <w:p w14:paraId="229FD733" w14:textId="77777777" w:rsidR="00E70EE4" w:rsidRDefault="00E70EE4" w:rsidP="002E0B70">
            <w:pPr>
              <w:pStyle w:val="TableBody"/>
              <w:jc w:val="right"/>
            </w:pPr>
            <w:r w:rsidRPr="00992F70">
              <w:t>5.6%</w:t>
            </w:r>
          </w:p>
        </w:tc>
        <w:tc>
          <w:tcPr>
            <w:tcW w:w="2110" w:type="dxa"/>
            <w:shd w:val="clear" w:color="auto" w:fill="D9E2F3" w:themeFill="accent1" w:themeFillTint="33"/>
          </w:tcPr>
          <w:p w14:paraId="690F8BBA" w14:textId="77777777" w:rsidR="00E70EE4" w:rsidRDefault="00E70EE4" w:rsidP="002E0B70">
            <w:pPr>
              <w:pStyle w:val="TableBody"/>
              <w:jc w:val="right"/>
            </w:pPr>
            <w:r w:rsidRPr="000807B5">
              <w:t>4.2%</w:t>
            </w:r>
          </w:p>
        </w:tc>
        <w:tc>
          <w:tcPr>
            <w:tcW w:w="1763" w:type="dxa"/>
            <w:shd w:val="clear" w:color="auto" w:fill="D9E2F3" w:themeFill="accent1" w:themeFillTint="33"/>
          </w:tcPr>
          <w:p w14:paraId="1470545C" w14:textId="77777777" w:rsidR="00E70EE4" w:rsidRDefault="00E70EE4" w:rsidP="002E0B70">
            <w:pPr>
              <w:pStyle w:val="TableBody"/>
              <w:jc w:val="right"/>
            </w:pPr>
            <w:r w:rsidRPr="0008036B">
              <w:t>8.3%</w:t>
            </w:r>
          </w:p>
        </w:tc>
      </w:tr>
      <w:tr w:rsidR="00E70EE4" w14:paraId="2866D41D" w14:textId="77777777" w:rsidTr="009F1C2F">
        <w:tc>
          <w:tcPr>
            <w:tcW w:w="2373" w:type="dxa"/>
            <w:tcBorders>
              <w:bottom w:val="single" w:sz="12" w:space="0" w:color="A6A6A6" w:themeColor="background1" w:themeShade="A6"/>
            </w:tcBorders>
          </w:tcPr>
          <w:p w14:paraId="0B85A589" w14:textId="77777777" w:rsidR="00E70EE4" w:rsidRPr="00D62E3C" w:rsidRDefault="00E70EE4" w:rsidP="002E0B70">
            <w:pPr>
              <w:pStyle w:val="TableBody"/>
            </w:pPr>
            <w:r>
              <w:t>Woden</w:t>
            </w:r>
          </w:p>
        </w:tc>
        <w:tc>
          <w:tcPr>
            <w:tcW w:w="2248" w:type="dxa"/>
            <w:tcBorders>
              <w:bottom w:val="single" w:sz="12" w:space="0" w:color="A6A6A6" w:themeColor="background1" w:themeShade="A6"/>
            </w:tcBorders>
          </w:tcPr>
          <w:p w14:paraId="212C3949" w14:textId="77777777" w:rsidR="00E70EE4" w:rsidRDefault="00E70EE4" w:rsidP="002E0B70">
            <w:pPr>
              <w:pStyle w:val="TableBody"/>
              <w:jc w:val="right"/>
            </w:pPr>
            <w:r w:rsidRPr="00992F70">
              <w:t>5.1%</w:t>
            </w:r>
          </w:p>
        </w:tc>
        <w:tc>
          <w:tcPr>
            <w:tcW w:w="2110" w:type="dxa"/>
            <w:tcBorders>
              <w:bottom w:val="single" w:sz="12" w:space="0" w:color="A6A6A6" w:themeColor="background1" w:themeShade="A6"/>
            </w:tcBorders>
          </w:tcPr>
          <w:p w14:paraId="389E680E" w14:textId="77777777" w:rsidR="00E70EE4" w:rsidRDefault="00E70EE4" w:rsidP="002E0B70">
            <w:pPr>
              <w:pStyle w:val="TableBody"/>
              <w:jc w:val="right"/>
            </w:pPr>
            <w:r w:rsidRPr="000807B5">
              <w:t>4.0%</w:t>
            </w:r>
          </w:p>
        </w:tc>
        <w:tc>
          <w:tcPr>
            <w:tcW w:w="1763" w:type="dxa"/>
            <w:tcBorders>
              <w:bottom w:val="single" w:sz="12" w:space="0" w:color="A6A6A6" w:themeColor="background1" w:themeShade="A6"/>
            </w:tcBorders>
          </w:tcPr>
          <w:p w14:paraId="300AC651" w14:textId="77777777" w:rsidR="00E70EE4" w:rsidRDefault="00E70EE4" w:rsidP="002E0B70">
            <w:pPr>
              <w:pStyle w:val="TableBody"/>
              <w:jc w:val="right"/>
            </w:pPr>
            <w:r w:rsidRPr="0008036B">
              <w:t>7.6%</w:t>
            </w:r>
          </w:p>
        </w:tc>
      </w:tr>
    </w:tbl>
    <w:p w14:paraId="46865738" w14:textId="22FAD936" w:rsidR="00E70EE4" w:rsidRPr="005B2863" w:rsidRDefault="00607EE3" w:rsidP="00607EE3">
      <w:pPr>
        <w:pStyle w:val="Source"/>
      </w:pPr>
      <w:r>
        <w:t xml:space="preserve">Source: </w:t>
      </w:r>
      <w:r w:rsidRPr="00607EE3">
        <w:t>B Phillips, unpublished data [email], ANU Centre for Social Research and Methods, Canberra, 13 October 2020.</w:t>
      </w:r>
    </w:p>
    <w:p w14:paraId="0C0F07CD" w14:textId="5645894C" w:rsidR="005F3D28" w:rsidRDefault="00EF17CB" w:rsidP="00672CF9">
      <w:pPr>
        <w:pStyle w:val="BodyText"/>
      </w:pPr>
      <w:r>
        <w:t>Figure 1</w:t>
      </w:r>
      <w:r w:rsidR="00D22598">
        <w:t>1</w:t>
      </w:r>
      <w:r>
        <w:t xml:space="preserve"> </w:t>
      </w:r>
      <w:r w:rsidR="001B07A8">
        <w:t>show</w:t>
      </w:r>
      <w:r w:rsidR="008837FE">
        <w:t>s</w:t>
      </w:r>
      <w:r w:rsidR="001B07A8">
        <w:t xml:space="preserve"> the rise and fall of income support payments</w:t>
      </w:r>
      <w:r w:rsidR="00BC639F">
        <w:t xml:space="preserve"> for job seekers</w:t>
      </w:r>
      <w:r w:rsidR="001B07A8">
        <w:t xml:space="preserve"> </w:t>
      </w:r>
      <w:r w:rsidR="00FE3953">
        <w:t>over the period from December 2020 to April 2021</w:t>
      </w:r>
      <w:r w:rsidR="00BC639F">
        <w:t xml:space="preserve">. </w:t>
      </w:r>
      <w:r w:rsidR="008837FE">
        <w:t>Figure 1</w:t>
      </w:r>
      <w:r w:rsidR="00D22598">
        <w:t>2</w:t>
      </w:r>
      <w:r w:rsidR="008837FE">
        <w:t xml:space="preserve"> shows the impact of these </w:t>
      </w:r>
      <w:r w:rsidR="00477951">
        <w:t>changes on the</w:t>
      </w:r>
      <w:r w:rsidR="008837FE">
        <w:t xml:space="preserve"> </w:t>
      </w:r>
      <w:r w:rsidR="002F12F6" w:rsidRPr="002F12F6">
        <w:t xml:space="preserve">poverty gap – </w:t>
      </w:r>
      <w:r w:rsidR="004A4504" w:rsidRPr="002F12F6">
        <w:t>i.e.</w:t>
      </w:r>
      <w:r w:rsidR="002F12F6" w:rsidRPr="002F12F6">
        <w:t xml:space="preserve"> the difference between income and the poverty line</w:t>
      </w:r>
      <w:r w:rsidR="00477951">
        <w:t xml:space="preserve">. </w:t>
      </w:r>
      <w:r w:rsidR="009040DA">
        <w:t xml:space="preserve">Before the introduction of the Coronavirus Supplement, </w:t>
      </w:r>
      <w:r w:rsidR="002F12F6" w:rsidRPr="002F12F6">
        <w:t xml:space="preserve">JobSeeker and Youth Allowance </w:t>
      </w:r>
      <w:r w:rsidR="009040DA">
        <w:t xml:space="preserve">payments were </w:t>
      </w:r>
      <w:r w:rsidR="00FE3953">
        <w:t xml:space="preserve">both </w:t>
      </w:r>
      <w:r w:rsidR="009040DA">
        <w:t>well below the poverty line</w:t>
      </w:r>
      <w:r w:rsidR="002F12F6" w:rsidRPr="002F12F6">
        <w:t>.</w:t>
      </w:r>
      <w:r w:rsidR="007C4B00">
        <w:t xml:space="preserve"> </w:t>
      </w:r>
      <w:r w:rsidR="002F12F6" w:rsidRPr="002F12F6">
        <w:t>The $550</w:t>
      </w:r>
      <w:r w:rsidR="007C4B00">
        <w:t xml:space="preserve"> per fortnight</w:t>
      </w:r>
      <w:r w:rsidR="002F12F6" w:rsidRPr="002F12F6">
        <w:t xml:space="preserve"> Coronavirus Supplement erased the poverty gap, </w:t>
      </w:r>
      <w:r w:rsidR="00BF048D">
        <w:t>temporarily lifting</w:t>
      </w:r>
      <w:r w:rsidR="002F12F6" w:rsidRPr="002F12F6">
        <w:t xml:space="preserve"> incomes to levels above the poverty </w:t>
      </w:r>
      <w:r w:rsidR="00D16FF0">
        <w:t>line</w:t>
      </w:r>
      <w:r w:rsidR="002F12F6" w:rsidRPr="002F12F6">
        <w:t xml:space="preserve">. </w:t>
      </w:r>
      <w:r w:rsidR="00697AD0">
        <w:t>Gradual r</w:t>
      </w:r>
      <w:r w:rsidR="00B513BC">
        <w:t xml:space="preserve">eductions in the Coronavirus Supplement saw the poverty gap return and </w:t>
      </w:r>
      <w:r w:rsidR="00D054BE">
        <w:t xml:space="preserve">grow. The </w:t>
      </w:r>
      <w:r w:rsidR="005B6F96">
        <w:t>removal of the Coronavirus Supplement and the $50 per fortnight increase to the base rate</w:t>
      </w:r>
      <w:r w:rsidR="00F92948">
        <w:t xml:space="preserve"> from 1 April 2021</w:t>
      </w:r>
      <w:r w:rsidR="005B6F96">
        <w:t xml:space="preserve"> – the first real increase in</w:t>
      </w:r>
      <w:r w:rsidR="00F92948">
        <w:t xml:space="preserve"> these payment rates in</w:t>
      </w:r>
      <w:r w:rsidR="005B6F96">
        <w:t xml:space="preserve"> over 25 years </w:t>
      </w:r>
      <w:r w:rsidR="00FC7E07">
        <w:t>–</w:t>
      </w:r>
      <w:r w:rsidR="005B6F96">
        <w:t xml:space="preserve"> </w:t>
      </w:r>
      <w:r w:rsidR="00D054BE">
        <w:t xml:space="preserve">saw </w:t>
      </w:r>
      <w:r w:rsidR="001C0256">
        <w:t>these income support payments</w:t>
      </w:r>
      <w:r w:rsidR="00FC7E07">
        <w:t xml:space="preserve"> return </w:t>
      </w:r>
      <w:r w:rsidR="003F0E44">
        <w:t xml:space="preserve">to levels </w:t>
      </w:r>
      <w:r w:rsidR="00A8298B">
        <w:t>between $100 to $200 per week below</w:t>
      </w:r>
      <w:r w:rsidR="00D16FF0">
        <w:t xml:space="preserve"> the poverty line.</w:t>
      </w:r>
    </w:p>
    <w:p w14:paraId="3BB3DF11" w14:textId="665AC09A" w:rsidR="00B01186" w:rsidRDefault="00B01186" w:rsidP="00BC666D">
      <w:pPr>
        <w:pStyle w:val="Figuretabletitle"/>
      </w:pPr>
      <w:r>
        <w:t>Figure 1</w:t>
      </w:r>
      <w:r w:rsidR="006C08BF">
        <w:t>1</w:t>
      </w:r>
      <w:r w:rsidR="00BC666D">
        <w:t xml:space="preserve"> </w:t>
      </w:r>
      <w:r w:rsidR="00BC666D" w:rsidRPr="00BC666D">
        <w:t>Changes in income support payments</w:t>
      </w:r>
      <w:r w:rsidR="00462CB5">
        <w:t xml:space="preserve"> compared to poverty lines</w:t>
      </w:r>
      <w:r w:rsidR="00BC666D">
        <w:t xml:space="preserve">, </w:t>
      </w:r>
      <w:r w:rsidR="005A25AB">
        <w:t>Dec</w:t>
      </w:r>
      <w:r w:rsidR="005455B0">
        <w:t>ember</w:t>
      </w:r>
      <w:r w:rsidR="005A25AB">
        <w:t xml:space="preserve"> 2020 – April 2021</w:t>
      </w:r>
    </w:p>
    <w:p w14:paraId="233BD343" w14:textId="19A31965" w:rsidR="00BF35F9" w:rsidRDefault="00BF35F9" w:rsidP="00511181">
      <w:pPr>
        <w:pStyle w:val="Image"/>
      </w:pPr>
      <w:r>
        <w:rPr>
          <w:noProof/>
        </w:rPr>
        <w:drawing>
          <wp:inline distT="0" distB="0" distL="0" distR="0" wp14:anchorId="2111F762" wp14:editId="4539085D">
            <wp:extent cx="5400040" cy="3743960"/>
            <wp:effectExtent l="0" t="0" r="0" b="889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3743960"/>
                    </a:xfrm>
                    <a:prstGeom prst="rect">
                      <a:avLst/>
                    </a:prstGeom>
                  </pic:spPr>
                </pic:pic>
              </a:graphicData>
            </a:graphic>
          </wp:inline>
        </w:drawing>
      </w:r>
    </w:p>
    <w:p w14:paraId="58D403A0" w14:textId="5D19B43A" w:rsidR="00511181" w:rsidRDefault="00511181" w:rsidP="00511181">
      <w:pPr>
        <w:pStyle w:val="Source"/>
      </w:pPr>
      <w:r>
        <w:t xml:space="preserve">Source: </w:t>
      </w:r>
      <w:r w:rsidRPr="00511181">
        <w:t xml:space="preserve">Chart derived from Services Australia, </w:t>
      </w:r>
      <w:hyperlink r:id="rId41" w:history="1">
        <w:r w:rsidRPr="00511181">
          <w:rPr>
            <w:rStyle w:val="Hyperlink"/>
            <w:i/>
            <w:iCs/>
          </w:rPr>
          <w:t>A guide to Australian Government payments</w:t>
        </w:r>
      </w:hyperlink>
      <w:r w:rsidRPr="00511181">
        <w:t xml:space="preserve">, </w:t>
      </w:r>
      <w:r w:rsidR="002F7655">
        <w:t>Historical version</w:t>
      </w:r>
      <w:r w:rsidR="0074055D">
        <w:t>s</w:t>
      </w:r>
      <w:r w:rsidR="002F7655">
        <w:t xml:space="preserve"> from </w:t>
      </w:r>
      <w:r w:rsidRPr="00511181">
        <w:t>20 September – 31 December 2019 to 1 April – 30 June 2021, Services Australia, Canberra, 2019-21, accessed 13 July 2021.</w:t>
      </w:r>
    </w:p>
    <w:p w14:paraId="588E4008" w14:textId="2F54CC00" w:rsidR="005A25AB" w:rsidRDefault="005A25AB" w:rsidP="00722736">
      <w:pPr>
        <w:pStyle w:val="Figuretabletitle"/>
      </w:pPr>
      <w:r>
        <w:t>Figure 1</w:t>
      </w:r>
      <w:r w:rsidR="006C08BF">
        <w:t>2</w:t>
      </w:r>
      <w:r w:rsidR="00722736" w:rsidRPr="00722736">
        <w:t xml:space="preserve"> Poverty gap for JobSeeker and Youth Allowance recipients</w:t>
      </w:r>
      <w:r w:rsidR="00722736">
        <w:t>, Dec</w:t>
      </w:r>
      <w:r w:rsidR="005455B0">
        <w:t>ember</w:t>
      </w:r>
      <w:r w:rsidR="00722736">
        <w:t xml:space="preserve"> 2020 – April 2021</w:t>
      </w:r>
    </w:p>
    <w:p w14:paraId="270A8ABC" w14:textId="2500324A" w:rsidR="001E3C8E" w:rsidRDefault="00C65BFA" w:rsidP="0074055D">
      <w:pPr>
        <w:pStyle w:val="Image"/>
      </w:pPr>
      <w:r>
        <w:rPr>
          <w:noProof/>
        </w:rPr>
        <w:drawing>
          <wp:inline distT="0" distB="0" distL="0" distR="0" wp14:anchorId="13960119" wp14:editId="1359962A">
            <wp:extent cx="5400040" cy="3317240"/>
            <wp:effectExtent l="0" t="0" r="0" b="0"/>
            <wp:docPr id="30" name="Picture 3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waterfall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3317240"/>
                    </a:xfrm>
                    <a:prstGeom prst="rect">
                      <a:avLst/>
                    </a:prstGeom>
                  </pic:spPr>
                </pic:pic>
              </a:graphicData>
            </a:graphic>
          </wp:inline>
        </w:drawing>
      </w:r>
    </w:p>
    <w:p w14:paraId="55FCF6F3" w14:textId="38C587E6" w:rsidR="001C0256" w:rsidRDefault="0074055D" w:rsidP="00004DD2">
      <w:pPr>
        <w:pStyle w:val="Source"/>
      </w:pPr>
      <w:r>
        <w:t xml:space="preserve">Source: </w:t>
      </w:r>
      <w:r w:rsidR="00004DD2" w:rsidRPr="00004DD2">
        <w:t xml:space="preserve">Chart derived from Services Australia, </w:t>
      </w:r>
      <w:hyperlink r:id="rId43" w:history="1">
        <w:r w:rsidR="00004DD2" w:rsidRPr="00004DD2">
          <w:rPr>
            <w:rStyle w:val="Hyperlink"/>
            <w:i/>
            <w:iCs/>
          </w:rPr>
          <w:t>A guide to Australian Government payments</w:t>
        </w:r>
      </w:hyperlink>
      <w:r w:rsidR="00004DD2" w:rsidRPr="00004DD2">
        <w:t>, Historical versions from 20 September – 31 December 2019 to 1 April – 30 June 2021, Services Australia, Canberra, 2019-21, accessed 13 July 2021.</w:t>
      </w:r>
    </w:p>
    <w:p w14:paraId="7C6B8CA5" w14:textId="310778F3" w:rsidR="003C7693" w:rsidRDefault="0092005C" w:rsidP="00D4713D">
      <w:pPr>
        <w:pStyle w:val="BodyText"/>
      </w:pPr>
      <w:r>
        <w:t xml:space="preserve">JobSeeker and Youth Allowance </w:t>
      </w:r>
      <w:r w:rsidR="00601976">
        <w:t xml:space="preserve">payments </w:t>
      </w:r>
      <w:r>
        <w:t xml:space="preserve">are indexed twice a year in line with changes in the CPI. </w:t>
      </w:r>
      <w:r w:rsidR="00D4713D">
        <w:t xml:space="preserve">However, </w:t>
      </w:r>
      <w:r w:rsidR="00D84259">
        <w:t xml:space="preserve">as indicated by the ABS’s non-discretionary </w:t>
      </w:r>
      <w:r w:rsidR="008E56E0">
        <w:t xml:space="preserve">price index and the SLCI, </w:t>
      </w:r>
      <w:r w:rsidR="00AB4649">
        <w:t xml:space="preserve">CPI indexation </w:t>
      </w:r>
      <w:r w:rsidR="00016B41">
        <w:t>is inadequate to keep up with cost of living for these households</w:t>
      </w:r>
      <w:r w:rsidR="00D4713D">
        <w:t>.</w:t>
      </w:r>
      <w:r w:rsidR="005622B6">
        <w:t xml:space="preserve"> As shown in Figures 1</w:t>
      </w:r>
      <w:r w:rsidR="00D22598">
        <w:t>3</w:t>
      </w:r>
      <w:r w:rsidR="005622B6">
        <w:t xml:space="preserve"> and 1</w:t>
      </w:r>
      <w:r w:rsidR="00D22598">
        <w:t>4</w:t>
      </w:r>
      <w:r w:rsidR="005622B6">
        <w:t>, t</w:t>
      </w:r>
      <w:r w:rsidR="005C3984">
        <w:t xml:space="preserve">he </w:t>
      </w:r>
      <w:r w:rsidR="005622B6">
        <w:t xml:space="preserve">$50 per fortnight increase from 1 April 2021 has seen </w:t>
      </w:r>
      <w:r w:rsidR="008455E1">
        <w:t>payments increase</w:t>
      </w:r>
      <w:r w:rsidR="00563552">
        <w:t xml:space="preserve"> at a rate above the increase in living costs over the past 12 months. However, </w:t>
      </w:r>
      <w:r w:rsidR="007B490E">
        <w:t>this 8.</w:t>
      </w:r>
      <w:r w:rsidR="00397860">
        <w:t>9% increase</w:t>
      </w:r>
      <w:r w:rsidR="00563552">
        <w:t xml:space="preserve"> </w:t>
      </w:r>
      <w:r w:rsidR="001945DD">
        <w:t xml:space="preserve">in JobSeeker </w:t>
      </w:r>
      <w:r w:rsidR="00AC6F58">
        <w:t>fall</w:t>
      </w:r>
      <w:r w:rsidR="006F6414">
        <w:t>s</w:t>
      </w:r>
      <w:r w:rsidR="00AC6F58">
        <w:t xml:space="preserve"> </w:t>
      </w:r>
      <w:r w:rsidR="00E40A83">
        <w:t>short of addressing the gap</w:t>
      </w:r>
      <w:r w:rsidR="0092288A">
        <w:t xml:space="preserve"> between </w:t>
      </w:r>
      <w:r w:rsidR="006F6414">
        <w:t xml:space="preserve">these </w:t>
      </w:r>
      <w:r w:rsidR="0092288A">
        <w:t xml:space="preserve">payments and </w:t>
      </w:r>
      <w:r w:rsidR="008B6A23">
        <w:t>living costs</w:t>
      </w:r>
      <w:r w:rsidR="00E40A83">
        <w:t xml:space="preserve"> that ha</w:t>
      </w:r>
      <w:r w:rsidR="006F6414">
        <w:t>s</w:t>
      </w:r>
      <w:r w:rsidR="00E40A83">
        <w:t xml:space="preserve"> grown</w:t>
      </w:r>
      <w:r w:rsidR="00263D49">
        <w:t xml:space="preserve"> significantly</w:t>
      </w:r>
      <w:r w:rsidR="00E40A83">
        <w:t xml:space="preserve"> </w:t>
      </w:r>
      <w:r w:rsidR="008B6A23">
        <w:t xml:space="preserve">for </w:t>
      </w:r>
      <w:r w:rsidR="0092288A">
        <w:t xml:space="preserve">over </w:t>
      </w:r>
      <w:r w:rsidR="008B6A23">
        <w:t>a quarter of a century</w:t>
      </w:r>
      <w:r w:rsidR="00617181">
        <w:t xml:space="preserve">. Figure 15 shows that living costs for </w:t>
      </w:r>
      <w:r w:rsidR="00072AD9">
        <w:t xml:space="preserve">JobSeeker households have increased </w:t>
      </w:r>
      <w:r w:rsidR="001945DD">
        <w:t>9.8%</w:t>
      </w:r>
      <w:r w:rsidR="00072AD9">
        <w:t xml:space="preserve"> above that for </w:t>
      </w:r>
      <w:r w:rsidR="00F727BA">
        <w:t>the general population since the SLCI was introduced in 1998</w:t>
      </w:r>
      <w:r w:rsidR="00DC0606">
        <w:t>.</w:t>
      </w:r>
      <w:r w:rsidR="001945DD">
        <w:t xml:space="preserve"> </w:t>
      </w:r>
      <w:r w:rsidR="002A365F">
        <w:t xml:space="preserve">Analysis by the South </w:t>
      </w:r>
      <w:r w:rsidR="003C7693">
        <w:t>Australian Council of Social Service (SACOSS)</w:t>
      </w:r>
      <w:r w:rsidR="00BB6B0F">
        <w:t xml:space="preserve"> has </w:t>
      </w:r>
      <w:r w:rsidR="003C7693">
        <w:t>found that:</w:t>
      </w:r>
    </w:p>
    <w:p w14:paraId="1BF6A2D0" w14:textId="347180E5" w:rsidR="001C0256" w:rsidRDefault="00A536BA" w:rsidP="00D80255">
      <w:pPr>
        <w:pStyle w:val="BlockText"/>
      </w:pPr>
      <w:r>
        <w:t xml:space="preserve">The government’s $25 a week increase in JobSeeker is only a $14 a week increase in real terms on the rate applying </w:t>
      </w:r>
      <w:r w:rsidR="00AC6F58" w:rsidRPr="00AC6F58">
        <w:t xml:space="preserve">[since the SLCI was introduced] </w:t>
      </w:r>
      <w:r>
        <w:t>23 years ago (which itself was grossly inadequate)</w:t>
      </w:r>
      <w:r w:rsidR="00647A1C">
        <w:t xml:space="preserve"> … </w:t>
      </w:r>
      <w:r w:rsidR="00785933">
        <w:t>[In]</w:t>
      </w:r>
      <w:r>
        <w:t xml:space="preserve"> real terms the minimum wage has increased by 15% in the same period.</w:t>
      </w:r>
      <w:r w:rsidR="00D80255">
        <w:t xml:space="preserve"> Consequently, even with the latest increase, those who are unemployed are still being left further behind the working population.</w:t>
      </w:r>
      <w:r w:rsidR="00D80255">
        <w:rPr>
          <w:rStyle w:val="FootnoteReference"/>
        </w:rPr>
        <w:footnoteReference w:id="39"/>
      </w:r>
    </w:p>
    <w:p w14:paraId="1E803C73" w14:textId="1FE515D6" w:rsidR="00874237" w:rsidRDefault="001F0D44" w:rsidP="00533F5D">
      <w:pPr>
        <w:pStyle w:val="BodyText"/>
      </w:pPr>
      <w:r>
        <w:t xml:space="preserve">A </w:t>
      </w:r>
      <w:r w:rsidR="0016612A">
        <w:t xml:space="preserve">UNSW </w:t>
      </w:r>
      <w:r>
        <w:t xml:space="preserve">Sydney </w:t>
      </w:r>
      <w:r w:rsidR="0016612A">
        <w:t xml:space="preserve">analysis of healthy living budget standards </w:t>
      </w:r>
      <w:r w:rsidR="00BB3D0F">
        <w:t xml:space="preserve">had found that the previous </w:t>
      </w:r>
      <w:r w:rsidR="00EF1CCA">
        <w:t xml:space="preserve">weekly </w:t>
      </w:r>
      <w:r w:rsidR="00BB3D0F">
        <w:t xml:space="preserve">rate of </w:t>
      </w:r>
      <w:r w:rsidR="00EF1CCA">
        <w:t xml:space="preserve">unemployment benefit for a single person fell $96 short of </w:t>
      </w:r>
      <w:r w:rsidR="005368EF">
        <w:t xml:space="preserve">the income needed to lead </w:t>
      </w:r>
      <w:r w:rsidR="00BF462E">
        <w:t>a healthy life.</w:t>
      </w:r>
      <w:r w:rsidR="00811DC4">
        <w:rPr>
          <w:rStyle w:val="FootnoteReference"/>
        </w:rPr>
        <w:footnoteReference w:id="40"/>
      </w:r>
      <w:r w:rsidR="00FA2260">
        <w:t xml:space="preserve"> A $25 </w:t>
      </w:r>
      <w:r w:rsidR="00B83560">
        <w:t xml:space="preserve">a week increase </w:t>
      </w:r>
      <w:r w:rsidR="005D2E1A">
        <w:t xml:space="preserve">clearly </w:t>
      </w:r>
      <w:r w:rsidR="00811DC4">
        <w:t xml:space="preserve">falls well short of this, leaving </w:t>
      </w:r>
      <w:r w:rsidR="00B83560">
        <w:t xml:space="preserve">people </w:t>
      </w:r>
      <w:r w:rsidR="00533F5D">
        <w:t xml:space="preserve">with an income well below </w:t>
      </w:r>
      <w:r w:rsidR="00811DC4">
        <w:t xml:space="preserve">what they need </w:t>
      </w:r>
      <w:r w:rsidR="00533F5D">
        <w:t>‘to achieve levels of consumption (of food, clothing, medications, transportation, personal care, and so on) and participation (in lifestyle, exercise and social activities) that are consistent with healthy living’.</w:t>
      </w:r>
      <w:r w:rsidR="007C57BE">
        <w:rPr>
          <w:rStyle w:val="FootnoteReference"/>
        </w:rPr>
        <w:footnoteReference w:id="41"/>
      </w:r>
    </w:p>
    <w:p w14:paraId="4645320E" w14:textId="77777777" w:rsidR="00770F98" w:rsidRDefault="00770F98" w:rsidP="00770F98">
      <w:pPr>
        <w:pStyle w:val="BodyText"/>
      </w:pPr>
    </w:p>
    <w:p w14:paraId="1E90A99F" w14:textId="34344A49" w:rsidR="0086347D" w:rsidRDefault="002507BA" w:rsidP="0099564A">
      <w:pPr>
        <w:pStyle w:val="Figuretabletitle"/>
      </w:pPr>
      <w:r>
        <w:t>Figure 1</w:t>
      </w:r>
      <w:r w:rsidR="006C08BF">
        <w:t>3</w:t>
      </w:r>
      <w:r w:rsidR="0099564A">
        <w:t xml:space="preserve"> </w:t>
      </w:r>
      <w:r w:rsidR="0099564A" w:rsidRPr="0099564A">
        <w:t xml:space="preserve">Change in weekly income by income source, </w:t>
      </w:r>
      <w:r w:rsidR="000B4C7D">
        <w:t>April 2020</w:t>
      </w:r>
      <w:r w:rsidR="0099564A" w:rsidRPr="0099564A">
        <w:t xml:space="preserve"> to </w:t>
      </w:r>
      <w:r w:rsidR="000B4C7D">
        <w:t>April 2021</w:t>
      </w:r>
    </w:p>
    <w:p w14:paraId="210690F2" w14:textId="6E3339C9" w:rsidR="00ED38F0" w:rsidRDefault="008A7E3E" w:rsidP="001F0D44">
      <w:pPr>
        <w:pStyle w:val="Image"/>
      </w:pPr>
      <w:r>
        <w:rPr>
          <w:noProof/>
        </w:rPr>
        <w:drawing>
          <wp:inline distT="0" distB="0" distL="0" distR="0" wp14:anchorId="3E3CCAA2" wp14:editId="061E8AB7">
            <wp:extent cx="5400040" cy="3422015"/>
            <wp:effectExtent l="0" t="0" r="0" b="6985"/>
            <wp:docPr id="25" name="Picture 2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waterfall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422015"/>
                    </a:xfrm>
                    <a:prstGeom prst="rect">
                      <a:avLst/>
                    </a:prstGeom>
                  </pic:spPr>
                </pic:pic>
              </a:graphicData>
            </a:graphic>
          </wp:inline>
        </w:drawing>
      </w:r>
    </w:p>
    <w:p w14:paraId="6876A25A" w14:textId="45ABD5C9" w:rsidR="001C0256" w:rsidRDefault="001F0D44" w:rsidP="002E041F">
      <w:pPr>
        <w:pStyle w:val="Source"/>
      </w:pPr>
      <w:r>
        <w:t xml:space="preserve">Source: </w:t>
      </w:r>
      <w:r w:rsidRPr="001F0D44">
        <w:t xml:space="preserve">Chart derived from Services Australia, </w:t>
      </w:r>
      <w:hyperlink r:id="rId45" w:history="1">
        <w:r w:rsidRPr="001F0D44">
          <w:rPr>
            <w:rStyle w:val="Hyperlink"/>
            <w:i/>
            <w:iCs/>
          </w:rPr>
          <w:t>A guide to Australian Government payments</w:t>
        </w:r>
      </w:hyperlink>
      <w:r w:rsidRPr="001F0D44">
        <w:t xml:space="preserve">, </w:t>
      </w:r>
      <w:r>
        <w:t xml:space="preserve">Historical versions from </w:t>
      </w:r>
      <w:r w:rsidRPr="001F0D44">
        <w:t xml:space="preserve">20 March – 30 June 2020 to 1 April – 30 June 2021, Services Australia, Canberra, 2020-21, accessed 13 July 2021; Fair Work Commission, </w:t>
      </w:r>
      <w:hyperlink r:id="rId46" w:history="1">
        <w:r w:rsidRPr="001F0D44">
          <w:rPr>
            <w:rStyle w:val="Hyperlink"/>
            <w:i/>
            <w:iCs/>
          </w:rPr>
          <w:t>National Minimum Wage Order 2019</w:t>
        </w:r>
      </w:hyperlink>
      <w:r w:rsidRPr="001F0D44">
        <w:t xml:space="preserve">, Fair Work Commission, Melbourne, 2019; Fair Work Commission, </w:t>
      </w:r>
      <w:hyperlink r:id="rId47" w:history="1">
        <w:r w:rsidRPr="001F0D44">
          <w:rPr>
            <w:rStyle w:val="Hyperlink"/>
            <w:i/>
            <w:iCs/>
          </w:rPr>
          <w:t>National Minimum Wage Order 2020</w:t>
        </w:r>
      </w:hyperlink>
      <w:r w:rsidRPr="001F0D44">
        <w:t xml:space="preserve">, Fair Work Commission, Melbourne, 2020; ABS, </w:t>
      </w:r>
      <w:hyperlink r:id="rId48" w:history="1">
        <w:r w:rsidRPr="001F0D44">
          <w:rPr>
            <w:rStyle w:val="Hyperlink"/>
            <w:i/>
            <w:iCs/>
          </w:rPr>
          <w:t>Average Weekly Earnings, Australia</w:t>
        </w:r>
      </w:hyperlink>
      <w:r w:rsidRPr="001F0D44">
        <w:t>, Nov 2019 &amp; Nov 2020, ABS, Canberra, 20</w:t>
      </w:r>
      <w:r w:rsidR="002E041F">
        <w:t>20</w:t>
      </w:r>
      <w:r w:rsidR="003E1E19">
        <w:t>-21</w:t>
      </w:r>
      <w:r w:rsidRPr="001F0D44">
        <w:t>, accessed 13 July 2021.</w:t>
      </w:r>
    </w:p>
    <w:p w14:paraId="58295264" w14:textId="4655F9A3" w:rsidR="0099564A" w:rsidRDefault="0099564A" w:rsidP="000B4C7D">
      <w:pPr>
        <w:pStyle w:val="Figuretabletitle"/>
      </w:pPr>
      <w:r>
        <w:t>Figure 1</w:t>
      </w:r>
      <w:r w:rsidR="006C08BF">
        <w:t>4</w:t>
      </w:r>
      <w:r>
        <w:t xml:space="preserve"> </w:t>
      </w:r>
      <w:r w:rsidR="000B4C7D" w:rsidRPr="000B4C7D">
        <w:t xml:space="preserve">Change in weekly income vs change in living cost, </w:t>
      </w:r>
      <w:r w:rsidR="000B4C7D">
        <w:t>April 2020 to April 2021</w:t>
      </w:r>
    </w:p>
    <w:p w14:paraId="2B7BBC11" w14:textId="797183FF" w:rsidR="00A964D2" w:rsidRDefault="00A964D2" w:rsidP="00C359A6">
      <w:pPr>
        <w:pStyle w:val="Image"/>
      </w:pPr>
      <w:r>
        <w:rPr>
          <w:noProof/>
        </w:rPr>
        <w:drawing>
          <wp:inline distT="0" distB="0" distL="0" distR="0" wp14:anchorId="12E1B497" wp14:editId="45E6B7F8">
            <wp:extent cx="5400040" cy="3242310"/>
            <wp:effectExtent l="0" t="0" r="0" b="0"/>
            <wp:docPr id="26" name="Picture 2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waterfall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3242310"/>
                    </a:xfrm>
                    <a:prstGeom prst="rect">
                      <a:avLst/>
                    </a:prstGeom>
                  </pic:spPr>
                </pic:pic>
              </a:graphicData>
            </a:graphic>
          </wp:inline>
        </w:drawing>
      </w:r>
    </w:p>
    <w:p w14:paraId="24A5AE53" w14:textId="1442A8F5" w:rsidR="00C359A6" w:rsidRDefault="00C359A6" w:rsidP="00C359A6">
      <w:pPr>
        <w:pStyle w:val="Source"/>
      </w:pPr>
      <w:r>
        <w:t xml:space="preserve">Source: </w:t>
      </w:r>
      <w:r w:rsidRPr="00C359A6">
        <w:t xml:space="preserve">Chart derived from ABS, </w:t>
      </w:r>
      <w:hyperlink r:id="rId50" w:history="1">
        <w:r w:rsidRPr="00C359A6">
          <w:rPr>
            <w:rStyle w:val="Hyperlink"/>
            <w:i/>
            <w:iCs/>
          </w:rPr>
          <w:t>Selected Living Cost Indexes, Australia</w:t>
        </w:r>
      </w:hyperlink>
      <w:r w:rsidRPr="00C359A6">
        <w:t>,</w:t>
      </w:r>
      <w:r w:rsidR="00906E0C">
        <w:t xml:space="preserve"> Reference period March 2021,</w:t>
      </w:r>
      <w:r w:rsidRPr="00C359A6">
        <w:t xml:space="preserve"> ABS website, 2021; Services Australia, </w:t>
      </w:r>
      <w:hyperlink r:id="rId51" w:history="1">
        <w:r w:rsidRPr="00C359A6">
          <w:rPr>
            <w:rStyle w:val="Hyperlink"/>
            <w:i/>
            <w:iCs/>
          </w:rPr>
          <w:t>A guide to Australian Government payments</w:t>
        </w:r>
      </w:hyperlink>
      <w:r w:rsidRPr="00C359A6">
        <w:t xml:space="preserve">, </w:t>
      </w:r>
      <w:r w:rsidR="00906E0C">
        <w:t xml:space="preserve">Historical versions from </w:t>
      </w:r>
      <w:r w:rsidRPr="00C359A6">
        <w:t xml:space="preserve">20 March – 30 June 2020 to 1 April – 30 June 2021, Services Australia, Canberra, 2020-21, accessed 13 July 2021; Fair Work Commission, </w:t>
      </w:r>
      <w:hyperlink r:id="rId52" w:history="1">
        <w:r w:rsidRPr="00C359A6">
          <w:rPr>
            <w:rStyle w:val="Hyperlink"/>
            <w:i/>
            <w:iCs/>
          </w:rPr>
          <w:t>National Minimum Wage Order 2019</w:t>
        </w:r>
      </w:hyperlink>
      <w:r w:rsidRPr="00C359A6">
        <w:t xml:space="preserve">, Fair Work Commission, Melbourne, 2019; Fair Work Commission, </w:t>
      </w:r>
      <w:hyperlink r:id="rId53" w:history="1">
        <w:r w:rsidRPr="00C359A6">
          <w:rPr>
            <w:rStyle w:val="Hyperlink"/>
            <w:i/>
            <w:iCs/>
          </w:rPr>
          <w:t>National Minimum Wage Order 2020</w:t>
        </w:r>
      </w:hyperlink>
      <w:r w:rsidRPr="00C359A6">
        <w:t xml:space="preserve">, Fair Work Commission, Melbourne, 2020; ABS, </w:t>
      </w:r>
      <w:hyperlink r:id="rId54" w:history="1">
        <w:r w:rsidRPr="00C359A6">
          <w:rPr>
            <w:rStyle w:val="Hyperlink"/>
            <w:i/>
            <w:iCs/>
          </w:rPr>
          <w:t>Average Weekly Earnings, Australia</w:t>
        </w:r>
      </w:hyperlink>
      <w:r w:rsidRPr="00C359A6">
        <w:t>, Nov 2019 &amp; Nov 2020, ABS, Canberra, 20</w:t>
      </w:r>
      <w:r w:rsidR="00906E0C">
        <w:t>20-21</w:t>
      </w:r>
      <w:r w:rsidRPr="00C359A6">
        <w:t>, accessed 13 July 2021.</w:t>
      </w:r>
    </w:p>
    <w:p w14:paraId="33DCFE5A" w14:textId="4EFDB5F0" w:rsidR="00F727BA" w:rsidRDefault="00F727BA" w:rsidP="00B81497">
      <w:pPr>
        <w:pStyle w:val="Figuretabletitle"/>
      </w:pPr>
      <w:r>
        <w:t xml:space="preserve">Figure 15 </w:t>
      </w:r>
      <w:r w:rsidR="00D44EBE">
        <w:t>Change in SLCI</w:t>
      </w:r>
      <w:r w:rsidR="002D5C36">
        <w:t xml:space="preserve"> (Other government transfer recipient</w:t>
      </w:r>
      <w:r w:rsidR="00003F45">
        <w:t xml:space="preserve"> households</w:t>
      </w:r>
      <w:r w:rsidR="002D5C36">
        <w:t>) and CPI</w:t>
      </w:r>
      <w:r w:rsidR="00D44EBE">
        <w:t xml:space="preserve">, Australia, </w:t>
      </w:r>
      <w:r w:rsidR="00B81497">
        <w:t xml:space="preserve">June </w:t>
      </w:r>
      <w:r w:rsidR="00D44EBE">
        <w:t>199</w:t>
      </w:r>
      <w:r w:rsidR="00B81497">
        <w:t>8 – December 2020</w:t>
      </w:r>
    </w:p>
    <w:p w14:paraId="66DBF9C6" w14:textId="3CCBC7DF" w:rsidR="009016DD" w:rsidRDefault="009016DD" w:rsidP="000E0F10">
      <w:pPr>
        <w:pStyle w:val="Image"/>
      </w:pPr>
      <w:r>
        <w:rPr>
          <w:noProof/>
        </w:rPr>
        <w:drawing>
          <wp:inline distT="0" distB="0" distL="0" distR="0" wp14:anchorId="70BF9A57" wp14:editId="437FE70D">
            <wp:extent cx="5400040" cy="4225925"/>
            <wp:effectExtent l="0" t="0" r="0" b="317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4225925"/>
                    </a:xfrm>
                    <a:prstGeom prst="rect">
                      <a:avLst/>
                    </a:prstGeom>
                  </pic:spPr>
                </pic:pic>
              </a:graphicData>
            </a:graphic>
          </wp:inline>
        </w:drawing>
      </w:r>
    </w:p>
    <w:p w14:paraId="36D4E356" w14:textId="0A0DA04E" w:rsidR="000E0F10" w:rsidRDefault="000E0F10" w:rsidP="000E0F10">
      <w:pPr>
        <w:pStyle w:val="Source"/>
      </w:pPr>
      <w:r>
        <w:t xml:space="preserve">Source: </w:t>
      </w:r>
      <w:r w:rsidR="00FA764A" w:rsidRPr="00FA764A">
        <w:t xml:space="preserve">ABS, ‘Key statistics’ [percentage change in CPI and SLCI, Dec Qtr 2019 to Dec Qtr 2020], </w:t>
      </w:r>
      <w:hyperlink r:id="rId56" w:history="1">
        <w:r w:rsidR="00FA764A" w:rsidRPr="001E7F4F">
          <w:rPr>
            <w:rStyle w:val="Hyperlink"/>
          </w:rPr>
          <w:t>Selected Living Cost Indexes, Australia</w:t>
        </w:r>
      </w:hyperlink>
      <w:r w:rsidR="00FA764A" w:rsidRPr="00FA764A">
        <w:t>, Reference period December 2020, ABS, 2021, accessed 13 July 2021</w:t>
      </w:r>
      <w:r w:rsidR="00DC3F96">
        <w:t xml:space="preserve">; </w:t>
      </w:r>
      <w:r w:rsidR="00391439" w:rsidRPr="00391439">
        <w:t xml:space="preserve">ABS, ‘Table 11. CPI: Group, Sub-group and Expenditure Class, Percentage change from previous quarter by Capital City’ [time series spreadsheets], </w:t>
      </w:r>
      <w:hyperlink r:id="rId57" w:history="1">
        <w:r w:rsidR="00391439" w:rsidRPr="009774EC">
          <w:rPr>
            <w:rStyle w:val="Hyperlink"/>
          </w:rPr>
          <w:t>Consumer Price Index, Australia</w:t>
        </w:r>
      </w:hyperlink>
      <w:r w:rsidR="00391439" w:rsidRPr="00391439">
        <w:t>, Reference period December 2020, ABS, 2021, accessed 8 July 2021.</w:t>
      </w:r>
    </w:p>
    <w:p w14:paraId="65D5A8F5" w14:textId="5A6D72E1" w:rsidR="00574D79" w:rsidRDefault="00AF6F1B" w:rsidP="00574D79">
      <w:pPr>
        <w:pStyle w:val="BodyText"/>
      </w:pPr>
      <w:r>
        <w:t>A</w:t>
      </w:r>
      <w:r w:rsidR="004176C3">
        <w:t xml:space="preserve"> </w:t>
      </w:r>
      <w:r w:rsidR="00AA3F65">
        <w:t xml:space="preserve">$50 per fortnight increase is </w:t>
      </w:r>
      <w:r w:rsidR="005E5DC6">
        <w:t>far from s</w:t>
      </w:r>
      <w:r w:rsidR="00AA3F65">
        <w:t xml:space="preserve">ufficient to close </w:t>
      </w:r>
      <w:r w:rsidR="00E25C2E">
        <w:t>either</w:t>
      </w:r>
      <w:r w:rsidR="00AA3F65">
        <w:t xml:space="preserve"> the poverty gap </w:t>
      </w:r>
      <w:r w:rsidR="00E25C2E">
        <w:t>or</w:t>
      </w:r>
      <w:r w:rsidR="00AA3F65">
        <w:t xml:space="preserve"> the </w:t>
      </w:r>
      <w:r w:rsidR="00AA2C4A">
        <w:t>cost-of-living</w:t>
      </w:r>
      <w:r w:rsidR="00AA3F65">
        <w:t xml:space="preserve"> gap</w:t>
      </w:r>
      <w:r w:rsidR="00AA2C4A">
        <w:t xml:space="preserve"> for income support recipients. </w:t>
      </w:r>
      <w:r w:rsidR="00FE1879">
        <w:t xml:space="preserve">ACTCOSS </w:t>
      </w:r>
      <w:r w:rsidR="00AA2C4A">
        <w:t xml:space="preserve">has long supported </w:t>
      </w:r>
      <w:r w:rsidR="00FE1879">
        <w:t>the Raise the Rate for Good campaign</w:t>
      </w:r>
      <w:r w:rsidR="00952906">
        <w:t>’s aim ‘to</w:t>
      </w:r>
      <w:r w:rsidR="00952906" w:rsidRPr="00952906">
        <w:t xml:space="preserve"> fix our social security safety net for good so that it keeps people out of poverty</w:t>
      </w:r>
      <w:r w:rsidR="00952906">
        <w:t>’</w:t>
      </w:r>
      <w:r w:rsidR="004176C3">
        <w:t>.</w:t>
      </w:r>
      <w:r w:rsidR="00F51A48">
        <w:rPr>
          <w:rStyle w:val="FootnoteReference"/>
        </w:rPr>
        <w:footnoteReference w:id="42"/>
      </w:r>
      <w:r w:rsidR="004176C3">
        <w:t xml:space="preserve"> </w:t>
      </w:r>
      <w:r w:rsidR="00952906">
        <w:t>L</w:t>
      </w:r>
      <w:r w:rsidR="006A098B">
        <w:t>ed by the Australian Council of Social Service (ACOSS)</w:t>
      </w:r>
      <w:r w:rsidR="005F11F1">
        <w:t>,</w:t>
      </w:r>
      <w:r w:rsidR="00952906">
        <w:t xml:space="preserve"> this campaign</w:t>
      </w:r>
      <w:r w:rsidR="006A098B">
        <w:t xml:space="preserve"> recommends that</w:t>
      </w:r>
      <w:r w:rsidR="00DB753F">
        <w:t xml:space="preserve"> the Australian Government</w:t>
      </w:r>
      <w:r w:rsidR="006A098B">
        <w:t>:</w:t>
      </w:r>
    </w:p>
    <w:p w14:paraId="50BFA0C9" w14:textId="5E144786" w:rsidR="00574D79" w:rsidRDefault="00DB753F" w:rsidP="006A098B">
      <w:pPr>
        <w:pStyle w:val="ListBullet"/>
      </w:pPr>
      <w:r>
        <w:t>in</w:t>
      </w:r>
      <w:r w:rsidR="00574D79">
        <w:t>crease the base rate of JobSeeker Payment by at least $25 a day, and ensure everyone receives at least $65 a day</w:t>
      </w:r>
    </w:p>
    <w:p w14:paraId="62881A6E" w14:textId="2FDAE5D4" w:rsidR="00574D79" w:rsidRDefault="00C933FE" w:rsidP="006A098B">
      <w:pPr>
        <w:pStyle w:val="ListBullet"/>
      </w:pPr>
      <w:r>
        <w:t>index</w:t>
      </w:r>
      <w:r w:rsidR="00574D79">
        <w:t xml:space="preserve"> payments in line with wage movements at least twice per year</w:t>
      </w:r>
    </w:p>
    <w:p w14:paraId="1B82D788" w14:textId="3DC24FCB" w:rsidR="00204BD9" w:rsidRDefault="00DB753F" w:rsidP="006A098B">
      <w:pPr>
        <w:pStyle w:val="ListBullet"/>
      </w:pPr>
      <w:r>
        <w:t>e</w:t>
      </w:r>
      <w:r w:rsidR="00574D79">
        <w:t xml:space="preserve">stablish a Social Security Commission to advise the </w:t>
      </w:r>
      <w:r w:rsidR="004F6D57">
        <w:t>p</w:t>
      </w:r>
      <w:r w:rsidR="00574D79">
        <w:t>arliament on the ongoing adequacy of income support payments</w:t>
      </w:r>
      <w:r w:rsidR="006A098B">
        <w:t>.</w:t>
      </w:r>
    </w:p>
    <w:p w14:paraId="4663A63C" w14:textId="0AED6584" w:rsidR="001F66B5" w:rsidRDefault="001F66B5" w:rsidP="001F66B5">
      <w:pPr>
        <w:pStyle w:val="BodyText"/>
      </w:pPr>
      <w:r>
        <w:t xml:space="preserve">We also support ACOSS’s call for the </w:t>
      </w:r>
      <w:r w:rsidR="004F6D57">
        <w:t>f</w:t>
      </w:r>
      <w:r>
        <w:t xml:space="preserve">ederal </w:t>
      </w:r>
      <w:r w:rsidR="004F6D57">
        <w:t>p</w:t>
      </w:r>
      <w:r>
        <w:t>arliament to increase Commonwealth Rent Assistance by 50%, introduce a Disability and Illness Supplement of at least $50 a week, and establish a Single Parent Supplement to recognise the added costs of single parenthood.</w:t>
      </w:r>
      <w:r w:rsidR="00084947">
        <w:rPr>
          <w:rStyle w:val="FootnoteReference"/>
        </w:rPr>
        <w:footnoteReference w:id="43"/>
      </w:r>
    </w:p>
    <w:p w14:paraId="786A655A" w14:textId="5679148A" w:rsidR="005F116C" w:rsidRDefault="00C42095" w:rsidP="00654430">
      <w:pPr>
        <w:pStyle w:val="BodyText"/>
      </w:pPr>
      <w:r>
        <w:t>Further</w:t>
      </w:r>
      <w:r w:rsidR="00A643B1">
        <w:t>, as the COVID-19 health and economic crisis continues</w:t>
      </w:r>
      <w:r w:rsidR="006D4128">
        <w:t xml:space="preserve"> </w:t>
      </w:r>
      <w:r w:rsidR="00E11BF8">
        <w:t xml:space="preserve">and while </w:t>
      </w:r>
      <w:r w:rsidR="006D4128">
        <w:t xml:space="preserve">lockdowns </w:t>
      </w:r>
      <w:r w:rsidR="00D2314D">
        <w:t>remain</w:t>
      </w:r>
      <w:r w:rsidR="00313C88">
        <w:t xml:space="preserve"> an ongoing threat</w:t>
      </w:r>
      <w:r w:rsidR="00E11BF8">
        <w:t>, th</w:t>
      </w:r>
      <w:r w:rsidR="00654430">
        <w:t xml:space="preserve">e </w:t>
      </w:r>
      <w:r w:rsidR="00AF0F5E">
        <w:t xml:space="preserve">Australian </w:t>
      </w:r>
      <w:r w:rsidR="005F116C">
        <w:t>Government must immediately extend C</w:t>
      </w:r>
      <w:r w:rsidR="00654430">
        <w:t>OVID</w:t>
      </w:r>
      <w:r w:rsidR="005F116C">
        <w:t xml:space="preserve"> Disaster Payments to everyone on income support and people without an income.</w:t>
      </w:r>
      <w:r w:rsidR="00DA5898">
        <w:t xml:space="preserve"> This must include </w:t>
      </w:r>
      <w:r w:rsidR="00DA5898" w:rsidRPr="00DA5898">
        <w:t xml:space="preserve">people seeking asylum and temporary visa holders </w:t>
      </w:r>
      <w:r w:rsidR="00DF21C9">
        <w:t>who</w:t>
      </w:r>
      <w:r w:rsidR="00DA5898" w:rsidRPr="00DA5898">
        <w:t xml:space="preserve"> are ineligible for support and may be without any income at all because they do not qualify for Centrelink payments.</w:t>
      </w:r>
      <w:r w:rsidR="00835DEA">
        <w:rPr>
          <w:rStyle w:val="FootnoteReference"/>
        </w:rPr>
        <w:footnoteReference w:id="44"/>
      </w:r>
    </w:p>
    <w:p w14:paraId="7C640296" w14:textId="61C028E6" w:rsidR="002771BA" w:rsidRDefault="002771BA" w:rsidP="002771BA">
      <w:pPr>
        <w:pStyle w:val="Heading1"/>
      </w:pPr>
      <w:bookmarkStart w:id="10" w:name="_Toc79584859"/>
      <w:r>
        <w:t>Conclusion</w:t>
      </w:r>
      <w:bookmarkEnd w:id="10"/>
    </w:p>
    <w:p w14:paraId="5240DC69" w14:textId="77777777" w:rsidR="00AF425C" w:rsidRDefault="006C4DE1" w:rsidP="006C4DE1">
      <w:pPr>
        <w:pStyle w:val="BodyText"/>
      </w:pPr>
      <w:r>
        <w:t xml:space="preserve">Addressing poverty </w:t>
      </w:r>
      <w:r w:rsidR="00634152">
        <w:t xml:space="preserve">and cost of living for low-income households </w:t>
      </w:r>
      <w:r>
        <w:t xml:space="preserve">in the ACT requires significant commitment and coordinated action by the ACT and Australian governments. Ensuring </w:t>
      </w:r>
      <w:r w:rsidR="00FC7AFF">
        <w:t>all Canberrans</w:t>
      </w:r>
      <w:r>
        <w:t xml:space="preserve"> have adequate incomes and affordable housing </w:t>
      </w:r>
      <w:r w:rsidR="00FC7AFF">
        <w:t>is</w:t>
      </w:r>
      <w:r>
        <w:t xml:space="preserve"> fundamental to this. Our economy needs to provide people with secure employment and adequate wages, and when it fails to do so, we need a safety net that ensures people can </w:t>
      </w:r>
      <w:r w:rsidR="00FC7AFF">
        <w:t xml:space="preserve">still </w:t>
      </w:r>
      <w:r>
        <w:t>afford to live a healthy</w:t>
      </w:r>
      <w:r w:rsidR="00FC7AFF">
        <w:t xml:space="preserve"> and dignified</w:t>
      </w:r>
      <w:r>
        <w:t xml:space="preserve"> life </w:t>
      </w:r>
      <w:r w:rsidR="00AF425C">
        <w:t xml:space="preserve">by providing adequate </w:t>
      </w:r>
      <w:r>
        <w:t xml:space="preserve">income support, concessions, and emergency </w:t>
      </w:r>
      <w:r w:rsidR="00AF425C">
        <w:t xml:space="preserve">financial and material </w:t>
      </w:r>
      <w:r>
        <w:t xml:space="preserve">relief. </w:t>
      </w:r>
    </w:p>
    <w:p w14:paraId="38507ABA" w14:textId="4B939B1B" w:rsidR="006C4DE1" w:rsidRDefault="00335573" w:rsidP="006C4DE1">
      <w:pPr>
        <w:pStyle w:val="BodyText"/>
      </w:pPr>
      <w:r>
        <w:t>This</w:t>
      </w:r>
      <w:r w:rsidR="0060066F">
        <w:t xml:space="preserve"> </w:t>
      </w:r>
      <w:r w:rsidR="006652AF">
        <w:t xml:space="preserve">year’s </w:t>
      </w:r>
      <w:r w:rsidR="0060066F">
        <w:t xml:space="preserve">ACT Cost of Living Report highlights </w:t>
      </w:r>
      <w:r w:rsidR="006652AF">
        <w:t>that</w:t>
      </w:r>
      <w:r w:rsidR="0060066F">
        <w:t xml:space="preserve"> t</w:t>
      </w:r>
      <w:r w:rsidR="006C4DE1">
        <w:t xml:space="preserve">he lack of affordable housing </w:t>
      </w:r>
      <w:r w:rsidR="00CA4E5D">
        <w:t xml:space="preserve">remains </w:t>
      </w:r>
      <w:r w:rsidR="006C4DE1">
        <w:t>the biggest challenge confronting people on low incomes in</w:t>
      </w:r>
      <w:r w:rsidR="005C656A">
        <w:t xml:space="preserve"> the Canberra</w:t>
      </w:r>
      <w:r w:rsidR="006652AF">
        <w:t xml:space="preserve"> community</w:t>
      </w:r>
      <w:r w:rsidR="006C4DE1">
        <w:t xml:space="preserve">. Accessible, affordable, safe, and secure housing provides the necessary foundation from which people can actively meet their social, physical, and emotional needs. </w:t>
      </w:r>
      <w:r w:rsidR="008034FC">
        <w:t xml:space="preserve">A key means to address Canberra’s housing affordability crisis is </w:t>
      </w:r>
      <w:r w:rsidR="00AE7C55">
        <w:t>to invest in social housing</w:t>
      </w:r>
      <w:r w:rsidR="00B9380B">
        <w:t>. There is currently a shortfall of 3,100 social housing dwellings in the ACT</w:t>
      </w:r>
      <w:r w:rsidR="001358B4">
        <w:t>.</w:t>
      </w:r>
      <w:r w:rsidR="004D35F0">
        <w:t xml:space="preserve"> </w:t>
      </w:r>
      <w:r w:rsidR="00EC4EE2">
        <w:t xml:space="preserve">Federal </w:t>
      </w:r>
      <w:r w:rsidR="004D35F0">
        <w:t xml:space="preserve">and </w:t>
      </w:r>
      <w:r w:rsidR="006D7594">
        <w:t>t</w:t>
      </w:r>
      <w:r w:rsidR="004D35F0">
        <w:t>erritory g</w:t>
      </w:r>
      <w:r w:rsidR="004D35F0" w:rsidRPr="004D35F0">
        <w:t xml:space="preserve">overnment investment in social housing is essential to avoid deepening and entrenching </w:t>
      </w:r>
      <w:r w:rsidR="00F44B7F">
        <w:t>rental stress</w:t>
      </w:r>
      <w:r w:rsidR="004D35F0" w:rsidRPr="004D35F0">
        <w:t xml:space="preserve"> and homelessness in the ACT.</w:t>
      </w:r>
    </w:p>
    <w:p w14:paraId="2B0A138B" w14:textId="792599E4" w:rsidR="006C4DE1" w:rsidRDefault="00C170D7" w:rsidP="006C4DE1">
      <w:pPr>
        <w:pStyle w:val="BodyText"/>
      </w:pPr>
      <w:r>
        <w:t xml:space="preserve">On 1 April 2021, </w:t>
      </w:r>
      <w:r w:rsidR="006C4DE1">
        <w:t xml:space="preserve">the rate of </w:t>
      </w:r>
      <w:r w:rsidR="0060066F">
        <w:t>JobSeeker</w:t>
      </w:r>
      <w:r w:rsidR="006C4DE1">
        <w:t xml:space="preserve">, Youth Allowance and other related payments </w:t>
      </w:r>
      <w:r>
        <w:t>increased in real terms for the f</w:t>
      </w:r>
      <w:r w:rsidRPr="00C170D7">
        <w:t>irst time in over 25 years</w:t>
      </w:r>
      <w:r>
        <w:t xml:space="preserve">. </w:t>
      </w:r>
      <w:r w:rsidR="00A12D4D">
        <w:t xml:space="preserve">However, </w:t>
      </w:r>
      <w:r w:rsidR="006C72CC">
        <w:t>an</w:t>
      </w:r>
      <w:r w:rsidR="00A12D4D">
        <w:t xml:space="preserve"> increase of just $25 a week </w:t>
      </w:r>
      <w:r w:rsidR="006C72CC">
        <w:t>is far from adequate</w:t>
      </w:r>
      <w:r w:rsidR="00A12D4D">
        <w:t xml:space="preserve"> to address </w:t>
      </w:r>
      <w:r w:rsidR="004B51B2">
        <w:t>the poverty gap and cost-of-living gap that has grown over th</w:t>
      </w:r>
      <w:r w:rsidR="00176F0B">
        <w:t>e</w:t>
      </w:r>
      <w:r w:rsidR="004B51B2">
        <w:t xml:space="preserve"> past quarter of a century</w:t>
      </w:r>
      <w:r w:rsidR="006C4DE1">
        <w:t xml:space="preserve">. </w:t>
      </w:r>
      <w:r w:rsidR="005A5D55">
        <w:t xml:space="preserve">The initial Coronavirus Supplement of $550 per fortnight </w:t>
      </w:r>
      <w:r w:rsidR="00176F0B">
        <w:t xml:space="preserve">raised payments above the poverty line and </w:t>
      </w:r>
      <w:r w:rsidR="005A5D55">
        <w:t xml:space="preserve">saw </w:t>
      </w:r>
      <w:r w:rsidR="00E65C84">
        <w:t xml:space="preserve">poverty rates in the ACT drop to </w:t>
      </w:r>
      <w:r w:rsidR="003E4627">
        <w:t xml:space="preserve">well </w:t>
      </w:r>
      <w:r w:rsidR="00E65C84">
        <w:t>below the pre-COVID rate</w:t>
      </w:r>
      <w:r w:rsidR="003E4627">
        <w:t xml:space="preserve">. </w:t>
      </w:r>
      <w:r w:rsidR="00176F0B">
        <w:t>This increase made it</w:t>
      </w:r>
      <w:r w:rsidR="00DC479A">
        <w:t xml:space="preserve"> </w:t>
      </w:r>
      <w:r w:rsidR="00DB2A78">
        <w:t xml:space="preserve">possible for </w:t>
      </w:r>
      <w:r w:rsidR="008B43C9">
        <w:t xml:space="preserve">JobSeeker </w:t>
      </w:r>
      <w:r w:rsidR="00DB2A78">
        <w:t xml:space="preserve">households </w:t>
      </w:r>
      <w:r w:rsidR="00DC479A" w:rsidRPr="00DC479A">
        <w:t>to cover the cost of essential goods and services</w:t>
      </w:r>
      <w:r w:rsidR="00E65C84">
        <w:t xml:space="preserve">. The subsequent reduction and withdrawal of </w:t>
      </w:r>
      <w:r w:rsidR="00EC2CBC">
        <w:t xml:space="preserve">this supplement has </w:t>
      </w:r>
      <w:r w:rsidR="00F431BE">
        <w:t>seen the number of Canberrans living in poverty increase to an estimated 38,300 peop</w:t>
      </w:r>
      <w:r w:rsidR="000E175A">
        <w:t xml:space="preserve">le, including </w:t>
      </w:r>
      <w:r w:rsidR="001C01ED">
        <w:t xml:space="preserve">approximately </w:t>
      </w:r>
      <w:r w:rsidR="000E175A">
        <w:t>9,300 children – well above the pre-COVID level.</w:t>
      </w:r>
      <w:r w:rsidR="00430B60">
        <w:t xml:space="preserve"> </w:t>
      </w:r>
      <w:r w:rsidR="004D35F0">
        <w:t xml:space="preserve">ACTCOSS </w:t>
      </w:r>
      <w:r w:rsidR="00E46E0B">
        <w:t xml:space="preserve">continues to </w:t>
      </w:r>
      <w:r w:rsidR="004D35F0">
        <w:t>call</w:t>
      </w:r>
      <w:r w:rsidR="006C4DE1">
        <w:t xml:space="preserve"> on the Australian Government to </w:t>
      </w:r>
      <w:r w:rsidR="00430B60">
        <w:t>fix our</w:t>
      </w:r>
      <w:r w:rsidR="006C4DE1">
        <w:t xml:space="preserve"> social security system for good so that it keeps people out of </w:t>
      </w:r>
      <w:r w:rsidR="009F68CC">
        <w:t>poverty</w:t>
      </w:r>
      <w:r w:rsidR="0089364C">
        <w:t xml:space="preserve">. We </w:t>
      </w:r>
      <w:r w:rsidR="00E46E0B">
        <w:t>welcome the ACT Government</w:t>
      </w:r>
      <w:r w:rsidR="0089364C">
        <w:t>’</w:t>
      </w:r>
      <w:r w:rsidR="00E46E0B">
        <w:t xml:space="preserve">s support for this </w:t>
      </w:r>
      <w:r w:rsidR="009C4887">
        <w:t xml:space="preserve">as </w:t>
      </w:r>
      <w:r w:rsidR="00753F59">
        <w:t>a member</w:t>
      </w:r>
      <w:r w:rsidR="009C4887">
        <w:t xml:space="preserve"> of the N</w:t>
      </w:r>
      <w:r w:rsidR="00E46E0B">
        <w:t>ational Cabinet.</w:t>
      </w:r>
    </w:p>
    <w:p w14:paraId="23EDDB7E" w14:textId="18E8DFB8" w:rsidR="00242222" w:rsidRDefault="006C4DE1" w:rsidP="006C4DE1">
      <w:pPr>
        <w:pStyle w:val="BodyText"/>
      </w:pPr>
      <w:r>
        <w:t xml:space="preserve">In addition to incomes and housing, there are many other </w:t>
      </w:r>
      <w:r w:rsidR="00F62BF0">
        <w:t xml:space="preserve">areas where the </w:t>
      </w:r>
      <w:r>
        <w:t xml:space="preserve">Australian and ACT governments can take </w:t>
      </w:r>
      <w:r w:rsidR="00F62BF0">
        <w:t xml:space="preserve">action </w:t>
      </w:r>
      <w:r>
        <w:t xml:space="preserve">to </w:t>
      </w:r>
      <w:r w:rsidR="001373A0">
        <w:t xml:space="preserve">address </w:t>
      </w:r>
      <w:r w:rsidR="00F35C29">
        <w:t xml:space="preserve">poverty and the </w:t>
      </w:r>
      <w:r w:rsidR="001373A0">
        <w:t>increasing</w:t>
      </w:r>
      <w:r>
        <w:t xml:space="preserve"> cost of living pressures faced by low-income households</w:t>
      </w:r>
      <w:r w:rsidR="00F35C29">
        <w:t xml:space="preserve"> in Canberra</w:t>
      </w:r>
      <w:r>
        <w:t>.</w:t>
      </w:r>
      <w:r w:rsidR="00B2091A">
        <w:t xml:space="preserve"> This includes action to make essential goods and services such as health, </w:t>
      </w:r>
      <w:r w:rsidR="00F1054C">
        <w:t xml:space="preserve">education, </w:t>
      </w:r>
      <w:r w:rsidR="00EC4EE2">
        <w:t xml:space="preserve">food, </w:t>
      </w:r>
      <w:r w:rsidR="00F1054C">
        <w:t>energy, and childcare more affordable.</w:t>
      </w:r>
      <w:r>
        <w:t xml:space="preserve"> </w:t>
      </w:r>
      <w:r w:rsidR="003509EF">
        <w:t xml:space="preserve">The </w:t>
      </w:r>
      <w:r w:rsidR="007D187F">
        <w:t xml:space="preserve">ACT Budget </w:t>
      </w:r>
      <w:r w:rsidR="00F35C29">
        <w:t xml:space="preserve">presents </w:t>
      </w:r>
      <w:r w:rsidR="007D187F">
        <w:t>an</w:t>
      </w:r>
      <w:r w:rsidR="00F35C29">
        <w:t xml:space="preserve"> </w:t>
      </w:r>
      <w:r w:rsidR="007D187F">
        <w:t xml:space="preserve">annual opportunity for the ACT Government to </w:t>
      </w:r>
      <w:r w:rsidR="00F91E57">
        <w:t xml:space="preserve">build a fairer and more equitable Canberra. </w:t>
      </w:r>
      <w:r w:rsidR="005B5720">
        <w:t xml:space="preserve">ACTCOSS’s </w:t>
      </w:r>
      <w:r w:rsidR="00F91E57">
        <w:t xml:space="preserve">submission to the 2021-22 ACT Budget Consultation </w:t>
      </w:r>
      <w:r w:rsidR="00320B25">
        <w:t>recommends</w:t>
      </w:r>
      <w:r w:rsidR="00F91E57">
        <w:t xml:space="preserve"> </w:t>
      </w:r>
      <w:r w:rsidR="00793FB2">
        <w:t>a wide range of</w:t>
      </w:r>
      <w:r w:rsidR="00E61D5A">
        <w:t xml:space="preserve"> social justice</w:t>
      </w:r>
      <w:r w:rsidR="00B27A86">
        <w:t xml:space="preserve"> measures </w:t>
      </w:r>
      <w:r w:rsidR="0065454A">
        <w:t xml:space="preserve">aimed at </w:t>
      </w:r>
      <w:r w:rsidR="00866087">
        <w:t>addressing poverty, inequality</w:t>
      </w:r>
      <w:r w:rsidR="008E7FAE">
        <w:t>,</w:t>
      </w:r>
      <w:r w:rsidR="00866087">
        <w:t xml:space="preserve"> and the cost of living in </w:t>
      </w:r>
      <w:r w:rsidR="008E7FAE">
        <w:t>the ACT</w:t>
      </w:r>
      <w:r w:rsidR="00866087">
        <w:t xml:space="preserve"> and </w:t>
      </w:r>
      <w:r w:rsidR="0065454A">
        <w:t>improving</w:t>
      </w:r>
      <w:r w:rsidR="00EA0E4C">
        <w:t xml:space="preserve"> the wellbeing of </w:t>
      </w:r>
      <w:r w:rsidR="00CD73B4">
        <w:t xml:space="preserve">thousands of </w:t>
      </w:r>
      <w:r w:rsidR="00023B99">
        <w:t>low-income households</w:t>
      </w:r>
      <w:r w:rsidR="008E7FAE">
        <w:t xml:space="preserve"> </w:t>
      </w:r>
      <w:r w:rsidR="009B683A">
        <w:t xml:space="preserve">struggling to </w:t>
      </w:r>
      <w:r w:rsidR="00904DBE">
        <w:t xml:space="preserve">make ends meet within </w:t>
      </w:r>
      <w:r w:rsidR="00EA0E4C">
        <w:t xml:space="preserve">our </w:t>
      </w:r>
      <w:r w:rsidR="00EB6336">
        <w:t xml:space="preserve">relatively wealthy </w:t>
      </w:r>
      <w:r w:rsidR="00CD73B4">
        <w:t xml:space="preserve">Canberra </w:t>
      </w:r>
      <w:r w:rsidR="00FF2065">
        <w:t>community</w:t>
      </w:r>
      <w:r w:rsidR="00842C5D">
        <w:t>.</w:t>
      </w:r>
      <w:r w:rsidR="00391439">
        <w:rPr>
          <w:rStyle w:val="FootnoteReference"/>
        </w:rPr>
        <w:footnoteReference w:id="45"/>
      </w:r>
      <w:r w:rsidR="00D928D0">
        <w:t xml:space="preserve"> These measures are </w:t>
      </w:r>
      <w:r w:rsidR="0083789F">
        <w:t>aimed at realising our</w:t>
      </w:r>
      <w:r w:rsidR="00174539" w:rsidRPr="00174539">
        <w:t xml:space="preserve"> vision </w:t>
      </w:r>
      <w:r w:rsidR="0083789F">
        <w:t>for</w:t>
      </w:r>
      <w:r w:rsidR="00174539" w:rsidRPr="00174539">
        <w:t xml:space="preserve"> Canberra </w:t>
      </w:r>
      <w:r w:rsidR="0083789F">
        <w:t>as</w:t>
      </w:r>
      <w:r w:rsidR="00174539" w:rsidRPr="00174539">
        <w:t xml:space="preserve"> a just, </w:t>
      </w:r>
      <w:r w:rsidR="004A6E88" w:rsidRPr="00174539">
        <w:t>safe,</w:t>
      </w:r>
      <w:r w:rsidR="00174539" w:rsidRPr="00174539">
        <w:t xml:space="preserve"> and sustainable community in which everyone has a fair share of resources and services.</w:t>
      </w:r>
    </w:p>
    <w:p w14:paraId="0D501EC8" w14:textId="77777777" w:rsidR="00242222" w:rsidRPr="009D6250" w:rsidRDefault="00242222" w:rsidP="00E11BF8">
      <w:pPr>
        <w:pStyle w:val="Heading1-Pagebreakbefore"/>
      </w:pPr>
      <w:bookmarkStart w:id="11" w:name="_Toc7787736"/>
      <w:bookmarkStart w:id="12" w:name="_Toc51050148"/>
      <w:bookmarkStart w:id="13" w:name="_Toc79584860"/>
      <w:r w:rsidRPr="009D6250">
        <w:t>Appendix: Explanatory notes</w:t>
      </w:r>
      <w:bookmarkEnd w:id="11"/>
      <w:bookmarkEnd w:id="12"/>
      <w:bookmarkEnd w:id="13"/>
    </w:p>
    <w:p w14:paraId="55B9A7A3" w14:textId="28599A60" w:rsidR="00242222" w:rsidRPr="009D6250"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9D6250">
        <w:t xml:space="preserve">ACTCOSS uses the </w:t>
      </w:r>
      <w:r w:rsidR="00E4151C" w:rsidRPr="009D6250">
        <w:t>cost-of-living</w:t>
      </w:r>
      <w:r w:rsidRPr="009D6250">
        <w:t xml:space="preserve"> methodology developed by SACOSS and the following explanatory notes have been adapted from SACOSS.</w:t>
      </w:r>
      <w:r w:rsidRPr="009D6250">
        <w:rPr>
          <w:vertAlign w:val="superscript"/>
        </w:rPr>
        <w:footnoteReference w:id="46"/>
      </w:r>
      <w:r w:rsidRPr="009D6250">
        <w:t xml:space="preserve"> </w:t>
      </w:r>
    </w:p>
    <w:p w14:paraId="4E60EEE8" w14:textId="77777777" w:rsidR="00242222" w:rsidRPr="00B560F2" w:rsidRDefault="00242222" w:rsidP="00242222">
      <w:pPr>
        <w:pStyle w:val="Heading2"/>
      </w:pPr>
      <w:bookmarkStart w:id="14" w:name="_Toc7787737"/>
      <w:bookmarkStart w:id="15" w:name="_Toc51050149"/>
      <w:bookmarkStart w:id="16" w:name="_Toc79584861"/>
      <w:r w:rsidRPr="00B560F2">
        <w:t>Consumer Price Index and Selected Living Cost Indexes</w:t>
      </w:r>
      <w:bookmarkEnd w:id="14"/>
      <w:bookmarkEnd w:id="15"/>
      <w:bookmarkEnd w:id="16"/>
    </w:p>
    <w:p w14:paraId="77BA1A30" w14:textId="38B6B23A" w:rsidR="00242222" w:rsidRPr="00B560F2"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B560F2">
        <w:t xml:space="preserve">The ABS Selected Living Cost Indexes </w:t>
      </w:r>
      <w:r w:rsidR="00B560F2">
        <w:t xml:space="preserve">(SLCI) </w:t>
      </w:r>
      <w:r w:rsidRPr="00B560F2">
        <w:t>uses a different methodology to the CPI in that the CPI is based on acquisition (</w:t>
      </w:r>
      <w:r w:rsidR="004A4504" w:rsidRPr="00B560F2">
        <w:t>i.e.,</w:t>
      </w:r>
      <w:r w:rsidRPr="00B560F2">
        <w:t xml:space="preserve"> the price at the time of acquisition of a product), while the living cost index is based on actual expenditure. This is particularly relevant in relation to housing costs where CPI traces changes in house prices, while the SLCI traces changes in the amount expended each week on housing (</w:t>
      </w:r>
      <w:r w:rsidR="004A4504" w:rsidRPr="00B560F2">
        <w:t>e.g.,</w:t>
      </w:r>
      <w:r w:rsidRPr="00B560F2">
        <w:t xml:space="preserve"> mortgage repayments). Further information is available in the Explanatory Notes to the Selected Living Cost Indexes.</w:t>
      </w:r>
      <w:r w:rsidRPr="00B560F2">
        <w:rPr>
          <w:vertAlign w:val="superscript"/>
        </w:rPr>
        <w:footnoteReference w:id="47"/>
      </w:r>
      <w:r w:rsidRPr="00B560F2">
        <w:t xml:space="preserve"> In that sense, the Selected Living Cost Indexes are not a simple disaggregation of CPI and the two are not strictly comparable. However, both indexes are used to measure changes in the cost of living over time (although that is not what CPI was designed for</w:t>
      </w:r>
      <w:r w:rsidR="001C7569" w:rsidRPr="00B560F2">
        <w:t>) and</w:t>
      </w:r>
      <w:r w:rsidRPr="00B560F2">
        <w:t xml:space="preserve"> given the general usage of the CPI measure and its powerful political and economic status, it is useful to compare the two and highlight the differences for different household types.</w:t>
      </w:r>
    </w:p>
    <w:p w14:paraId="398B9075" w14:textId="77777777" w:rsidR="00242222" w:rsidRPr="005D43A1" w:rsidRDefault="00242222" w:rsidP="00242222">
      <w:pPr>
        <w:pStyle w:val="Heading2"/>
      </w:pPr>
      <w:bookmarkStart w:id="17" w:name="_Toc7787738"/>
      <w:bookmarkStart w:id="18" w:name="_Toc51050150"/>
      <w:bookmarkStart w:id="19" w:name="_Toc79584862"/>
      <w:r w:rsidRPr="005D43A1">
        <w:t>Limitations of the Selected Living Cost Indexes</w:t>
      </w:r>
      <w:bookmarkEnd w:id="17"/>
      <w:bookmarkEnd w:id="18"/>
      <w:bookmarkEnd w:id="19"/>
    </w:p>
    <w:p w14:paraId="3A31BD6F" w14:textId="422537A2" w:rsidR="00242222" w:rsidRPr="005D43A1"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5D43A1">
        <w:t xml:space="preserve">The </w:t>
      </w:r>
      <w:r w:rsidR="005D43A1" w:rsidRPr="005D43A1">
        <w:t>SLCI</w:t>
      </w:r>
      <w:r w:rsidRPr="005D43A1">
        <w:t xml:space="preserve"> are more nuanced than the generic CPI in that they measure changes for different household types, but there are still </w:t>
      </w:r>
      <w:r w:rsidR="002711D7" w:rsidRPr="005D43A1">
        <w:t>several</w:t>
      </w:r>
      <w:r w:rsidRPr="005D43A1">
        <w:t xml:space="preserve"> problems with using those indexes to show cost</w:t>
      </w:r>
      <w:r w:rsidR="005765CE">
        <w:t>-</w:t>
      </w:r>
      <w:r w:rsidRPr="005D43A1">
        <w:t>of</w:t>
      </w:r>
      <w:r w:rsidR="005765CE">
        <w:t>-</w:t>
      </w:r>
      <w:r w:rsidRPr="005D43A1">
        <w:t>living changes faced by the most vulnerable and disadvantaged in the ACT. While it is safe to assume that social security recipients are among the most vulnerable and disadvantaged, any household-based data for multi-person households says nothing about distribution of power, money and expenditure within a household and may therefore hide particular (and often gendered) structures of vulnerability and disadvantage. Further, the living cost indexes are not state based, so ACT trends or circumstances may not show up.</w:t>
      </w:r>
    </w:p>
    <w:p w14:paraId="213D1881" w14:textId="7B924E3F" w:rsidR="00242222" w:rsidRPr="005D43A1"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5D43A1">
        <w:t xml:space="preserve">At the more technical level, the </w:t>
      </w:r>
      <w:r w:rsidR="005D43A1">
        <w:t>SLCI</w:t>
      </w:r>
      <w:r w:rsidRPr="005D43A1">
        <w:t xml:space="preserve"> are for households whose predominant income is from the described source (</w:t>
      </w:r>
      <w:r w:rsidR="001C7569" w:rsidRPr="005D43A1">
        <w:t>e.g.</w:t>
      </w:r>
      <w:r w:rsidRPr="005D43A1">
        <w:t xml:space="preserve"> Age Pension or government transfers). However, the expenditures that formed the base data and weighting (from the 2015-16 Household Expenditure Survey) add up to well over the actual social security payments available (even including other government payments like rent assistance, utilities allowance and family tax benefits). Clearly many households in these categories have other sources of income, or more than one social security recipient in the same household. Like the CPI, the Living Cost Index figures reflect broad averages (even if more nuanced), but do not reflect the experience of the poorest in those categories.</w:t>
      </w:r>
    </w:p>
    <w:p w14:paraId="3FE1C3C9" w14:textId="4F082E18" w:rsidR="00242222" w:rsidRPr="005D43A1"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5D43A1">
        <w:t xml:space="preserve">Another example of this ‘averaging problem’ is that expenditures on some items, like housing, are too low to reflect the real expenditures and changes for the most vulnerable in the housing market – again, because the worst-case scenarios are ‘averaged out’ by those in the category with other resources. For instance, if one pensioner owned their own home </w:t>
      </w:r>
      <w:r w:rsidR="001C7569" w:rsidRPr="005D43A1">
        <w:t>outright,</w:t>
      </w:r>
      <w:r w:rsidRPr="005D43A1">
        <w:t xml:space="preserve"> they would generally be in a better financial position than a pensioner who has to pay market rents – but if the market rent were $300 per week, the average expenditure on rent between the two would be $150 per week, much less than what the renting pensioner was actually paying.</w:t>
      </w:r>
    </w:p>
    <w:p w14:paraId="5320D554" w14:textId="6ECEB916" w:rsidR="00242222" w:rsidRPr="005D43A1"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5D43A1">
        <w:t xml:space="preserve">The weightings in the </w:t>
      </w:r>
      <w:r w:rsidR="005D43A1">
        <w:t>SLCI</w:t>
      </w:r>
      <w:r w:rsidRPr="005D43A1">
        <w:t xml:space="preserve"> are also based on a set point in time (from the </w:t>
      </w:r>
      <w:r w:rsidR="00E03493">
        <w:t xml:space="preserve">ABS </w:t>
      </w:r>
      <w:r w:rsidRPr="005D43A1">
        <w:t>Household Expenditure Survey), but over time the price of some necessities may increase rapidly, forcing people to change expenditure patterns to cover the increased cost. There is some adjustment of weightings for this, but these cannot be checked without a new survey. Alternatively, or additionally, expenditure patterns may change for a variety of other reasons. However, the weighting in the indexes does not change and so does not track the expenditure substitutions and the impact that has on cost of living and lifestyle.</w:t>
      </w:r>
    </w:p>
    <w:p w14:paraId="2DA4D328" w14:textId="0ADE35C4" w:rsidR="00242222" w:rsidRPr="00972BBB"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972BBB">
        <w:t xml:space="preserve">Finally, the </w:t>
      </w:r>
      <w:r w:rsidR="005D43A1" w:rsidRPr="00972BBB">
        <w:t>SLCI</w:t>
      </w:r>
      <w:r w:rsidRPr="00972BBB">
        <w:t xml:space="preserve"> household income figures are based on households that are the average size for that household type: 1.51 people for aged pensioners, and 2.46 for other social security recipients.</w:t>
      </w:r>
      <w:r w:rsidRPr="00972BBB">
        <w:rPr>
          <w:vertAlign w:val="superscript"/>
        </w:rPr>
        <w:footnoteReference w:id="48"/>
      </w:r>
      <w:r w:rsidRPr="00972BBB">
        <w:t xml:space="preserve"> This makes comparison with allowances difficult. This report focuses on single person households or a single person with two children (to align to the other social security recipient household average of 2.46 persons). However, this is a proxy rather than statistical correlation.</w:t>
      </w:r>
    </w:p>
    <w:p w14:paraId="27455EA1" w14:textId="49B78FA4" w:rsidR="00242222" w:rsidRPr="00972BBB"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972BBB">
        <w:t xml:space="preserve">It is inevitable that any summary measure will have limitations, and as noted in the main text, the Selected Living Cost Indexes provide a robust statistical base, a long time series, and quarterly tracking of changes in the cost of living which is somewhat sensitive to </w:t>
      </w:r>
      <w:r w:rsidR="001C7569" w:rsidRPr="00972BBB">
        <w:t>low-income</w:t>
      </w:r>
      <w:r w:rsidRPr="00972BBB">
        <w:t xml:space="preserve"> earners.</w:t>
      </w:r>
    </w:p>
    <w:p w14:paraId="2B4C09B3" w14:textId="4C413C78" w:rsidR="00242222" w:rsidRPr="00972BBB" w:rsidRDefault="00242222" w:rsidP="00242222">
      <w:pPr>
        <w:pStyle w:val="Heading2"/>
      </w:pPr>
      <w:bookmarkStart w:id="20" w:name="_Toc7787739"/>
      <w:bookmarkStart w:id="21" w:name="_Toc51050151"/>
      <w:bookmarkStart w:id="22" w:name="_Toc79584863"/>
      <w:r w:rsidRPr="00972BBB">
        <w:t>Income support payment calculations – December 20</w:t>
      </w:r>
      <w:r w:rsidR="006B0E95">
        <w:t>19</w:t>
      </w:r>
      <w:r w:rsidRPr="00972BBB">
        <w:t xml:space="preserve"> to </w:t>
      </w:r>
      <w:bookmarkEnd w:id="20"/>
      <w:bookmarkEnd w:id="21"/>
      <w:r w:rsidR="00003F45">
        <w:t>1 April 2021</w:t>
      </w:r>
      <w:bookmarkEnd w:id="22"/>
    </w:p>
    <w:p w14:paraId="1F1CEF3F" w14:textId="3B22822A" w:rsidR="00242222" w:rsidRPr="00972BBB"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972BBB">
        <w:t>Even using the base rate of benefits, the calculation of the relevant weekly incomes is difficult because of the complexity of the income support system which means that payment eligibility and rates change depending on the exact circumstances of the household (</w:t>
      </w:r>
      <w:r w:rsidR="001C7569" w:rsidRPr="00972BBB">
        <w:t>e.g.</w:t>
      </w:r>
      <w:r w:rsidRPr="00972BBB">
        <w:t xml:space="preserve"> age of children, assets). The calculation is also complex because of changes over time in eligibility and available benefits. However, based on an assumption of a single Age Pensioner and a single Newstart</w:t>
      </w:r>
      <w:r w:rsidR="00F96AC1">
        <w:t>/JobSeeker</w:t>
      </w:r>
      <w:r w:rsidRPr="00972BBB">
        <w:t xml:space="preserve"> recipient with two children (aged 10 and 14) – with neither receiving Commonwealth Rent Assistance, the basic income supports payments have been calculated as follows:</w:t>
      </w:r>
    </w:p>
    <w:p w14:paraId="47B3035D" w14:textId="38D2C036" w:rsidR="00B072AC" w:rsidRPr="00B003E6" w:rsidRDefault="00242222" w:rsidP="00397A6D">
      <w:pPr>
        <w:pStyle w:val="Figuretabletitle"/>
      </w:pPr>
      <w:r w:rsidRPr="00B003E6">
        <w:t>Rates at 31 December 201</w:t>
      </w:r>
      <w:r w:rsidR="00970291" w:rsidRPr="00B003E6">
        <w:t>9</w:t>
      </w:r>
    </w:p>
    <w:tbl>
      <w:tblPr>
        <w:tblStyle w:val="TableGrid"/>
        <w:tblW w:w="9438" w:type="dxa"/>
        <w:tblLayout w:type="fixed"/>
        <w:tblLook w:val="04A0" w:firstRow="1" w:lastRow="0" w:firstColumn="1" w:lastColumn="0" w:noHBand="0" w:noVBand="1"/>
      </w:tblPr>
      <w:tblGrid>
        <w:gridCol w:w="1129"/>
        <w:gridCol w:w="758"/>
        <w:gridCol w:w="944"/>
        <w:gridCol w:w="944"/>
        <w:gridCol w:w="943"/>
        <w:gridCol w:w="944"/>
        <w:gridCol w:w="944"/>
        <w:gridCol w:w="944"/>
        <w:gridCol w:w="944"/>
        <w:gridCol w:w="944"/>
      </w:tblGrid>
      <w:tr w:rsidR="00242222" w:rsidRPr="001A367B" w14:paraId="20D2641D" w14:textId="77777777" w:rsidTr="008C3494">
        <w:trPr>
          <w:tblHeader/>
        </w:trPr>
        <w:tc>
          <w:tcPr>
            <w:tcW w:w="1129" w:type="dxa"/>
            <w:tcMar>
              <w:left w:w="113" w:type="dxa"/>
              <w:right w:w="113" w:type="dxa"/>
            </w:tcMar>
          </w:tcPr>
          <w:p w14:paraId="5920E001" w14:textId="77777777" w:rsidR="00242222" w:rsidRPr="001A367B"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highlight w:val="yellow"/>
              </w:rPr>
            </w:pPr>
            <w:bookmarkStart w:id="23" w:name="_Hlk5969855"/>
          </w:p>
        </w:tc>
        <w:tc>
          <w:tcPr>
            <w:tcW w:w="758" w:type="dxa"/>
            <w:tcMar>
              <w:left w:w="113" w:type="dxa"/>
              <w:right w:w="113" w:type="dxa"/>
            </w:tcMar>
          </w:tcPr>
          <w:p w14:paraId="5D3E6DD6" w14:textId="77777777" w:rsidR="00242222" w:rsidRPr="006321FE"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6321FE">
              <w:rPr>
                <w:sz w:val="16"/>
                <w:szCs w:val="16"/>
              </w:rPr>
              <w:t>Base rate</w:t>
            </w:r>
          </w:p>
        </w:tc>
        <w:tc>
          <w:tcPr>
            <w:tcW w:w="944" w:type="dxa"/>
            <w:tcMar>
              <w:left w:w="113" w:type="dxa"/>
              <w:right w:w="113" w:type="dxa"/>
            </w:tcMar>
          </w:tcPr>
          <w:p w14:paraId="3F08A507" w14:textId="77777777" w:rsidR="00242222" w:rsidRPr="006321FE"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6321FE">
              <w:rPr>
                <w:sz w:val="16"/>
                <w:szCs w:val="16"/>
              </w:rPr>
              <w:t>Pension supp</w:t>
            </w:r>
          </w:p>
        </w:tc>
        <w:tc>
          <w:tcPr>
            <w:tcW w:w="944" w:type="dxa"/>
            <w:tcMar>
              <w:left w:w="113" w:type="dxa"/>
              <w:right w:w="113" w:type="dxa"/>
            </w:tcMar>
          </w:tcPr>
          <w:p w14:paraId="49AFC1CD" w14:textId="77777777" w:rsidR="00242222" w:rsidRPr="006321FE"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6321FE">
              <w:rPr>
                <w:sz w:val="16"/>
                <w:szCs w:val="16"/>
              </w:rPr>
              <w:t>Energy supp</w:t>
            </w:r>
          </w:p>
        </w:tc>
        <w:tc>
          <w:tcPr>
            <w:tcW w:w="943" w:type="dxa"/>
            <w:tcMar>
              <w:left w:w="113" w:type="dxa"/>
              <w:right w:w="113" w:type="dxa"/>
            </w:tcMar>
          </w:tcPr>
          <w:p w14:paraId="76AAC184" w14:textId="77777777" w:rsidR="00242222" w:rsidRPr="00A16E43"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A16E43">
              <w:rPr>
                <w:sz w:val="16"/>
                <w:szCs w:val="16"/>
              </w:rPr>
              <w:t>FTB A Child u13</w:t>
            </w:r>
          </w:p>
        </w:tc>
        <w:tc>
          <w:tcPr>
            <w:tcW w:w="944" w:type="dxa"/>
            <w:tcMar>
              <w:left w:w="113" w:type="dxa"/>
              <w:right w:w="113" w:type="dxa"/>
            </w:tcMar>
          </w:tcPr>
          <w:p w14:paraId="0FCEE250" w14:textId="77777777" w:rsidR="00242222" w:rsidRPr="00435979"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435979">
              <w:rPr>
                <w:sz w:val="16"/>
                <w:szCs w:val="16"/>
              </w:rPr>
              <w:t>FTB A Child 13-15</w:t>
            </w:r>
          </w:p>
        </w:tc>
        <w:tc>
          <w:tcPr>
            <w:tcW w:w="944" w:type="dxa"/>
            <w:tcMar>
              <w:left w:w="113" w:type="dxa"/>
              <w:right w:w="113" w:type="dxa"/>
            </w:tcMar>
          </w:tcPr>
          <w:p w14:paraId="0ECCC632" w14:textId="77777777" w:rsidR="00242222" w:rsidRPr="00435979"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435979">
              <w:rPr>
                <w:sz w:val="16"/>
                <w:szCs w:val="16"/>
              </w:rPr>
              <w:t>FTB B</w:t>
            </w:r>
          </w:p>
        </w:tc>
        <w:tc>
          <w:tcPr>
            <w:tcW w:w="944" w:type="dxa"/>
            <w:tcMar>
              <w:left w:w="113" w:type="dxa"/>
              <w:right w:w="113" w:type="dxa"/>
            </w:tcMar>
          </w:tcPr>
          <w:p w14:paraId="60DC294E" w14:textId="77777777" w:rsidR="00242222" w:rsidRPr="00435979"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435979">
              <w:rPr>
                <w:sz w:val="16"/>
                <w:szCs w:val="16"/>
              </w:rPr>
              <w:t>Pharmaceutical Benefit</w:t>
            </w:r>
          </w:p>
        </w:tc>
        <w:tc>
          <w:tcPr>
            <w:tcW w:w="944" w:type="dxa"/>
            <w:tcMar>
              <w:left w:w="113" w:type="dxa"/>
              <w:right w:w="113" w:type="dxa"/>
            </w:tcMar>
          </w:tcPr>
          <w:p w14:paraId="79297790" w14:textId="77777777" w:rsidR="00242222" w:rsidRPr="00BA287A"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BA287A">
              <w:rPr>
                <w:sz w:val="16"/>
                <w:szCs w:val="16"/>
              </w:rPr>
              <w:t>Fortnight Total</w:t>
            </w:r>
          </w:p>
        </w:tc>
        <w:tc>
          <w:tcPr>
            <w:tcW w:w="944" w:type="dxa"/>
          </w:tcPr>
          <w:p w14:paraId="46DCD489" w14:textId="77777777" w:rsidR="00242222" w:rsidRPr="00BA287A"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BA287A">
              <w:rPr>
                <w:sz w:val="16"/>
                <w:szCs w:val="16"/>
              </w:rPr>
              <w:t>Week Total</w:t>
            </w:r>
          </w:p>
        </w:tc>
      </w:tr>
      <w:tr w:rsidR="00BA287A" w:rsidRPr="001A367B" w14:paraId="423CFC8D" w14:textId="77777777" w:rsidTr="008C3494">
        <w:tc>
          <w:tcPr>
            <w:tcW w:w="1129" w:type="dxa"/>
            <w:tcMar>
              <w:left w:w="113" w:type="dxa"/>
              <w:right w:w="113" w:type="dxa"/>
            </w:tcMar>
          </w:tcPr>
          <w:p w14:paraId="425765EE" w14:textId="77777777" w:rsidR="00BA287A" w:rsidRPr="005C6CE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5C6CE3">
              <w:rPr>
                <w:sz w:val="16"/>
                <w:szCs w:val="16"/>
              </w:rPr>
              <w:t>Age pension, single</w:t>
            </w:r>
          </w:p>
        </w:tc>
        <w:tc>
          <w:tcPr>
            <w:tcW w:w="758" w:type="dxa"/>
            <w:tcMar>
              <w:left w:w="113" w:type="dxa"/>
              <w:right w:w="113" w:type="dxa"/>
            </w:tcMar>
          </w:tcPr>
          <w:p w14:paraId="2DEE3A8C" w14:textId="4DA16A7D"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850.40</w:t>
            </w:r>
          </w:p>
        </w:tc>
        <w:tc>
          <w:tcPr>
            <w:tcW w:w="944" w:type="dxa"/>
            <w:tcMar>
              <w:left w:w="113" w:type="dxa"/>
              <w:right w:w="113" w:type="dxa"/>
            </w:tcMar>
          </w:tcPr>
          <w:p w14:paraId="2748D398" w14:textId="76CB5050"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68.90</w:t>
            </w:r>
          </w:p>
        </w:tc>
        <w:tc>
          <w:tcPr>
            <w:tcW w:w="944" w:type="dxa"/>
            <w:tcMar>
              <w:left w:w="113" w:type="dxa"/>
              <w:right w:w="113" w:type="dxa"/>
            </w:tcMar>
          </w:tcPr>
          <w:p w14:paraId="2FEA33AE" w14:textId="03C2BDCC"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14.10</w:t>
            </w:r>
          </w:p>
        </w:tc>
        <w:tc>
          <w:tcPr>
            <w:tcW w:w="943" w:type="dxa"/>
            <w:tcMar>
              <w:left w:w="113" w:type="dxa"/>
              <w:right w:w="113" w:type="dxa"/>
            </w:tcMar>
          </w:tcPr>
          <w:p w14:paraId="46CD5C4C" w14:textId="77777777" w:rsidR="00BA287A" w:rsidRPr="00A16E4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A16E43">
              <w:rPr>
                <w:sz w:val="16"/>
                <w:szCs w:val="16"/>
              </w:rPr>
              <w:t>-</w:t>
            </w:r>
          </w:p>
        </w:tc>
        <w:tc>
          <w:tcPr>
            <w:tcW w:w="944" w:type="dxa"/>
            <w:tcMar>
              <w:left w:w="113" w:type="dxa"/>
              <w:right w:w="113" w:type="dxa"/>
            </w:tcMar>
          </w:tcPr>
          <w:p w14:paraId="4F5AB164"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655424BD"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68125793"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22B69857" w14:textId="1144CEA8"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933.40</w:t>
            </w:r>
          </w:p>
        </w:tc>
        <w:tc>
          <w:tcPr>
            <w:tcW w:w="944" w:type="dxa"/>
          </w:tcPr>
          <w:p w14:paraId="51FF17B3" w14:textId="25B4D190"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466.70</w:t>
            </w:r>
          </w:p>
        </w:tc>
      </w:tr>
      <w:tr w:rsidR="00BA287A" w:rsidRPr="001A367B" w14:paraId="6F0FD987" w14:textId="77777777" w:rsidTr="008C3494">
        <w:tc>
          <w:tcPr>
            <w:tcW w:w="1129" w:type="dxa"/>
            <w:tcMar>
              <w:left w:w="113" w:type="dxa"/>
              <w:right w:w="113" w:type="dxa"/>
            </w:tcMar>
          </w:tcPr>
          <w:p w14:paraId="38B194D9" w14:textId="77777777" w:rsidR="00BA287A" w:rsidRPr="005C6CE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5C6CE3">
              <w:rPr>
                <w:sz w:val="16"/>
                <w:szCs w:val="16"/>
              </w:rPr>
              <w:t>Newstart, single, no children</w:t>
            </w:r>
          </w:p>
        </w:tc>
        <w:tc>
          <w:tcPr>
            <w:tcW w:w="758" w:type="dxa"/>
            <w:tcMar>
              <w:left w:w="113" w:type="dxa"/>
              <w:right w:w="113" w:type="dxa"/>
            </w:tcMar>
          </w:tcPr>
          <w:p w14:paraId="0FA82AB1" w14:textId="5C6F0F9E"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559.00</w:t>
            </w:r>
          </w:p>
        </w:tc>
        <w:tc>
          <w:tcPr>
            <w:tcW w:w="944" w:type="dxa"/>
            <w:tcMar>
              <w:left w:w="113" w:type="dxa"/>
              <w:right w:w="113" w:type="dxa"/>
            </w:tcMar>
          </w:tcPr>
          <w:p w14:paraId="417A8452" w14:textId="77777777"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w:t>
            </w:r>
          </w:p>
        </w:tc>
        <w:tc>
          <w:tcPr>
            <w:tcW w:w="944" w:type="dxa"/>
            <w:tcMar>
              <w:left w:w="113" w:type="dxa"/>
              <w:right w:w="113" w:type="dxa"/>
            </w:tcMar>
          </w:tcPr>
          <w:p w14:paraId="1433043A" w14:textId="1FD40155"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8.80</w:t>
            </w:r>
          </w:p>
        </w:tc>
        <w:tc>
          <w:tcPr>
            <w:tcW w:w="943" w:type="dxa"/>
            <w:tcMar>
              <w:left w:w="113" w:type="dxa"/>
              <w:right w:w="113" w:type="dxa"/>
            </w:tcMar>
          </w:tcPr>
          <w:p w14:paraId="0435CEA9" w14:textId="77777777" w:rsidR="00BA287A" w:rsidRPr="00A16E4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A16E43">
              <w:rPr>
                <w:sz w:val="16"/>
                <w:szCs w:val="16"/>
              </w:rPr>
              <w:t>-</w:t>
            </w:r>
          </w:p>
        </w:tc>
        <w:tc>
          <w:tcPr>
            <w:tcW w:w="944" w:type="dxa"/>
            <w:tcMar>
              <w:left w:w="113" w:type="dxa"/>
              <w:right w:w="113" w:type="dxa"/>
            </w:tcMar>
          </w:tcPr>
          <w:p w14:paraId="1F45D59B"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5520553A"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54727B92"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46FB604A" w14:textId="273B0880"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567.80</w:t>
            </w:r>
          </w:p>
        </w:tc>
        <w:tc>
          <w:tcPr>
            <w:tcW w:w="944" w:type="dxa"/>
          </w:tcPr>
          <w:p w14:paraId="34A9BEF7" w14:textId="188A373C"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283.90</w:t>
            </w:r>
          </w:p>
        </w:tc>
      </w:tr>
      <w:tr w:rsidR="00BA287A" w:rsidRPr="001A367B" w14:paraId="07FB5CF1" w14:textId="77777777" w:rsidTr="008C3494">
        <w:tc>
          <w:tcPr>
            <w:tcW w:w="1129" w:type="dxa"/>
            <w:tcMar>
              <w:left w:w="113" w:type="dxa"/>
              <w:right w:w="113" w:type="dxa"/>
            </w:tcMar>
          </w:tcPr>
          <w:p w14:paraId="4E18FB0A" w14:textId="77777777" w:rsidR="00BA287A" w:rsidRPr="005C6CE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5C6CE3">
              <w:rPr>
                <w:sz w:val="16"/>
                <w:szCs w:val="16"/>
              </w:rPr>
              <w:t>Newstart, single, 2 children</w:t>
            </w:r>
          </w:p>
        </w:tc>
        <w:tc>
          <w:tcPr>
            <w:tcW w:w="758" w:type="dxa"/>
            <w:tcMar>
              <w:left w:w="113" w:type="dxa"/>
              <w:right w:w="113" w:type="dxa"/>
            </w:tcMar>
          </w:tcPr>
          <w:p w14:paraId="2F639729" w14:textId="265FDFB0"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604.70</w:t>
            </w:r>
          </w:p>
        </w:tc>
        <w:tc>
          <w:tcPr>
            <w:tcW w:w="944" w:type="dxa"/>
            <w:tcMar>
              <w:left w:w="113" w:type="dxa"/>
              <w:right w:w="113" w:type="dxa"/>
            </w:tcMar>
          </w:tcPr>
          <w:p w14:paraId="1AAAC249" w14:textId="77777777"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w:t>
            </w:r>
          </w:p>
        </w:tc>
        <w:tc>
          <w:tcPr>
            <w:tcW w:w="944" w:type="dxa"/>
            <w:tcMar>
              <w:left w:w="113" w:type="dxa"/>
              <w:right w:w="113" w:type="dxa"/>
            </w:tcMar>
          </w:tcPr>
          <w:p w14:paraId="23EC1B73" w14:textId="003493AB"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9.50</w:t>
            </w:r>
          </w:p>
        </w:tc>
        <w:tc>
          <w:tcPr>
            <w:tcW w:w="943" w:type="dxa"/>
            <w:tcMar>
              <w:left w:w="113" w:type="dxa"/>
              <w:right w:w="113" w:type="dxa"/>
            </w:tcMar>
          </w:tcPr>
          <w:p w14:paraId="33E5D5B5" w14:textId="6FB145F4" w:rsidR="00BA287A" w:rsidRPr="00A16E4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A16E43">
              <w:rPr>
                <w:sz w:val="16"/>
                <w:szCs w:val="16"/>
              </w:rPr>
              <w:t>186.20</w:t>
            </w:r>
          </w:p>
        </w:tc>
        <w:tc>
          <w:tcPr>
            <w:tcW w:w="944" w:type="dxa"/>
            <w:tcMar>
              <w:left w:w="113" w:type="dxa"/>
              <w:right w:w="113" w:type="dxa"/>
            </w:tcMar>
          </w:tcPr>
          <w:p w14:paraId="13444CCF" w14:textId="7F94024C"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242.20</w:t>
            </w:r>
          </w:p>
        </w:tc>
        <w:tc>
          <w:tcPr>
            <w:tcW w:w="944" w:type="dxa"/>
            <w:tcMar>
              <w:left w:w="113" w:type="dxa"/>
              <w:right w:w="113" w:type="dxa"/>
            </w:tcMar>
          </w:tcPr>
          <w:p w14:paraId="3E4362B0" w14:textId="7E9D9AFF"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110.60</w:t>
            </w:r>
          </w:p>
        </w:tc>
        <w:tc>
          <w:tcPr>
            <w:tcW w:w="944" w:type="dxa"/>
            <w:tcMar>
              <w:left w:w="113" w:type="dxa"/>
              <w:right w:w="113" w:type="dxa"/>
            </w:tcMar>
          </w:tcPr>
          <w:p w14:paraId="3A2DCA56" w14:textId="434C7A0E"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6.20</w:t>
            </w:r>
          </w:p>
        </w:tc>
        <w:tc>
          <w:tcPr>
            <w:tcW w:w="944" w:type="dxa"/>
            <w:tcMar>
              <w:left w:w="113" w:type="dxa"/>
              <w:right w:w="113" w:type="dxa"/>
            </w:tcMar>
          </w:tcPr>
          <w:p w14:paraId="09B81B43" w14:textId="0DCFB214"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1159.40</w:t>
            </w:r>
          </w:p>
        </w:tc>
        <w:tc>
          <w:tcPr>
            <w:tcW w:w="944" w:type="dxa"/>
          </w:tcPr>
          <w:p w14:paraId="76FAA0E5" w14:textId="03B4DBB7"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579.70</w:t>
            </w:r>
          </w:p>
        </w:tc>
      </w:tr>
      <w:tr w:rsidR="00BA287A" w:rsidRPr="001A367B" w14:paraId="060D1F4A" w14:textId="77777777" w:rsidTr="008C3494">
        <w:tc>
          <w:tcPr>
            <w:tcW w:w="1129" w:type="dxa"/>
            <w:tcMar>
              <w:left w:w="113" w:type="dxa"/>
              <w:right w:w="113" w:type="dxa"/>
            </w:tcMar>
          </w:tcPr>
          <w:p w14:paraId="512944D1" w14:textId="77777777" w:rsidR="00BA287A" w:rsidRPr="005C6CE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5C6CE3">
              <w:rPr>
                <w:sz w:val="16"/>
                <w:szCs w:val="16"/>
              </w:rPr>
              <w:t>Youth Allowance, single, no children</w:t>
            </w:r>
          </w:p>
        </w:tc>
        <w:tc>
          <w:tcPr>
            <w:tcW w:w="758" w:type="dxa"/>
            <w:tcMar>
              <w:left w:w="113" w:type="dxa"/>
              <w:right w:w="113" w:type="dxa"/>
            </w:tcMar>
          </w:tcPr>
          <w:p w14:paraId="3741F9C4" w14:textId="104E8392"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455.20</w:t>
            </w:r>
          </w:p>
        </w:tc>
        <w:tc>
          <w:tcPr>
            <w:tcW w:w="944" w:type="dxa"/>
            <w:tcMar>
              <w:left w:w="113" w:type="dxa"/>
              <w:right w:w="113" w:type="dxa"/>
            </w:tcMar>
          </w:tcPr>
          <w:p w14:paraId="7917A6FF" w14:textId="77777777"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w:t>
            </w:r>
          </w:p>
        </w:tc>
        <w:tc>
          <w:tcPr>
            <w:tcW w:w="944" w:type="dxa"/>
            <w:tcMar>
              <w:left w:w="113" w:type="dxa"/>
              <w:right w:w="113" w:type="dxa"/>
            </w:tcMar>
          </w:tcPr>
          <w:p w14:paraId="1B6E79D4" w14:textId="4DC9016C" w:rsidR="00BA287A" w:rsidRPr="006321FE"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6321FE">
              <w:rPr>
                <w:sz w:val="16"/>
                <w:szCs w:val="16"/>
              </w:rPr>
              <w:t>7.00</w:t>
            </w:r>
          </w:p>
        </w:tc>
        <w:tc>
          <w:tcPr>
            <w:tcW w:w="943" w:type="dxa"/>
            <w:tcMar>
              <w:left w:w="113" w:type="dxa"/>
              <w:right w:w="113" w:type="dxa"/>
            </w:tcMar>
          </w:tcPr>
          <w:p w14:paraId="784470C9" w14:textId="77777777" w:rsidR="00BA287A" w:rsidRPr="00A16E43"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A16E43">
              <w:rPr>
                <w:sz w:val="16"/>
                <w:szCs w:val="16"/>
              </w:rPr>
              <w:t>-</w:t>
            </w:r>
          </w:p>
        </w:tc>
        <w:tc>
          <w:tcPr>
            <w:tcW w:w="944" w:type="dxa"/>
            <w:tcMar>
              <w:left w:w="113" w:type="dxa"/>
              <w:right w:w="113" w:type="dxa"/>
            </w:tcMar>
          </w:tcPr>
          <w:p w14:paraId="74A7C6C1"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6380BE24"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5D0B57CC" w14:textId="77777777" w:rsidR="00BA287A" w:rsidRPr="00435979"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435979">
              <w:rPr>
                <w:sz w:val="16"/>
                <w:szCs w:val="16"/>
              </w:rPr>
              <w:t>-</w:t>
            </w:r>
          </w:p>
        </w:tc>
        <w:tc>
          <w:tcPr>
            <w:tcW w:w="944" w:type="dxa"/>
            <w:tcMar>
              <w:left w:w="113" w:type="dxa"/>
              <w:right w:w="113" w:type="dxa"/>
            </w:tcMar>
          </w:tcPr>
          <w:p w14:paraId="17341C75" w14:textId="4201E878"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462.20</w:t>
            </w:r>
          </w:p>
        </w:tc>
        <w:tc>
          <w:tcPr>
            <w:tcW w:w="944" w:type="dxa"/>
          </w:tcPr>
          <w:p w14:paraId="453464D5" w14:textId="423B9119" w:rsidR="00BA287A" w:rsidRPr="00BA287A" w:rsidRDefault="00BA287A" w:rsidP="00BA28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BA287A">
              <w:rPr>
                <w:sz w:val="16"/>
                <w:szCs w:val="16"/>
              </w:rPr>
              <w:t>231.10</w:t>
            </w:r>
          </w:p>
        </w:tc>
      </w:tr>
    </w:tbl>
    <w:bookmarkEnd w:id="23"/>
    <w:p w14:paraId="4076208A" w14:textId="612459D6" w:rsidR="00242222" w:rsidRPr="00D82440" w:rsidRDefault="00242222" w:rsidP="00397A6D">
      <w:pPr>
        <w:pStyle w:val="Source"/>
        <w:rPr>
          <w:sz w:val="18"/>
          <w:szCs w:val="20"/>
        </w:rPr>
      </w:pPr>
      <w:r w:rsidRPr="00D82440">
        <w:rPr>
          <w:sz w:val="18"/>
          <w:szCs w:val="20"/>
        </w:rPr>
        <w:t>Source: Centrelink</w:t>
      </w:r>
      <w:r w:rsidRPr="00D82440">
        <w:rPr>
          <w:i/>
          <w:iCs/>
          <w:sz w:val="18"/>
          <w:szCs w:val="20"/>
        </w:rPr>
        <w:t xml:space="preserve">, </w:t>
      </w:r>
      <w:hyperlink r:id="rId58" w:anchor="a3" w:history="1">
        <w:r w:rsidRPr="00D82440">
          <w:rPr>
            <w:rStyle w:val="Hyperlink"/>
            <w:i/>
            <w:iCs/>
            <w:sz w:val="18"/>
            <w:szCs w:val="20"/>
          </w:rPr>
          <w:t>A guide to Australian Government payments</w:t>
        </w:r>
        <w:r w:rsidR="00540AE6">
          <w:rPr>
            <w:rStyle w:val="Hyperlink"/>
            <w:i/>
            <w:iCs/>
            <w:sz w:val="18"/>
            <w:szCs w:val="20"/>
          </w:rPr>
          <w:t>:</w:t>
        </w:r>
        <w:r w:rsidRPr="00D82440">
          <w:rPr>
            <w:rStyle w:val="Hyperlink"/>
            <w:i/>
            <w:iCs/>
            <w:sz w:val="18"/>
            <w:szCs w:val="20"/>
          </w:rPr>
          <w:t xml:space="preserve"> 20 September-31 December 20</w:t>
        </w:r>
        <w:r w:rsidR="00B003E6" w:rsidRPr="00D82440">
          <w:rPr>
            <w:rStyle w:val="Hyperlink"/>
            <w:i/>
            <w:iCs/>
            <w:sz w:val="18"/>
            <w:szCs w:val="20"/>
          </w:rPr>
          <w:t>19</w:t>
        </w:r>
      </w:hyperlink>
      <w:r w:rsidRPr="00D82440">
        <w:rPr>
          <w:sz w:val="18"/>
          <w:szCs w:val="20"/>
        </w:rPr>
        <w:t>, Centrelink, Canberra, 20</w:t>
      </w:r>
      <w:r w:rsidR="00B003E6" w:rsidRPr="00D82440">
        <w:rPr>
          <w:sz w:val="18"/>
          <w:szCs w:val="20"/>
        </w:rPr>
        <w:t>19</w:t>
      </w:r>
      <w:r w:rsidR="005277E2">
        <w:rPr>
          <w:sz w:val="18"/>
          <w:szCs w:val="20"/>
        </w:rPr>
        <w:t>, accessed 13 July 2021.</w:t>
      </w:r>
    </w:p>
    <w:p w14:paraId="4F5F8ACB" w14:textId="45ADF306" w:rsidR="006D33CD" w:rsidRDefault="00210F0F" w:rsidP="00242222">
      <w:pPr>
        <w:keepNext/>
        <w:spacing w:before="240" w:after="120"/>
        <w:rPr>
          <w:b/>
          <w:sz w:val="20"/>
        </w:rPr>
      </w:pPr>
      <w:r>
        <w:rPr>
          <w:b/>
          <w:sz w:val="20"/>
        </w:rPr>
        <w:t>Coronavirus Supplement for JobSeeker and Youth Allowance recipients:</w:t>
      </w:r>
    </w:p>
    <w:p w14:paraId="50E4E43D" w14:textId="7D090A13" w:rsidR="00210F0F" w:rsidRPr="0038743E" w:rsidRDefault="00403EDF" w:rsidP="0038743E">
      <w:pPr>
        <w:pStyle w:val="ListBullet"/>
        <w:numPr>
          <w:ilvl w:val="0"/>
          <w:numId w:val="0"/>
        </w:numPr>
        <w:ind w:left="567" w:hanging="567"/>
        <w:rPr>
          <w:sz w:val="20"/>
          <w:szCs w:val="20"/>
        </w:rPr>
      </w:pPr>
      <w:r w:rsidRPr="0038743E">
        <w:rPr>
          <w:sz w:val="20"/>
          <w:szCs w:val="20"/>
        </w:rPr>
        <w:t xml:space="preserve">27 April 2020 </w:t>
      </w:r>
      <w:r w:rsidR="00CE1F5B" w:rsidRPr="0038743E">
        <w:rPr>
          <w:sz w:val="20"/>
          <w:szCs w:val="20"/>
        </w:rPr>
        <w:t>–</w:t>
      </w:r>
      <w:r w:rsidRPr="0038743E">
        <w:rPr>
          <w:sz w:val="20"/>
          <w:szCs w:val="20"/>
        </w:rPr>
        <w:t xml:space="preserve"> </w:t>
      </w:r>
      <w:r w:rsidR="00CE1F5B" w:rsidRPr="0038743E">
        <w:rPr>
          <w:sz w:val="20"/>
          <w:szCs w:val="20"/>
        </w:rPr>
        <w:t>24 September 2020</w:t>
      </w:r>
    </w:p>
    <w:p w14:paraId="5ED468F8" w14:textId="10BE73C5" w:rsidR="00CE1F5B" w:rsidRPr="0038743E" w:rsidRDefault="00CE1F5B" w:rsidP="00845BD5">
      <w:pPr>
        <w:pStyle w:val="ListBullet2"/>
        <w:rPr>
          <w:sz w:val="20"/>
          <w:szCs w:val="20"/>
        </w:rPr>
      </w:pPr>
      <w:r w:rsidRPr="0038743E">
        <w:rPr>
          <w:sz w:val="20"/>
          <w:szCs w:val="20"/>
        </w:rPr>
        <w:t>$550 per fortnight</w:t>
      </w:r>
      <w:r w:rsidR="00A34911" w:rsidRPr="0038743E">
        <w:rPr>
          <w:sz w:val="20"/>
          <w:szCs w:val="20"/>
        </w:rPr>
        <w:t>/$2</w:t>
      </w:r>
      <w:r w:rsidR="00845BD5" w:rsidRPr="0038743E">
        <w:rPr>
          <w:sz w:val="20"/>
          <w:szCs w:val="20"/>
        </w:rPr>
        <w:t>7</w:t>
      </w:r>
      <w:r w:rsidR="00A34911" w:rsidRPr="0038743E">
        <w:rPr>
          <w:sz w:val="20"/>
          <w:szCs w:val="20"/>
        </w:rPr>
        <w:t>5 per week</w:t>
      </w:r>
    </w:p>
    <w:p w14:paraId="4E11C18D" w14:textId="0816BD70" w:rsidR="00CE1F5B" w:rsidRPr="0038743E" w:rsidRDefault="00CE1F5B" w:rsidP="0038743E">
      <w:pPr>
        <w:pStyle w:val="ListBullet"/>
        <w:numPr>
          <w:ilvl w:val="0"/>
          <w:numId w:val="0"/>
        </w:numPr>
        <w:ind w:left="567" w:hanging="567"/>
        <w:rPr>
          <w:sz w:val="20"/>
          <w:szCs w:val="20"/>
        </w:rPr>
      </w:pPr>
      <w:r w:rsidRPr="0038743E">
        <w:rPr>
          <w:sz w:val="20"/>
          <w:szCs w:val="20"/>
        </w:rPr>
        <w:t>25 September 2020 – 31 December 2020</w:t>
      </w:r>
    </w:p>
    <w:p w14:paraId="6B6E38F1" w14:textId="72A5D49E" w:rsidR="00CE1F5B" w:rsidRPr="0038743E" w:rsidRDefault="00A34911" w:rsidP="00845BD5">
      <w:pPr>
        <w:pStyle w:val="ListBullet2"/>
        <w:rPr>
          <w:sz w:val="20"/>
          <w:szCs w:val="20"/>
        </w:rPr>
      </w:pPr>
      <w:r w:rsidRPr="0038743E">
        <w:rPr>
          <w:sz w:val="20"/>
          <w:szCs w:val="20"/>
        </w:rPr>
        <w:t>$250 per fortnight/</w:t>
      </w:r>
      <w:r w:rsidR="00845BD5" w:rsidRPr="0038743E">
        <w:rPr>
          <w:sz w:val="20"/>
          <w:szCs w:val="20"/>
        </w:rPr>
        <w:t>$125 per week</w:t>
      </w:r>
    </w:p>
    <w:p w14:paraId="0B72572E" w14:textId="6CEC0CED" w:rsidR="00A34911" w:rsidRPr="0038743E" w:rsidRDefault="00A34911" w:rsidP="0038743E">
      <w:pPr>
        <w:pStyle w:val="ListBullet"/>
        <w:numPr>
          <w:ilvl w:val="0"/>
          <w:numId w:val="0"/>
        </w:numPr>
        <w:ind w:left="567" w:hanging="567"/>
        <w:rPr>
          <w:sz w:val="20"/>
          <w:szCs w:val="20"/>
        </w:rPr>
      </w:pPr>
      <w:r w:rsidRPr="0038743E">
        <w:rPr>
          <w:sz w:val="20"/>
          <w:szCs w:val="20"/>
        </w:rPr>
        <w:t>1 January 2021 – 31 March 2021</w:t>
      </w:r>
    </w:p>
    <w:p w14:paraId="36B8D55D" w14:textId="1697506C" w:rsidR="00A34911" w:rsidRPr="0038743E" w:rsidRDefault="00A34911" w:rsidP="00845BD5">
      <w:pPr>
        <w:pStyle w:val="ListBullet2"/>
        <w:rPr>
          <w:sz w:val="20"/>
          <w:szCs w:val="20"/>
        </w:rPr>
      </w:pPr>
      <w:r w:rsidRPr="0038743E">
        <w:rPr>
          <w:sz w:val="20"/>
          <w:szCs w:val="20"/>
        </w:rPr>
        <w:t>$150 per fortnight</w:t>
      </w:r>
      <w:r w:rsidR="00845BD5" w:rsidRPr="0038743E">
        <w:rPr>
          <w:sz w:val="20"/>
          <w:szCs w:val="20"/>
        </w:rPr>
        <w:t>/$75 per week</w:t>
      </w:r>
    </w:p>
    <w:p w14:paraId="0ECB32FD" w14:textId="5A4B5F76" w:rsidR="00242222" w:rsidRPr="008C3494" w:rsidRDefault="00242222" w:rsidP="00397A6D">
      <w:pPr>
        <w:pStyle w:val="Figuretabletitle"/>
      </w:pPr>
      <w:r w:rsidRPr="008C3494">
        <w:t xml:space="preserve">Rates at </w:t>
      </w:r>
      <w:r w:rsidR="003F0250" w:rsidRPr="008C3494">
        <w:t>1 April 2021</w:t>
      </w:r>
    </w:p>
    <w:tbl>
      <w:tblPr>
        <w:tblStyle w:val="TableGrid"/>
        <w:tblW w:w="9438" w:type="dxa"/>
        <w:tblLayout w:type="fixed"/>
        <w:tblLook w:val="04A0" w:firstRow="1" w:lastRow="0" w:firstColumn="1" w:lastColumn="0" w:noHBand="0" w:noVBand="1"/>
      </w:tblPr>
      <w:tblGrid>
        <w:gridCol w:w="1129"/>
        <w:gridCol w:w="758"/>
        <w:gridCol w:w="944"/>
        <w:gridCol w:w="944"/>
        <w:gridCol w:w="943"/>
        <w:gridCol w:w="944"/>
        <w:gridCol w:w="944"/>
        <w:gridCol w:w="944"/>
        <w:gridCol w:w="944"/>
        <w:gridCol w:w="944"/>
      </w:tblGrid>
      <w:tr w:rsidR="00242222" w:rsidRPr="001A367B" w14:paraId="23BBA3E7" w14:textId="77777777" w:rsidTr="008C3494">
        <w:trPr>
          <w:tblHeader/>
        </w:trPr>
        <w:tc>
          <w:tcPr>
            <w:tcW w:w="1129" w:type="dxa"/>
            <w:tcMar>
              <w:left w:w="113" w:type="dxa"/>
              <w:right w:w="113" w:type="dxa"/>
            </w:tcMar>
          </w:tcPr>
          <w:p w14:paraId="246FDA1F"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p>
        </w:tc>
        <w:tc>
          <w:tcPr>
            <w:tcW w:w="758" w:type="dxa"/>
            <w:tcMar>
              <w:left w:w="113" w:type="dxa"/>
              <w:right w:w="113" w:type="dxa"/>
            </w:tcMar>
          </w:tcPr>
          <w:p w14:paraId="720F924D"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Base rate</w:t>
            </w:r>
          </w:p>
        </w:tc>
        <w:tc>
          <w:tcPr>
            <w:tcW w:w="944" w:type="dxa"/>
            <w:tcMar>
              <w:left w:w="113" w:type="dxa"/>
              <w:right w:w="113" w:type="dxa"/>
            </w:tcMar>
          </w:tcPr>
          <w:p w14:paraId="5A6C9945"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Pension support</w:t>
            </w:r>
          </w:p>
        </w:tc>
        <w:tc>
          <w:tcPr>
            <w:tcW w:w="944" w:type="dxa"/>
            <w:tcMar>
              <w:left w:w="113" w:type="dxa"/>
              <w:right w:w="113" w:type="dxa"/>
            </w:tcMar>
          </w:tcPr>
          <w:p w14:paraId="1340CB4E"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Energy supplement</w:t>
            </w:r>
          </w:p>
        </w:tc>
        <w:tc>
          <w:tcPr>
            <w:tcW w:w="943" w:type="dxa"/>
            <w:tcMar>
              <w:left w:w="113" w:type="dxa"/>
              <w:right w:w="113" w:type="dxa"/>
            </w:tcMar>
          </w:tcPr>
          <w:p w14:paraId="37C41DA4"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FTB A Child u13</w:t>
            </w:r>
          </w:p>
        </w:tc>
        <w:tc>
          <w:tcPr>
            <w:tcW w:w="944" w:type="dxa"/>
            <w:tcMar>
              <w:left w:w="113" w:type="dxa"/>
              <w:right w:w="113" w:type="dxa"/>
            </w:tcMar>
          </w:tcPr>
          <w:p w14:paraId="79B20028"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FTB A Child 13-15</w:t>
            </w:r>
          </w:p>
        </w:tc>
        <w:tc>
          <w:tcPr>
            <w:tcW w:w="944" w:type="dxa"/>
            <w:tcMar>
              <w:left w:w="113" w:type="dxa"/>
              <w:right w:w="113" w:type="dxa"/>
            </w:tcMar>
          </w:tcPr>
          <w:p w14:paraId="3CBCE7BB"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FTB B</w:t>
            </w:r>
          </w:p>
        </w:tc>
        <w:tc>
          <w:tcPr>
            <w:tcW w:w="944" w:type="dxa"/>
            <w:tcMar>
              <w:left w:w="113" w:type="dxa"/>
              <w:right w:w="113" w:type="dxa"/>
            </w:tcMar>
          </w:tcPr>
          <w:p w14:paraId="3612CBAC"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Pharmaceutical Benefit</w:t>
            </w:r>
          </w:p>
        </w:tc>
        <w:tc>
          <w:tcPr>
            <w:tcW w:w="944" w:type="dxa"/>
            <w:tcMar>
              <w:left w:w="113" w:type="dxa"/>
              <w:right w:w="113" w:type="dxa"/>
            </w:tcMar>
          </w:tcPr>
          <w:p w14:paraId="0A1C5E0E"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Fortnight Total</w:t>
            </w:r>
          </w:p>
        </w:tc>
        <w:tc>
          <w:tcPr>
            <w:tcW w:w="944" w:type="dxa"/>
          </w:tcPr>
          <w:p w14:paraId="7D50E705" w14:textId="77777777" w:rsidR="00242222" w:rsidRPr="008C3494" w:rsidRDefault="00242222" w:rsidP="002E0B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center"/>
              <w:rPr>
                <w:sz w:val="16"/>
                <w:szCs w:val="16"/>
              </w:rPr>
            </w:pPr>
            <w:r w:rsidRPr="008C3494">
              <w:rPr>
                <w:sz w:val="16"/>
                <w:szCs w:val="16"/>
              </w:rPr>
              <w:t>Week Total</w:t>
            </w:r>
          </w:p>
        </w:tc>
      </w:tr>
      <w:tr w:rsidR="008C3494" w:rsidRPr="001A367B" w14:paraId="7E967886" w14:textId="77777777" w:rsidTr="008C3494">
        <w:tc>
          <w:tcPr>
            <w:tcW w:w="1129" w:type="dxa"/>
            <w:tcMar>
              <w:left w:w="113" w:type="dxa"/>
              <w:right w:w="113" w:type="dxa"/>
            </w:tcMar>
          </w:tcPr>
          <w:p w14:paraId="708B9CC6" w14:textId="77777777"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C3494">
              <w:rPr>
                <w:sz w:val="16"/>
                <w:szCs w:val="16"/>
              </w:rPr>
              <w:t>Age pension, single</w:t>
            </w:r>
          </w:p>
        </w:tc>
        <w:tc>
          <w:tcPr>
            <w:tcW w:w="758" w:type="dxa"/>
            <w:tcMar>
              <w:left w:w="113" w:type="dxa"/>
              <w:right w:w="113" w:type="dxa"/>
            </w:tcMar>
          </w:tcPr>
          <w:p w14:paraId="370A3930" w14:textId="204C77AE"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868.30</w:t>
            </w:r>
          </w:p>
        </w:tc>
        <w:tc>
          <w:tcPr>
            <w:tcW w:w="944" w:type="dxa"/>
            <w:tcMar>
              <w:left w:w="113" w:type="dxa"/>
              <w:right w:w="113" w:type="dxa"/>
            </w:tcMar>
          </w:tcPr>
          <w:p w14:paraId="67232EF8" w14:textId="77777777"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70.30</w:t>
            </w:r>
          </w:p>
          <w:p w14:paraId="1E40B796" w14:textId="30981565"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p>
        </w:tc>
        <w:tc>
          <w:tcPr>
            <w:tcW w:w="944" w:type="dxa"/>
            <w:tcMar>
              <w:left w:w="113" w:type="dxa"/>
              <w:right w:w="113" w:type="dxa"/>
            </w:tcMar>
          </w:tcPr>
          <w:p w14:paraId="33CFC478" w14:textId="582A0ABD"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14.10</w:t>
            </w:r>
          </w:p>
        </w:tc>
        <w:tc>
          <w:tcPr>
            <w:tcW w:w="943" w:type="dxa"/>
            <w:tcMar>
              <w:left w:w="113" w:type="dxa"/>
              <w:right w:w="113" w:type="dxa"/>
            </w:tcMar>
          </w:tcPr>
          <w:p w14:paraId="44B0F44E" w14:textId="2C9E3588"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53991D77" w14:textId="32018156"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340C42DC" w14:textId="7ECB9B0D"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556DC996" w14:textId="6408479E"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6FDB6D42" w14:textId="6FEB79FD"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952.70</w:t>
            </w:r>
          </w:p>
        </w:tc>
        <w:tc>
          <w:tcPr>
            <w:tcW w:w="944" w:type="dxa"/>
          </w:tcPr>
          <w:p w14:paraId="4FFB8126" w14:textId="5CA1BD30"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476.35</w:t>
            </w:r>
          </w:p>
        </w:tc>
      </w:tr>
      <w:tr w:rsidR="008C3494" w:rsidRPr="001A367B" w14:paraId="56BCB835" w14:textId="77777777" w:rsidTr="008C3494">
        <w:tc>
          <w:tcPr>
            <w:tcW w:w="1129" w:type="dxa"/>
            <w:tcMar>
              <w:left w:w="113" w:type="dxa"/>
              <w:right w:w="113" w:type="dxa"/>
            </w:tcMar>
          </w:tcPr>
          <w:p w14:paraId="6D9AB832" w14:textId="3967B7A9"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C3494">
              <w:rPr>
                <w:sz w:val="16"/>
                <w:szCs w:val="16"/>
              </w:rPr>
              <w:t>JobSeeker, single, no children</w:t>
            </w:r>
          </w:p>
        </w:tc>
        <w:tc>
          <w:tcPr>
            <w:tcW w:w="758" w:type="dxa"/>
            <w:tcMar>
              <w:left w:w="113" w:type="dxa"/>
              <w:right w:w="113" w:type="dxa"/>
            </w:tcMar>
          </w:tcPr>
          <w:p w14:paraId="63993865" w14:textId="0A7DBDAD"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620.80</w:t>
            </w:r>
          </w:p>
        </w:tc>
        <w:tc>
          <w:tcPr>
            <w:tcW w:w="944" w:type="dxa"/>
            <w:tcMar>
              <w:left w:w="113" w:type="dxa"/>
              <w:right w:w="113" w:type="dxa"/>
            </w:tcMar>
          </w:tcPr>
          <w:p w14:paraId="081559A1" w14:textId="14E2570A"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361C2E49" w14:textId="5FEAD53E"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8.80</w:t>
            </w:r>
          </w:p>
        </w:tc>
        <w:tc>
          <w:tcPr>
            <w:tcW w:w="943" w:type="dxa"/>
            <w:tcMar>
              <w:left w:w="113" w:type="dxa"/>
              <w:right w:w="113" w:type="dxa"/>
            </w:tcMar>
          </w:tcPr>
          <w:p w14:paraId="72287438" w14:textId="4C785CA0"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14FF700C" w14:textId="116C8510"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267A3ED3" w14:textId="0B397E99"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3AC8DC8D" w14:textId="37BA6782"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46C1D408" w14:textId="37B3D573"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629.60</w:t>
            </w:r>
          </w:p>
        </w:tc>
        <w:tc>
          <w:tcPr>
            <w:tcW w:w="944" w:type="dxa"/>
          </w:tcPr>
          <w:p w14:paraId="14F00356" w14:textId="43E3B04E"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314.80</w:t>
            </w:r>
          </w:p>
        </w:tc>
      </w:tr>
      <w:tr w:rsidR="008C3494" w:rsidRPr="001A367B" w14:paraId="21E48F5D" w14:textId="77777777" w:rsidTr="008C3494">
        <w:tc>
          <w:tcPr>
            <w:tcW w:w="1129" w:type="dxa"/>
            <w:tcMar>
              <w:left w:w="113" w:type="dxa"/>
              <w:right w:w="113" w:type="dxa"/>
            </w:tcMar>
          </w:tcPr>
          <w:p w14:paraId="20F3AB6A" w14:textId="72643865"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C3494">
              <w:rPr>
                <w:sz w:val="16"/>
                <w:szCs w:val="16"/>
              </w:rPr>
              <w:t>JobSeeker, single, 2 children</w:t>
            </w:r>
          </w:p>
        </w:tc>
        <w:tc>
          <w:tcPr>
            <w:tcW w:w="758" w:type="dxa"/>
            <w:tcMar>
              <w:left w:w="113" w:type="dxa"/>
              <w:right w:w="113" w:type="dxa"/>
            </w:tcMar>
          </w:tcPr>
          <w:p w14:paraId="3F03B309" w14:textId="6639B312"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667.50</w:t>
            </w:r>
          </w:p>
        </w:tc>
        <w:tc>
          <w:tcPr>
            <w:tcW w:w="944" w:type="dxa"/>
            <w:tcMar>
              <w:left w:w="113" w:type="dxa"/>
              <w:right w:w="113" w:type="dxa"/>
            </w:tcMar>
          </w:tcPr>
          <w:p w14:paraId="0BF83C96" w14:textId="4E979D6B"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4D38F193" w14:textId="4F038A88"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9.50</w:t>
            </w:r>
          </w:p>
        </w:tc>
        <w:tc>
          <w:tcPr>
            <w:tcW w:w="943" w:type="dxa"/>
            <w:tcMar>
              <w:left w:w="113" w:type="dxa"/>
              <w:right w:w="113" w:type="dxa"/>
            </w:tcMar>
          </w:tcPr>
          <w:p w14:paraId="1C987F41" w14:textId="24EF380A"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189.56</w:t>
            </w:r>
          </w:p>
        </w:tc>
        <w:tc>
          <w:tcPr>
            <w:tcW w:w="944" w:type="dxa"/>
            <w:tcMar>
              <w:left w:w="113" w:type="dxa"/>
              <w:right w:w="113" w:type="dxa"/>
            </w:tcMar>
          </w:tcPr>
          <w:p w14:paraId="215694D7" w14:textId="2D4B4C42"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246.54</w:t>
            </w:r>
          </w:p>
        </w:tc>
        <w:tc>
          <w:tcPr>
            <w:tcW w:w="944" w:type="dxa"/>
            <w:tcMar>
              <w:left w:w="113" w:type="dxa"/>
              <w:right w:w="113" w:type="dxa"/>
            </w:tcMar>
          </w:tcPr>
          <w:p w14:paraId="1198C6BD" w14:textId="0778FA37"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112.56</w:t>
            </w:r>
          </w:p>
        </w:tc>
        <w:tc>
          <w:tcPr>
            <w:tcW w:w="944" w:type="dxa"/>
            <w:tcMar>
              <w:left w:w="113" w:type="dxa"/>
              <w:right w:w="113" w:type="dxa"/>
            </w:tcMar>
          </w:tcPr>
          <w:p w14:paraId="2D0CF0D7" w14:textId="7CE6077A"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6.20</w:t>
            </w:r>
          </w:p>
        </w:tc>
        <w:tc>
          <w:tcPr>
            <w:tcW w:w="944" w:type="dxa"/>
            <w:tcMar>
              <w:left w:w="113" w:type="dxa"/>
              <w:right w:w="113" w:type="dxa"/>
            </w:tcMar>
          </w:tcPr>
          <w:p w14:paraId="64803A13" w14:textId="09105E0B"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1,231.86</w:t>
            </w:r>
          </w:p>
        </w:tc>
        <w:tc>
          <w:tcPr>
            <w:tcW w:w="944" w:type="dxa"/>
          </w:tcPr>
          <w:p w14:paraId="2640E02B" w14:textId="10EF8053"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615.93</w:t>
            </w:r>
          </w:p>
        </w:tc>
      </w:tr>
      <w:tr w:rsidR="008C3494" w:rsidRPr="001A367B" w14:paraId="1215CC6E" w14:textId="77777777" w:rsidTr="008C3494">
        <w:tc>
          <w:tcPr>
            <w:tcW w:w="1129" w:type="dxa"/>
            <w:tcMar>
              <w:left w:w="113" w:type="dxa"/>
              <w:right w:w="113" w:type="dxa"/>
            </w:tcMar>
          </w:tcPr>
          <w:p w14:paraId="585CB009" w14:textId="77777777"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8C3494">
              <w:rPr>
                <w:sz w:val="16"/>
                <w:szCs w:val="16"/>
              </w:rPr>
              <w:t>Youth Allowance, single, no children</w:t>
            </w:r>
          </w:p>
        </w:tc>
        <w:tc>
          <w:tcPr>
            <w:tcW w:w="758" w:type="dxa"/>
            <w:tcMar>
              <w:left w:w="113" w:type="dxa"/>
              <w:right w:w="113" w:type="dxa"/>
            </w:tcMar>
          </w:tcPr>
          <w:p w14:paraId="76DA2D85" w14:textId="0DFFA267"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512.50</w:t>
            </w:r>
          </w:p>
        </w:tc>
        <w:tc>
          <w:tcPr>
            <w:tcW w:w="944" w:type="dxa"/>
            <w:tcMar>
              <w:left w:w="113" w:type="dxa"/>
              <w:right w:w="113" w:type="dxa"/>
            </w:tcMar>
          </w:tcPr>
          <w:p w14:paraId="2B1148DE" w14:textId="23060823"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512548BC" w14:textId="55E66988"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7.00</w:t>
            </w:r>
          </w:p>
        </w:tc>
        <w:tc>
          <w:tcPr>
            <w:tcW w:w="943" w:type="dxa"/>
            <w:tcMar>
              <w:left w:w="113" w:type="dxa"/>
              <w:right w:w="113" w:type="dxa"/>
            </w:tcMar>
          </w:tcPr>
          <w:p w14:paraId="1E643734" w14:textId="7A170F7A"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05A696BE" w14:textId="0A561A02"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62F1AA1F" w14:textId="243074FA"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6C1862D1" w14:textId="720461C6"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p>
        </w:tc>
        <w:tc>
          <w:tcPr>
            <w:tcW w:w="944" w:type="dxa"/>
            <w:tcMar>
              <w:left w:w="113" w:type="dxa"/>
              <w:right w:w="113" w:type="dxa"/>
            </w:tcMar>
          </w:tcPr>
          <w:p w14:paraId="7E93D9EB" w14:textId="53F4877D"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519.50</w:t>
            </w:r>
          </w:p>
        </w:tc>
        <w:tc>
          <w:tcPr>
            <w:tcW w:w="944" w:type="dxa"/>
          </w:tcPr>
          <w:p w14:paraId="091BFF17" w14:textId="4F1A976A" w:rsidR="008C3494" w:rsidRPr="008C3494" w:rsidRDefault="008C3494" w:rsidP="008C34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sz w:val="16"/>
                <w:szCs w:val="16"/>
              </w:rPr>
            </w:pPr>
            <w:r w:rsidRPr="008C3494">
              <w:rPr>
                <w:sz w:val="16"/>
                <w:szCs w:val="16"/>
              </w:rPr>
              <w:t>259.75</w:t>
            </w:r>
          </w:p>
        </w:tc>
      </w:tr>
    </w:tbl>
    <w:p w14:paraId="69505ED7" w14:textId="4A974E11" w:rsidR="00242222" w:rsidRPr="005277E2" w:rsidRDefault="00242222" w:rsidP="00397A6D">
      <w:pPr>
        <w:pStyle w:val="Source"/>
        <w:rPr>
          <w:sz w:val="18"/>
          <w:szCs w:val="20"/>
        </w:rPr>
      </w:pPr>
      <w:r w:rsidRPr="005277E2">
        <w:rPr>
          <w:sz w:val="18"/>
          <w:szCs w:val="20"/>
        </w:rPr>
        <w:t xml:space="preserve">Source: </w:t>
      </w:r>
      <w:r w:rsidR="0013111B" w:rsidRPr="005277E2">
        <w:rPr>
          <w:sz w:val="18"/>
          <w:szCs w:val="20"/>
        </w:rPr>
        <w:t>Services Australia</w:t>
      </w:r>
      <w:r w:rsidRPr="005277E2">
        <w:rPr>
          <w:sz w:val="18"/>
          <w:szCs w:val="20"/>
        </w:rPr>
        <w:t xml:space="preserve">, </w:t>
      </w:r>
      <w:hyperlink r:id="rId59" w:history="1">
        <w:r w:rsidRPr="005277E2">
          <w:rPr>
            <w:rStyle w:val="Hyperlink"/>
            <w:i/>
            <w:iCs/>
            <w:sz w:val="18"/>
            <w:szCs w:val="20"/>
          </w:rPr>
          <w:t>A guide to Australian Government payments</w:t>
        </w:r>
        <w:r w:rsidR="00540AE6">
          <w:rPr>
            <w:rStyle w:val="Hyperlink"/>
            <w:i/>
            <w:iCs/>
            <w:sz w:val="18"/>
            <w:szCs w:val="20"/>
          </w:rPr>
          <w:t>:</w:t>
        </w:r>
        <w:r w:rsidRPr="005277E2">
          <w:rPr>
            <w:rStyle w:val="Hyperlink"/>
            <w:i/>
            <w:iCs/>
            <w:sz w:val="18"/>
            <w:szCs w:val="20"/>
          </w:rPr>
          <w:t xml:space="preserve"> </w:t>
        </w:r>
        <w:r w:rsidR="005F5A8E" w:rsidRPr="005277E2">
          <w:rPr>
            <w:rStyle w:val="Hyperlink"/>
            <w:i/>
            <w:iCs/>
            <w:sz w:val="18"/>
            <w:szCs w:val="20"/>
          </w:rPr>
          <w:t>1 April – 30 June 2021</w:t>
        </w:r>
      </w:hyperlink>
      <w:r w:rsidRPr="005277E2">
        <w:rPr>
          <w:sz w:val="18"/>
          <w:szCs w:val="20"/>
        </w:rPr>
        <w:t xml:space="preserve">, </w:t>
      </w:r>
      <w:r w:rsidR="0013111B" w:rsidRPr="005277E2">
        <w:rPr>
          <w:sz w:val="18"/>
          <w:szCs w:val="20"/>
        </w:rPr>
        <w:t xml:space="preserve">Services Australia, </w:t>
      </w:r>
      <w:r w:rsidRPr="005277E2">
        <w:rPr>
          <w:sz w:val="18"/>
          <w:szCs w:val="20"/>
        </w:rPr>
        <w:t>Canberra, 20</w:t>
      </w:r>
      <w:r w:rsidR="0013111B" w:rsidRPr="005277E2">
        <w:rPr>
          <w:sz w:val="18"/>
          <w:szCs w:val="20"/>
        </w:rPr>
        <w:t>21</w:t>
      </w:r>
      <w:r w:rsidR="005277E2">
        <w:rPr>
          <w:sz w:val="18"/>
          <w:szCs w:val="20"/>
        </w:rPr>
        <w:t>, accessed 13 July 2021.</w:t>
      </w:r>
    </w:p>
    <w:p w14:paraId="455B78F1" w14:textId="5BF17CBE" w:rsidR="00210F0F" w:rsidRPr="001A367B" w:rsidRDefault="00210F0F" w:rsidP="00242222">
      <w:pPr>
        <w:spacing w:before="80" w:after="280"/>
        <w:rPr>
          <w:sz w:val="18"/>
          <w:szCs w:val="20"/>
          <w:highlight w:val="yellow"/>
        </w:rPr>
      </w:pPr>
    </w:p>
    <w:p w14:paraId="4B5357DD" w14:textId="77777777" w:rsidR="00242222" w:rsidRPr="00F12F30" w:rsidRDefault="00242222" w:rsidP="00242222">
      <w:pPr>
        <w:pStyle w:val="Heading2"/>
      </w:pPr>
      <w:bookmarkStart w:id="24" w:name="_Toc7787740"/>
      <w:bookmarkStart w:id="25" w:name="_Toc51050152"/>
      <w:bookmarkStart w:id="26" w:name="_Toc79584864"/>
      <w:r w:rsidRPr="00F12F30">
        <w:t>How Pension rates are adjusted</w:t>
      </w:r>
      <w:bookmarkEnd w:id="24"/>
      <w:bookmarkEnd w:id="25"/>
      <w:bookmarkEnd w:id="26"/>
    </w:p>
    <w:p w14:paraId="575E997E" w14:textId="77777777" w:rsidR="00242222" w:rsidRPr="00F12F30"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 w:rsidRPr="00F12F30">
        <w:t>The following explanation of pension indexation has been extracted from a guide produced by the Parliamentary Library:</w:t>
      </w:r>
    </w:p>
    <w:p w14:paraId="6333594D" w14:textId="77777777" w:rsidR="00242222" w:rsidRPr="00F12F30" w:rsidRDefault="00242222" w:rsidP="00242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ind w:left="567" w:right="567"/>
        <w:rPr>
          <w:sz w:val="22"/>
        </w:rPr>
      </w:pPr>
      <w:r w:rsidRPr="00F12F30">
        <w:rPr>
          <w:sz w:val="22"/>
        </w:rPr>
        <w:t xml:space="preserve">Currently, pensions (including the Age Pension, Service Pension, Disability Support Pension and Carer Payment) are </w:t>
      </w:r>
      <w:hyperlink r:id="rId60" w:history="1">
        <w:r w:rsidRPr="00F12F30">
          <w:rPr>
            <w:color w:val="0000FF"/>
            <w:sz w:val="22"/>
            <w:u w:val="single"/>
          </w:rPr>
          <w:t>indexed twice each year</w:t>
        </w:r>
      </w:hyperlink>
      <w:r w:rsidRPr="00F12F30">
        <w:rPr>
          <w:sz w:val="22"/>
        </w:rPr>
        <w:t xml:space="preserve"> by the greater of the movement in the </w:t>
      </w:r>
      <w:hyperlink r:id="rId61" w:history="1">
        <w:r w:rsidRPr="00F12F30">
          <w:rPr>
            <w:color w:val="0000FF"/>
            <w:sz w:val="22"/>
            <w:u w:val="single"/>
          </w:rPr>
          <w:t>Consumer Price Index</w:t>
        </w:r>
      </w:hyperlink>
      <w:r w:rsidRPr="00F12F30">
        <w:rPr>
          <w:sz w:val="22"/>
        </w:rPr>
        <w:t xml:space="preserve"> (CPI) or the </w:t>
      </w:r>
      <w:hyperlink r:id="rId62" w:history="1">
        <w:r w:rsidRPr="00F12F30">
          <w:rPr>
            <w:color w:val="0000FF"/>
            <w:sz w:val="22"/>
            <w:u w:val="single"/>
          </w:rPr>
          <w:t>Pensioner and Beneficiary Living Cost Index</w:t>
        </w:r>
      </w:hyperlink>
      <w:r w:rsidRPr="00F12F30">
        <w:rPr>
          <w:sz w:val="22"/>
        </w:rPr>
        <w:t xml:space="preserve"> (PBLCI). They are then ‘benchmarked’ against a percentage of </w:t>
      </w:r>
      <w:hyperlink r:id="rId63" w:history="1">
        <w:r w:rsidRPr="00F12F30">
          <w:rPr>
            <w:color w:val="0000FF"/>
            <w:sz w:val="22"/>
            <w:u w:val="single"/>
          </w:rPr>
          <w:t>Male Total Average Weekly Earnings</w:t>
        </w:r>
      </w:hyperlink>
      <w:r w:rsidRPr="00F12F30">
        <w:rPr>
          <w:sz w:val="22"/>
        </w:rPr>
        <w:t xml:space="preserve"> (MTAWE). The combined couple rate is benchmarked to 41.76% of MTAWE; the single rate of pension is set at 66.33% of the combined couple rate (which is equal to around 27.7% of MTAWE). ‘Benchmarked’ means that after it has been indexed, the combined couple rate is checked to see whether it is equal to or higher than 41.76% of MTAWE. If the rate is lower than this percentage, the rates are increased to the appropriate benchmark level.</w:t>
      </w:r>
    </w:p>
    <w:p w14:paraId="6022631D" w14:textId="064B7759" w:rsidR="00242222" w:rsidRDefault="00242222" w:rsidP="009F68C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ind w:left="567" w:right="567"/>
        <w:rPr>
          <w:sz w:val="22"/>
        </w:rPr>
      </w:pPr>
      <w:r w:rsidRPr="00F12F30">
        <w:rPr>
          <w:sz w:val="22"/>
        </w:rPr>
        <w:t>The CPI is a measure of changes in the prices paid by households for a fixed basket of goods and services. Indexing pension rates to CPI maintains the real value of pensions over time. The PBLCI measures the effect of changes in prices of the out-of-pocket living expenses experienced by age pensioner and other households whose main source of income is a government payment. The PBLCI is designed to check whether their disposable incomes have kept pace with price changes. The MTAWE benchmark is not intended to maintain the value of the pension relative to costs; it is seen as ensuring pensioners maintain a certain standard of living, relative to the rest of the population.</w:t>
      </w:r>
      <w:r w:rsidRPr="00F12F30">
        <w:rPr>
          <w:vertAlign w:val="superscript"/>
        </w:rPr>
        <w:footnoteReference w:id="49"/>
      </w:r>
    </w:p>
    <w:p w14:paraId="182E32AE" w14:textId="77777777" w:rsidR="009F68CC" w:rsidRPr="009F68CC" w:rsidRDefault="009F68CC" w:rsidP="009F68CC">
      <w:pPr>
        <w:pStyle w:val="BodyText"/>
      </w:pPr>
    </w:p>
    <w:sectPr w:rsidR="009F68CC" w:rsidRPr="009F68CC" w:rsidSect="002C4E3A">
      <w:footerReference w:type="even" r:id="rId64"/>
      <w:footerReference w:type="default" r:id="rId65"/>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E71E1" w14:textId="77777777" w:rsidR="003D63EF" w:rsidRDefault="003D63EF">
      <w:r>
        <w:separator/>
      </w:r>
    </w:p>
  </w:endnote>
  <w:endnote w:type="continuationSeparator" w:id="0">
    <w:p w14:paraId="6F1D1F06" w14:textId="77777777" w:rsidR="003D63EF" w:rsidRDefault="003D63EF">
      <w:r>
        <w:continuationSeparator/>
      </w:r>
    </w:p>
  </w:endnote>
  <w:endnote w:type="continuationNotice" w:id="1">
    <w:p w14:paraId="5E8800DC" w14:textId="77777777" w:rsidR="003D63EF" w:rsidRDefault="003D6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Mincho">
    <w:altName w:val="Yu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AAB9" w14:textId="77777777" w:rsidR="00F30767" w:rsidRDefault="00F30767" w:rsidP="0003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257F27" w14:textId="77777777" w:rsidR="00F30767" w:rsidRDefault="00F30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85CB" w14:textId="77777777" w:rsidR="00F30767" w:rsidRDefault="00F30767" w:rsidP="0003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2F3E">
      <w:rPr>
        <w:rStyle w:val="PageNumber"/>
        <w:noProof/>
      </w:rPr>
      <w:t>6</w:t>
    </w:r>
    <w:r>
      <w:rPr>
        <w:rStyle w:val="PageNumber"/>
      </w:rPr>
      <w:fldChar w:fldCharType="end"/>
    </w:r>
  </w:p>
  <w:p w14:paraId="4C0EA0A0" w14:textId="77777777" w:rsidR="00F30767" w:rsidRDefault="00F30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E22E6" w14:textId="77777777" w:rsidR="003D63EF" w:rsidRDefault="003D63EF">
      <w:r>
        <w:separator/>
      </w:r>
    </w:p>
  </w:footnote>
  <w:footnote w:type="continuationSeparator" w:id="0">
    <w:p w14:paraId="6630693C" w14:textId="77777777" w:rsidR="003D63EF" w:rsidRDefault="003D63EF">
      <w:r>
        <w:continuationSeparator/>
      </w:r>
    </w:p>
  </w:footnote>
  <w:footnote w:type="continuationNotice" w:id="1">
    <w:p w14:paraId="05C9EE3D" w14:textId="77777777" w:rsidR="003D63EF" w:rsidRDefault="003D63EF"/>
  </w:footnote>
  <w:footnote w:id="2">
    <w:p w14:paraId="756DAC4A" w14:textId="27DDB2FE" w:rsidR="00306A41" w:rsidRDefault="00306A41">
      <w:pPr>
        <w:pStyle w:val="FootnoteText"/>
      </w:pPr>
      <w:r w:rsidRPr="00F2009F">
        <w:footnoteRef/>
      </w:r>
      <w:r w:rsidRPr="00F2009F">
        <w:t xml:space="preserve"> </w:t>
      </w:r>
      <w:r w:rsidR="00F2009F">
        <w:tab/>
      </w:r>
      <w:r w:rsidR="00570033">
        <w:t xml:space="preserve">Australian Council of Social Service (ACOSS) and </w:t>
      </w:r>
      <w:r w:rsidR="00C24486">
        <w:t xml:space="preserve">UNSW Sydney, </w:t>
      </w:r>
      <w:r w:rsidR="00DF673D">
        <w:t>‘</w:t>
      </w:r>
      <w:hyperlink r:id="rId1" w:history="1">
        <w:r w:rsidR="00DF673D" w:rsidRPr="00A06AA5">
          <w:rPr>
            <w:rStyle w:val="Hyperlink"/>
          </w:rPr>
          <w:t xml:space="preserve">Rate of poverty by </w:t>
        </w:r>
        <w:r w:rsidR="00594A6F" w:rsidRPr="00A06AA5">
          <w:rPr>
            <w:rStyle w:val="Hyperlink"/>
          </w:rPr>
          <w:t>state/territory of residence</w:t>
        </w:r>
      </w:hyperlink>
      <w:r w:rsidR="00594A6F">
        <w:t xml:space="preserve">’, </w:t>
      </w:r>
      <w:r w:rsidR="00ED3194" w:rsidRPr="00A06AA5">
        <w:rPr>
          <w:i/>
          <w:iCs/>
        </w:rPr>
        <w:t>Research and insights into poverty and inequality in Australia</w:t>
      </w:r>
      <w:r w:rsidR="002271C0">
        <w:t>, n.d.</w:t>
      </w:r>
      <w:r w:rsidR="00D242BC">
        <w:t>, accessed 29 June 2021.</w:t>
      </w:r>
    </w:p>
  </w:footnote>
  <w:footnote w:id="3">
    <w:p w14:paraId="39AA0972" w14:textId="18AFEE00" w:rsidR="00A06AA5" w:rsidRDefault="00A06AA5">
      <w:pPr>
        <w:pStyle w:val="FootnoteText"/>
      </w:pPr>
      <w:r w:rsidRPr="0070664A">
        <w:footnoteRef/>
      </w:r>
      <w:r w:rsidRPr="0070664A">
        <w:t xml:space="preserve"> </w:t>
      </w:r>
      <w:r w:rsidR="0070664A">
        <w:tab/>
      </w:r>
      <w:r w:rsidR="00A27485">
        <w:t>R Miranti</w:t>
      </w:r>
      <w:r w:rsidR="00EF257D">
        <w:t xml:space="preserve">, </w:t>
      </w:r>
      <w:r w:rsidR="00B138E1">
        <w:t xml:space="preserve">L Brown, J Li, R Tanton, Y Vidyattama, S Tuli and P Rowe, </w:t>
      </w:r>
      <w:hyperlink r:id="rId2" w:history="1">
        <w:r w:rsidR="00C73A96" w:rsidRPr="008B3250">
          <w:rPr>
            <w:rStyle w:val="Hyperlink"/>
            <w:i/>
            <w:iCs/>
          </w:rPr>
          <w:t>Child social exclusion, poverty and disadvantage in Australia</w:t>
        </w:r>
      </w:hyperlink>
      <w:r w:rsidR="00C73A96">
        <w:t>,</w:t>
      </w:r>
      <w:r w:rsidR="002155BB">
        <w:t xml:space="preserve"> Report commissioned by UnitingCare Australia,</w:t>
      </w:r>
      <w:r w:rsidR="00C73A96">
        <w:t xml:space="preserve"> </w:t>
      </w:r>
      <w:r w:rsidR="0039231F">
        <w:t>NATSEM</w:t>
      </w:r>
      <w:r w:rsidR="002B3388">
        <w:t>, Institute for Governance and Policy Analysis (IGPA), University of Canberra</w:t>
      </w:r>
      <w:r w:rsidR="00AB2929">
        <w:t>, 2018, p</w:t>
      </w:r>
      <w:r w:rsidR="00576B45">
        <w:t xml:space="preserve"> 32, accessed 29 June 2021.</w:t>
      </w:r>
    </w:p>
  </w:footnote>
  <w:footnote w:id="4">
    <w:p w14:paraId="6BCD72E4" w14:textId="7335EDF5" w:rsidR="00C261B6" w:rsidRDefault="00C261B6" w:rsidP="00C261B6">
      <w:pPr>
        <w:pStyle w:val="FootnoteText"/>
      </w:pPr>
      <w:r w:rsidRPr="008625EE">
        <w:footnoteRef/>
      </w:r>
      <w:r w:rsidRPr="008625EE">
        <w:t xml:space="preserve"> </w:t>
      </w:r>
      <w:r w:rsidR="008625EE">
        <w:tab/>
      </w:r>
      <w:r>
        <w:t xml:space="preserve">P Davidson, B Bradbury and M Wong, </w:t>
      </w:r>
      <w:hyperlink r:id="rId3" w:history="1">
        <w:r w:rsidRPr="00164798">
          <w:rPr>
            <w:rStyle w:val="Hyperlink"/>
            <w:i/>
            <w:iCs/>
          </w:rPr>
          <w:t>Poverty in Australia 2020: Part 2, Who is affected?</w:t>
        </w:r>
      </w:hyperlink>
      <w:r>
        <w:t xml:space="preserve"> ACOSS/UNSW Poverty and Inequality Partnership Report No. 4, ACOSS, Sydney, 2020, accessed 29 June 2021.</w:t>
      </w:r>
    </w:p>
  </w:footnote>
  <w:footnote w:id="5">
    <w:p w14:paraId="47CD5FED" w14:textId="2CB17115" w:rsidR="00C81CB5" w:rsidRDefault="00C81CB5" w:rsidP="00C81CB5">
      <w:pPr>
        <w:pStyle w:val="FootnoteText"/>
      </w:pPr>
      <w:r w:rsidRPr="00753C69">
        <w:footnoteRef/>
      </w:r>
      <w:r w:rsidRPr="00753C69">
        <w:t xml:space="preserve"> </w:t>
      </w:r>
      <w:r w:rsidR="00753C69">
        <w:tab/>
      </w:r>
      <w:r>
        <w:t xml:space="preserve">Department of Social Services, </w:t>
      </w:r>
      <w:hyperlink r:id="rId4" w:history="1">
        <w:r w:rsidRPr="005554AC">
          <w:rPr>
            <w:rStyle w:val="Hyperlink"/>
            <w:i/>
            <w:iCs/>
          </w:rPr>
          <w:t>JobSeeker Payment and Youth Allowance recipients – monthly profile</w:t>
        </w:r>
      </w:hyperlink>
      <w:r>
        <w:t xml:space="preserve"> [data set], data.gov.au, 2020-21, accessed 13 July 2021.</w:t>
      </w:r>
    </w:p>
  </w:footnote>
  <w:footnote w:id="6">
    <w:p w14:paraId="0F538C57" w14:textId="55696746" w:rsidR="00510573" w:rsidRDefault="00510573">
      <w:pPr>
        <w:pStyle w:val="FootnoteText"/>
      </w:pPr>
      <w:r w:rsidRPr="00510573">
        <w:footnoteRef/>
      </w:r>
      <w:r w:rsidRPr="00510573">
        <w:t xml:space="preserve"> </w:t>
      </w:r>
      <w:r w:rsidRPr="00510573">
        <w:tab/>
        <w:t xml:space="preserve">Department of Social Services, </w:t>
      </w:r>
      <w:r w:rsidRPr="00510573">
        <w:rPr>
          <w:i/>
          <w:iCs/>
        </w:rPr>
        <w:t>JobSeeker Payment and Youth Allowance recipients</w:t>
      </w:r>
      <w:r>
        <w:t>.</w:t>
      </w:r>
    </w:p>
  </w:footnote>
  <w:footnote w:id="7">
    <w:p w14:paraId="1E6C4E5C" w14:textId="0A1E4107" w:rsidR="00C81CB5" w:rsidRDefault="00C81CB5">
      <w:pPr>
        <w:pStyle w:val="FootnoteText"/>
      </w:pPr>
      <w:r w:rsidRPr="00142D14">
        <w:footnoteRef/>
      </w:r>
      <w:r w:rsidRPr="00142D14">
        <w:t xml:space="preserve"> </w:t>
      </w:r>
      <w:r w:rsidR="00142D14">
        <w:tab/>
      </w:r>
      <w:r w:rsidRPr="008E19BA">
        <w:t>B Phillips, unpublished data</w:t>
      </w:r>
      <w:r w:rsidR="00A46661">
        <w:t xml:space="preserve"> [email]</w:t>
      </w:r>
      <w:r w:rsidRPr="008E19BA">
        <w:t xml:space="preserve">, ANU Centre for Social Research and Methods, Canberra, </w:t>
      </w:r>
      <w:r>
        <w:t xml:space="preserve">13 </w:t>
      </w:r>
      <w:r w:rsidRPr="008E19BA">
        <w:t>October 2020.</w:t>
      </w:r>
    </w:p>
  </w:footnote>
  <w:footnote w:id="8">
    <w:p w14:paraId="28D2F033" w14:textId="30F81B6C" w:rsidR="00760FFC" w:rsidRDefault="00760FFC">
      <w:pPr>
        <w:pStyle w:val="FootnoteText"/>
      </w:pPr>
      <w:r w:rsidRPr="001E47FD">
        <w:footnoteRef/>
      </w:r>
      <w:r w:rsidRPr="001E47FD">
        <w:t xml:space="preserve"> </w:t>
      </w:r>
      <w:r w:rsidR="001E47FD">
        <w:tab/>
      </w:r>
      <w:r w:rsidRPr="008E19BA">
        <w:t>Phillips, unpublished data</w:t>
      </w:r>
      <w:r>
        <w:t>.</w:t>
      </w:r>
    </w:p>
  </w:footnote>
  <w:footnote w:id="9">
    <w:p w14:paraId="094E1239" w14:textId="18FB154F" w:rsidR="00B86E94" w:rsidRDefault="00B86E94">
      <w:pPr>
        <w:pStyle w:val="FootnoteText"/>
      </w:pPr>
      <w:r w:rsidRPr="00803E1A">
        <w:footnoteRef/>
      </w:r>
      <w:r w:rsidRPr="00803E1A">
        <w:t xml:space="preserve"> </w:t>
      </w:r>
      <w:r w:rsidR="00803E1A">
        <w:tab/>
      </w:r>
      <w:r w:rsidR="00755BFF">
        <w:t xml:space="preserve">A Beech, R Dollman, R Finlay and G La Cava, </w:t>
      </w:r>
      <w:r w:rsidR="005113D2">
        <w:t>‘</w:t>
      </w:r>
      <w:hyperlink r:id="rId5" w:history="1">
        <w:r w:rsidR="00755BFF" w:rsidRPr="00C10FA8">
          <w:rPr>
            <w:rStyle w:val="Hyperlink"/>
          </w:rPr>
          <w:t>The distribution of household spending in Australia</w:t>
        </w:r>
      </w:hyperlink>
      <w:r w:rsidR="005113D2">
        <w:t xml:space="preserve">’, </w:t>
      </w:r>
      <w:r w:rsidR="005113D2" w:rsidRPr="008B46FE">
        <w:rPr>
          <w:i/>
          <w:iCs/>
        </w:rPr>
        <w:t>Bulletin</w:t>
      </w:r>
      <w:r w:rsidR="005113D2">
        <w:t xml:space="preserve">, </w:t>
      </w:r>
      <w:r w:rsidR="003D2BB9">
        <w:t xml:space="preserve">Reserve Bank of Australia, </w:t>
      </w:r>
      <w:r w:rsidR="005113D2">
        <w:t>March Quarter, 2014</w:t>
      </w:r>
      <w:r w:rsidR="008B46FE">
        <w:t>, accessed 7 July 2021.</w:t>
      </w:r>
    </w:p>
  </w:footnote>
  <w:footnote w:id="10">
    <w:p w14:paraId="038873F0" w14:textId="428EB93B" w:rsidR="00984A0F" w:rsidRDefault="00984A0F">
      <w:pPr>
        <w:pStyle w:val="FootnoteText"/>
      </w:pPr>
      <w:r w:rsidRPr="002E37E9">
        <w:footnoteRef/>
      </w:r>
      <w:r w:rsidRPr="002E37E9">
        <w:t xml:space="preserve"> </w:t>
      </w:r>
      <w:r w:rsidR="002E37E9">
        <w:tab/>
      </w:r>
      <w:r w:rsidRPr="002E37E9">
        <w:t>Australian</w:t>
      </w:r>
      <w:r>
        <w:t xml:space="preserve"> Energy Regulator</w:t>
      </w:r>
      <w:r w:rsidR="00AD4A84">
        <w:t xml:space="preserve"> (AER)</w:t>
      </w:r>
      <w:r>
        <w:t>, ‘Figure 6.10</w:t>
      </w:r>
      <w:r w:rsidR="00CF39D4">
        <w:t>:</w:t>
      </w:r>
      <w:r>
        <w:t xml:space="preserve"> Energy retail price indices (inflation adjusted)’, </w:t>
      </w:r>
      <w:hyperlink r:id="rId6" w:history="1">
        <w:r w:rsidRPr="00FC4852">
          <w:rPr>
            <w:rStyle w:val="Hyperlink"/>
            <w:i/>
            <w:iCs/>
          </w:rPr>
          <w:t>State of the Energy Market Report</w:t>
        </w:r>
        <w:r w:rsidR="00190979">
          <w:rPr>
            <w:rStyle w:val="Hyperlink"/>
            <w:i/>
            <w:iCs/>
          </w:rPr>
          <w:t xml:space="preserve"> 2021</w:t>
        </w:r>
      </w:hyperlink>
      <w:r>
        <w:t xml:space="preserve">, </w:t>
      </w:r>
      <w:r w:rsidR="002E37E9">
        <w:t xml:space="preserve">Australian Energy Regulator, 2021, </w:t>
      </w:r>
      <w:r>
        <w:t>accessed 12 July 2021.</w:t>
      </w:r>
    </w:p>
  </w:footnote>
  <w:footnote w:id="11">
    <w:p w14:paraId="18E6ACE1" w14:textId="6711B602" w:rsidR="007D7156" w:rsidRDefault="007D7156" w:rsidP="00746975">
      <w:pPr>
        <w:pStyle w:val="FootnoteText"/>
      </w:pPr>
      <w:r w:rsidRPr="00DE4C4A">
        <w:footnoteRef/>
      </w:r>
      <w:r w:rsidRPr="00DE4C4A">
        <w:t xml:space="preserve"> </w:t>
      </w:r>
      <w:r w:rsidR="00DE4C4A">
        <w:tab/>
      </w:r>
      <w:r>
        <w:t>Independent Competition and Regulatory Commission</w:t>
      </w:r>
      <w:r w:rsidR="00CA1950">
        <w:t xml:space="preserve"> (ICRC)</w:t>
      </w:r>
      <w:r>
        <w:t xml:space="preserve">, </w:t>
      </w:r>
      <w:hyperlink r:id="rId7" w:history="1">
        <w:r w:rsidR="00746975" w:rsidRPr="0088664A">
          <w:rPr>
            <w:rStyle w:val="Hyperlink"/>
            <w:i/>
            <w:iCs/>
          </w:rPr>
          <w:t>Retail electricity price recalibration</w:t>
        </w:r>
        <w:r w:rsidR="00AF34BE">
          <w:rPr>
            <w:rStyle w:val="Hyperlink"/>
            <w:i/>
            <w:iCs/>
          </w:rPr>
          <w:t xml:space="preserve"> </w:t>
        </w:r>
        <w:r w:rsidR="00746975" w:rsidRPr="0088664A">
          <w:rPr>
            <w:rStyle w:val="Hyperlink"/>
            <w:i/>
            <w:iCs/>
          </w:rPr>
          <w:t>2021–22: standing offer prices for the supply of electricity to small customers</w:t>
        </w:r>
      </w:hyperlink>
      <w:r w:rsidR="009D5086">
        <w:t>, Report 11 of 2021, ICRC, 2021, accessed 12 July 2021.</w:t>
      </w:r>
    </w:p>
  </w:footnote>
  <w:footnote w:id="12">
    <w:p w14:paraId="7BC1AB01" w14:textId="764051C7" w:rsidR="008B3BF3" w:rsidRDefault="008B3BF3">
      <w:pPr>
        <w:pStyle w:val="FootnoteText"/>
      </w:pPr>
      <w:r w:rsidRPr="00573739">
        <w:footnoteRef/>
      </w:r>
      <w:r w:rsidRPr="00573739">
        <w:t xml:space="preserve"> </w:t>
      </w:r>
      <w:r w:rsidR="00573739">
        <w:tab/>
      </w:r>
      <w:r w:rsidR="00AF0480">
        <w:t>AER</w:t>
      </w:r>
      <w:r>
        <w:t xml:space="preserve">, </w:t>
      </w:r>
      <w:hyperlink r:id="rId8" w:history="1">
        <w:r w:rsidR="00576BCE" w:rsidRPr="001B218F">
          <w:rPr>
            <w:rStyle w:val="Hyperlink"/>
            <w:i/>
            <w:iCs/>
          </w:rPr>
          <w:t>State of the Energy Market 2021</w:t>
        </w:r>
      </w:hyperlink>
      <w:r w:rsidR="00576BCE">
        <w:t xml:space="preserve">, AER, </w:t>
      </w:r>
      <w:r w:rsidR="004E5227">
        <w:t>Canberra, 2021, p 270, accessed 12 July 2021.</w:t>
      </w:r>
    </w:p>
  </w:footnote>
  <w:footnote w:id="13">
    <w:p w14:paraId="6E3B7831" w14:textId="4A4C0877" w:rsidR="000D69E7" w:rsidRDefault="000D69E7" w:rsidP="000D69E7">
      <w:pPr>
        <w:pStyle w:val="FootnoteText"/>
      </w:pPr>
      <w:r w:rsidRPr="006E1C3F">
        <w:footnoteRef/>
      </w:r>
      <w:r w:rsidRPr="006E1C3F">
        <w:t xml:space="preserve"> </w:t>
      </w:r>
      <w:r w:rsidR="00D1219F">
        <w:tab/>
        <w:t>ICRC</w:t>
      </w:r>
      <w:r>
        <w:t xml:space="preserve">, </w:t>
      </w:r>
      <w:r w:rsidRPr="00E24465">
        <w:rPr>
          <w:i/>
          <w:iCs/>
        </w:rPr>
        <w:t>Retail electricity price recalibration</w:t>
      </w:r>
      <w:r w:rsidR="006E1C3F">
        <w:rPr>
          <w:i/>
          <w:iCs/>
        </w:rPr>
        <w:t xml:space="preserve"> </w:t>
      </w:r>
      <w:r w:rsidRPr="00E24465">
        <w:rPr>
          <w:i/>
          <w:iCs/>
        </w:rPr>
        <w:t>2021–22</w:t>
      </w:r>
      <w:r w:rsidRPr="00E24465">
        <w:t>,</w:t>
      </w:r>
      <w:r>
        <w:t xml:space="preserve"> </w:t>
      </w:r>
      <w:r w:rsidR="00E700F1">
        <w:t>pp 7-8.</w:t>
      </w:r>
    </w:p>
  </w:footnote>
  <w:footnote w:id="14">
    <w:p w14:paraId="4CF008AA" w14:textId="7F04535D" w:rsidR="00D264D3" w:rsidRDefault="00D264D3">
      <w:pPr>
        <w:pStyle w:val="FootnoteText"/>
      </w:pPr>
      <w:r w:rsidRPr="001022F1">
        <w:footnoteRef/>
      </w:r>
      <w:r w:rsidRPr="001022F1">
        <w:t xml:space="preserve"> </w:t>
      </w:r>
      <w:r w:rsidR="001022F1">
        <w:tab/>
      </w:r>
      <w:r w:rsidR="00A77A97" w:rsidRPr="00A77A97">
        <w:t xml:space="preserve">Productivity Commission, </w:t>
      </w:r>
      <w:r w:rsidR="00A77A97">
        <w:t>‘</w:t>
      </w:r>
      <w:r w:rsidR="00A77A97" w:rsidRPr="00A77A97">
        <w:t>Table GA.3 Proportion of lower income private rental households paying more than 30 per cent of income on housing costs, by State and Territory</w:t>
      </w:r>
      <w:r w:rsidR="00A77A97">
        <w:t>’</w:t>
      </w:r>
      <w:r w:rsidR="008B4B58">
        <w:t xml:space="preserve"> [data tables]</w:t>
      </w:r>
      <w:r w:rsidR="00A77A97">
        <w:t>,</w:t>
      </w:r>
      <w:r w:rsidR="00A77A97" w:rsidRPr="00A77A97">
        <w:t xml:space="preserve"> </w:t>
      </w:r>
      <w:hyperlink r:id="rId9" w:history="1">
        <w:r w:rsidR="00A77A97" w:rsidRPr="0065675D">
          <w:rPr>
            <w:rStyle w:val="Hyperlink"/>
            <w:i/>
            <w:iCs/>
          </w:rPr>
          <w:t>Report on Government Service</w:t>
        </w:r>
        <w:r w:rsidR="00E0222F">
          <w:rPr>
            <w:rStyle w:val="Hyperlink"/>
            <w:i/>
            <w:iCs/>
          </w:rPr>
          <w:t>s 2021: G Housing and homelessness</w:t>
        </w:r>
      </w:hyperlink>
      <w:r w:rsidR="00A77A97" w:rsidRPr="00A77A97">
        <w:t xml:space="preserve">, </w:t>
      </w:r>
      <w:r w:rsidR="007A6DE3">
        <w:t xml:space="preserve">Productivity Commission, 2021, </w:t>
      </w:r>
      <w:r w:rsidR="00A77A97" w:rsidRPr="00A77A97">
        <w:t>accessed 22 June 2021.</w:t>
      </w:r>
    </w:p>
  </w:footnote>
  <w:footnote w:id="15">
    <w:p w14:paraId="05D81786" w14:textId="33A9EED3" w:rsidR="00D301EA" w:rsidRDefault="00D301EA">
      <w:pPr>
        <w:pStyle w:val="FootnoteText"/>
      </w:pPr>
      <w:r w:rsidRPr="003D3FB0">
        <w:footnoteRef/>
      </w:r>
      <w:r w:rsidRPr="003D3FB0">
        <w:t xml:space="preserve"> </w:t>
      </w:r>
      <w:r w:rsidR="003D3FB0">
        <w:tab/>
      </w:r>
      <w:bookmarkStart w:id="4" w:name="_Hlk79497927"/>
      <w:r w:rsidR="00567838">
        <w:t xml:space="preserve">Domain, </w:t>
      </w:r>
      <w:hyperlink r:id="rId10" w:history="1">
        <w:r w:rsidR="00763330">
          <w:rPr>
            <w:rStyle w:val="Hyperlink"/>
            <w:i/>
            <w:iCs/>
          </w:rPr>
          <w:t xml:space="preserve">June </w:t>
        </w:r>
        <w:r w:rsidR="00EE13C0">
          <w:rPr>
            <w:rStyle w:val="Hyperlink"/>
            <w:i/>
            <w:iCs/>
          </w:rPr>
          <w:t xml:space="preserve">2021 </w:t>
        </w:r>
        <w:r w:rsidR="005B12C6" w:rsidRPr="00F42FD6">
          <w:rPr>
            <w:rStyle w:val="Hyperlink"/>
            <w:i/>
            <w:iCs/>
          </w:rPr>
          <w:t>Rental Report</w:t>
        </w:r>
      </w:hyperlink>
      <w:r w:rsidR="00EA39E3">
        <w:t xml:space="preserve">, </w:t>
      </w:r>
      <w:r w:rsidR="0026741C">
        <w:t xml:space="preserve">Domain website, </w:t>
      </w:r>
      <w:r w:rsidR="005D5352">
        <w:t>n.d., accessed 8 July 2021.</w:t>
      </w:r>
      <w:bookmarkEnd w:id="4"/>
    </w:p>
  </w:footnote>
  <w:footnote w:id="16">
    <w:p w14:paraId="4AFA5D08" w14:textId="3B542EF7" w:rsidR="00D42F95" w:rsidRPr="00D42F95" w:rsidRDefault="00D42F95">
      <w:pPr>
        <w:pStyle w:val="FootnoteText"/>
      </w:pPr>
      <w:r w:rsidRPr="00D42F95">
        <w:footnoteRef/>
      </w:r>
      <w:r w:rsidRPr="00D42F95">
        <w:t xml:space="preserve"> </w:t>
      </w:r>
      <w:r>
        <w:tab/>
      </w:r>
      <w:r w:rsidRPr="00D42F95">
        <w:t xml:space="preserve">Domain, </w:t>
      </w:r>
      <w:r w:rsidRPr="00D42F95">
        <w:rPr>
          <w:i/>
          <w:iCs/>
        </w:rPr>
        <w:t>June 2021 Rental Report</w:t>
      </w:r>
      <w:r>
        <w:t>.</w:t>
      </w:r>
    </w:p>
  </w:footnote>
  <w:footnote w:id="17">
    <w:p w14:paraId="4B2F0502" w14:textId="49F49257" w:rsidR="00C96334" w:rsidRDefault="00C96334">
      <w:pPr>
        <w:pStyle w:val="FootnoteText"/>
      </w:pPr>
      <w:r w:rsidRPr="00D42F95">
        <w:footnoteRef/>
      </w:r>
      <w:r w:rsidRPr="00D42F95">
        <w:t xml:space="preserve"> </w:t>
      </w:r>
      <w:r w:rsidR="00D42F95">
        <w:tab/>
      </w:r>
      <w:r w:rsidR="006A6DD0">
        <w:t xml:space="preserve">N Powell and H Yu, </w:t>
      </w:r>
      <w:hyperlink r:id="rId11" w:history="1">
        <w:r w:rsidR="00AC309A" w:rsidRPr="00F42FD6">
          <w:rPr>
            <w:rStyle w:val="Hyperlink"/>
            <w:i/>
            <w:iCs/>
          </w:rPr>
          <w:t>Rental vacancy rates: June 2021</w:t>
        </w:r>
      </w:hyperlink>
      <w:r w:rsidR="00AC309A">
        <w:t xml:space="preserve">, Domain website, </w:t>
      </w:r>
      <w:r w:rsidR="00CA1161">
        <w:t>1 July 2021, accessed 8 July 2021.</w:t>
      </w:r>
      <w:r>
        <w:t xml:space="preserve"> </w:t>
      </w:r>
    </w:p>
  </w:footnote>
  <w:footnote w:id="18">
    <w:p w14:paraId="638D07F5" w14:textId="2E067349" w:rsidR="00475A2E" w:rsidRDefault="00475A2E">
      <w:pPr>
        <w:pStyle w:val="FootnoteText"/>
      </w:pPr>
      <w:r w:rsidRPr="00C87936">
        <w:footnoteRef/>
      </w:r>
      <w:r w:rsidRPr="00C87936">
        <w:t xml:space="preserve"> </w:t>
      </w:r>
      <w:r w:rsidR="00C87936">
        <w:tab/>
      </w:r>
      <w:r w:rsidRPr="001A0B00">
        <w:t xml:space="preserve">Anglicare NSW South, NSW West and ACT, </w:t>
      </w:r>
      <w:hyperlink r:id="rId12" w:history="1">
        <w:r w:rsidRPr="00C87936">
          <w:rPr>
            <w:rStyle w:val="Hyperlink"/>
            <w:i/>
            <w:iCs/>
          </w:rPr>
          <w:t>Anglicare Research: Rental Affordability forcing more Canberrans into financial hardship</w:t>
        </w:r>
      </w:hyperlink>
      <w:r w:rsidRPr="001A0B00">
        <w:t xml:space="preserve"> [media release], Anglicare NSW South, NSW West and ACT, 29 April 2021, accessed 22 June 2021.</w:t>
      </w:r>
    </w:p>
  </w:footnote>
  <w:footnote w:id="19">
    <w:p w14:paraId="59A20839" w14:textId="72751AC5" w:rsidR="00454AAB" w:rsidRDefault="00454AAB">
      <w:pPr>
        <w:pStyle w:val="FootnoteText"/>
      </w:pPr>
      <w:r w:rsidRPr="00A764C8">
        <w:footnoteRef/>
      </w:r>
      <w:r w:rsidRPr="00A764C8">
        <w:t xml:space="preserve"> </w:t>
      </w:r>
      <w:r w:rsidR="00A764C8">
        <w:tab/>
      </w:r>
      <w:r w:rsidR="003632ED" w:rsidRPr="00A764C8">
        <w:t>J</w:t>
      </w:r>
      <w:r w:rsidR="003632ED" w:rsidRPr="003632ED">
        <w:t xml:space="preserve"> Lawson, H Pawson, L Troy, R van den Nouwelant and C Hamilton, </w:t>
      </w:r>
      <w:hyperlink r:id="rId13" w:history="1">
        <w:r w:rsidR="003632ED" w:rsidRPr="00797B55">
          <w:rPr>
            <w:rStyle w:val="Hyperlink"/>
            <w:i/>
            <w:iCs/>
          </w:rPr>
          <w:t>Social housing as infrastructure: an investment pathway</w:t>
        </w:r>
      </w:hyperlink>
      <w:r w:rsidR="003632ED" w:rsidRPr="003632ED">
        <w:t>, AHURI Final Report 306, Australian Housing and Urban Research Institute Limited, 2018, p 63, accessed 22 June 2021.</w:t>
      </w:r>
    </w:p>
  </w:footnote>
  <w:footnote w:id="20">
    <w:p w14:paraId="762B230D" w14:textId="48E68206" w:rsidR="009B2622" w:rsidRDefault="009B2622">
      <w:pPr>
        <w:pStyle w:val="FootnoteText"/>
      </w:pPr>
      <w:r w:rsidRPr="00CD77F5">
        <w:footnoteRef/>
      </w:r>
      <w:r w:rsidRPr="00CD77F5">
        <w:t xml:space="preserve"> </w:t>
      </w:r>
      <w:r w:rsidR="00CD77F5">
        <w:tab/>
      </w:r>
      <w:r w:rsidR="00C45925">
        <w:t xml:space="preserve">ACT Government Community Services Directorate, </w:t>
      </w:r>
      <w:hyperlink r:id="rId14" w:history="1">
        <w:r w:rsidR="008D3BDA" w:rsidRPr="00F76DDA">
          <w:rPr>
            <w:rStyle w:val="Hyperlink"/>
            <w:i/>
            <w:iCs/>
          </w:rPr>
          <w:t>ACT Housing Strategy Growing and Renewing Public Housing</w:t>
        </w:r>
      </w:hyperlink>
      <w:r w:rsidR="00A90271">
        <w:t xml:space="preserve">, </w:t>
      </w:r>
      <w:r w:rsidR="001C2A72">
        <w:t>Community Services Directorate</w:t>
      </w:r>
      <w:r w:rsidR="00A90271">
        <w:t xml:space="preserve"> website, </w:t>
      </w:r>
      <w:r w:rsidR="005D3BCE">
        <w:t>25 May 2021</w:t>
      </w:r>
      <w:r w:rsidR="00A90271">
        <w:t>, accessed 8 July 2021.</w:t>
      </w:r>
    </w:p>
  </w:footnote>
  <w:footnote w:id="21">
    <w:p w14:paraId="04E20519" w14:textId="6194C2AF" w:rsidR="00B17CD7" w:rsidRDefault="00B17CD7" w:rsidP="00B17CD7">
      <w:pPr>
        <w:pStyle w:val="FootnoteText"/>
      </w:pPr>
      <w:r w:rsidRPr="00A77942">
        <w:footnoteRef/>
      </w:r>
      <w:r w:rsidRPr="00A77942">
        <w:t xml:space="preserve"> </w:t>
      </w:r>
      <w:bookmarkStart w:id="5" w:name="_Hlk76652361"/>
      <w:bookmarkStart w:id="6" w:name="_Hlk77067747"/>
      <w:r w:rsidR="00A77942">
        <w:tab/>
      </w:r>
      <w:r>
        <w:t>AIHW, ‘</w:t>
      </w:r>
      <w:r w:rsidRPr="00851D04">
        <w:t xml:space="preserve">Table SOCIAL SHARE.1: Social housing households and all Australian households, </w:t>
      </w:r>
      <w:bookmarkEnd w:id="5"/>
      <w:r w:rsidRPr="00851D04">
        <w:t>by states and territories, at 30 June 2010 to 2020</w:t>
      </w:r>
      <w:r>
        <w:t>’</w:t>
      </w:r>
      <w:bookmarkEnd w:id="6"/>
      <w:r w:rsidR="005A59F0">
        <w:t xml:space="preserve"> [</w:t>
      </w:r>
      <w:r w:rsidR="00216159">
        <w:t>data table</w:t>
      </w:r>
      <w:r w:rsidR="00E67380">
        <w:t>s</w:t>
      </w:r>
      <w:r w:rsidR="00216159">
        <w:t>]</w:t>
      </w:r>
      <w:r>
        <w:t xml:space="preserve">, </w:t>
      </w:r>
      <w:hyperlink r:id="rId15" w:history="1">
        <w:r w:rsidRPr="00BC3D71">
          <w:rPr>
            <w:rStyle w:val="Hyperlink"/>
            <w:i/>
            <w:iCs/>
          </w:rPr>
          <w:t>Housing Assistance in Australia</w:t>
        </w:r>
      </w:hyperlink>
      <w:r>
        <w:t xml:space="preserve">, </w:t>
      </w:r>
      <w:r w:rsidR="00A77942">
        <w:t xml:space="preserve">2021, </w:t>
      </w:r>
      <w:r>
        <w:t>accessed 8 July 2021.</w:t>
      </w:r>
    </w:p>
  </w:footnote>
  <w:footnote w:id="22">
    <w:p w14:paraId="26DF6305" w14:textId="67013729" w:rsidR="00DC7E3D" w:rsidRDefault="00DC7E3D">
      <w:pPr>
        <w:pStyle w:val="FootnoteText"/>
      </w:pPr>
      <w:r w:rsidRPr="00275E6A">
        <w:footnoteRef/>
      </w:r>
      <w:r w:rsidRPr="00275E6A">
        <w:t xml:space="preserve"> </w:t>
      </w:r>
      <w:r w:rsidR="00275E6A">
        <w:tab/>
      </w:r>
      <w:r>
        <w:t>AIHW</w:t>
      </w:r>
      <w:r w:rsidR="00275E6A">
        <w:t>,</w:t>
      </w:r>
      <w:r>
        <w:t xml:space="preserve"> ‘</w:t>
      </w:r>
      <w:r w:rsidRPr="00851D04">
        <w:t>Table SOCIAL SHARE.1</w:t>
      </w:r>
      <w:r w:rsidR="00275E6A">
        <w:t>’.</w:t>
      </w:r>
    </w:p>
  </w:footnote>
  <w:footnote w:id="23">
    <w:p w14:paraId="4A514C24" w14:textId="184BED92" w:rsidR="00AC7DCC" w:rsidRDefault="00AC7DCC" w:rsidP="00AC7DCC">
      <w:pPr>
        <w:pStyle w:val="FootnoteText"/>
      </w:pPr>
      <w:r w:rsidRPr="00275E6A">
        <w:footnoteRef/>
      </w:r>
      <w:r w:rsidRPr="00275E6A">
        <w:t xml:space="preserve"> </w:t>
      </w:r>
      <w:r w:rsidR="00275E6A">
        <w:tab/>
      </w:r>
      <w:r w:rsidRPr="00275E6A">
        <w:t>ACT</w:t>
      </w:r>
      <w:r w:rsidRPr="00B5796F">
        <w:t xml:space="preserve"> Government Community Services Directorate, </w:t>
      </w:r>
      <w:hyperlink r:id="rId16" w:history="1">
        <w:r w:rsidRPr="00B5796F">
          <w:rPr>
            <w:rStyle w:val="Hyperlink"/>
            <w:i/>
            <w:iCs/>
          </w:rPr>
          <w:t>Social Housing Waiting List</w:t>
        </w:r>
      </w:hyperlink>
      <w:r w:rsidRPr="00B5796F">
        <w:t xml:space="preserve">, ACT Government Community Services Directorate, </w:t>
      </w:r>
      <w:r>
        <w:t>5 July</w:t>
      </w:r>
      <w:r w:rsidRPr="00B5796F">
        <w:t xml:space="preserve"> 2021, accessed </w:t>
      </w:r>
      <w:r>
        <w:t>8 July</w:t>
      </w:r>
      <w:r w:rsidRPr="00B5796F">
        <w:t xml:space="preserve"> 2021.</w:t>
      </w:r>
    </w:p>
    <w:p w14:paraId="42A8E377" w14:textId="2BE2E8B5" w:rsidR="00AC7DCC" w:rsidRDefault="00AC7DCC">
      <w:pPr>
        <w:pStyle w:val="FootnoteText"/>
      </w:pPr>
    </w:p>
  </w:footnote>
  <w:footnote w:id="24">
    <w:p w14:paraId="7D52F84E" w14:textId="0360E3EB" w:rsidR="00E265D9" w:rsidRDefault="00E265D9">
      <w:pPr>
        <w:pStyle w:val="FootnoteText"/>
      </w:pPr>
      <w:r w:rsidRPr="00353728">
        <w:footnoteRef/>
      </w:r>
      <w:r w:rsidRPr="00353728">
        <w:t xml:space="preserve"> </w:t>
      </w:r>
      <w:r w:rsidR="00353728">
        <w:tab/>
      </w:r>
      <w:r w:rsidR="00FE5115">
        <w:t xml:space="preserve">Equity Economics, </w:t>
      </w:r>
      <w:hyperlink r:id="rId17" w:history="1">
        <w:r w:rsidR="00FE5115" w:rsidRPr="002061B1">
          <w:rPr>
            <w:rStyle w:val="Hyperlink"/>
            <w:i/>
            <w:iCs/>
          </w:rPr>
          <w:t>Nowhere to go: the benefits of providing long-term social housing to women that have experienced domestic and family violence</w:t>
        </w:r>
      </w:hyperlink>
      <w:r w:rsidR="00FE5115">
        <w:t xml:space="preserve">, </w:t>
      </w:r>
      <w:r w:rsidR="006E159A">
        <w:t xml:space="preserve">Equity Economics, </w:t>
      </w:r>
      <w:r w:rsidR="00BE0570">
        <w:t>n.d.</w:t>
      </w:r>
      <w:r w:rsidR="0064661D">
        <w:t>, accessed 13 July 2021.</w:t>
      </w:r>
    </w:p>
  </w:footnote>
  <w:footnote w:id="25">
    <w:p w14:paraId="0BC7C634" w14:textId="452224DB" w:rsidR="00073F0F" w:rsidRDefault="00073F0F">
      <w:pPr>
        <w:pStyle w:val="FootnoteText"/>
      </w:pPr>
      <w:r w:rsidRPr="00715252">
        <w:footnoteRef/>
      </w:r>
      <w:r w:rsidRPr="00715252">
        <w:t xml:space="preserve"> </w:t>
      </w:r>
      <w:r w:rsidR="00715252">
        <w:tab/>
      </w:r>
      <w:r w:rsidR="003D6A91" w:rsidRPr="003D6A91">
        <w:t xml:space="preserve">KPMG, </w:t>
      </w:r>
      <w:hyperlink r:id="rId18" w:history="1">
        <w:r w:rsidR="003D6A91" w:rsidRPr="002C3AAF">
          <w:rPr>
            <w:rStyle w:val="Hyperlink"/>
            <w:i/>
            <w:iCs/>
          </w:rPr>
          <w:t>Housing Ministers’ Advisory Committee</w:t>
        </w:r>
        <w:r w:rsidR="00CE1668">
          <w:rPr>
            <w:rStyle w:val="Hyperlink"/>
            <w:i/>
            <w:iCs/>
          </w:rPr>
          <w:t>:</w:t>
        </w:r>
        <w:r w:rsidR="003D6A91" w:rsidRPr="002C3AAF">
          <w:rPr>
            <w:rStyle w:val="Hyperlink"/>
            <w:i/>
            <w:iCs/>
          </w:rPr>
          <w:t xml:space="preserve"> Social Housing Initiative Review </w:t>
        </w:r>
        <w:r w:rsidR="003D6A91" w:rsidRPr="002C3AAF">
          <w:rPr>
            <w:rStyle w:val="Hyperlink"/>
          </w:rPr>
          <w:t>[PDF]</w:t>
        </w:r>
      </w:hyperlink>
      <w:r w:rsidR="003D6A91" w:rsidRPr="003D6A91">
        <w:t>, prepared by KPMG for the Department of Housing, September 2012, p 2, accessed 22 June 2021.</w:t>
      </w:r>
    </w:p>
  </w:footnote>
  <w:footnote w:id="26">
    <w:p w14:paraId="4E063C4A" w14:textId="41D4732B" w:rsidR="00277827" w:rsidRDefault="00277827">
      <w:pPr>
        <w:pStyle w:val="FootnoteText"/>
      </w:pPr>
      <w:r w:rsidRPr="005B2144">
        <w:footnoteRef/>
      </w:r>
      <w:r w:rsidRPr="005B2144">
        <w:t xml:space="preserve"> </w:t>
      </w:r>
      <w:r w:rsidR="005B2144">
        <w:tab/>
      </w:r>
      <w:r w:rsidRPr="00277827">
        <w:t xml:space="preserve">D Prentice and R Scutella, </w:t>
      </w:r>
      <w:hyperlink r:id="rId19" w:history="1">
        <w:r w:rsidRPr="00DC6AE7">
          <w:rPr>
            <w:rStyle w:val="Hyperlink"/>
            <w:i/>
            <w:iCs/>
          </w:rPr>
          <w:t>What are the impacts of living in social housing?</w:t>
        </w:r>
        <w:r w:rsidR="00734CCA">
          <w:rPr>
            <w:rStyle w:val="Hyperlink"/>
            <w:i/>
            <w:iCs/>
          </w:rPr>
          <w:t xml:space="preserve"> </w:t>
        </w:r>
        <w:r w:rsidR="00734CCA" w:rsidRPr="00734CCA">
          <w:rPr>
            <w:rStyle w:val="Hyperlink"/>
          </w:rPr>
          <w:t>[PDF]</w:t>
        </w:r>
      </w:hyperlink>
      <w:r w:rsidRPr="00277827">
        <w:t xml:space="preserve">, Technical Paper No. 1/18, Infrastructure Victoria, Melbourne, 2018, </w:t>
      </w:r>
      <w:r>
        <w:t>accessed</w:t>
      </w:r>
      <w:r w:rsidRPr="00277827">
        <w:t xml:space="preserve"> 5 September 2020</w:t>
      </w:r>
      <w:r w:rsidR="00AE3A7C">
        <w:t>.</w:t>
      </w:r>
    </w:p>
  </w:footnote>
  <w:footnote w:id="27">
    <w:p w14:paraId="0195099A" w14:textId="6FB780F1" w:rsidR="00A26858" w:rsidRDefault="00A26858">
      <w:pPr>
        <w:pStyle w:val="FootnoteText"/>
      </w:pPr>
      <w:r w:rsidRPr="005D71EF">
        <w:footnoteRef/>
      </w:r>
      <w:r w:rsidRPr="005D71EF">
        <w:t xml:space="preserve"> </w:t>
      </w:r>
      <w:r w:rsidR="005D71EF">
        <w:tab/>
      </w:r>
      <w:r w:rsidRPr="00A26858">
        <w:t xml:space="preserve">Data analysis by Dr Ryan Van Den Nouwelant, Urban and Regional Research Program, University of Western Sydney on </w:t>
      </w:r>
      <w:hyperlink r:id="rId20" w:history="1">
        <w:r w:rsidRPr="00835C43">
          <w:rPr>
            <w:rStyle w:val="Hyperlink"/>
            <w:i/>
            <w:iCs/>
          </w:rPr>
          <w:t xml:space="preserve">Homelessness and social housing need: Look up your local federal electorate </w:t>
        </w:r>
        <w:r w:rsidRPr="00916A6C">
          <w:rPr>
            <w:rStyle w:val="Hyperlink"/>
          </w:rPr>
          <w:t>[interactive heat map]</w:t>
        </w:r>
      </w:hyperlink>
      <w:r w:rsidRPr="00A26858">
        <w:t>, Everybody’s Home website, 2021, accessed 22 June 2021.</w:t>
      </w:r>
    </w:p>
  </w:footnote>
  <w:footnote w:id="28">
    <w:p w14:paraId="60A13945" w14:textId="1DD52A0E" w:rsidR="00EE337A" w:rsidRDefault="00EE337A">
      <w:pPr>
        <w:pStyle w:val="FootnoteText"/>
      </w:pPr>
      <w:r>
        <w:rPr>
          <w:rStyle w:val="FootnoteReference"/>
        </w:rPr>
        <w:footnoteRef/>
      </w:r>
      <w:r>
        <w:t xml:space="preserve"> ACTCOSS, </w:t>
      </w:r>
      <w:hyperlink r:id="rId21" w:history="1">
        <w:r w:rsidRPr="00DB74BF">
          <w:rPr>
            <w:rStyle w:val="Hyperlink"/>
            <w:i/>
            <w:iCs/>
          </w:rPr>
          <w:t xml:space="preserve">ACT </w:t>
        </w:r>
        <w:r w:rsidR="00586091" w:rsidRPr="00DB74BF">
          <w:rPr>
            <w:rStyle w:val="Hyperlink"/>
            <w:i/>
            <w:iCs/>
          </w:rPr>
          <w:t>cost of living report</w:t>
        </w:r>
      </w:hyperlink>
      <w:r w:rsidR="00586091">
        <w:t>, ACTCOSS, Canberra</w:t>
      </w:r>
      <w:r w:rsidR="00DB74BF">
        <w:t>, September 2020, accessed 10 August 2021.</w:t>
      </w:r>
    </w:p>
  </w:footnote>
  <w:footnote w:id="29">
    <w:p w14:paraId="6A02CC25" w14:textId="58F0EF49" w:rsidR="000202D6" w:rsidRDefault="000202D6">
      <w:pPr>
        <w:pStyle w:val="FootnoteText"/>
      </w:pPr>
      <w:r w:rsidRPr="004A6A9E">
        <w:footnoteRef/>
      </w:r>
      <w:r w:rsidRPr="004A6A9E">
        <w:t xml:space="preserve"> </w:t>
      </w:r>
      <w:bookmarkStart w:id="8" w:name="_Hlk77076055"/>
      <w:r w:rsidR="004A6A9E">
        <w:tab/>
      </w:r>
      <w:r>
        <w:t xml:space="preserve">ABS, </w:t>
      </w:r>
      <w:hyperlink r:id="rId22" w:history="1">
        <w:r w:rsidRPr="00C82283">
          <w:rPr>
            <w:rStyle w:val="Hyperlink"/>
            <w:i/>
            <w:iCs/>
          </w:rPr>
          <w:t>Selected Living Cost Indexes</w:t>
        </w:r>
        <w:r w:rsidR="00631157" w:rsidRPr="00C82283">
          <w:rPr>
            <w:rStyle w:val="Hyperlink"/>
            <w:i/>
            <w:iCs/>
          </w:rPr>
          <w:t>, Australia</w:t>
        </w:r>
      </w:hyperlink>
      <w:r w:rsidR="00710D32">
        <w:t xml:space="preserve">, </w:t>
      </w:r>
      <w:r w:rsidR="00FD68BE">
        <w:t xml:space="preserve">Reference period March 2021, </w:t>
      </w:r>
      <w:r w:rsidR="00710D32">
        <w:t xml:space="preserve">ABS website, </w:t>
      </w:r>
      <w:r w:rsidR="00AD62E8">
        <w:t xml:space="preserve">2021, </w:t>
      </w:r>
      <w:r w:rsidR="00C82283">
        <w:t>accessed 13 July 2021.</w:t>
      </w:r>
      <w:bookmarkEnd w:id="8"/>
    </w:p>
  </w:footnote>
  <w:footnote w:id="30">
    <w:p w14:paraId="140A6F2A" w14:textId="19CBC7CF" w:rsidR="0090562C" w:rsidRDefault="0090562C">
      <w:pPr>
        <w:pStyle w:val="FootnoteText"/>
      </w:pPr>
      <w:r w:rsidRPr="00626DCD">
        <w:footnoteRef/>
      </w:r>
      <w:r w:rsidRPr="00626DCD">
        <w:t xml:space="preserve"> </w:t>
      </w:r>
      <w:r>
        <w:t xml:space="preserve">ABS, </w:t>
      </w:r>
      <w:r w:rsidRPr="0090562C">
        <w:rPr>
          <w:i/>
          <w:iCs/>
        </w:rPr>
        <w:t>Selected Living Cost Indexes, Australia</w:t>
      </w:r>
      <w:r w:rsidR="00626DCD">
        <w:t>.</w:t>
      </w:r>
    </w:p>
  </w:footnote>
  <w:footnote w:id="31">
    <w:p w14:paraId="20A19BC3" w14:textId="4E9E53E3" w:rsidR="005B2863" w:rsidRDefault="005B2863" w:rsidP="005B2863">
      <w:pPr>
        <w:pStyle w:val="FootnoteText"/>
      </w:pPr>
      <w:r w:rsidRPr="007452B9">
        <w:footnoteRef/>
      </w:r>
      <w:r w:rsidRPr="007452B9">
        <w:t xml:space="preserve"> </w:t>
      </w:r>
      <w:r w:rsidR="007452B9">
        <w:tab/>
      </w:r>
      <w:r>
        <w:t xml:space="preserve">ACOSS and UNSW Sydney, </w:t>
      </w:r>
      <w:hyperlink r:id="rId23" w:history="1">
        <w:r w:rsidR="005C15FF" w:rsidRPr="005C15FF">
          <w:rPr>
            <w:rStyle w:val="Hyperlink"/>
            <w:i/>
            <w:iCs/>
          </w:rPr>
          <w:t>Data and figures: R</w:t>
        </w:r>
        <w:r w:rsidRPr="005C15FF">
          <w:rPr>
            <w:rStyle w:val="Hyperlink"/>
            <w:i/>
            <w:iCs/>
          </w:rPr>
          <w:t>ate of poverty by state/territory of residence</w:t>
        </w:r>
      </w:hyperlink>
      <w:r>
        <w:t xml:space="preserve">, </w:t>
      </w:r>
      <w:r w:rsidRPr="00997464">
        <w:t>Research and insights into poverty and inequality in Australia</w:t>
      </w:r>
      <w:r w:rsidR="00997464" w:rsidRPr="00997464">
        <w:t xml:space="preserve"> website</w:t>
      </w:r>
      <w:r>
        <w:t>, n.d., accessed 29 June 2021.</w:t>
      </w:r>
    </w:p>
  </w:footnote>
  <w:footnote w:id="32">
    <w:p w14:paraId="72E14AF9" w14:textId="04151D90" w:rsidR="005B2863" w:rsidRDefault="005B2863" w:rsidP="005B2863">
      <w:pPr>
        <w:pStyle w:val="FootnoteText"/>
      </w:pPr>
      <w:r w:rsidRPr="005C15FF">
        <w:footnoteRef/>
      </w:r>
      <w:r w:rsidRPr="005C15FF">
        <w:t xml:space="preserve"> </w:t>
      </w:r>
      <w:r w:rsidR="005C15FF">
        <w:tab/>
      </w:r>
      <w:r>
        <w:t xml:space="preserve">Miranti, </w:t>
      </w:r>
      <w:r w:rsidRPr="00FA059A">
        <w:rPr>
          <w:i/>
          <w:iCs/>
        </w:rPr>
        <w:t>Child social exclusion, poverty and disadvantage in Australia</w:t>
      </w:r>
      <w:r>
        <w:t>, p 32.</w:t>
      </w:r>
    </w:p>
  </w:footnote>
  <w:footnote w:id="33">
    <w:p w14:paraId="48062911" w14:textId="29E65994" w:rsidR="005B2863" w:rsidRDefault="005B2863" w:rsidP="005B2863">
      <w:pPr>
        <w:pStyle w:val="FootnoteText"/>
      </w:pPr>
      <w:r w:rsidRPr="00A5486E">
        <w:footnoteRef/>
      </w:r>
      <w:r w:rsidRPr="00A5486E">
        <w:t xml:space="preserve"> </w:t>
      </w:r>
      <w:r>
        <w:t xml:space="preserve">Davidson, </w:t>
      </w:r>
      <w:r w:rsidRPr="00A5486E">
        <w:rPr>
          <w:i/>
          <w:iCs/>
        </w:rPr>
        <w:t>Poverty in Australia 2020</w:t>
      </w:r>
      <w:r>
        <w:t>.</w:t>
      </w:r>
    </w:p>
  </w:footnote>
  <w:footnote w:id="34">
    <w:p w14:paraId="64858E87" w14:textId="7B3FDCF9" w:rsidR="00931FF9" w:rsidRDefault="00931FF9">
      <w:pPr>
        <w:pStyle w:val="FootnoteText"/>
      </w:pPr>
      <w:r w:rsidRPr="00ED313B">
        <w:footnoteRef/>
      </w:r>
      <w:r w:rsidRPr="00ED313B">
        <w:t xml:space="preserve"> </w:t>
      </w:r>
      <w:r w:rsidR="00ED313B">
        <w:tab/>
      </w:r>
      <w:r w:rsidR="003C2CA3" w:rsidRPr="00510573">
        <w:t xml:space="preserve">Department of Social Services, </w:t>
      </w:r>
      <w:r w:rsidR="003C2CA3" w:rsidRPr="00510573">
        <w:rPr>
          <w:i/>
          <w:iCs/>
        </w:rPr>
        <w:t>JobSeeker Payment and Youth Allowance recipients</w:t>
      </w:r>
      <w:r w:rsidR="003C2CA3">
        <w:t>.</w:t>
      </w:r>
    </w:p>
  </w:footnote>
  <w:footnote w:id="35">
    <w:p w14:paraId="1EB43791" w14:textId="1C285695" w:rsidR="00C82B2F" w:rsidRDefault="00C82B2F">
      <w:pPr>
        <w:pStyle w:val="FootnoteText"/>
      </w:pPr>
      <w:r w:rsidRPr="00230CAF">
        <w:footnoteRef/>
      </w:r>
      <w:r w:rsidRPr="00230CAF">
        <w:t xml:space="preserve"> </w:t>
      </w:r>
      <w:r w:rsidR="00230CAF">
        <w:tab/>
      </w:r>
      <w:r w:rsidRPr="00C82B2F">
        <w:t xml:space="preserve">ACOSS, </w:t>
      </w:r>
      <w:hyperlink r:id="rId24" w:history="1">
        <w:r w:rsidRPr="00CC6068">
          <w:rPr>
            <w:rStyle w:val="Hyperlink"/>
            <w:i/>
            <w:iCs/>
          </w:rPr>
          <w:t>‘If it wasn’t for the Supplement, I’ve no idea where I’d be’: survey of more than 600 people receiving the new rate of JobSeeker or related income support</w:t>
        </w:r>
        <w:r w:rsidR="00CC6068" w:rsidRPr="00CC6068">
          <w:rPr>
            <w:rStyle w:val="Hyperlink"/>
          </w:rPr>
          <w:t xml:space="preserve"> [PDF]</w:t>
        </w:r>
      </w:hyperlink>
      <w:r w:rsidRPr="00C82B2F">
        <w:t xml:space="preserve">, ACOSS, Sydney, 2020, </w:t>
      </w:r>
      <w:r w:rsidR="00CC6068">
        <w:t xml:space="preserve">accessed </w:t>
      </w:r>
      <w:r w:rsidRPr="00C82B2F">
        <w:t>14 September 2020</w:t>
      </w:r>
      <w:r w:rsidR="00DC479A">
        <w:t>.</w:t>
      </w:r>
    </w:p>
  </w:footnote>
  <w:footnote w:id="36">
    <w:p w14:paraId="216C48C1" w14:textId="2EFD2B5F" w:rsidR="0089064E" w:rsidRDefault="0089064E">
      <w:pPr>
        <w:pStyle w:val="FootnoteText"/>
      </w:pPr>
      <w:r w:rsidRPr="00B12037">
        <w:footnoteRef/>
      </w:r>
      <w:r w:rsidRPr="00B12037">
        <w:t xml:space="preserve"> </w:t>
      </w:r>
      <w:r w:rsidRPr="008E19BA">
        <w:t>Phillips, unpublished data</w:t>
      </w:r>
      <w:r w:rsidR="00B12037">
        <w:t>.</w:t>
      </w:r>
    </w:p>
  </w:footnote>
  <w:footnote w:id="37">
    <w:p w14:paraId="65B61BD8" w14:textId="08C566D2" w:rsidR="0089064E" w:rsidRDefault="0089064E">
      <w:pPr>
        <w:pStyle w:val="FootnoteText"/>
      </w:pPr>
      <w:r w:rsidRPr="00373DC7">
        <w:footnoteRef/>
      </w:r>
      <w:r w:rsidRPr="00373DC7">
        <w:t xml:space="preserve"> </w:t>
      </w:r>
      <w:r w:rsidR="00373DC7">
        <w:tab/>
      </w:r>
      <w:r>
        <w:t>Phillips, unpublished data.</w:t>
      </w:r>
    </w:p>
  </w:footnote>
  <w:footnote w:id="38">
    <w:p w14:paraId="424BA107" w14:textId="59BEC623" w:rsidR="0089064E" w:rsidRDefault="0089064E">
      <w:pPr>
        <w:pStyle w:val="FootnoteText"/>
      </w:pPr>
      <w:r w:rsidRPr="00373DC7">
        <w:footnoteRef/>
      </w:r>
      <w:r w:rsidRPr="00373DC7">
        <w:t xml:space="preserve"> </w:t>
      </w:r>
      <w:r w:rsidR="00373DC7">
        <w:tab/>
      </w:r>
      <w:r>
        <w:t>Phillips, unpublished data.</w:t>
      </w:r>
    </w:p>
  </w:footnote>
  <w:footnote w:id="39">
    <w:p w14:paraId="4D856404" w14:textId="01D4740B" w:rsidR="00D80255" w:rsidRDefault="00D80255">
      <w:pPr>
        <w:pStyle w:val="FootnoteText"/>
      </w:pPr>
      <w:r w:rsidRPr="00631E4A">
        <w:footnoteRef/>
      </w:r>
      <w:r w:rsidRPr="00631E4A">
        <w:t xml:space="preserve"> </w:t>
      </w:r>
      <w:r w:rsidR="00631E4A">
        <w:tab/>
      </w:r>
      <w:r w:rsidR="00B200F0">
        <w:t>South Australian Council of Social Service</w:t>
      </w:r>
      <w:r w:rsidR="00631E4A">
        <w:t xml:space="preserve"> (SACOSS)</w:t>
      </w:r>
      <w:r w:rsidR="00B200F0">
        <w:t xml:space="preserve">, </w:t>
      </w:r>
      <w:hyperlink r:id="rId25" w:history="1">
        <w:r w:rsidR="006D2D02" w:rsidRPr="00770F98">
          <w:rPr>
            <w:rStyle w:val="Hyperlink"/>
            <w:i/>
            <w:iCs/>
          </w:rPr>
          <w:t xml:space="preserve">SACOSS </w:t>
        </w:r>
        <w:r w:rsidR="00B200F0" w:rsidRPr="00770F98">
          <w:rPr>
            <w:rStyle w:val="Hyperlink"/>
            <w:i/>
            <w:iCs/>
          </w:rPr>
          <w:t>Cost of Living Update No. 46, March</w:t>
        </w:r>
        <w:r w:rsidR="006D2D02" w:rsidRPr="00770F98">
          <w:rPr>
            <w:rStyle w:val="Hyperlink"/>
            <w:i/>
            <w:iCs/>
          </w:rPr>
          <w:t xml:space="preserve"> Quarter</w:t>
        </w:r>
        <w:r w:rsidR="00B200F0" w:rsidRPr="00770F98">
          <w:rPr>
            <w:rStyle w:val="Hyperlink"/>
            <w:i/>
            <w:iCs/>
          </w:rPr>
          <w:t xml:space="preserve"> 2021</w:t>
        </w:r>
      </w:hyperlink>
      <w:r w:rsidR="006D2D02">
        <w:t>, SACOSS, Adelaide</w:t>
      </w:r>
      <w:r w:rsidR="001D58A6">
        <w:t>, May 2021, p 7, accessed 12 July 2021.</w:t>
      </w:r>
    </w:p>
  </w:footnote>
  <w:footnote w:id="40">
    <w:p w14:paraId="339F445C" w14:textId="088E5788" w:rsidR="00811DC4" w:rsidRDefault="00811DC4">
      <w:pPr>
        <w:pStyle w:val="FootnoteText"/>
      </w:pPr>
      <w:r w:rsidRPr="00D75C72">
        <w:footnoteRef/>
      </w:r>
      <w:r w:rsidRPr="00D75C72">
        <w:t xml:space="preserve"> </w:t>
      </w:r>
      <w:r w:rsidR="00D75C72">
        <w:tab/>
      </w:r>
      <w:r w:rsidR="00BB0F90">
        <w:t xml:space="preserve">P Saunders and M Bedford, </w:t>
      </w:r>
      <w:hyperlink r:id="rId26" w:anchor=":~:text=The%20new%20weekly%20low%2Dpaid,10%20year%2Dold%20boy).&amp;text=The%20corresponding%20budgets%20for%20the,a%20couple%20with%20two%20children." w:history="1">
        <w:r w:rsidR="00100792" w:rsidRPr="007C57BE">
          <w:rPr>
            <w:rStyle w:val="Hyperlink"/>
            <w:i/>
            <w:iCs/>
          </w:rPr>
          <w:t>New minimum income for healthy living budget standards for low-paid and unemployed Australians</w:t>
        </w:r>
        <w:r w:rsidR="00170845" w:rsidRPr="007C57BE">
          <w:rPr>
            <w:rStyle w:val="Hyperlink"/>
            <w:i/>
            <w:iCs/>
          </w:rPr>
          <w:t xml:space="preserve"> – Summary repor</w:t>
        </w:r>
        <w:r w:rsidR="00D75C72">
          <w:rPr>
            <w:rStyle w:val="Hyperlink"/>
            <w:i/>
            <w:iCs/>
          </w:rPr>
          <w:t>t</w:t>
        </w:r>
        <w:r w:rsidR="00D75C72" w:rsidRPr="00D75C72">
          <w:rPr>
            <w:rStyle w:val="Hyperlink"/>
          </w:rPr>
          <w:t xml:space="preserve"> [PDF]</w:t>
        </w:r>
      </w:hyperlink>
      <w:r w:rsidR="00C06347">
        <w:t>,</w:t>
      </w:r>
      <w:r w:rsidR="00170845">
        <w:t xml:space="preserve"> UNSW Sydney, Sydney, 2017, </w:t>
      </w:r>
      <w:r w:rsidR="00C06347">
        <w:t xml:space="preserve">p 2, </w:t>
      </w:r>
      <w:r w:rsidR="00170845">
        <w:t>accessed 9 August 2021.</w:t>
      </w:r>
    </w:p>
  </w:footnote>
  <w:footnote w:id="41">
    <w:p w14:paraId="047091F2" w14:textId="33833BBA" w:rsidR="007C57BE" w:rsidRDefault="007C57BE">
      <w:pPr>
        <w:pStyle w:val="FootnoteText"/>
      </w:pPr>
      <w:r w:rsidRPr="001F0D44">
        <w:footnoteRef/>
      </w:r>
      <w:r w:rsidRPr="001F0D44">
        <w:t xml:space="preserve"> </w:t>
      </w:r>
      <w:r w:rsidR="001F0D44">
        <w:tab/>
      </w:r>
      <w:r>
        <w:t xml:space="preserve">Saunders, </w:t>
      </w:r>
      <w:r w:rsidRPr="00E83C2E">
        <w:rPr>
          <w:i/>
          <w:iCs/>
        </w:rPr>
        <w:t>New minimum income for healthy living budget standards</w:t>
      </w:r>
      <w:r w:rsidR="001F0D44">
        <w:rPr>
          <w:i/>
          <w:iCs/>
        </w:rPr>
        <w:t xml:space="preserve">, </w:t>
      </w:r>
      <w:r>
        <w:t xml:space="preserve">p </w:t>
      </w:r>
      <w:r w:rsidR="00E83C2E">
        <w:t>4.</w:t>
      </w:r>
    </w:p>
  </w:footnote>
  <w:footnote w:id="42">
    <w:p w14:paraId="30F38D23" w14:textId="1598D992" w:rsidR="00F51A48" w:rsidRDefault="00F51A48">
      <w:pPr>
        <w:pStyle w:val="FootnoteText"/>
      </w:pPr>
      <w:r w:rsidRPr="00A3635F">
        <w:footnoteRef/>
      </w:r>
      <w:r w:rsidRPr="00A3635F">
        <w:t xml:space="preserve"> </w:t>
      </w:r>
      <w:r w:rsidR="00A3635F">
        <w:tab/>
        <w:t>ACOSS</w:t>
      </w:r>
      <w:r w:rsidR="006136C4">
        <w:t>,</w:t>
      </w:r>
      <w:r w:rsidR="005B7C24">
        <w:t xml:space="preserve"> </w:t>
      </w:r>
      <w:hyperlink r:id="rId27" w:history="1">
        <w:r w:rsidR="005B7C24" w:rsidRPr="00A3635F">
          <w:rPr>
            <w:rStyle w:val="Hyperlink"/>
            <w:i/>
            <w:iCs/>
          </w:rPr>
          <w:t>About the campaign</w:t>
        </w:r>
      </w:hyperlink>
      <w:r w:rsidR="005B7C24">
        <w:t xml:space="preserve">, </w:t>
      </w:r>
      <w:r w:rsidR="00DB753F" w:rsidRPr="00A3635F">
        <w:t>Raise the Rate for Good website</w:t>
      </w:r>
      <w:r w:rsidR="00DB753F">
        <w:t xml:space="preserve">, </w:t>
      </w:r>
      <w:r w:rsidR="006136C4">
        <w:t>n.d., accessed 12 July 2021.</w:t>
      </w:r>
    </w:p>
  </w:footnote>
  <w:footnote w:id="43">
    <w:p w14:paraId="0A672CBF" w14:textId="1D27A93D" w:rsidR="00084947" w:rsidRDefault="00084947">
      <w:pPr>
        <w:pStyle w:val="FootnoteText"/>
      </w:pPr>
      <w:r w:rsidRPr="00870F1F">
        <w:footnoteRef/>
      </w:r>
      <w:r w:rsidRPr="00870F1F">
        <w:t xml:space="preserve"> </w:t>
      </w:r>
      <w:bookmarkStart w:id="9" w:name="_Hlk79406760"/>
      <w:r w:rsidR="00870F1F">
        <w:tab/>
      </w:r>
      <w:r>
        <w:t xml:space="preserve">ACOSS, </w:t>
      </w:r>
      <w:hyperlink r:id="rId28" w:history="1">
        <w:r w:rsidRPr="006C496F">
          <w:rPr>
            <w:rStyle w:val="Hyperlink"/>
            <w:i/>
            <w:iCs/>
          </w:rPr>
          <w:t xml:space="preserve">Media briefing: </w:t>
        </w:r>
        <w:r w:rsidR="002D47B0" w:rsidRPr="006C496F">
          <w:rPr>
            <w:rStyle w:val="Hyperlink"/>
            <w:i/>
            <w:iCs/>
          </w:rPr>
          <w:t>Who misses out on COVID Disaster Payments?</w:t>
        </w:r>
      </w:hyperlink>
      <w:r w:rsidR="002D47B0">
        <w:t>, ACOSS, Sydney, 2 August 2021</w:t>
      </w:r>
      <w:bookmarkEnd w:id="9"/>
      <w:r w:rsidR="002D47B0">
        <w:t xml:space="preserve">, </w:t>
      </w:r>
      <w:r w:rsidR="006C496F">
        <w:t>accessed 9 August 2021.</w:t>
      </w:r>
      <w:r w:rsidR="00FD1143">
        <w:t xml:space="preserve"> For further discussion of </w:t>
      </w:r>
      <w:r w:rsidR="007A33A4">
        <w:t>cost of living and the</w:t>
      </w:r>
      <w:r w:rsidR="00FD1143">
        <w:t xml:space="preserve"> </w:t>
      </w:r>
      <w:r w:rsidR="00253C81" w:rsidRPr="007A33A4">
        <w:t xml:space="preserve">Disability Support Pension </w:t>
      </w:r>
      <w:r w:rsidR="007A33A4">
        <w:t>in the ACT refer to</w:t>
      </w:r>
      <w:r w:rsidR="00253C81">
        <w:t xml:space="preserve"> ACTCOSS</w:t>
      </w:r>
      <w:hyperlink r:id="rId29" w:history="1">
        <w:r w:rsidR="00253C81" w:rsidRPr="00E41C69">
          <w:rPr>
            <w:rStyle w:val="Hyperlink"/>
            <w:i/>
            <w:iCs/>
          </w:rPr>
          <w:t>,</w:t>
        </w:r>
        <w:r w:rsidR="00253C81" w:rsidRPr="00870F1F">
          <w:t xml:space="preserve"> </w:t>
        </w:r>
        <w:r w:rsidR="00253C81" w:rsidRPr="00E41C69">
          <w:rPr>
            <w:rStyle w:val="Hyperlink"/>
            <w:i/>
            <w:iCs/>
          </w:rPr>
          <w:t xml:space="preserve">Submission: Inquiry into the </w:t>
        </w:r>
        <w:r w:rsidR="00EF5BEA" w:rsidRPr="00E41C69">
          <w:rPr>
            <w:rStyle w:val="Hyperlink"/>
            <w:i/>
            <w:iCs/>
          </w:rPr>
          <w:t>purpose, intent and adequacy of the Disability Support Pension</w:t>
        </w:r>
      </w:hyperlink>
      <w:r w:rsidR="00EF5BEA">
        <w:t>, ACTCOSS, 2021, accessed 9 August 2021.</w:t>
      </w:r>
    </w:p>
  </w:footnote>
  <w:footnote w:id="44">
    <w:p w14:paraId="7B7FA8AD" w14:textId="019FE645" w:rsidR="00835DEA" w:rsidRDefault="00835DEA">
      <w:pPr>
        <w:pStyle w:val="FootnoteText"/>
      </w:pPr>
      <w:r w:rsidRPr="00AF0F5E">
        <w:footnoteRef/>
      </w:r>
      <w:r w:rsidRPr="00AF0F5E">
        <w:t xml:space="preserve"> </w:t>
      </w:r>
      <w:r w:rsidR="00AF0F5E">
        <w:tab/>
      </w:r>
      <w:r w:rsidRPr="00835DEA">
        <w:t>ACOSS</w:t>
      </w:r>
      <w:r w:rsidRPr="00835DEA">
        <w:rPr>
          <w:i/>
          <w:iCs/>
        </w:rPr>
        <w:t>, Media briefing: Who misses out on COVID Disaster Payments?</w:t>
      </w:r>
      <w:r w:rsidR="00AF0F5E">
        <w:t>.</w:t>
      </w:r>
    </w:p>
  </w:footnote>
  <w:footnote w:id="45">
    <w:p w14:paraId="38DB4280" w14:textId="745FB44E" w:rsidR="00391439" w:rsidRDefault="00391439">
      <w:pPr>
        <w:pStyle w:val="FootnoteText"/>
      </w:pPr>
      <w:r w:rsidRPr="007E1EB6">
        <w:footnoteRef/>
      </w:r>
      <w:r w:rsidRPr="007E1EB6">
        <w:t xml:space="preserve"> </w:t>
      </w:r>
      <w:r w:rsidR="007E1EB6">
        <w:tab/>
      </w:r>
      <w:r w:rsidRPr="007E1EB6">
        <w:t>ACTCOSS</w:t>
      </w:r>
      <w:r>
        <w:t xml:space="preserve">, </w:t>
      </w:r>
      <w:hyperlink r:id="rId30" w:history="1">
        <w:r w:rsidR="006A15BB" w:rsidRPr="004F5C6B">
          <w:rPr>
            <w:rStyle w:val="Hyperlink"/>
            <w:i/>
            <w:iCs/>
          </w:rPr>
          <w:t xml:space="preserve">ACTCOSS ACT </w:t>
        </w:r>
        <w:r w:rsidR="00FD1D26" w:rsidRPr="004F5C6B">
          <w:rPr>
            <w:rStyle w:val="Hyperlink"/>
            <w:i/>
            <w:iCs/>
          </w:rPr>
          <w:t>Budget priorities</w:t>
        </w:r>
        <w:r w:rsidR="006A15BB" w:rsidRPr="004F5C6B">
          <w:rPr>
            <w:rStyle w:val="Hyperlink"/>
            <w:i/>
            <w:iCs/>
          </w:rPr>
          <w:t xml:space="preserve"> 2021-22: Investing in housing, health and community services for the ACT economic recovery</w:t>
        </w:r>
      </w:hyperlink>
      <w:r w:rsidR="006A15BB">
        <w:t xml:space="preserve">, ACTCOSS, Canberra, </w:t>
      </w:r>
      <w:r w:rsidR="004F5C6B">
        <w:t>2021, accessed 10 August 2021.</w:t>
      </w:r>
    </w:p>
  </w:footnote>
  <w:footnote w:id="46">
    <w:p w14:paraId="5DA9E0AD" w14:textId="3AF9EAEB" w:rsidR="00242222" w:rsidRPr="001C7F0D" w:rsidRDefault="00242222" w:rsidP="00242222">
      <w:pPr>
        <w:pStyle w:val="FootnoteText"/>
        <w:rPr>
          <w:lang w:val="en-US"/>
        </w:rPr>
      </w:pPr>
      <w:r w:rsidRPr="004C594C">
        <w:footnoteRef/>
      </w:r>
      <w:r w:rsidRPr="004C594C">
        <w:t xml:space="preserve"> </w:t>
      </w:r>
      <w:r>
        <w:tab/>
      </w:r>
      <w:r>
        <w:rPr>
          <w:lang w:val="en-US"/>
        </w:rPr>
        <w:t xml:space="preserve">SACOSS, </w:t>
      </w:r>
      <w:hyperlink r:id="rId31" w:history="1">
        <w:r w:rsidRPr="00B560F2">
          <w:rPr>
            <w:rStyle w:val="Hyperlink"/>
            <w:i/>
            <w:lang w:val="en-US"/>
          </w:rPr>
          <w:t>SACOSS Cost of Living Update No. 37, December Qtr 201</w:t>
        </w:r>
        <w:r w:rsidR="00884E88">
          <w:rPr>
            <w:rStyle w:val="Hyperlink"/>
            <w:i/>
            <w:lang w:val="en-US"/>
          </w:rPr>
          <w:t xml:space="preserve">8 </w:t>
        </w:r>
        <w:r w:rsidR="00884E88" w:rsidRPr="00884E88">
          <w:rPr>
            <w:rStyle w:val="Hyperlink"/>
            <w:iCs/>
            <w:lang w:val="en-US"/>
          </w:rPr>
          <w:t>[PDF]</w:t>
        </w:r>
      </w:hyperlink>
      <w:r>
        <w:rPr>
          <w:lang w:val="en-US"/>
        </w:rPr>
        <w:t>, SACOSS, Adelaide, 2019, viewed 12 April 2019</w:t>
      </w:r>
      <w:r w:rsidR="00B560F2">
        <w:rPr>
          <w:lang w:val="en-US"/>
        </w:rPr>
        <w:t>.</w:t>
      </w:r>
      <w:r>
        <w:rPr>
          <w:lang w:val="en-US"/>
        </w:rPr>
        <w:t xml:space="preserve"> </w:t>
      </w:r>
    </w:p>
  </w:footnote>
  <w:footnote w:id="47">
    <w:p w14:paraId="591D3380" w14:textId="4F6D694D" w:rsidR="00242222" w:rsidRPr="00623297" w:rsidRDefault="00242222" w:rsidP="00242222">
      <w:pPr>
        <w:pStyle w:val="FootnoteText"/>
      </w:pPr>
      <w:r w:rsidRPr="00623297">
        <w:footnoteRef/>
      </w:r>
      <w:r w:rsidRPr="00623297">
        <w:t xml:space="preserve"> </w:t>
      </w:r>
      <w:r>
        <w:tab/>
      </w:r>
      <w:r w:rsidRPr="00623297">
        <w:t>ABS</w:t>
      </w:r>
      <w:r>
        <w:t xml:space="preserve">, </w:t>
      </w:r>
      <w:hyperlink r:id="rId32" w:history="1">
        <w:r w:rsidRPr="005D43A1">
          <w:rPr>
            <w:rStyle w:val="Hyperlink"/>
            <w:i/>
          </w:rPr>
          <w:t xml:space="preserve">Selected Living Cost Indexes, Australia </w:t>
        </w:r>
        <w:r w:rsidR="006D5EEF" w:rsidRPr="005D43A1">
          <w:rPr>
            <w:rStyle w:val="Hyperlink"/>
            <w:i/>
          </w:rPr>
          <w:t>methodology</w:t>
        </w:r>
      </w:hyperlink>
      <w:r>
        <w:t xml:space="preserve">, </w:t>
      </w:r>
      <w:r w:rsidR="00884E88">
        <w:t>ABS</w:t>
      </w:r>
      <w:r>
        <w:t xml:space="preserve">, Canberra, </w:t>
      </w:r>
      <w:r w:rsidR="005D43A1">
        <w:t>2021</w:t>
      </w:r>
      <w:r>
        <w:t xml:space="preserve">, viewed </w:t>
      </w:r>
      <w:r w:rsidR="005D43A1">
        <w:t>13 July 2021.</w:t>
      </w:r>
      <w:r>
        <w:t xml:space="preserve"> </w:t>
      </w:r>
    </w:p>
  </w:footnote>
  <w:footnote w:id="48">
    <w:p w14:paraId="504D897E" w14:textId="7B9CDCC5" w:rsidR="00242222" w:rsidRPr="00CE74F5" w:rsidRDefault="00242222" w:rsidP="00242222">
      <w:pPr>
        <w:pStyle w:val="FootnoteText"/>
        <w:rPr>
          <w:lang w:val="en-US"/>
        </w:rPr>
      </w:pPr>
      <w:r w:rsidRPr="00871686">
        <w:footnoteRef/>
      </w:r>
      <w:r>
        <w:t xml:space="preserve"> </w:t>
      </w:r>
      <w:r>
        <w:tab/>
      </w:r>
      <w:r w:rsidR="00972BBB" w:rsidRPr="00972BBB">
        <w:rPr>
          <w:lang w:val="en-US"/>
        </w:rPr>
        <w:t xml:space="preserve">ABS, </w:t>
      </w:r>
      <w:r w:rsidR="00972BBB" w:rsidRPr="00972BBB">
        <w:rPr>
          <w:i/>
          <w:iCs/>
          <w:lang w:val="en-US"/>
        </w:rPr>
        <w:t>Selected Living Cost Indexes, Australia methodology</w:t>
      </w:r>
      <w:r w:rsidR="00972BBB">
        <w:rPr>
          <w:lang w:val="en-US"/>
        </w:rPr>
        <w:t>.</w:t>
      </w:r>
    </w:p>
  </w:footnote>
  <w:footnote w:id="49">
    <w:p w14:paraId="49A0985D" w14:textId="1318EDE6" w:rsidR="00242222" w:rsidRPr="00241E58" w:rsidRDefault="00242222" w:rsidP="00242222">
      <w:pPr>
        <w:pStyle w:val="FootnoteText"/>
        <w:rPr>
          <w:lang w:val="en-US"/>
        </w:rPr>
      </w:pPr>
      <w:r w:rsidRPr="00FB1DF2">
        <w:footnoteRef/>
      </w:r>
      <w:r w:rsidRPr="00FB1DF2">
        <w:t xml:space="preserve"> </w:t>
      </w:r>
      <w:r>
        <w:tab/>
      </w:r>
      <w:r w:rsidRPr="00241E58">
        <w:t xml:space="preserve">M Klapdor, </w:t>
      </w:r>
      <w:hyperlink r:id="rId33" w:history="1">
        <w:r w:rsidRPr="006B0E95">
          <w:rPr>
            <w:rStyle w:val="Hyperlink"/>
            <w:i/>
          </w:rPr>
          <w:t>Pension indexation: a brief history</w:t>
        </w:r>
      </w:hyperlink>
      <w:r w:rsidRPr="00241E58">
        <w:t>, Flag</w:t>
      </w:r>
      <w:r>
        <w:t>P</w:t>
      </w:r>
      <w:r w:rsidRPr="00241E58">
        <w:t xml:space="preserve">ost blog, Parliamentary Library, Canberra, 16 April 2014, </w:t>
      </w:r>
      <w:r w:rsidR="006B0E95">
        <w:t>accessed 13 July 2021.</w:t>
      </w:r>
      <w:r w:rsidRPr="00241E58">
        <w:t xml:space="preserve"> NOTE: Allowance payments, such as </w:t>
      </w:r>
      <w:r w:rsidR="006B0E95">
        <w:t>JobSeeker</w:t>
      </w:r>
      <w:r w:rsidRPr="00241E58">
        <w:t xml:space="preserve"> and Youth Allowance</w:t>
      </w:r>
      <w:r w:rsidR="00954834">
        <w:t>,</w:t>
      </w:r>
      <w:r w:rsidRPr="00241E58">
        <w:t xml:space="preserve"> are indexed to the CPI only and are adjusted </w:t>
      </w:r>
      <w:r w:rsidR="006B0E95">
        <w:t xml:space="preserve">six </w:t>
      </w:r>
      <w:r w:rsidRPr="00241E58">
        <w:t xml:space="preserve">monthly </w:t>
      </w:r>
      <w:r w:rsidR="00954834">
        <w:t>–</w:t>
      </w:r>
      <w:r w:rsidRPr="00241E58">
        <w:t xml:space="preserve"> every</w:t>
      </w:r>
      <w:r w:rsidR="00954834">
        <w:t xml:space="preserve"> </w:t>
      </w:r>
      <w:r w:rsidRPr="00241E58">
        <w:t>March and September.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82CE88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581EDE74"/>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53B23B74"/>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2F56440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75A0D654"/>
    <w:lvl w:ilvl="0">
      <w:start w:val="1"/>
      <w:numFmt w:val="decimal"/>
      <w:lvlText w:val="%1."/>
      <w:lvlJc w:val="left"/>
      <w:pPr>
        <w:tabs>
          <w:tab w:val="num" w:pos="360"/>
        </w:tabs>
        <w:ind w:left="360" w:hanging="360"/>
      </w:pPr>
    </w:lvl>
  </w:abstractNum>
  <w:abstractNum w:abstractNumId="5" w15:restartNumberingAfterBreak="0">
    <w:nsid w:val="02B05A86"/>
    <w:multiLevelType w:val="multilevel"/>
    <w:tmpl w:val="F10CE0A8"/>
    <w:lvl w:ilvl="0">
      <w:start w:val="1"/>
      <w:numFmt w:val="lowerLetter"/>
      <w:pStyle w:val="BlockText-ListLetter"/>
      <w:lvlText w:val="%1."/>
      <w:lvlJc w:val="left"/>
      <w:pPr>
        <w:tabs>
          <w:tab w:val="num" w:pos="1134"/>
        </w:tabs>
        <w:ind w:left="1134" w:hanging="567"/>
      </w:pPr>
      <w:rPr>
        <w:rFonts w:hint="default"/>
      </w:rPr>
    </w:lvl>
    <w:lvl w:ilvl="1">
      <w:start w:val="1"/>
      <w:numFmt w:val="lowerLetter"/>
      <w:pStyle w:val="BlockText-ListLetter2"/>
      <w:lvlText w:val="%2."/>
      <w:lvlJc w:val="left"/>
      <w:pPr>
        <w:tabs>
          <w:tab w:val="num" w:pos="1701"/>
        </w:tabs>
        <w:ind w:left="1701" w:hanging="567"/>
      </w:pPr>
      <w:rPr>
        <w:rFonts w:hint="default"/>
      </w:rPr>
    </w:lvl>
    <w:lvl w:ilvl="2">
      <w:start w:val="1"/>
      <w:numFmt w:val="lowerLetter"/>
      <w:pStyle w:val="BlockText-ListLetter3"/>
      <w:lvlText w:val="%3."/>
      <w:lvlJc w:val="left"/>
      <w:pPr>
        <w:tabs>
          <w:tab w:val="num" w:pos="2268"/>
        </w:tabs>
        <w:ind w:left="2268" w:hanging="567"/>
      </w:pPr>
      <w:rPr>
        <w:rFonts w:hint="default"/>
      </w:rPr>
    </w:lvl>
    <w:lvl w:ilvl="3">
      <w:start w:val="1"/>
      <w:numFmt w:val="lowerLetter"/>
      <w:pStyle w:val="BlockText-ListLetter4"/>
      <w:lvlText w:val="%4."/>
      <w:lvlJc w:val="left"/>
      <w:pPr>
        <w:tabs>
          <w:tab w:val="num" w:pos="2835"/>
        </w:tabs>
        <w:ind w:left="2835" w:hanging="567"/>
      </w:pPr>
      <w:rPr>
        <w:rFonts w:hint="default"/>
      </w:rPr>
    </w:lvl>
    <w:lvl w:ilvl="4">
      <w:start w:val="1"/>
      <w:numFmt w:val="lowerLetter"/>
      <w:pStyle w:val="BlockText-ListLetter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05C7657D"/>
    <w:multiLevelType w:val="multilevel"/>
    <w:tmpl w:val="CED68300"/>
    <w:lvl w:ilvl="0">
      <w:start w:val="1"/>
      <w:numFmt w:val="lowerRoman"/>
      <w:pStyle w:val="Table-ListRoman"/>
      <w:lvlText w:val="%1."/>
      <w:lvlJc w:val="left"/>
      <w:pPr>
        <w:tabs>
          <w:tab w:val="num" w:pos="284"/>
        </w:tabs>
        <w:ind w:left="284" w:hanging="284"/>
      </w:pPr>
      <w:rPr>
        <w:rFonts w:hint="default"/>
      </w:rPr>
    </w:lvl>
    <w:lvl w:ilvl="1">
      <w:start w:val="1"/>
      <w:numFmt w:val="lowerRoman"/>
      <w:pStyle w:val="Table-ListRoman2"/>
      <w:lvlText w:val="%2."/>
      <w:lvlJc w:val="left"/>
      <w:pPr>
        <w:tabs>
          <w:tab w:val="num" w:pos="567"/>
        </w:tabs>
        <w:ind w:left="567" w:hanging="283"/>
      </w:pPr>
      <w:rPr>
        <w:rFonts w:hint="default"/>
      </w:rPr>
    </w:lvl>
    <w:lvl w:ilvl="2">
      <w:start w:val="1"/>
      <w:numFmt w:val="lowerRoman"/>
      <w:pStyle w:val="Table-ListRoman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09176078"/>
    <w:multiLevelType w:val="multilevel"/>
    <w:tmpl w:val="C00C042A"/>
    <w:lvl w:ilvl="0">
      <w:start w:val="1"/>
      <w:numFmt w:val="bullet"/>
      <w:pStyle w:val="List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09D2764A"/>
    <w:multiLevelType w:val="multilevel"/>
    <w:tmpl w:val="8DAA325A"/>
    <w:lvl w:ilvl="0">
      <w:start w:val="1"/>
      <w:numFmt w:val="lowerLetter"/>
      <w:pStyle w:val="ListLetter"/>
      <w:lvlText w:val="%1."/>
      <w:lvlJc w:val="left"/>
      <w:pPr>
        <w:tabs>
          <w:tab w:val="num" w:pos="567"/>
        </w:tabs>
        <w:ind w:left="567" w:hanging="567"/>
      </w:pPr>
      <w:rPr>
        <w:rFonts w:hint="default"/>
        <w:b w:val="0"/>
        <w:i w:val="0"/>
        <w:color w:val="auto"/>
      </w:rPr>
    </w:lvl>
    <w:lvl w:ilvl="1">
      <w:start w:val="1"/>
      <w:numFmt w:val="lowerLetter"/>
      <w:pStyle w:val="ListLetter2"/>
      <w:lvlText w:val="%2."/>
      <w:lvlJc w:val="left"/>
      <w:pPr>
        <w:tabs>
          <w:tab w:val="num" w:pos="1134"/>
        </w:tabs>
        <w:ind w:left="1134" w:hanging="567"/>
      </w:pPr>
      <w:rPr>
        <w:rFonts w:hint="default"/>
        <w:b w:val="0"/>
        <w:i w:val="0"/>
        <w:color w:val="auto"/>
      </w:rPr>
    </w:lvl>
    <w:lvl w:ilvl="2">
      <w:start w:val="1"/>
      <w:numFmt w:val="lowerLetter"/>
      <w:pStyle w:val="ListLetter3"/>
      <w:lvlText w:val="%3."/>
      <w:lvlJc w:val="left"/>
      <w:pPr>
        <w:tabs>
          <w:tab w:val="num" w:pos="1701"/>
        </w:tabs>
        <w:ind w:left="1701" w:hanging="567"/>
      </w:pPr>
      <w:rPr>
        <w:rFonts w:hint="default"/>
        <w:b w:val="0"/>
        <w:i w:val="0"/>
        <w:color w:val="auto"/>
      </w:rPr>
    </w:lvl>
    <w:lvl w:ilvl="3">
      <w:start w:val="1"/>
      <w:numFmt w:val="lowerLetter"/>
      <w:pStyle w:val="ListLetter4"/>
      <w:lvlText w:val="%4."/>
      <w:lvlJc w:val="left"/>
      <w:pPr>
        <w:tabs>
          <w:tab w:val="num" w:pos="2268"/>
        </w:tabs>
        <w:ind w:left="2268" w:hanging="567"/>
      </w:pPr>
      <w:rPr>
        <w:rFonts w:hint="default"/>
        <w:b w:val="0"/>
        <w:i w:val="0"/>
        <w:color w:val="auto"/>
      </w:rPr>
    </w:lvl>
    <w:lvl w:ilvl="4">
      <w:start w:val="1"/>
      <w:numFmt w:val="lowerLetter"/>
      <w:pStyle w:val="ListLett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0CB24400"/>
    <w:multiLevelType w:val="multilevel"/>
    <w:tmpl w:val="194E070E"/>
    <w:lvl w:ilvl="0">
      <w:start w:val="1"/>
      <w:numFmt w:val="decimal"/>
      <w:pStyle w:val="ListNumber"/>
      <w:lvlText w:val="%1."/>
      <w:lvlJc w:val="left"/>
      <w:pPr>
        <w:tabs>
          <w:tab w:val="num" w:pos="567"/>
        </w:tabs>
        <w:ind w:left="567" w:hanging="567"/>
      </w:pPr>
      <w:rPr>
        <w:rFonts w:hint="default"/>
        <w:b w:val="0"/>
        <w:i w:val="0"/>
        <w:color w:val="auto"/>
      </w:rPr>
    </w:lvl>
    <w:lvl w:ilvl="1">
      <w:start w:val="1"/>
      <w:numFmt w:val="decimal"/>
      <w:pStyle w:val="ListNumber2"/>
      <w:lvlText w:val="%2."/>
      <w:lvlJc w:val="left"/>
      <w:pPr>
        <w:tabs>
          <w:tab w:val="num" w:pos="1134"/>
        </w:tabs>
        <w:ind w:left="1134" w:hanging="567"/>
      </w:pPr>
      <w:rPr>
        <w:rFonts w:hint="default"/>
        <w:b w:val="0"/>
        <w:i w:val="0"/>
        <w:color w:val="auto"/>
      </w:rPr>
    </w:lvl>
    <w:lvl w:ilvl="2">
      <w:start w:val="1"/>
      <w:numFmt w:val="decimal"/>
      <w:pStyle w:val="ListNumber3"/>
      <w:lvlText w:val="%3."/>
      <w:lvlJc w:val="left"/>
      <w:pPr>
        <w:tabs>
          <w:tab w:val="num" w:pos="1701"/>
        </w:tabs>
        <w:ind w:left="1701" w:hanging="567"/>
      </w:pPr>
      <w:rPr>
        <w:rFonts w:hint="default"/>
        <w:b w:val="0"/>
        <w:i w:val="0"/>
        <w:color w:val="auto"/>
      </w:rPr>
    </w:lvl>
    <w:lvl w:ilvl="3">
      <w:start w:val="1"/>
      <w:numFmt w:val="decimal"/>
      <w:pStyle w:val="ListNumber4"/>
      <w:lvlText w:val="%4."/>
      <w:lvlJc w:val="left"/>
      <w:pPr>
        <w:tabs>
          <w:tab w:val="num" w:pos="2268"/>
        </w:tabs>
        <w:ind w:left="2268" w:hanging="567"/>
      </w:pPr>
      <w:rPr>
        <w:rFonts w:hint="default"/>
        <w:b w:val="0"/>
        <w:i w:val="0"/>
        <w:color w:val="auto"/>
      </w:rPr>
    </w:lvl>
    <w:lvl w:ilvl="4">
      <w:start w:val="1"/>
      <w:numFmt w:val="decimal"/>
      <w:pStyle w:val="ListNumb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13DF06C3"/>
    <w:multiLevelType w:val="multilevel"/>
    <w:tmpl w:val="1D4A2A4C"/>
    <w:lvl w:ilvl="0">
      <w:start w:val="1"/>
      <w:numFmt w:val="decimal"/>
      <w:pStyle w:val="BlockText-ListNumber"/>
      <w:lvlText w:val="%1."/>
      <w:lvlJc w:val="left"/>
      <w:pPr>
        <w:tabs>
          <w:tab w:val="num" w:pos="1134"/>
        </w:tabs>
        <w:ind w:left="1134" w:hanging="567"/>
      </w:pPr>
      <w:rPr>
        <w:rFonts w:hint="default"/>
      </w:rPr>
    </w:lvl>
    <w:lvl w:ilvl="1">
      <w:start w:val="1"/>
      <w:numFmt w:val="decimal"/>
      <w:pStyle w:val="BlockText-ListNumber2"/>
      <w:lvlText w:val="%2."/>
      <w:lvlJc w:val="left"/>
      <w:pPr>
        <w:tabs>
          <w:tab w:val="num" w:pos="1701"/>
        </w:tabs>
        <w:ind w:left="1701" w:hanging="567"/>
      </w:pPr>
      <w:rPr>
        <w:rFonts w:hint="default"/>
      </w:rPr>
    </w:lvl>
    <w:lvl w:ilvl="2">
      <w:start w:val="1"/>
      <w:numFmt w:val="decimal"/>
      <w:pStyle w:val="BlockText-ListNumber3"/>
      <w:lvlText w:val="%3."/>
      <w:lvlJc w:val="left"/>
      <w:pPr>
        <w:tabs>
          <w:tab w:val="num" w:pos="2268"/>
        </w:tabs>
        <w:ind w:left="2268" w:hanging="567"/>
      </w:pPr>
      <w:rPr>
        <w:rFonts w:hint="default"/>
      </w:rPr>
    </w:lvl>
    <w:lvl w:ilvl="3">
      <w:start w:val="1"/>
      <w:numFmt w:val="decimal"/>
      <w:pStyle w:val="BlockText-ListNumber4"/>
      <w:lvlText w:val="%4."/>
      <w:lvlJc w:val="left"/>
      <w:pPr>
        <w:tabs>
          <w:tab w:val="num" w:pos="2835"/>
        </w:tabs>
        <w:ind w:left="2835" w:hanging="567"/>
      </w:pPr>
      <w:rPr>
        <w:rFonts w:hint="default"/>
      </w:rPr>
    </w:lvl>
    <w:lvl w:ilvl="4">
      <w:start w:val="1"/>
      <w:numFmt w:val="decimal"/>
      <w:pStyle w:val="BlockText-ListNumber5"/>
      <w:lvlText w:val="%5."/>
      <w:lvlJc w:val="left"/>
      <w:pPr>
        <w:tabs>
          <w:tab w:val="num" w:pos="3402"/>
        </w:tabs>
        <w:ind w:left="3402" w:hanging="567"/>
      </w:pPr>
      <w:rPr>
        <w:rFonts w:hint="default"/>
      </w:rPr>
    </w:lvl>
    <w:lvl w:ilvl="5">
      <w:start w:val="1"/>
      <w:numFmt w:val="none"/>
      <w:lvlText w:val="%6"/>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15115611"/>
    <w:multiLevelType w:val="multilevel"/>
    <w:tmpl w:val="93EA0254"/>
    <w:lvl w:ilvl="0">
      <w:start w:val="1"/>
      <w:numFmt w:val="bullet"/>
      <w:pStyle w:val="BlockText-ListBullet"/>
      <w:lvlText w:val=""/>
      <w:lvlJc w:val="left"/>
      <w:pPr>
        <w:tabs>
          <w:tab w:val="num" w:pos="1134"/>
        </w:tabs>
        <w:ind w:left="1134" w:hanging="567"/>
      </w:pPr>
      <w:rPr>
        <w:rFonts w:ascii="Symbol" w:hAnsi="Symbol" w:hint="default"/>
        <w:b w:val="0"/>
        <w:i w:val="0"/>
        <w:color w:val="005984"/>
        <w:sz w:val="18"/>
      </w:rPr>
    </w:lvl>
    <w:lvl w:ilvl="1">
      <w:start w:val="1"/>
      <w:numFmt w:val="bullet"/>
      <w:pStyle w:val="BlockText-ListBullet2"/>
      <w:lvlText w:val=""/>
      <w:lvlJc w:val="left"/>
      <w:pPr>
        <w:tabs>
          <w:tab w:val="num" w:pos="1701"/>
        </w:tabs>
        <w:ind w:left="1701" w:hanging="567"/>
      </w:pPr>
      <w:rPr>
        <w:rFonts w:ascii="Symbol" w:hAnsi="Symbol" w:hint="default"/>
        <w:color w:val="005984"/>
        <w:sz w:val="18"/>
      </w:rPr>
    </w:lvl>
    <w:lvl w:ilvl="2">
      <w:start w:val="1"/>
      <w:numFmt w:val="bullet"/>
      <w:pStyle w:val="BlockText-ListBullet3"/>
      <w:lvlText w:val=""/>
      <w:lvlJc w:val="left"/>
      <w:pPr>
        <w:tabs>
          <w:tab w:val="num" w:pos="2268"/>
        </w:tabs>
        <w:ind w:left="2268" w:hanging="567"/>
      </w:pPr>
      <w:rPr>
        <w:rFonts w:ascii="Symbol" w:hAnsi="Symbol" w:hint="default"/>
        <w:color w:val="005984"/>
        <w:sz w:val="18"/>
      </w:rPr>
    </w:lvl>
    <w:lvl w:ilvl="3">
      <w:start w:val="1"/>
      <w:numFmt w:val="bullet"/>
      <w:pStyle w:val="BlockText-ListBullet4"/>
      <w:lvlText w:val=""/>
      <w:lvlJc w:val="left"/>
      <w:pPr>
        <w:tabs>
          <w:tab w:val="num" w:pos="2835"/>
        </w:tabs>
        <w:ind w:left="2835" w:hanging="567"/>
      </w:pPr>
      <w:rPr>
        <w:rFonts w:ascii="Symbol" w:hAnsi="Symbol" w:hint="default"/>
        <w:color w:val="005984"/>
        <w:sz w:val="18"/>
      </w:rPr>
    </w:lvl>
    <w:lvl w:ilvl="4">
      <w:start w:val="1"/>
      <w:numFmt w:val="bullet"/>
      <w:pStyle w:val="BlockText-ListBullet5"/>
      <w:lvlText w:val=""/>
      <w:lvlJc w:val="left"/>
      <w:pPr>
        <w:tabs>
          <w:tab w:val="num" w:pos="3402"/>
        </w:tabs>
        <w:ind w:left="3402" w:hanging="567"/>
      </w:pPr>
      <w:rPr>
        <w:rFonts w:ascii="Symbol" w:hAnsi="Symbol" w:hint="default"/>
        <w:color w:val="005984"/>
        <w:sz w:val="18"/>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2"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27FE6A7C"/>
    <w:multiLevelType w:val="multilevel"/>
    <w:tmpl w:val="0D9A3C00"/>
    <w:lvl w:ilvl="0">
      <w:start w:val="1"/>
      <w:numFmt w:val="lowerLetter"/>
      <w:pStyle w:val="Table-ListLetter"/>
      <w:lvlText w:val="%1."/>
      <w:lvlJc w:val="left"/>
      <w:pPr>
        <w:tabs>
          <w:tab w:val="num" w:pos="284"/>
        </w:tabs>
        <w:ind w:left="284" w:hanging="284"/>
      </w:pPr>
      <w:rPr>
        <w:rFonts w:hint="default"/>
      </w:rPr>
    </w:lvl>
    <w:lvl w:ilvl="1">
      <w:start w:val="1"/>
      <w:numFmt w:val="lowerLetter"/>
      <w:pStyle w:val="Table-ListLetter2"/>
      <w:lvlText w:val="%2."/>
      <w:lvlJc w:val="left"/>
      <w:pPr>
        <w:tabs>
          <w:tab w:val="num" w:pos="567"/>
        </w:tabs>
        <w:ind w:left="567" w:hanging="283"/>
      </w:pPr>
      <w:rPr>
        <w:rFonts w:hint="default"/>
      </w:rPr>
    </w:lvl>
    <w:lvl w:ilvl="2">
      <w:start w:val="1"/>
      <w:numFmt w:val="lowerLetter"/>
      <w:pStyle w:val="Table-ListLett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2E204E2D"/>
    <w:multiLevelType w:val="multilevel"/>
    <w:tmpl w:val="CA3ACC40"/>
    <w:lvl w:ilvl="0">
      <w:start w:val="1"/>
      <w:numFmt w:val="bullet"/>
      <w:lvlText w:val=""/>
      <w:lvlJc w:val="left"/>
      <w:pPr>
        <w:tabs>
          <w:tab w:val="num" w:pos="284"/>
        </w:tabs>
        <w:ind w:left="284" w:hanging="284"/>
      </w:pPr>
      <w:rPr>
        <w:rFonts w:ascii="Symbol" w:hAnsi="Symbol" w:hint="default"/>
        <w:b w:val="0"/>
        <w:i w:val="0"/>
        <w:color w:val="005984"/>
        <w:sz w:val="20"/>
      </w:rPr>
    </w:lvl>
    <w:lvl w:ilvl="1">
      <w:start w:val="1"/>
      <w:numFmt w:val="bullet"/>
      <w:lvlText w:val=""/>
      <w:lvlJc w:val="left"/>
      <w:pPr>
        <w:tabs>
          <w:tab w:val="num" w:pos="567"/>
        </w:tabs>
        <w:ind w:left="567" w:hanging="283"/>
      </w:pPr>
      <w:rPr>
        <w:rFonts w:ascii="Symbol" w:hAnsi="Symbol" w:hint="default"/>
        <w:color w:val="005984"/>
        <w:sz w:val="20"/>
      </w:rPr>
    </w:lvl>
    <w:lvl w:ilvl="2">
      <w:start w:val="1"/>
      <w:numFmt w:val="bullet"/>
      <w:lvlText w:val=""/>
      <w:lvlJc w:val="left"/>
      <w:pPr>
        <w:tabs>
          <w:tab w:val="num" w:pos="851"/>
        </w:tabs>
        <w:ind w:left="851" w:hanging="284"/>
      </w:pPr>
      <w:rPr>
        <w:rFonts w:ascii="Symbol" w:hAnsi="Symbol" w:hint="default"/>
        <w:color w:val="005984"/>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35A12497"/>
    <w:multiLevelType w:val="multilevel"/>
    <w:tmpl w:val="21F63714"/>
    <w:lvl w:ilvl="0">
      <w:start w:val="1"/>
      <w:numFmt w:val="none"/>
      <w:pStyle w:val="BlockText-ListContinue"/>
      <w:lvlText w:val=""/>
      <w:lvlJc w:val="left"/>
      <w:pPr>
        <w:tabs>
          <w:tab w:val="num" w:pos="1134"/>
        </w:tabs>
        <w:ind w:left="1134" w:hanging="567"/>
      </w:pPr>
      <w:rPr>
        <w:rFonts w:hint="default"/>
      </w:rPr>
    </w:lvl>
    <w:lvl w:ilvl="1">
      <w:start w:val="1"/>
      <w:numFmt w:val="none"/>
      <w:pStyle w:val="BlockText-ListContinue2"/>
      <w:lvlText w:val=""/>
      <w:lvlJc w:val="left"/>
      <w:pPr>
        <w:tabs>
          <w:tab w:val="num" w:pos="1701"/>
        </w:tabs>
        <w:ind w:left="1701" w:hanging="567"/>
      </w:pPr>
      <w:rPr>
        <w:rFonts w:hint="default"/>
      </w:rPr>
    </w:lvl>
    <w:lvl w:ilvl="2">
      <w:start w:val="1"/>
      <w:numFmt w:val="none"/>
      <w:pStyle w:val="BlockText-ListContinue3"/>
      <w:lvlText w:val=""/>
      <w:lvlJc w:val="left"/>
      <w:pPr>
        <w:tabs>
          <w:tab w:val="num" w:pos="2268"/>
        </w:tabs>
        <w:ind w:left="2268" w:hanging="567"/>
      </w:pPr>
      <w:rPr>
        <w:rFonts w:hint="default"/>
      </w:rPr>
    </w:lvl>
    <w:lvl w:ilvl="3">
      <w:start w:val="1"/>
      <w:numFmt w:val="none"/>
      <w:pStyle w:val="BlockText-ListContinue4"/>
      <w:lvlText w:val=""/>
      <w:lvlJc w:val="left"/>
      <w:pPr>
        <w:tabs>
          <w:tab w:val="num" w:pos="2835"/>
        </w:tabs>
        <w:ind w:left="2835" w:hanging="567"/>
      </w:pPr>
      <w:rPr>
        <w:rFonts w:hint="default"/>
      </w:rPr>
    </w:lvl>
    <w:lvl w:ilvl="4">
      <w:start w:val="1"/>
      <w:numFmt w:val="none"/>
      <w:pStyle w:val="BlockText-ListContinue5"/>
      <w:lvlText w:val=""/>
      <w:lvlJc w:val="left"/>
      <w:pPr>
        <w:tabs>
          <w:tab w:val="num" w:pos="3402"/>
        </w:tabs>
        <w:ind w:left="3402" w:hanging="567"/>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6" w15:restartNumberingAfterBreak="0">
    <w:nsid w:val="36CD1F83"/>
    <w:multiLevelType w:val="multilevel"/>
    <w:tmpl w:val="538A4656"/>
    <w:lvl w:ilvl="0">
      <w:start w:val="1"/>
      <w:numFmt w:val="lowerRoman"/>
      <w:lvlText w:val="%1."/>
      <w:lvlJc w:val="left"/>
      <w:pPr>
        <w:tabs>
          <w:tab w:val="num" w:pos="360"/>
        </w:tabs>
        <w:ind w:left="360" w:hanging="360"/>
      </w:pPr>
      <w:rPr>
        <w:rFonts w:hint="default"/>
        <w:b w:val="0"/>
        <w:i w:val="0"/>
        <w:color w:val="auto"/>
      </w:rPr>
    </w:lvl>
    <w:lvl w:ilvl="1">
      <w:start w:val="1"/>
      <w:numFmt w:val="lowerRoman"/>
      <w:lvlText w:val="%2."/>
      <w:lvlJc w:val="left"/>
      <w:pPr>
        <w:tabs>
          <w:tab w:val="num" w:pos="720"/>
        </w:tabs>
        <w:ind w:left="720" w:hanging="360"/>
      </w:pPr>
      <w:rPr>
        <w:rFonts w:hint="default"/>
        <w:b w:val="0"/>
        <w:i w:val="0"/>
        <w:color w:val="auto"/>
      </w:rPr>
    </w:lvl>
    <w:lvl w:ilvl="2">
      <w:start w:val="1"/>
      <w:numFmt w:val="lowerRoman"/>
      <w:lvlText w:val="%3."/>
      <w:lvlJc w:val="left"/>
      <w:pPr>
        <w:tabs>
          <w:tab w:val="num" w:pos="1080"/>
        </w:tabs>
        <w:ind w:left="1080" w:hanging="360"/>
      </w:pPr>
      <w:rPr>
        <w:rFonts w:hint="default"/>
        <w:b w:val="0"/>
        <w:i w:val="0"/>
        <w:color w:val="auto"/>
      </w:rPr>
    </w:lvl>
    <w:lvl w:ilvl="3">
      <w:start w:val="1"/>
      <w:numFmt w:val="lowerRoman"/>
      <w:lvlText w:val="%4."/>
      <w:lvlJc w:val="left"/>
      <w:pPr>
        <w:tabs>
          <w:tab w:val="num" w:pos="1440"/>
        </w:tabs>
        <w:ind w:left="1440" w:hanging="360"/>
      </w:pPr>
      <w:rPr>
        <w:rFonts w:hint="default"/>
        <w:b w:val="0"/>
        <w:i w:val="0"/>
        <w:color w:val="auto"/>
      </w:rPr>
    </w:lvl>
    <w:lvl w:ilvl="4">
      <w:start w:val="1"/>
      <w:numFmt w:val="lowerRoman"/>
      <w:lvlText w:val="%5."/>
      <w:lvlJc w:val="left"/>
      <w:pPr>
        <w:tabs>
          <w:tab w:val="num" w:pos="1800"/>
        </w:tabs>
        <w:ind w:left="1800" w:hanging="360"/>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40A652B7"/>
    <w:multiLevelType w:val="multilevel"/>
    <w:tmpl w:val="8A1A986E"/>
    <w:styleLink w:val="111111"/>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4E303B0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5532156C"/>
    <w:multiLevelType w:val="multilevel"/>
    <w:tmpl w:val="6A9697C2"/>
    <w:styleLink w:val="1ai"/>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1" w15:restartNumberingAfterBreak="0">
    <w:nsid w:val="55735B65"/>
    <w:multiLevelType w:val="multilevel"/>
    <w:tmpl w:val="447EF884"/>
    <w:lvl w:ilvl="0">
      <w:start w:val="1"/>
      <w:numFmt w:val="lowerRoman"/>
      <w:pStyle w:val="BlockText-ListRoman"/>
      <w:lvlText w:val="%1."/>
      <w:lvlJc w:val="left"/>
      <w:pPr>
        <w:tabs>
          <w:tab w:val="num" w:pos="1134"/>
        </w:tabs>
        <w:ind w:left="1134" w:hanging="567"/>
      </w:pPr>
      <w:rPr>
        <w:rFonts w:hint="default"/>
      </w:rPr>
    </w:lvl>
    <w:lvl w:ilvl="1">
      <w:start w:val="1"/>
      <w:numFmt w:val="lowerRoman"/>
      <w:pStyle w:val="BlockText-ListRoman2"/>
      <w:lvlText w:val="%2."/>
      <w:lvlJc w:val="left"/>
      <w:pPr>
        <w:tabs>
          <w:tab w:val="num" w:pos="1701"/>
        </w:tabs>
        <w:ind w:left="1701" w:hanging="567"/>
      </w:pPr>
      <w:rPr>
        <w:rFonts w:hint="default"/>
      </w:rPr>
    </w:lvl>
    <w:lvl w:ilvl="2">
      <w:start w:val="1"/>
      <w:numFmt w:val="lowerRoman"/>
      <w:pStyle w:val="BlockText-ListRoman3"/>
      <w:lvlText w:val="%3."/>
      <w:lvlJc w:val="left"/>
      <w:pPr>
        <w:tabs>
          <w:tab w:val="num" w:pos="2268"/>
        </w:tabs>
        <w:ind w:left="2268" w:hanging="567"/>
      </w:pPr>
      <w:rPr>
        <w:rFonts w:hint="default"/>
      </w:rPr>
    </w:lvl>
    <w:lvl w:ilvl="3">
      <w:start w:val="1"/>
      <w:numFmt w:val="lowerRoman"/>
      <w:pStyle w:val="BlockText-ListRoman4"/>
      <w:lvlText w:val="%4."/>
      <w:lvlJc w:val="left"/>
      <w:pPr>
        <w:tabs>
          <w:tab w:val="num" w:pos="2835"/>
        </w:tabs>
        <w:ind w:left="2835" w:hanging="567"/>
      </w:pPr>
      <w:rPr>
        <w:rFonts w:hint="default"/>
      </w:rPr>
    </w:lvl>
    <w:lvl w:ilvl="4">
      <w:start w:val="1"/>
      <w:numFmt w:val="lowerRoman"/>
      <w:pStyle w:val="BlockText-ListRoman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2"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63395E5F"/>
    <w:multiLevelType w:val="multilevel"/>
    <w:tmpl w:val="7AA80116"/>
    <w:lvl w:ilvl="0">
      <w:start w:val="1"/>
      <w:numFmt w:val="none"/>
      <w:pStyle w:val="ListContinue"/>
      <w:lvlText w:val=""/>
      <w:lvlJc w:val="left"/>
      <w:pPr>
        <w:tabs>
          <w:tab w:val="num" w:pos="567"/>
        </w:tabs>
        <w:ind w:left="567" w:hanging="567"/>
      </w:pPr>
      <w:rPr>
        <w:rFonts w:hint="default"/>
      </w:rPr>
    </w:lvl>
    <w:lvl w:ilvl="1">
      <w:start w:val="1"/>
      <w:numFmt w:val="none"/>
      <w:pStyle w:val="ListContinue2"/>
      <w:lvlText w:val=""/>
      <w:lvlJc w:val="left"/>
      <w:pPr>
        <w:tabs>
          <w:tab w:val="num" w:pos="1134"/>
        </w:tabs>
        <w:ind w:left="1134" w:hanging="567"/>
      </w:pPr>
      <w:rPr>
        <w:rFonts w:hint="default"/>
      </w:rPr>
    </w:lvl>
    <w:lvl w:ilvl="2">
      <w:start w:val="1"/>
      <w:numFmt w:val="none"/>
      <w:pStyle w:val="ListContinue3"/>
      <w:lvlText w:val=""/>
      <w:lvlJc w:val="left"/>
      <w:pPr>
        <w:tabs>
          <w:tab w:val="num" w:pos="1701"/>
        </w:tabs>
        <w:ind w:left="1701" w:hanging="567"/>
      </w:pPr>
      <w:rPr>
        <w:rFonts w:hint="default"/>
      </w:rPr>
    </w:lvl>
    <w:lvl w:ilvl="3">
      <w:start w:val="1"/>
      <w:numFmt w:val="none"/>
      <w:pStyle w:val="ListContinue4"/>
      <w:lvlText w:val=""/>
      <w:lvlJc w:val="left"/>
      <w:pPr>
        <w:tabs>
          <w:tab w:val="num" w:pos="2268"/>
        </w:tabs>
        <w:ind w:left="2268" w:hanging="567"/>
      </w:pPr>
      <w:rPr>
        <w:rFonts w:hint="default"/>
      </w:rPr>
    </w:lvl>
    <w:lvl w:ilvl="4">
      <w:start w:val="1"/>
      <w:numFmt w:val="none"/>
      <w:pStyle w:val="ListContinue5"/>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24" w15:restartNumberingAfterBreak="0">
    <w:nsid w:val="65E1428C"/>
    <w:multiLevelType w:val="multilevel"/>
    <w:tmpl w:val="20F23230"/>
    <w:lvl w:ilvl="0">
      <w:start w:val="1"/>
      <w:numFmt w:val="bullet"/>
      <w:lvlText w:val=""/>
      <w:lvlJc w:val="left"/>
      <w:pPr>
        <w:tabs>
          <w:tab w:val="num" w:pos="1134"/>
        </w:tabs>
        <w:ind w:left="1134" w:hanging="567"/>
      </w:pPr>
      <w:rPr>
        <w:rFonts w:ascii="Symbol" w:hAnsi="Symbol" w:hint="default"/>
        <w:b w:val="0"/>
        <w:i w:val="0"/>
        <w:color w:val="005984"/>
        <w:sz w:val="22"/>
      </w:rPr>
    </w:lvl>
    <w:lvl w:ilvl="1">
      <w:start w:val="1"/>
      <w:numFmt w:val="bullet"/>
      <w:lvlText w:val=""/>
      <w:lvlJc w:val="left"/>
      <w:pPr>
        <w:tabs>
          <w:tab w:val="num" w:pos="1701"/>
        </w:tabs>
        <w:ind w:left="1701" w:hanging="567"/>
      </w:pPr>
      <w:rPr>
        <w:rFonts w:ascii="Symbol" w:hAnsi="Symbol" w:hint="default"/>
        <w:color w:val="005984"/>
        <w:sz w:val="22"/>
      </w:rPr>
    </w:lvl>
    <w:lvl w:ilvl="2">
      <w:start w:val="1"/>
      <w:numFmt w:val="bullet"/>
      <w:lvlText w:val=""/>
      <w:lvlJc w:val="left"/>
      <w:pPr>
        <w:tabs>
          <w:tab w:val="num" w:pos="2268"/>
        </w:tabs>
        <w:ind w:left="2268" w:hanging="567"/>
      </w:pPr>
      <w:rPr>
        <w:rFonts w:ascii="Symbol" w:hAnsi="Symbol" w:hint="default"/>
        <w:color w:val="005984"/>
        <w:sz w:val="22"/>
      </w:rPr>
    </w:lvl>
    <w:lvl w:ilvl="3">
      <w:start w:val="1"/>
      <w:numFmt w:val="bullet"/>
      <w:lvlText w:val=""/>
      <w:lvlJc w:val="left"/>
      <w:pPr>
        <w:tabs>
          <w:tab w:val="num" w:pos="2835"/>
        </w:tabs>
        <w:ind w:left="2835" w:hanging="567"/>
      </w:pPr>
      <w:rPr>
        <w:rFonts w:ascii="Symbol" w:hAnsi="Symbol" w:hint="default"/>
        <w:color w:val="005984"/>
        <w:sz w:val="22"/>
      </w:rPr>
    </w:lvl>
    <w:lvl w:ilvl="4">
      <w:start w:val="1"/>
      <w:numFmt w:val="bullet"/>
      <w:lvlText w:val=""/>
      <w:lvlJc w:val="left"/>
      <w:pPr>
        <w:tabs>
          <w:tab w:val="num" w:pos="3402"/>
        </w:tabs>
        <w:ind w:left="3402" w:hanging="567"/>
      </w:pPr>
      <w:rPr>
        <w:rFonts w:ascii="Symbol" w:hAnsi="Symbol" w:hint="default"/>
        <w:color w:val="005984"/>
        <w:sz w:val="22"/>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15:restartNumberingAfterBreak="0">
    <w:nsid w:val="68D875D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
  </w:num>
  <w:num w:numId="2">
    <w:abstractNumId w:val="9"/>
  </w:num>
  <w:num w:numId="3">
    <w:abstractNumId w:val="20"/>
  </w:num>
  <w:num w:numId="4">
    <w:abstractNumId w:val="18"/>
  </w:num>
  <w:num w:numId="5">
    <w:abstractNumId w:val="17"/>
  </w:num>
  <w:num w:numId="6">
    <w:abstractNumId w:val="19"/>
  </w:num>
  <w:num w:numId="7">
    <w:abstractNumId w:val="11"/>
  </w:num>
  <w:num w:numId="8">
    <w:abstractNumId w:val="23"/>
  </w:num>
  <w:num w:numId="9">
    <w:abstractNumId w:val="8"/>
  </w:num>
  <w:num w:numId="10">
    <w:abstractNumId w:val="22"/>
  </w:num>
  <w:num w:numId="11">
    <w:abstractNumId w:val="10"/>
  </w:num>
  <w:num w:numId="12">
    <w:abstractNumId w:val="5"/>
  </w:num>
  <w:num w:numId="13">
    <w:abstractNumId w:val="21"/>
  </w:num>
  <w:num w:numId="14">
    <w:abstractNumId w:val="12"/>
  </w:num>
  <w:num w:numId="15">
    <w:abstractNumId w:val="13"/>
  </w:num>
  <w:num w:numId="16">
    <w:abstractNumId w:val="6"/>
  </w:num>
  <w:num w:numId="17">
    <w:abstractNumId w:val="16"/>
  </w:num>
  <w:num w:numId="18">
    <w:abstractNumId w:val="4"/>
  </w:num>
  <w:num w:numId="19">
    <w:abstractNumId w:val="2"/>
  </w:num>
  <w:num w:numId="20">
    <w:abstractNumId w:val="1"/>
  </w:num>
  <w:num w:numId="21">
    <w:abstractNumId w:val="3"/>
  </w:num>
  <w:num w:numId="22">
    <w:abstractNumId w:val="0"/>
  </w:num>
  <w:num w:numId="23">
    <w:abstractNumId w:val="15"/>
  </w:num>
  <w:num w:numId="24">
    <w:abstractNumId w:val="25"/>
  </w:num>
  <w:num w:numId="25">
    <w:abstractNumId w:val="2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DA8"/>
    <w:rsid w:val="0000015B"/>
    <w:rsid w:val="00000585"/>
    <w:rsid w:val="00001157"/>
    <w:rsid w:val="0000178D"/>
    <w:rsid w:val="00001CC1"/>
    <w:rsid w:val="0000255E"/>
    <w:rsid w:val="000027A8"/>
    <w:rsid w:val="00002AA8"/>
    <w:rsid w:val="00002C41"/>
    <w:rsid w:val="0000342D"/>
    <w:rsid w:val="00003F45"/>
    <w:rsid w:val="000040BA"/>
    <w:rsid w:val="00004697"/>
    <w:rsid w:val="0000491C"/>
    <w:rsid w:val="00004C0B"/>
    <w:rsid w:val="00004C9A"/>
    <w:rsid w:val="00004DD2"/>
    <w:rsid w:val="0000517C"/>
    <w:rsid w:val="0000588C"/>
    <w:rsid w:val="00005A28"/>
    <w:rsid w:val="00005AF7"/>
    <w:rsid w:val="00005B30"/>
    <w:rsid w:val="00005FF4"/>
    <w:rsid w:val="00006388"/>
    <w:rsid w:val="00006756"/>
    <w:rsid w:val="00006B64"/>
    <w:rsid w:val="00007467"/>
    <w:rsid w:val="000074F4"/>
    <w:rsid w:val="00007AF0"/>
    <w:rsid w:val="00010F14"/>
    <w:rsid w:val="000116AF"/>
    <w:rsid w:val="00011872"/>
    <w:rsid w:val="00011B78"/>
    <w:rsid w:val="000120D3"/>
    <w:rsid w:val="00012365"/>
    <w:rsid w:val="00012633"/>
    <w:rsid w:val="00012D83"/>
    <w:rsid w:val="00012E73"/>
    <w:rsid w:val="000132C9"/>
    <w:rsid w:val="00013ED8"/>
    <w:rsid w:val="00014172"/>
    <w:rsid w:val="00014206"/>
    <w:rsid w:val="00014249"/>
    <w:rsid w:val="000143A5"/>
    <w:rsid w:val="00014A41"/>
    <w:rsid w:val="00014B3B"/>
    <w:rsid w:val="0001514A"/>
    <w:rsid w:val="000152FD"/>
    <w:rsid w:val="00015F7A"/>
    <w:rsid w:val="000162D8"/>
    <w:rsid w:val="000164F8"/>
    <w:rsid w:val="000166C8"/>
    <w:rsid w:val="00016946"/>
    <w:rsid w:val="00016B41"/>
    <w:rsid w:val="00016DF9"/>
    <w:rsid w:val="00016FAF"/>
    <w:rsid w:val="00017087"/>
    <w:rsid w:val="00017887"/>
    <w:rsid w:val="000202D6"/>
    <w:rsid w:val="000213D4"/>
    <w:rsid w:val="000215B8"/>
    <w:rsid w:val="00021975"/>
    <w:rsid w:val="00021FA2"/>
    <w:rsid w:val="000221C6"/>
    <w:rsid w:val="00022381"/>
    <w:rsid w:val="0002251B"/>
    <w:rsid w:val="000229CF"/>
    <w:rsid w:val="00022CA9"/>
    <w:rsid w:val="000233EA"/>
    <w:rsid w:val="000238CB"/>
    <w:rsid w:val="000239A2"/>
    <w:rsid w:val="00023B99"/>
    <w:rsid w:val="00023C3F"/>
    <w:rsid w:val="0002453D"/>
    <w:rsid w:val="000246AF"/>
    <w:rsid w:val="000247E6"/>
    <w:rsid w:val="00024A48"/>
    <w:rsid w:val="00024DDE"/>
    <w:rsid w:val="000251EA"/>
    <w:rsid w:val="000252FB"/>
    <w:rsid w:val="000253A9"/>
    <w:rsid w:val="00025A2F"/>
    <w:rsid w:val="00025F23"/>
    <w:rsid w:val="00026723"/>
    <w:rsid w:val="00026A30"/>
    <w:rsid w:val="0002726C"/>
    <w:rsid w:val="0002768E"/>
    <w:rsid w:val="000278B0"/>
    <w:rsid w:val="00030229"/>
    <w:rsid w:val="000302A3"/>
    <w:rsid w:val="0003057E"/>
    <w:rsid w:val="00030863"/>
    <w:rsid w:val="00030AAE"/>
    <w:rsid w:val="00031E30"/>
    <w:rsid w:val="00031E69"/>
    <w:rsid w:val="00031F38"/>
    <w:rsid w:val="00031FE2"/>
    <w:rsid w:val="000320C0"/>
    <w:rsid w:val="000321A4"/>
    <w:rsid w:val="000321B4"/>
    <w:rsid w:val="00032F54"/>
    <w:rsid w:val="0003306C"/>
    <w:rsid w:val="00033339"/>
    <w:rsid w:val="0003344E"/>
    <w:rsid w:val="000334A8"/>
    <w:rsid w:val="000336AD"/>
    <w:rsid w:val="000336F8"/>
    <w:rsid w:val="00033717"/>
    <w:rsid w:val="000338EF"/>
    <w:rsid w:val="00033E4C"/>
    <w:rsid w:val="000340E0"/>
    <w:rsid w:val="000343C8"/>
    <w:rsid w:val="00034610"/>
    <w:rsid w:val="00034E48"/>
    <w:rsid w:val="0003516D"/>
    <w:rsid w:val="000355EE"/>
    <w:rsid w:val="00035679"/>
    <w:rsid w:val="000358E8"/>
    <w:rsid w:val="00036236"/>
    <w:rsid w:val="00036701"/>
    <w:rsid w:val="00036EFE"/>
    <w:rsid w:val="000372C0"/>
    <w:rsid w:val="00037427"/>
    <w:rsid w:val="00037BE6"/>
    <w:rsid w:val="00040A4C"/>
    <w:rsid w:val="00040CFB"/>
    <w:rsid w:val="00040DD7"/>
    <w:rsid w:val="00040F25"/>
    <w:rsid w:val="000418AF"/>
    <w:rsid w:val="00041995"/>
    <w:rsid w:val="00041BF1"/>
    <w:rsid w:val="00041F28"/>
    <w:rsid w:val="00042382"/>
    <w:rsid w:val="00042E96"/>
    <w:rsid w:val="00043919"/>
    <w:rsid w:val="00043CF4"/>
    <w:rsid w:val="00043D22"/>
    <w:rsid w:val="00043F97"/>
    <w:rsid w:val="00044716"/>
    <w:rsid w:val="000447F4"/>
    <w:rsid w:val="00044A07"/>
    <w:rsid w:val="00044D90"/>
    <w:rsid w:val="0004507D"/>
    <w:rsid w:val="000454CC"/>
    <w:rsid w:val="00046C0E"/>
    <w:rsid w:val="00046F42"/>
    <w:rsid w:val="000471FF"/>
    <w:rsid w:val="00047B01"/>
    <w:rsid w:val="00050085"/>
    <w:rsid w:val="00050099"/>
    <w:rsid w:val="000503BF"/>
    <w:rsid w:val="00050620"/>
    <w:rsid w:val="00050654"/>
    <w:rsid w:val="000506CD"/>
    <w:rsid w:val="00050841"/>
    <w:rsid w:val="00050C3C"/>
    <w:rsid w:val="00050D10"/>
    <w:rsid w:val="00050E6A"/>
    <w:rsid w:val="00051307"/>
    <w:rsid w:val="0005220F"/>
    <w:rsid w:val="000524DF"/>
    <w:rsid w:val="00053BED"/>
    <w:rsid w:val="00054130"/>
    <w:rsid w:val="00054338"/>
    <w:rsid w:val="000546C5"/>
    <w:rsid w:val="00054AD4"/>
    <w:rsid w:val="000550EC"/>
    <w:rsid w:val="0005513A"/>
    <w:rsid w:val="000553B2"/>
    <w:rsid w:val="00055A5F"/>
    <w:rsid w:val="00055D5E"/>
    <w:rsid w:val="00056271"/>
    <w:rsid w:val="0005637E"/>
    <w:rsid w:val="0005647A"/>
    <w:rsid w:val="00056819"/>
    <w:rsid w:val="00056969"/>
    <w:rsid w:val="000574A2"/>
    <w:rsid w:val="000576F3"/>
    <w:rsid w:val="00057763"/>
    <w:rsid w:val="00057BF2"/>
    <w:rsid w:val="00057CF1"/>
    <w:rsid w:val="0006037A"/>
    <w:rsid w:val="00060934"/>
    <w:rsid w:val="00060E6E"/>
    <w:rsid w:val="00060F36"/>
    <w:rsid w:val="00060F8B"/>
    <w:rsid w:val="00060FF2"/>
    <w:rsid w:val="0006183F"/>
    <w:rsid w:val="00061BD0"/>
    <w:rsid w:val="00061DBB"/>
    <w:rsid w:val="00061F5A"/>
    <w:rsid w:val="000622B1"/>
    <w:rsid w:val="00063064"/>
    <w:rsid w:val="000631D9"/>
    <w:rsid w:val="000633BA"/>
    <w:rsid w:val="0006342A"/>
    <w:rsid w:val="0006399D"/>
    <w:rsid w:val="00063DF4"/>
    <w:rsid w:val="00063EE6"/>
    <w:rsid w:val="0006459D"/>
    <w:rsid w:val="000646B1"/>
    <w:rsid w:val="0006512C"/>
    <w:rsid w:val="00065495"/>
    <w:rsid w:val="0006585C"/>
    <w:rsid w:val="000659DC"/>
    <w:rsid w:val="00065AF2"/>
    <w:rsid w:val="00066893"/>
    <w:rsid w:val="00066C0C"/>
    <w:rsid w:val="00066F37"/>
    <w:rsid w:val="00067018"/>
    <w:rsid w:val="00067248"/>
    <w:rsid w:val="00067529"/>
    <w:rsid w:val="000677B2"/>
    <w:rsid w:val="00067900"/>
    <w:rsid w:val="00067A96"/>
    <w:rsid w:val="00070148"/>
    <w:rsid w:val="0007044D"/>
    <w:rsid w:val="00070586"/>
    <w:rsid w:val="0007074A"/>
    <w:rsid w:val="00070971"/>
    <w:rsid w:val="00070F08"/>
    <w:rsid w:val="000710EA"/>
    <w:rsid w:val="000717FA"/>
    <w:rsid w:val="000718FE"/>
    <w:rsid w:val="00071BF7"/>
    <w:rsid w:val="00072608"/>
    <w:rsid w:val="00072957"/>
    <w:rsid w:val="00072AD9"/>
    <w:rsid w:val="00072FE1"/>
    <w:rsid w:val="000732AA"/>
    <w:rsid w:val="0007344A"/>
    <w:rsid w:val="00073589"/>
    <w:rsid w:val="000739EE"/>
    <w:rsid w:val="00073A77"/>
    <w:rsid w:val="00073E5F"/>
    <w:rsid w:val="00073F0F"/>
    <w:rsid w:val="00073F40"/>
    <w:rsid w:val="00073F60"/>
    <w:rsid w:val="0007435C"/>
    <w:rsid w:val="0007474E"/>
    <w:rsid w:val="0007534D"/>
    <w:rsid w:val="00075471"/>
    <w:rsid w:val="000755E9"/>
    <w:rsid w:val="000762BD"/>
    <w:rsid w:val="00076AAA"/>
    <w:rsid w:val="00076CEF"/>
    <w:rsid w:val="00076D5C"/>
    <w:rsid w:val="00076F20"/>
    <w:rsid w:val="000771DF"/>
    <w:rsid w:val="000773D8"/>
    <w:rsid w:val="00077575"/>
    <w:rsid w:val="00077C59"/>
    <w:rsid w:val="00077FF6"/>
    <w:rsid w:val="00080AFB"/>
    <w:rsid w:val="00080F27"/>
    <w:rsid w:val="000812AA"/>
    <w:rsid w:val="000812BB"/>
    <w:rsid w:val="00081DF2"/>
    <w:rsid w:val="00081EC0"/>
    <w:rsid w:val="00082109"/>
    <w:rsid w:val="00082527"/>
    <w:rsid w:val="000825FA"/>
    <w:rsid w:val="00082CD6"/>
    <w:rsid w:val="00082E7C"/>
    <w:rsid w:val="00083220"/>
    <w:rsid w:val="000837F9"/>
    <w:rsid w:val="00084947"/>
    <w:rsid w:val="00084C86"/>
    <w:rsid w:val="00085655"/>
    <w:rsid w:val="0008599F"/>
    <w:rsid w:val="00085D47"/>
    <w:rsid w:val="00085EEB"/>
    <w:rsid w:val="00085F3A"/>
    <w:rsid w:val="00086280"/>
    <w:rsid w:val="0008672D"/>
    <w:rsid w:val="0008683F"/>
    <w:rsid w:val="00086BCE"/>
    <w:rsid w:val="00086BE3"/>
    <w:rsid w:val="00086DBE"/>
    <w:rsid w:val="00086E1B"/>
    <w:rsid w:val="00087011"/>
    <w:rsid w:val="00087369"/>
    <w:rsid w:val="000900A1"/>
    <w:rsid w:val="00090209"/>
    <w:rsid w:val="000909A8"/>
    <w:rsid w:val="000909FD"/>
    <w:rsid w:val="00090A4F"/>
    <w:rsid w:val="000910AE"/>
    <w:rsid w:val="000915C3"/>
    <w:rsid w:val="00091E3A"/>
    <w:rsid w:val="00091F32"/>
    <w:rsid w:val="000923E3"/>
    <w:rsid w:val="000923E8"/>
    <w:rsid w:val="000924F7"/>
    <w:rsid w:val="00092606"/>
    <w:rsid w:val="00092A6C"/>
    <w:rsid w:val="00092D66"/>
    <w:rsid w:val="00092E78"/>
    <w:rsid w:val="00092F98"/>
    <w:rsid w:val="000932CC"/>
    <w:rsid w:val="00093308"/>
    <w:rsid w:val="00093707"/>
    <w:rsid w:val="000938E3"/>
    <w:rsid w:val="00093E89"/>
    <w:rsid w:val="00093F60"/>
    <w:rsid w:val="00094023"/>
    <w:rsid w:val="00094301"/>
    <w:rsid w:val="000943A8"/>
    <w:rsid w:val="00095480"/>
    <w:rsid w:val="00095833"/>
    <w:rsid w:val="00095E56"/>
    <w:rsid w:val="00096103"/>
    <w:rsid w:val="0009615B"/>
    <w:rsid w:val="0009660D"/>
    <w:rsid w:val="00096802"/>
    <w:rsid w:val="00096939"/>
    <w:rsid w:val="00096D8F"/>
    <w:rsid w:val="00097192"/>
    <w:rsid w:val="00097786"/>
    <w:rsid w:val="000A056E"/>
    <w:rsid w:val="000A05A5"/>
    <w:rsid w:val="000A1539"/>
    <w:rsid w:val="000A161D"/>
    <w:rsid w:val="000A1786"/>
    <w:rsid w:val="000A1BE8"/>
    <w:rsid w:val="000A1C5F"/>
    <w:rsid w:val="000A2071"/>
    <w:rsid w:val="000A21CD"/>
    <w:rsid w:val="000A2220"/>
    <w:rsid w:val="000A2225"/>
    <w:rsid w:val="000A3386"/>
    <w:rsid w:val="000A34B6"/>
    <w:rsid w:val="000A3862"/>
    <w:rsid w:val="000A3ABE"/>
    <w:rsid w:val="000A3BFE"/>
    <w:rsid w:val="000A3C3E"/>
    <w:rsid w:val="000A3DD1"/>
    <w:rsid w:val="000A435D"/>
    <w:rsid w:val="000A4B05"/>
    <w:rsid w:val="000A501C"/>
    <w:rsid w:val="000A5475"/>
    <w:rsid w:val="000A59FF"/>
    <w:rsid w:val="000A5C70"/>
    <w:rsid w:val="000A61ED"/>
    <w:rsid w:val="000A65BC"/>
    <w:rsid w:val="000A6756"/>
    <w:rsid w:val="000A762F"/>
    <w:rsid w:val="000A7647"/>
    <w:rsid w:val="000A76C9"/>
    <w:rsid w:val="000A784C"/>
    <w:rsid w:val="000A7934"/>
    <w:rsid w:val="000A7A09"/>
    <w:rsid w:val="000A7F11"/>
    <w:rsid w:val="000B0144"/>
    <w:rsid w:val="000B0386"/>
    <w:rsid w:val="000B039C"/>
    <w:rsid w:val="000B07D4"/>
    <w:rsid w:val="000B0957"/>
    <w:rsid w:val="000B0FB8"/>
    <w:rsid w:val="000B1357"/>
    <w:rsid w:val="000B16EF"/>
    <w:rsid w:val="000B1876"/>
    <w:rsid w:val="000B2114"/>
    <w:rsid w:val="000B2A20"/>
    <w:rsid w:val="000B2AF8"/>
    <w:rsid w:val="000B35E3"/>
    <w:rsid w:val="000B4051"/>
    <w:rsid w:val="000B4087"/>
    <w:rsid w:val="000B4866"/>
    <w:rsid w:val="000B4A23"/>
    <w:rsid w:val="000B4C7D"/>
    <w:rsid w:val="000B54FC"/>
    <w:rsid w:val="000B58B6"/>
    <w:rsid w:val="000B5CDA"/>
    <w:rsid w:val="000B69F9"/>
    <w:rsid w:val="000B6F08"/>
    <w:rsid w:val="000B705F"/>
    <w:rsid w:val="000B7938"/>
    <w:rsid w:val="000B7BA2"/>
    <w:rsid w:val="000C03B8"/>
    <w:rsid w:val="000C06D1"/>
    <w:rsid w:val="000C0C16"/>
    <w:rsid w:val="000C0D40"/>
    <w:rsid w:val="000C1329"/>
    <w:rsid w:val="000C1B6B"/>
    <w:rsid w:val="000C22A7"/>
    <w:rsid w:val="000C265E"/>
    <w:rsid w:val="000C28FB"/>
    <w:rsid w:val="000C363D"/>
    <w:rsid w:val="000C37C8"/>
    <w:rsid w:val="000C52BB"/>
    <w:rsid w:val="000C5437"/>
    <w:rsid w:val="000C57A3"/>
    <w:rsid w:val="000C5BD7"/>
    <w:rsid w:val="000C5D11"/>
    <w:rsid w:val="000C60EE"/>
    <w:rsid w:val="000C662B"/>
    <w:rsid w:val="000C69EE"/>
    <w:rsid w:val="000C7B0F"/>
    <w:rsid w:val="000C7C48"/>
    <w:rsid w:val="000D0B03"/>
    <w:rsid w:val="000D0B30"/>
    <w:rsid w:val="000D0F69"/>
    <w:rsid w:val="000D108B"/>
    <w:rsid w:val="000D1282"/>
    <w:rsid w:val="000D1B74"/>
    <w:rsid w:val="000D1EE1"/>
    <w:rsid w:val="000D1F22"/>
    <w:rsid w:val="000D23E1"/>
    <w:rsid w:val="000D23EA"/>
    <w:rsid w:val="000D27EB"/>
    <w:rsid w:val="000D29E8"/>
    <w:rsid w:val="000D2B68"/>
    <w:rsid w:val="000D3102"/>
    <w:rsid w:val="000D32E6"/>
    <w:rsid w:val="000D3721"/>
    <w:rsid w:val="000D3F21"/>
    <w:rsid w:val="000D41F0"/>
    <w:rsid w:val="000D4915"/>
    <w:rsid w:val="000D4CA8"/>
    <w:rsid w:val="000D51EE"/>
    <w:rsid w:val="000D52C3"/>
    <w:rsid w:val="000D5432"/>
    <w:rsid w:val="000D5DE6"/>
    <w:rsid w:val="000D69E7"/>
    <w:rsid w:val="000D6B02"/>
    <w:rsid w:val="000D6BB1"/>
    <w:rsid w:val="000D7116"/>
    <w:rsid w:val="000D71DB"/>
    <w:rsid w:val="000D7415"/>
    <w:rsid w:val="000E0D39"/>
    <w:rsid w:val="000E0D95"/>
    <w:rsid w:val="000E0EBF"/>
    <w:rsid w:val="000E0F10"/>
    <w:rsid w:val="000E175A"/>
    <w:rsid w:val="000E1A65"/>
    <w:rsid w:val="000E1A74"/>
    <w:rsid w:val="000E1BF0"/>
    <w:rsid w:val="000E1C2E"/>
    <w:rsid w:val="000E203E"/>
    <w:rsid w:val="000E208D"/>
    <w:rsid w:val="000E20E8"/>
    <w:rsid w:val="000E2C55"/>
    <w:rsid w:val="000E31E8"/>
    <w:rsid w:val="000E3698"/>
    <w:rsid w:val="000E36BA"/>
    <w:rsid w:val="000E3D46"/>
    <w:rsid w:val="000E3E97"/>
    <w:rsid w:val="000E4AAD"/>
    <w:rsid w:val="000E4F34"/>
    <w:rsid w:val="000E5AC7"/>
    <w:rsid w:val="000E5F84"/>
    <w:rsid w:val="000E610D"/>
    <w:rsid w:val="000E6774"/>
    <w:rsid w:val="000E78F7"/>
    <w:rsid w:val="000F098E"/>
    <w:rsid w:val="000F0AA6"/>
    <w:rsid w:val="000F1206"/>
    <w:rsid w:val="000F14F7"/>
    <w:rsid w:val="000F1A19"/>
    <w:rsid w:val="000F1CDC"/>
    <w:rsid w:val="000F25FD"/>
    <w:rsid w:val="000F262E"/>
    <w:rsid w:val="000F27FF"/>
    <w:rsid w:val="000F39F4"/>
    <w:rsid w:val="000F4692"/>
    <w:rsid w:val="000F4F71"/>
    <w:rsid w:val="000F5085"/>
    <w:rsid w:val="000F56AC"/>
    <w:rsid w:val="000F5B27"/>
    <w:rsid w:val="000F5FDF"/>
    <w:rsid w:val="000F620E"/>
    <w:rsid w:val="000F638F"/>
    <w:rsid w:val="000F6BDC"/>
    <w:rsid w:val="000F6DC9"/>
    <w:rsid w:val="000F71B8"/>
    <w:rsid w:val="000F73C5"/>
    <w:rsid w:val="001004A0"/>
    <w:rsid w:val="00100792"/>
    <w:rsid w:val="00100B87"/>
    <w:rsid w:val="00100C37"/>
    <w:rsid w:val="00100C86"/>
    <w:rsid w:val="00101352"/>
    <w:rsid w:val="00101373"/>
    <w:rsid w:val="00101589"/>
    <w:rsid w:val="001017B4"/>
    <w:rsid w:val="001022F1"/>
    <w:rsid w:val="001027CF"/>
    <w:rsid w:val="00102A07"/>
    <w:rsid w:val="00102D95"/>
    <w:rsid w:val="00102D9C"/>
    <w:rsid w:val="00103BE9"/>
    <w:rsid w:val="00103FC7"/>
    <w:rsid w:val="001040E9"/>
    <w:rsid w:val="001040EC"/>
    <w:rsid w:val="00104C21"/>
    <w:rsid w:val="00104FBE"/>
    <w:rsid w:val="001052A2"/>
    <w:rsid w:val="001056BD"/>
    <w:rsid w:val="0010628C"/>
    <w:rsid w:val="00106F30"/>
    <w:rsid w:val="00107469"/>
    <w:rsid w:val="00107A8C"/>
    <w:rsid w:val="00111019"/>
    <w:rsid w:val="001112E3"/>
    <w:rsid w:val="00111484"/>
    <w:rsid w:val="0011178F"/>
    <w:rsid w:val="00111DEF"/>
    <w:rsid w:val="00112027"/>
    <w:rsid w:val="001120E4"/>
    <w:rsid w:val="00112C38"/>
    <w:rsid w:val="00112D44"/>
    <w:rsid w:val="00112D70"/>
    <w:rsid w:val="00113216"/>
    <w:rsid w:val="00113510"/>
    <w:rsid w:val="001135C2"/>
    <w:rsid w:val="00113866"/>
    <w:rsid w:val="001140A3"/>
    <w:rsid w:val="00114787"/>
    <w:rsid w:val="001148A7"/>
    <w:rsid w:val="00114932"/>
    <w:rsid w:val="00114D34"/>
    <w:rsid w:val="00115181"/>
    <w:rsid w:val="001151E6"/>
    <w:rsid w:val="00115270"/>
    <w:rsid w:val="001157D9"/>
    <w:rsid w:val="00115AC8"/>
    <w:rsid w:val="00115AF1"/>
    <w:rsid w:val="00115C21"/>
    <w:rsid w:val="00116097"/>
    <w:rsid w:val="0011629A"/>
    <w:rsid w:val="0011641A"/>
    <w:rsid w:val="00116AB3"/>
    <w:rsid w:val="00116B96"/>
    <w:rsid w:val="00116D55"/>
    <w:rsid w:val="00116F58"/>
    <w:rsid w:val="001172C0"/>
    <w:rsid w:val="00117F25"/>
    <w:rsid w:val="001204E3"/>
    <w:rsid w:val="001205A1"/>
    <w:rsid w:val="001205A4"/>
    <w:rsid w:val="001209E8"/>
    <w:rsid w:val="00120DE1"/>
    <w:rsid w:val="001213A3"/>
    <w:rsid w:val="0012177B"/>
    <w:rsid w:val="001218F6"/>
    <w:rsid w:val="00121AE3"/>
    <w:rsid w:val="00121D44"/>
    <w:rsid w:val="00121DA4"/>
    <w:rsid w:val="00122740"/>
    <w:rsid w:val="00122DF0"/>
    <w:rsid w:val="001232C5"/>
    <w:rsid w:val="00123B15"/>
    <w:rsid w:val="00123C19"/>
    <w:rsid w:val="001244FA"/>
    <w:rsid w:val="0012505F"/>
    <w:rsid w:val="001250AF"/>
    <w:rsid w:val="001250CD"/>
    <w:rsid w:val="0012539B"/>
    <w:rsid w:val="001254E9"/>
    <w:rsid w:val="00125B92"/>
    <w:rsid w:val="00125C11"/>
    <w:rsid w:val="00126713"/>
    <w:rsid w:val="00126D22"/>
    <w:rsid w:val="001270EE"/>
    <w:rsid w:val="0012720B"/>
    <w:rsid w:val="0012762E"/>
    <w:rsid w:val="00127B24"/>
    <w:rsid w:val="00130147"/>
    <w:rsid w:val="001303D4"/>
    <w:rsid w:val="001303F3"/>
    <w:rsid w:val="00130751"/>
    <w:rsid w:val="00130D70"/>
    <w:rsid w:val="0013111B"/>
    <w:rsid w:val="00131322"/>
    <w:rsid w:val="001315CE"/>
    <w:rsid w:val="00131965"/>
    <w:rsid w:val="00131AFB"/>
    <w:rsid w:val="00131D3F"/>
    <w:rsid w:val="00131D95"/>
    <w:rsid w:val="001320F0"/>
    <w:rsid w:val="00132190"/>
    <w:rsid w:val="00132552"/>
    <w:rsid w:val="001329AE"/>
    <w:rsid w:val="00132F5E"/>
    <w:rsid w:val="0013344D"/>
    <w:rsid w:val="00133C57"/>
    <w:rsid w:val="001347CA"/>
    <w:rsid w:val="00134B44"/>
    <w:rsid w:val="00134D46"/>
    <w:rsid w:val="001358B4"/>
    <w:rsid w:val="00135A61"/>
    <w:rsid w:val="00135DDB"/>
    <w:rsid w:val="00135DF9"/>
    <w:rsid w:val="00135E66"/>
    <w:rsid w:val="0013698C"/>
    <w:rsid w:val="00136D0C"/>
    <w:rsid w:val="001370F4"/>
    <w:rsid w:val="001373A0"/>
    <w:rsid w:val="0013753D"/>
    <w:rsid w:val="001377DE"/>
    <w:rsid w:val="0013785B"/>
    <w:rsid w:val="00137AF8"/>
    <w:rsid w:val="001405FD"/>
    <w:rsid w:val="00140648"/>
    <w:rsid w:val="001406ED"/>
    <w:rsid w:val="00140A42"/>
    <w:rsid w:val="00140A6B"/>
    <w:rsid w:val="00140DEA"/>
    <w:rsid w:val="00141410"/>
    <w:rsid w:val="0014153A"/>
    <w:rsid w:val="0014161E"/>
    <w:rsid w:val="00142657"/>
    <w:rsid w:val="001428F3"/>
    <w:rsid w:val="00142B78"/>
    <w:rsid w:val="00142D14"/>
    <w:rsid w:val="00143411"/>
    <w:rsid w:val="001434FA"/>
    <w:rsid w:val="0014373D"/>
    <w:rsid w:val="001442B1"/>
    <w:rsid w:val="0014484F"/>
    <w:rsid w:val="00144919"/>
    <w:rsid w:val="0014496B"/>
    <w:rsid w:val="00144B0F"/>
    <w:rsid w:val="00144EBA"/>
    <w:rsid w:val="00144FA2"/>
    <w:rsid w:val="001452BE"/>
    <w:rsid w:val="0014538A"/>
    <w:rsid w:val="001454B7"/>
    <w:rsid w:val="00145717"/>
    <w:rsid w:val="00145946"/>
    <w:rsid w:val="00146206"/>
    <w:rsid w:val="001467FF"/>
    <w:rsid w:val="00146E81"/>
    <w:rsid w:val="001473CD"/>
    <w:rsid w:val="00147756"/>
    <w:rsid w:val="00147AB7"/>
    <w:rsid w:val="00147C61"/>
    <w:rsid w:val="0015006B"/>
    <w:rsid w:val="001503A1"/>
    <w:rsid w:val="0015052A"/>
    <w:rsid w:val="00150904"/>
    <w:rsid w:val="001517BD"/>
    <w:rsid w:val="00151BC0"/>
    <w:rsid w:val="00151BFA"/>
    <w:rsid w:val="00152293"/>
    <w:rsid w:val="00152A93"/>
    <w:rsid w:val="00152D3F"/>
    <w:rsid w:val="001534CB"/>
    <w:rsid w:val="00153BAA"/>
    <w:rsid w:val="001542FF"/>
    <w:rsid w:val="0015462C"/>
    <w:rsid w:val="00154C34"/>
    <w:rsid w:val="00154F9C"/>
    <w:rsid w:val="001555F1"/>
    <w:rsid w:val="0015585B"/>
    <w:rsid w:val="00156923"/>
    <w:rsid w:val="00156A23"/>
    <w:rsid w:val="00156BB1"/>
    <w:rsid w:val="00156BED"/>
    <w:rsid w:val="00156DB0"/>
    <w:rsid w:val="00157499"/>
    <w:rsid w:val="00157B88"/>
    <w:rsid w:val="00160900"/>
    <w:rsid w:val="00160947"/>
    <w:rsid w:val="00160AD9"/>
    <w:rsid w:val="001610FE"/>
    <w:rsid w:val="0016115D"/>
    <w:rsid w:val="0016197C"/>
    <w:rsid w:val="00161ABA"/>
    <w:rsid w:val="00161F07"/>
    <w:rsid w:val="0016245C"/>
    <w:rsid w:val="0016318D"/>
    <w:rsid w:val="00163482"/>
    <w:rsid w:val="0016363B"/>
    <w:rsid w:val="00164798"/>
    <w:rsid w:val="00164895"/>
    <w:rsid w:val="001648A4"/>
    <w:rsid w:val="00165605"/>
    <w:rsid w:val="00165792"/>
    <w:rsid w:val="001659AB"/>
    <w:rsid w:val="00165ABE"/>
    <w:rsid w:val="00165F8F"/>
    <w:rsid w:val="0016612A"/>
    <w:rsid w:val="0016628A"/>
    <w:rsid w:val="00166D83"/>
    <w:rsid w:val="00167200"/>
    <w:rsid w:val="001704BE"/>
    <w:rsid w:val="00170817"/>
    <w:rsid w:val="00170845"/>
    <w:rsid w:val="00170CE5"/>
    <w:rsid w:val="00172183"/>
    <w:rsid w:val="001728CB"/>
    <w:rsid w:val="00172970"/>
    <w:rsid w:val="001734E5"/>
    <w:rsid w:val="00173CE1"/>
    <w:rsid w:val="00174539"/>
    <w:rsid w:val="00174751"/>
    <w:rsid w:val="001747DD"/>
    <w:rsid w:val="0017508D"/>
    <w:rsid w:val="001751C7"/>
    <w:rsid w:val="001759BB"/>
    <w:rsid w:val="001761B3"/>
    <w:rsid w:val="00176412"/>
    <w:rsid w:val="00176562"/>
    <w:rsid w:val="00176F0B"/>
    <w:rsid w:val="001774D8"/>
    <w:rsid w:val="00177588"/>
    <w:rsid w:val="001779C5"/>
    <w:rsid w:val="00177FC3"/>
    <w:rsid w:val="001800E6"/>
    <w:rsid w:val="001800FA"/>
    <w:rsid w:val="00180A90"/>
    <w:rsid w:val="00181C54"/>
    <w:rsid w:val="001822D7"/>
    <w:rsid w:val="0018260E"/>
    <w:rsid w:val="00182F1F"/>
    <w:rsid w:val="00182FE7"/>
    <w:rsid w:val="00183229"/>
    <w:rsid w:val="00183456"/>
    <w:rsid w:val="00183779"/>
    <w:rsid w:val="00183F6B"/>
    <w:rsid w:val="00183FFF"/>
    <w:rsid w:val="001845B2"/>
    <w:rsid w:val="00184764"/>
    <w:rsid w:val="00184F75"/>
    <w:rsid w:val="00185011"/>
    <w:rsid w:val="001852B7"/>
    <w:rsid w:val="00185509"/>
    <w:rsid w:val="0018574B"/>
    <w:rsid w:val="00186CFD"/>
    <w:rsid w:val="00186D5A"/>
    <w:rsid w:val="001870E5"/>
    <w:rsid w:val="0018739F"/>
    <w:rsid w:val="001875F8"/>
    <w:rsid w:val="00187A6C"/>
    <w:rsid w:val="00187AD2"/>
    <w:rsid w:val="00187CBC"/>
    <w:rsid w:val="0019036A"/>
    <w:rsid w:val="00190979"/>
    <w:rsid w:val="001909EA"/>
    <w:rsid w:val="00190D7B"/>
    <w:rsid w:val="0019104D"/>
    <w:rsid w:val="00191DCE"/>
    <w:rsid w:val="00192451"/>
    <w:rsid w:val="0019257F"/>
    <w:rsid w:val="00192C79"/>
    <w:rsid w:val="00193573"/>
    <w:rsid w:val="00193B91"/>
    <w:rsid w:val="00193ED3"/>
    <w:rsid w:val="001940BD"/>
    <w:rsid w:val="00194214"/>
    <w:rsid w:val="001945DD"/>
    <w:rsid w:val="001946ED"/>
    <w:rsid w:val="001949F5"/>
    <w:rsid w:val="00194AD4"/>
    <w:rsid w:val="00194B72"/>
    <w:rsid w:val="00194C6D"/>
    <w:rsid w:val="00194DDD"/>
    <w:rsid w:val="00195619"/>
    <w:rsid w:val="00195B32"/>
    <w:rsid w:val="00195B33"/>
    <w:rsid w:val="00195E3B"/>
    <w:rsid w:val="00195E7B"/>
    <w:rsid w:val="00196D40"/>
    <w:rsid w:val="00196F97"/>
    <w:rsid w:val="001971A7"/>
    <w:rsid w:val="00197372"/>
    <w:rsid w:val="00197582"/>
    <w:rsid w:val="00197D8A"/>
    <w:rsid w:val="001A0305"/>
    <w:rsid w:val="001A0B00"/>
    <w:rsid w:val="001A0F4E"/>
    <w:rsid w:val="001A0FF4"/>
    <w:rsid w:val="001A120B"/>
    <w:rsid w:val="001A14C2"/>
    <w:rsid w:val="001A1730"/>
    <w:rsid w:val="001A177A"/>
    <w:rsid w:val="001A177B"/>
    <w:rsid w:val="001A17EB"/>
    <w:rsid w:val="001A19AC"/>
    <w:rsid w:val="001A1A7D"/>
    <w:rsid w:val="001A1CA6"/>
    <w:rsid w:val="001A2BAD"/>
    <w:rsid w:val="001A2E42"/>
    <w:rsid w:val="001A2E55"/>
    <w:rsid w:val="001A2FCA"/>
    <w:rsid w:val="001A3255"/>
    <w:rsid w:val="001A32E2"/>
    <w:rsid w:val="001A367B"/>
    <w:rsid w:val="001A37B1"/>
    <w:rsid w:val="001A3C8C"/>
    <w:rsid w:val="001A40F4"/>
    <w:rsid w:val="001A46C9"/>
    <w:rsid w:val="001A4EF6"/>
    <w:rsid w:val="001A52A3"/>
    <w:rsid w:val="001A6187"/>
    <w:rsid w:val="001A68BD"/>
    <w:rsid w:val="001A6928"/>
    <w:rsid w:val="001A6C17"/>
    <w:rsid w:val="001A6F37"/>
    <w:rsid w:val="001A7110"/>
    <w:rsid w:val="001A7D8C"/>
    <w:rsid w:val="001A7E66"/>
    <w:rsid w:val="001B0405"/>
    <w:rsid w:val="001B05E9"/>
    <w:rsid w:val="001B07A8"/>
    <w:rsid w:val="001B07B5"/>
    <w:rsid w:val="001B10D8"/>
    <w:rsid w:val="001B111D"/>
    <w:rsid w:val="001B162F"/>
    <w:rsid w:val="001B16D9"/>
    <w:rsid w:val="001B1863"/>
    <w:rsid w:val="001B1A7A"/>
    <w:rsid w:val="001B1EE2"/>
    <w:rsid w:val="001B2112"/>
    <w:rsid w:val="001B211B"/>
    <w:rsid w:val="001B218F"/>
    <w:rsid w:val="001B2807"/>
    <w:rsid w:val="001B28B6"/>
    <w:rsid w:val="001B29BA"/>
    <w:rsid w:val="001B2EB3"/>
    <w:rsid w:val="001B2F70"/>
    <w:rsid w:val="001B2FCD"/>
    <w:rsid w:val="001B3723"/>
    <w:rsid w:val="001B3BDD"/>
    <w:rsid w:val="001B3D3F"/>
    <w:rsid w:val="001B3DA9"/>
    <w:rsid w:val="001B404B"/>
    <w:rsid w:val="001B4A5C"/>
    <w:rsid w:val="001B5035"/>
    <w:rsid w:val="001B5137"/>
    <w:rsid w:val="001B5490"/>
    <w:rsid w:val="001B55E6"/>
    <w:rsid w:val="001B5A57"/>
    <w:rsid w:val="001B6E28"/>
    <w:rsid w:val="001B707A"/>
    <w:rsid w:val="001B74C0"/>
    <w:rsid w:val="001B76ED"/>
    <w:rsid w:val="001B7AB6"/>
    <w:rsid w:val="001B7AC6"/>
    <w:rsid w:val="001C017E"/>
    <w:rsid w:val="001C01A5"/>
    <w:rsid w:val="001C01ED"/>
    <w:rsid w:val="001C0256"/>
    <w:rsid w:val="001C061C"/>
    <w:rsid w:val="001C0DCF"/>
    <w:rsid w:val="001C157F"/>
    <w:rsid w:val="001C177B"/>
    <w:rsid w:val="001C1A79"/>
    <w:rsid w:val="001C1DFC"/>
    <w:rsid w:val="001C2525"/>
    <w:rsid w:val="001C2858"/>
    <w:rsid w:val="001C285C"/>
    <w:rsid w:val="001C2A72"/>
    <w:rsid w:val="001C2B7D"/>
    <w:rsid w:val="001C2E76"/>
    <w:rsid w:val="001C32EA"/>
    <w:rsid w:val="001C34D7"/>
    <w:rsid w:val="001C3589"/>
    <w:rsid w:val="001C3731"/>
    <w:rsid w:val="001C3800"/>
    <w:rsid w:val="001C3A84"/>
    <w:rsid w:val="001C3BA7"/>
    <w:rsid w:val="001C3D63"/>
    <w:rsid w:val="001C4152"/>
    <w:rsid w:val="001C4246"/>
    <w:rsid w:val="001C4311"/>
    <w:rsid w:val="001C441B"/>
    <w:rsid w:val="001C46A7"/>
    <w:rsid w:val="001C4727"/>
    <w:rsid w:val="001C499F"/>
    <w:rsid w:val="001C4A7C"/>
    <w:rsid w:val="001C4D0A"/>
    <w:rsid w:val="001C50CA"/>
    <w:rsid w:val="001C549D"/>
    <w:rsid w:val="001C54B3"/>
    <w:rsid w:val="001C562C"/>
    <w:rsid w:val="001C5862"/>
    <w:rsid w:val="001C69F0"/>
    <w:rsid w:val="001C6AF4"/>
    <w:rsid w:val="001C7356"/>
    <w:rsid w:val="001C7569"/>
    <w:rsid w:val="001C75E9"/>
    <w:rsid w:val="001C7B9F"/>
    <w:rsid w:val="001C7C79"/>
    <w:rsid w:val="001C7CBE"/>
    <w:rsid w:val="001C7D84"/>
    <w:rsid w:val="001D01D4"/>
    <w:rsid w:val="001D08F7"/>
    <w:rsid w:val="001D0975"/>
    <w:rsid w:val="001D0ADC"/>
    <w:rsid w:val="001D0FDD"/>
    <w:rsid w:val="001D17FD"/>
    <w:rsid w:val="001D1843"/>
    <w:rsid w:val="001D1E2C"/>
    <w:rsid w:val="001D2019"/>
    <w:rsid w:val="001D2123"/>
    <w:rsid w:val="001D25E7"/>
    <w:rsid w:val="001D31C1"/>
    <w:rsid w:val="001D35F6"/>
    <w:rsid w:val="001D3902"/>
    <w:rsid w:val="001D3EEA"/>
    <w:rsid w:val="001D4272"/>
    <w:rsid w:val="001D4641"/>
    <w:rsid w:val="001D499D"/>
    <w:rsid w:val="001D50B3"/>
    <w:rsid w:val="001D52A0"/>
    <w:rsid w:val="001D52B3"/>
    <w:rsid w:val="001D5767"/>
    <w:rsid w:val="001D58A6"/>
    <w:rsid w:val="001D5CCF"/>
    <w:rsid w:val="001D6320"/>
    <w:rsid w:val="001D6D28"/>
    <w:rsid w:val="001D6EEF"/>
    <w:rsid w:val="001E05EA"/>
    <w:rsid w:val="001E1035"/>
    <w:rsid w:val="001E1990"/>
    <w:rsid w:val="001E1A2C"/>
    <w:rsid w:val="001E1E49"/>
    <w:rsid w:val="001E1F60"/>
    <w:rsid w:val="001E20E6"/>
    <w:rsid w:val="001E2886"/>
    <w:rsid w:val="001E3014"/>
    <w:rsid w:val="001E3C8E"/>
    <w:rsid w:val="001E4636"/>
    <w:rsid w:val="001E468C"/>
    <w:rsid w:val="001E47FD"/>
    <w:rsid w:val="001E4979"/>
    <w:rsid w:val="001E49B5"/>
    <w:rsid w:val="001E4A2B"/>
    <w:rsid w:val="001E4B25"/>
    <w:rsid w:val="001E5335"/>
    <w:rsid w:val="001E553F"/>
    <w:rsid w:val="001E5641"/>
    <w:rsid w:val="001E623A"/>
    <w:rsid w:val="001E6272"/>
    <w:rsid w:val="001E6369"/>
    <w:rsid w:val="001E63AC"/>
    <w:rsid w:val="001E6830"/>
    <w:rsid w:val="001E7515"/>
    <w:rsid w:val="001E7934"/>
    <w:rsid w:val="001E7E3C"/>
    <w:rsid w:val="001E7F4F"/>
    <w:rsid w:val="001F0485"/>
    <w:rsid w:val="001F0586"/>
    <w:rsid w:val="001F0CD7"/>
    <w:rsid w:val="001F0CE3"/>
    <w:rsid w:val="001F0D44"/>
    <w:rsid w:val="001F0DBC"/>
    <w:rsid w:val="001F1049"/>
    <w:rsid w:val="001F1192"/>
    <w:rsid w:val="001F15DF"/>
    <w:rsid w:val="001F16F2"/>
    <w:rsid w:val="001F1A50"/>
    <w:rsid w:val="001F1F59"/>
    <w:rsid w:val="001F23D2"/>
    <w:rsid w:val="001F2C64"/>
    <w:rsid w:val="001F2CDD"/>
    <w:rsid w:val="001F374E"/>
    <w:rsid w:val="001F3948"/>
    <w:rsid w:val="001F3F33"/>
    <w:rsid w:val="001F463F"/>
    <w:rsid w:val="001F495E"/>
    <w:rsid w:val="001F49A7"/>
    <w:rsid w:val="001F4D4E"/>
    <w:rsid w:val="001F4E75"/>
    <w:rsid w:val="001F4EDD"/>
    <w:rsid w:val="001F5229"/>
    <w:rsid w:val="001F55B9"/>
    <w:rsid w:val="001F5609"/>
    <w:rsid w:val="001F5781"/>
    <w:rsid w:val="001F5B8D"/>
    <w:rsid w:val="001F5E3C"/>
    <w:rsid w:val="001F66B5"/>
    <w:rsid w:val="001F6B00"/>
    <w:rsid w:val="001F6B7E"/>
    <w:rsid w:val="001F6BC4"/>
    <w:rsid w:val="001F71B1"/>
    <w:rsid w:val="001F7329"/>
    <w:rsid w:val="001F74B3"/>
    <w:rsid w:val="001F7835"/>
    <w:rsid w:val="001F799C"/>
    <w:rsid w:val="001F7B0D"/>
    <w:rsid w:val="001F7FF3"/>
    <w:rsid w:val="0020038B"/>
    <w:rsid w:val="0020072D"/>
    <w:rsid w:val="0020082D"/>
    <w:rsid w:val="00200D28"/>
    <w:rsid w:val="00201216"/>
    <w:rsid w:val="002013C2"/>
    <w:rsid w:val="002014C1"/>
    <w:rsid w:val="0020160B"/>
    <w:rsid w:val="00201654"/>
    <w:rsid w:val="00201783"/>
    <w:rsid w:val="00201895"/>
    <w:rsid w:val="00201D57"/>
    <w:rsid w:val="00202337"/>
    <w:rsid w:val="002025DA"/>
    <w:rsid w:val="00203060"/>
    <w:rsid w:val="0020314B"/>
    <w:rsid w:val="002035EC"/>
    <w:rsid w:val="002037E3"/>
    <w:rsid w:val="00203A60"/>
    <w:rsid w:val="00203D00"/>
    <w:rsid w:val="00204192"/>
    <w:rsid w:val="00204BD9"/>
    <w:rsid w:val="00205671"/>
    <w:rsid w:val="00205A37"/>
    <w:rsid w:val="0020617E"/>
    <w:rsid w:val="002061B1"/>
    <w:rsid w:val="00206353"/>
    <w:rsid w:val="0020643D"/>
    <w:rsid w:val="00206802"/>
    <w:rsid w:val="00206878"/>
    <w:rsid w:val="00206882"/>
    <w:rsid w:val="002068EC"/>
    <w:rsid w:val="00206983"/>
    <w:rsid w:val="0020747E"/>
    <w:rsid w:val="00210128"/>
    <w:rsid w:val="002107DC"/>
    <w:rsid w:val="00210B44"/>
    <w:rsid w:val="00210BB4"/>
    <w:rsid w:val="00210F0F"/>
    <w:rsid w:val="00211195"/>
    <w:rsid w:val="00211866"/>
    <w:rsid w:val="0021190B"/>
    <w:rsid w:val="00211BFA"/>
    <w:rsid w:val="00211E14"/>
    <w:rsid w:val="0021218B"/>
    <w:rsid w:val="00212593"/>
    <w:rsid w:val="00212CC0"/>
    <w:rsid w:val="0021378D"/>
    <w:rsid w:val="00213CF6"/>
    <w:rsid w:val="00213D6A"/>
    <w:rsid w:val="00213EE7"/>
    <w:rsid w:val="00214B9A"/>
    <w:rsid w:val="00214ED9"/>
    <w:rsid w:val="00215291"/>
    <w:rsid w:val="00215534"/>
    <w:rsid w:val="002155BB"/>
    <w:rsid w:val="002156C9"/>
    <w:rsid w:val="00215AE8"/>
    <w:rsid w:val="00216159"/>
    <w:rsid w:val="002179F6"/>
    <w:rsid w:val="00220240"/>
    <w:rsid w:val="002208BA"/>
    <w:rsid w:val="00220F80"/>
    <w:rsid w:val="002212FD"/>
    <w:rsid w:val="002216BE"/>
    <w:rsid w:val="00221DC9"/>
    <w:rsid w:val="00222321"/>
    <w:rsid w:val="00222565"/>
    <w:rsid w:val="00222CE1"/>
    <w:rsid w:val="00222E88"/>
    <w:rsid w:val="00223CC2"/>
    <w:rsid w:val="002243E1"/>
    <w:rsid w:val="002244B7"/>
    <w:rsid w:val="00224FB2"/>
    <w:rsid w:val="0022506C"/>
    <w:rsid w:val="00225085"/>
    <w:rsid w:val="002252EC"/>
    <w:rsid w:val="002254F6"/>
    <w:rsid w:val="002261C9"/>
    <w:rsid w:val="00226FEF"/>
    <w:rsid w:val="00227061"/>
    <w:rsid w:val="002271C0"/>
    <w:rsid w:val="002272FA"/>
    <w:rsid w:val="00227364"/>
    <w:rsid w:val="00227630"/>
    <w:rsid w:val="00230CAF"/>
    <w:rsid w:val="00231640"/>
    <w:rsid w:val="00231AF3"/>
    <w:rsid w:val="00231BCE"/>
    <w:rsid w:val="002329E2"/>
    <w:rsid w:val="00232AE3"/>
    <w:rsid w:val="00232B10"/>
    <w:rsid w:val="00232FF4"/>
    <w:rsid w:val="002330E4"/>
    <w:rsid w:val="00233783"/>
    <w:rsid w:val="002339A2"/>
    <w:rsid w:val="0023406A"/>
    <w:rsid w:val="002340FA"/>
    <w:rsid w:val="0023457A"/>
    <w:rsid w:val="00234A2A"/>
    <w:rsid w:val="00234A85"/>
    <w:rsid w:val="00234C94"/>
    <w:rsid w:val="0023500A"/>
    <w:rsid w:val="00235AAD"/>
    <w:rsid w:val="00235F09"/>
    <w:rsid w:val="00235FD5"/>
    <w:rsid w:val="002366F5"/>
    <w:rsid w:val="00236863"/>
    <w:rsid w:val="00236FE7"/>
    <w:rsid w:val="00237044"/>
    <w:rsid w:val="002378AD"/>
    <w:rsid w:val="00237D12"/>
    <w:rsid w:val="00240658"/>
    <w:rsid w:val="0024066C"/>
    <w:rsid w:val="00240EA7"/>
    <w:rsid w:val="00241283"/>
    <w:rsid w:val="002413BF"/>
    <w:rsid w:val="0024180C"/>
    <w:rsid w:val="00241D76"/>
    <w:rsid w:val="00242222"/>
    <w:rsid w:val="002427A4"/>
    <w:rsid w:val="0024294F"/>
    <w:rsid w:val="00242F1F"/>
    <w:rsid w:val="002431A5"/>
    <w:rsid w:val="0024387E"/>
    <w:rsid w:val="0024420E"/>
    <w:rsid w:val="00245019"/>
    <w:rsid w:val="00245475"/>
    <w:rsid w:val="00245A7F"/>
    <w:rsid w:val="00245ADA"/>
    <w:rsid w:val="00245B2E"/>
    <w:rsid w:val="002461C1"/>
    <w:rsid w:val="00246869"/>
    <w:rsid w:val="00246C9A"/>
    <w:rsid w:val="00246E1A"/>
    <w:rsid w:val="002478AE"/>
    <w:rsid w:val="002478E4"/>
    <w:rsid w:val="002479B4"/>
    <w:rsid w:val="00247AB3"/>
    <w:rsid w:val="00250702"/>
    <w:rsid w:val="002507B5"/>
    <w:rsid w:val="002507BA"/>
    <w:rsid w:val="00250F34"/>
    <w:rsid w:val="0025148C"/>
    <w:rsid w:val="00251848"/>
    <w:rsid w:val="002527E2"/>
    <w:rsid w:val="002528E6"/>
    <w:rsid w:val="00252ABF"/>
    <w:rsid w:val="00252AE6"/>
    <w:rsid w:val="0025367C"/>
    <w:rsid w:val="0025393B"/>
    <w:rsid w:val="002539DE"/>
    <w:rsid w:val="00253C81"/>
    <w:rsid w:val="00253EF6"/>
    <w:rsid w:val="002544EA"/>
    <w:rsid w:val="00254592"/>
    <w:rsid w:val="00255650"/>
    <w:rsid w:val="00255695"/>
    <w:rsid w:val="00255977"/>
    <w:rsid w:val="00255AD3"/>
    <w:rsid w:val="00255C8A"/>
    <w:rsid w:val="00255ECF"/>
    <w:rsid w:val="00257376"/>
    <w:rsid w:val="00257752"/>
    <w:rsid w:val="002578C4"/>
    <w:rsid w:val="00260322"/>
    <w:rsid w:val="00261092"/>
    <w:rsid w:val="00261161"/>
    <w:rsid w:val="00261B5A"/>
    <w:rsid w:val="00261CB9"/>
    <w:rsid w:val="00262068"/>
    <w:rsid w:val="0026237A"/>
    <w:rsid w:val="002623A2"/>
    <w:rsid w:val="0026278B"/>
    <w:rsid w:val="002629FD"/>
    <w:rsid w:val="00262C33"/>
    <w:rsid w:val="00262D87"/>
    <w:rsid w:val="00263252"/>
    <w:rsid w:val="00263929"/>
    <w:rsid w:val="0026396B"/>
    <w:rsid w:val="00263A0C"/>
    <w:rsid w:val="00263D49"/>
    <w:rsid w:val="0026498C"/>
    <w:rsid w:val="00264A36"/>
    <w:rsid w:val="002651E6"/>
    <w:rsid w:val="002660F6"/>
    <w:rsid w:val="00266704"/>
    <w:rsid w:val="00266CC7"/>
    <w:rsid w:val="00266CE7"/>
    <w:rsid w:val="002670F7"/>
    <w:rsid w:val="002670F9"/>
    <w:rsid w:val="0026741C"/>
    <w:rsid w:val="00267612"/>
    <w:rsid w:val="00270AFC"/>
    <w:rsid w:val="00270DFE"/>
    <w:rsid w:val="00270EE6"/>
    <w:rsid w:val="002711D7"/>
    <w:rsid w:val="002714EE"/>
    <w:rsid w:val="002715E4"/>
    <w:rsid w:val="00271AE4"/>
    <w:rsid w:val="00271BDE"/>
    <w:rsid w:val="00271C59"/>
    <w:rsid w:val="002723FE"/>
    <w:rsid w:val="0027242A"/>
    <w:rsid w:val="002726DA"/>
    <w:rsid w:val="00272D0D"/>
    <w:rsid w:val="00272E49"/>
    <w:rsid w:val="0027301B"/>
    <w:rsid w:val="0027323C"/>
    <w:rsid w:val="00274836"/>
    <w:rsid w:val="00274B0D"/>
    <w:rsid w:val="00274BA8"/>
    <w:rsid w:val="00274FE0"/>
    <w:rsid w:val="00275E45"/>
    <w:rsid w:val="00275E6A"/>
    <w:rsid w:val="002769F1"/>
    <w:rsid w:val="00276C2C"/>
    <w:rsid w:val="00276C4D"/>
    <w:rsid w:val="00277039"/>
    <w:rsid w:val="002771BA"/>
    <w:rsid w:val="002772F5"/>
    <w:rsid w:val="00277827"/>
    <w:rsid w:val="00277936"/>
    <w:rsid w:val="0027793C"/>
    <w:rsid w:val="002806A9"/>
    <w:rsid w:val="00281791"/>
    <w:rsid w:val="00281C32"/>
    <w:rsid w:val="00281EA2"/>
    <w:rsid w:val="00281F49"/>
    <w:rsid w:val="00282041"/>
    <w:rsid w:val="00282838"/>
    <w:rsid w:val="00282854"/>
    <w:rsid w:val="00282A20"/>
    <w:rsid w:val="0028317F"/>
    <w:rsid w:val="00283514"/>
    <w:rsid w:val="00283916"/>
    <w:rsid w:val="002839B5"/>
    <w:rsid w:val="00283D06"/>
    <w:rsid w:val="00283E74"/>
    <w:rsid w:val="00284831"/>
    <w:rsid w:val="00285514"/>
    <w:rsid w:val="0028586A"/>
    <w:rsid w:val="002859DA"/>
    <w:rsid w:val="00286057"/>
    <w:rsid w:val="00286203"/>
    <w:rsid w:val="002868A7"/>
    <w:rsid w:val="00287082"/>
    <w:rsid w:val="00287585"/>
    <w:rsid w:val="00287EE3"/>
    <w:rsid w:val="002900F3"/>
    <w:rsid w:val="002903DE"/>
    <w:rsid w:val="00290414"/>
    <w:rsid w:val="00290564"/>
    <w:rsid w:val="00290911"/>
    <w:rsid w:val="002909C2"/>
    <w:rsid w:val="00290D0B"/>
    <w:rsid w:val="00291CEE"/>
    <w:rsid w:val="00291E9B"/>
    <w:rsid w:val="0029219A"/>
    <w:rsid w:val="00292FD6"/>
    <w:rsid w:val="002933B3"/>
    <w:rsid w:val="002933E9"/>
    <w:rsid w:val="002935C4"/>
    <w:rsid w:val="00294BC5"/>
    <w:rsid w:val="00294DD4"/>
    <w:rsid w:val="0029564D"/>
    <w:rsid w:val="00295F5E"/>
    <w:rsid w:val="00295F60"/>
    <w:rsid w:val="00295F71"/>
    <w:rsid w:val="0029615B"/>
    <w:rsid w:val="00296F85"/>
    <w:rsid w:val="002973AB"/>
    <w:rsid w:val="002977B2"/>
    <w:rsid w:val="0029781B"/>
    <w:rsid w:val="00297F31"/>
    <w:rsid w:val="002A039D"/>
    <w:rsid w:val="002A0402"/>
    <w:rsid w:val="002A045E"/>
    <w:rsid w:val="002A0D81"/>
    <w:rsid w:val="002A0F34"/>
    <w:rsid w:val="002A1729"/>
    <w:rsid w:val="002A17D5"/>
    <w:rsid w:val="002A1941"/>
    <w:rsid w:val="002A1B1B"/>
    <w:rsid w:val="002A1DDF"/>
    <w:rsid w:val="002A202F"/>
    <w:rsid w:val="002A203F"/>
    <w:rsid w:val="002A2339"/>
    <w:rsid w:val="002A2535"/>
    <w:rsid w:val="002A277B"/>
    <w:rsid w:val="002A2F3E"/>
    <w:rsid w:val="002A2FA7"/>
    <w:rsid w:val="002A3342"/>
    <w:rsid w:val="002A365F"/>
    <w:rsid w:val="002A3803"/>
    <w:rsid w:val="002A384A"/>
    <w:rsid w:val="002A4333"/>
    <w:rsid w:val="002A43BB"/>
    <w:rsid w:val="002A43FC"/>
    <w:rsid w:val="002A4618"/>
    <w:rsid w:val="002A503D"/>
    <w:rsid w:val="002A50C4"/>
    <w:rsid w:val="002A52C4"/>
    <w:rsid w:val="002A5554"/>
    <w:rsid w:val="002A6076"/>
    <w:rsid w:val="002A66E2"/>
    <w:rsid w:val="002A695D"/>
    <w:rsid w:val="002A74CB"/>
    <w:rsid w:val="002A7776"/>
    <w:rsid w:val="002A7F97"/>
    <w:rsid w:val="002B0A88"/>
    <w:rsid w:val="002B0B42"/>
    <w:rsid w:val="002B0C9D"/>
    <w:rsid w:val="002B176B"/>
    <w:rsid w:val="002B184E"/>
    <w:rsid w:val="002B1EC9"/>
    <w:rsid w:val="002B2464"/>
    <w:rsid w:val="002B258B"/>
    <w:rsid w:val="002B27AB"/>
    <w:rsid w:val="002B2BF7"/>
    <w:rsid w:val="002B2C02"/>
    <w:rsid w:val="002B2C28"/>
    <w:rsid w:val="002B2E5F"/>
    <w:rsid w:val="002B2ED0"/>
    <w:rsid w:val="002B2F36"/>
    <w:rsid w:val="002B3388"/>
    <w:rsid w:val="002B3829"/>
    <w:rsid w:val="002B3DBF"/>
    <w:rsid w:val="002B4102"/>
    <w:rsid w:val="002B411A"/>
    <w:rsid w:val="002B43BC"/>
    <w:rsid w:val="002B490E"/>
    <w:rsid w:val="002B4A8C"/>
    <w:rsid w:val="002B4FCB"/>
    <w:rsid w:val="002B5E59"/>
    <w:rsid w:val="002B5F9F"/>
    <w:rsid w:val="002B607A"/>
    <w:rsid w:val="002B615C"/>
    <w:rsid w:val="002B61B8"/>
    <w:rsid w:val="002B642E"/>
    <w:rsid w:val="002C0CC8"/>
    <w:rsid w:val="002C11C4"/>
    <w:rsid w:val="002C16DF"/>
    <w:rsid w:val="002C1933"/>
    <w:rsid w:val="002C2709"/>
    <w:rsid w:val="002C2BFC"/>
    <w:rsid w:val="002C34EA"/>
    <w:rsid w:val="002C3AAF"/>
    <w:rsid w:val="002C41F2"/>
    <w:rsid w:val="002C46D4"/>
    <w:rsid w:val="002C4E3A"/>
    <w:rsid w:val="002C4E96"/>
    <w:rsid w:val="002C59C5"/>
    <w:rsid w:val="002C5A63"/>
    <w:rsid w:val="002C6425"/>
    <w:rsid w:val="002C6DB1"/>
    <w:rsid w:val="002C72EF"/>
    <w:rsid w:val="002C750C"/>
    <w:rsid w:val="002C7811"/>
    <w:rsid w:val="002C7F58"/>
    <w:rsid w:val="002D00FA"/>
    <w:rsid w:val="002D02C0"/>
    <w:rsid w:val="002D0595"/>
    <w:rsid w:val="002D078E"/>
    <w:rsid w:val="002D0B60"/>
    <w:rsid w:val="002D0B65"/>
    <w:rsid w:val="002D0E8C"/>
    <w:rsid w:val="002D1338"/>
    <w:rsid w:val="002D1B45"/>
    <w:rsid w:val="002D216F"/>
    <w:rsid w:val="002D2363"/>
    <w:rsid w:val="002D2729"/>
    <w:rsid w:val="002D3153"/>
    <w:rsid w:val="002D3697"/>
    <w:rsid w:val="002D387F"/>
    <w:rsid w:val="002D3F34"/>
    <w:rsid w:val="002D3FEF"/>
    <w:rsid w:val="002D4114"/>
    <w:rsid w:val="002D4412"/>
    <w:rsid w:val="002D4421"/>
    <w:rsid w:val="002D47AF"/>
    <w:rsid w:val="002D47B0"/>
    <w:rsid w:val="002D4CC6"/>
    <w:rsid w:val="002D5089"/>
    <w:rsid w:val="002D532B"/>
    <w:rsid w:val="002D5A24"/>
    <w:rsid w:val="002D5AA3"/>
    <w:rsid w:val="002D5C36"/>
    <w:rsid w:val="002D642B"/>
    <w:rsid w:val="002D73AC"/>
    <w:rsid w:val="002D761B"/>
    <w:rsid w:val="002D7706"/>
    <w:rsid w:val="002D79D5"/>
    <w:rsid w:val="002D7B1C"/>
    <w:rsid w:val="002E0255"/>
    <w:rsid w:val="002E041F"/>
    <w:rsid w:val="002E0805"/>
    <w:rsid w:val="002E0B70"/>
    <w:rsid w:val="002E0CC1"/>
    <w:rsid w:val="002E0EBA"/>
    <w:rsid w:val="002E1745"/>
    <w:rsid w:val="002E1BD6"/>
    <w:rsid w:val="002E2751"/>
    <w:rsid w:val="002E2779"/>
    <w:rsid w:val="002E27A1"/>
    <w:rsid w:val="002E29A0"/>
    <w:rsid w:val="002E3404"/>
    <w:rsid w:val="002E349F"/>
    <w:rsid w:val="002E37E9"/>
    <w:rsid w:val="002E38EA"/>
    <w:rsid w:val="002E3997"/>
    <w:rsid w:val="002E3B2B"/>
    <w:rsid w:val="002E3CC9"/>
    <w:rsid w:val="002E3D95"/>
    <w:rsid w:val="002E4016"/>
    <w:rsid w:val="002E40DF"/>
    <w:rsid w:val="002E4902"/>
    <w:rsid w:val="002E4B5B"/>
    <w:rsid w:val="002E4D57"/>
    <w:rsid w:val="002E4FC9"/>
    <w:rsid w:val="002E55AA"/>
    <w:rsid w:val="002E5801"/>
    <w:rsid w:val="002E6A36"/>
    <w:rsid w:val="002E6A58"/>
    <w:rsid w:val="002E7015"/>
    <w:rsid w:val="002E70B3"/>
    <w:rsid w:val="002E76D5"/>
    <w:rsid w:val="002E77DC"/>
    <w:rsid w:val="002E7862"/>
    <w:rsid w:val="002E78DB"/>
    <w:rsid w:val="002F034A"/>
    <w:rsid w:val="002F075D"/>
    <w:rsid w:val="002F089B"/>
    <w:rsid w:val="002F0B7D"/>
    <w:rsid w:val="002F0C87"/>
    <w:rsid w:val="002F0DA3"/>
    <w:rsid w:val="002F0EC7"/>
    <w:rsid w:val="002F12F6"/>
    <w:rsid w:val="002F1736"/>
    <w:rsid w:val="002F1993"/>
    <w:rsid w:val="002F1D8D"/>
    <w:rsid w:val="002F230D"/>
    <w:rsid w:val="002F297F"/>
    <w:rsid w:val="002F2CDD"/>
    <w:rsid w:val="002F3814"/>
    <w:rsid w:val="002F3A98"/>
    <w:rsid w:val="002F3E06"/>
    <w:rsid w:val="002F3ED4"/>
    <w:rsid w:val="002F3FB6"/>
    <w:rsid w:val="002F42F7"/>
    <w:rsid w:val="002F4325"/>
    <w:rsid w:val="002F4ECA"/>
    <w:rsid w:val="002F4FBF"/>
    <w:rsid w:val="002F516E"/>
    <w:rsid w:val="002F5A64"/>
    <w:rsid w:val="002F5B91"/>
    <w:rsid w:val="002F5E04"/>
    <w:rsid w:val="002F63AC"/>
    <w:rsid w:val="002F67D0"/>
    <w:rsid w:val="002F7655"/>
    <w:rsid w:val="002F7947"/>
    <w:rsid w:val="00300045"/>
    <w:rsid w:val="003005E5"/>
    <w:rsid w:val="003006E1"/>
    <w:rsid w:val="00300F23"/>
    <w:rsid w:val="00301102"/>
    <w:rsid w:val="00301763"/>
    <w:rsid w:val="003019F2"/>
    <w:rsid w:val="00301AD3"/>
    <w:rsid w:val="00301B48"/>
    <w:rsid w:val="00301C6C"/>
    <w:rsid w:val="00301E3C"/>
    <w:rsid w:val="0030200C"/>
    <w:rsid w:val="00302190"/>
    <w:rsid w:val="003021CB"/>
    <w:rsid w:val="003027F6"/>
    <w:rsid w:val="003028F5"/>
    <w:rsid w:val="0030297F"/>
    <w:rsid w:val="00302E5C"/>
    <w:rsid w:val="003030B0"/>
    <w:rsid w:val="00303551"/>
    <w:rsid w:val="003035CA"/>
    <w:rsid w:val="0030378F"/>
    <w:rsid w:val="003037A8"/>
    <w:rsid w:val="003038F7"/>
    <w:rsid w:val="003040F2"/>
    <w:rsid w:val="00304321"/>
    <w:rsid w:val="00304544"/>
    <w:rsid w:val="00304930"/>
    <w:rsid w:val="00304B34"/>
    <w:rsid w:val="00304D77"/>
    <w:rsid w:val="00304DED"/>
    <w:rsid w:val="00304E0F"/>
    <w:rsid w:val="00304F01"/>
    <w:rsid w:val="00304F75"/>
    <w:rsid w:val="0030586D"/>
    <w:rsid w:val="00305DD5"/>
    <w:rsid w:val="00305EE2"/>
    <w:rsid w:val="00306577"/>
    <w:rsid w:val="003067DC"/>
    <w:rsid w:val="00306809"/>
    <w:rsid w:val="003069D8"/>
    <w:rsid w:val="00306A41"/>
    <w:rsid w:val="00310543"/>
    <w:rsid w:val="003107A9"/>
    <w:rsid w:val="003112B0"/>
    <w:rsid w:val="0031175C"/>
    <w:rsid w:val="00311D17"/>
    <w:rsid w:val="00311DB9"/>
    <w:rsid w:val="0031221C"/>
    <w:rsid w:val="003122AA"/>
    <w:rsid w:val="003125A3"/>
    <w:rsid w:val="00312D6B"/>
    <w:rsid w:val="00312DD3"/>
    <w:rsid w:val="00312FD5"/>
    <w:rsid w:val="00313593"/>
    <w:rsid w:val="003139E1"/>
    <w:rsid w:val="00313C88"/>
    <w:rsid w:val="003151CA"/>
    <w:rsid w:val="003151D0"/>
    <w:rsid w:val="0031549A"/>
    <w:rsid w:val="00315C2C"/>
    <w:rsid w:val="00315E40"/>
    <w:rsid w:val="0031600C"/>
    <w:rsid w:val="0031605A"/>
    <w:rsid w:val="003161D0"/>
    <w:rsid w:val="0031629A"/>
    <w:rsid w:val="0031676C"/>
    <w:rsid w:val="00316B24"/>
    <w:rsid w:val="0031737A"/>
    <w:rsid w:val="00320722"/>
    <w:rsid w:val="00320B25"/>
    <w:rsid w:val="00320C74"/>
    <w:rsid w:val="00321264"/>
    <w:rsid w:val="003212E7"/>
    <w:rsid w:val="003214B7"/>
    <w:rsid w:val="003214E4"/>
    <w:rsid w:val="003215F3"/>
    <w:rsid w:val="00321F49"/>
    <w:rsid w:val="00322058"/>
    <w:rsid w:val="00322350"/>
    <w:rsid w:val="00322ACA"/>
    <w:rsid w:val="00322E6D"/>
    <w:rsid w:val="00322F70"/>
    <w:rsid w:val="003236E0"/>
    <w:rsid w:val="003236F2"/>
    <w:rsid w:val="0032393B"/>
    <w:rsid w:val="00324177"/>
    <w:rsid w:val="00324516"/>
    <w:rsid w:val="00324626"/>
    <w:rsid w:val="00324B57"/>
    <w:rsid w:val="00324BBE"/>
    <w:rsid w:val="00324C46"/>
    <w:rsid w:val="00324F5A"/>
    <w:rsid w:val="00325C26"/>
    <w:rsid w:val="00326B01"/>
    <w:rsid w:val="00326FCE"/>
    <w:rsid w:val="003271A7"/>
    <w:rsid w:val="00327244"/>
    <w:rsid w:val="00327422"/>
    <w:rsid w:val="003274E5"/>
    <w:rsid w:val="00327A3B"/>
    <w:rsid w:val="00327A96"/>
    <w:rsid w:val="00327C3F"/>
    <w:rsid w:val="00330021"/>
    <w:rsid w:val="00330266"/>
    <w:rsid w:val="00330300"/>
    <w:rsid w:val="003308F2"/>
    <w:rsid w:val="00330D64"/>
    <w:rsid w:val="00330F22"/>
    <w:rsid w:val="003312E5"/>
    <w:rsid w:val="00331584"/>
    <w:rsid w:val="003315E8"/>
    <w:rsid w:val="003319D2"/>
    <w:rsid w:val="00332518"/>
    <w:rsid w:val="00332647"/>
    <w:rsid w:val="0033271E"/>
    <w:rsid w:val="0033275B"/>
    <w:rsid w:val="0033277D"/>
    <w:rsid w:val="00332781"/>
    <w:rsid w:val="00332BBB"/>
    <w:rsid w:val="00333131"/>
    <w:rsid w:val="00333145"/>
    <w:rsid w:val="0033392C"/>
    <w:rsid w:val="00334558"/>
    <w:rsid w:val="003348F4"/>
    <w:rsid w:val="003353E7"/>
    <w:rsid w:val="00335573"/>
    <w:rsid w:val="003355C3"/>
    <w:rsid w:val="00335DBA"/>
    <w:rsid w:val="00335E48"/>
    <w:rsid w:val="00336038"/>
    <w:rsid w:val="00336934"/>
    <w:rsid w:val="00336974"/>
    <w:rsid w:val="00336AFC"/>
    <w:rsid w:val="003402F1"/>
    <w:rsid w:val="003402FF"/>
    <w:rsid w:val="003405E1"/>
    <w:rsid w:val="0034088E"/>
    <w:rsid w:val="00340990"/>
    <w:rsid w:val="00340B17"/>
    <w:rsid w:val="00340C76"/>
    <w:rsid w:val="00341B81"/>
    <w:rsid w:val="00341CD2"/>
    <w:rsid w:val="00341E8C"/>
    <w:rsid w:val="003421CE"/>
    <w:rsid w:val="00342588"/>
    <w:rsid w:val="003425FE"/>
    <w:rsid w:val="003428BC"/>
    <w:rsid w:val="00342EB3"/>
    <w:rsid w:val="00343227"/>
    <w:rsid w:val="003433C6"/>
    <w:rsid w:val="0034359D"/>
    <w:rsid w:val="003436DD"/>
    <w:rsid w:val="00343AA7"/>
    <w:rsid w:val="00343E41"/>
    <w:rsid w:val="00344C5D"/>
    <w:rsid w:val="00344FBD"/>
    <w:rsid w:val="003459BF"/>
    <w:rsid w:val="00345A71"/>
    <w:rsid w:val="00345BC6"/>
    <w:rsid w:val="00346190"/>
    <w:rsid w:val="003461A1"/>
    <w:rsid w:val="003468B6"/>
    <w:rsid w:val="00347105"/>
    <w:rsid w:val="00347401"/>
    <w:rsid w:val="00347BBC"/>
    <w:rsid w:val="00347BE5"/>
    <w:rsid w:val="00347C38"/>
    <w:rsid w:val="00347F01"/>
    <w:rsid w:val="0035051B"/>
    <w:rsid w:val="0035067B"/>
    <w:rsid w:val="003509EF"/>
    <w:rsid w:val="00350F59"/>
    <w:rsid w:val="00351307"/>
    <w:rsid w:val="003519F2"/>
    <w:rsid w:val="00351F64"/>
    <w:rsid w:val="00352287"/>
    <w:rsid w:val="00352393"/>
    <w:rsid w:val="00352539"/>
    <w:rsid w:val="00352900"/>
    <w:rsid w:val="00352994"/>
    <w:rsid w:val="00352CA9"/>
    <w:rsid w:val="00353455"/>
    <w:rsid w:val="00353728"/>
    <w:rsid w:val="003537B8"/>
    <w:rsid w:val="00353906"/>
    <w:rsid w:val="00353962"/>
    <w:rsid w:val="0035476E"/>
    <w:rsid w:val="0035497B"/>
    <w:rsid w:val="00354B4F"/>
    <w:rsid w:val="00354F32"/>
    <w:rsid w:val="00355582"/>
    <w:rsid w:val="0035565A"/>
    <w:rsid w:val="00355727"/>
    <w:rsid w:val="00355FA3"/>
    <w:rsid w:val="003563E1"/>
    <w:rsid w:val="00356423"/>
    <w:rsid w:val="00356A73"/>
    <w:rsid w:val="00356F70"/>
    <w:rsid w:val="003577AB"/>
    <w:rsid w:val="0035782E"/>
    <w:rsid w:val="00357D2F"/>
    <w:rsid w:val="00360728"/>
    <w:rsid w:val="00360A0C"/>
    <w:rsid w:val="0036104C"/>
    <w:rsid w:val="003610F1"/>
    <w:rsid w:val="003617F5"/>
    <w:rsid w:val="003628F9"/>
    <w:rsid w:val="003632ED"/>
    <w:rsid w:val="00363995"/>
    <w:rsid w:val="00363F8E"/>
    <w:rsid w:val="00364470"/>
    <w:rsid w:val="00364548"/>
    <w:rsid w:val="003647D3"/>
    <w:rsid w:val="003648DB"/>
    <w:rsid w:val="003649C7"/>
    <w:rsid w:val="00365899"/>
    <w:rsid w:val="00365BB7"/>
    <w:rsid w:val="00365C97"/>
    <w:rsid w:val="00365D44"/>
    <w:rsid w:val="00366020"/>
    <w:rsid w:val="00366217"/>
    <w:rsid w:val="00366618"/>
    <w:rsid w:val="00366A49"/>
    <w:rsid w:val="003678ED"/>
    <w:rsid w:val="00367C15"/>
    <w:rsid w:val="00367C4F"/>
    <w:rsid w:val="00367CBE"/>
    <w:rsid w:val="00370175"/>
    <w:rsid w:val="003709B0"/>
    <w:rsid w:val="00370A58"/>
    <w:rsid w:val="00370B5E"/>
    <w:rsid w:val="00370C93"/>
    <w:rsid w:val="00371448"/>
    <w:rsid w:val="0037158D"/>
    <w:rsid w:val="003715B6"/>
    <w:rsid w:val="00371931"/>
    <w:rsid w:val="00371C35"/>
    <w:rsid w:val="00371D9F"/>
    <w:rsid w:val="00371EAC"/>
    <w:rsid w:val="003729F6"/>
    <w:rsid w:val="00372F8A"/>
    <w:rsid w:val="00373754"/>
    <w:rsid w:val="00373827"/>
    <w:rsid w:val="0037387B"/>
    <w:rsid w:val="003738C5"/>
    <w:rsid w:val="00373DC7"/>
    <w:rsid w:val="00374349"/>
    <w:rsid w:val="003748E9"/>
    <w:rsid w:val="00374A72"/>
    <w:rsid w:val="003763BA"/>
    <w:rsid w:val="0037678B"/>
    <w:rsid w:val="00376C3B"/>
    <w:rsid w:val="00376E2D"/>
    <w:rsid w:val="0037745D"/>
    <w:rsid w:val="00377AEA"/>
    <w:rsid w:val="003809CA"/>
    <w:rsid w:val="003809F1"/>
    <w:rsid w:val="00380C06"/>
    <w:rsid w:val="00380D94"/>
    <w:rsid w:val="003812E6"/>
    <w:rsid w:val="00381763"/>
    <w:rsid w:val="00381EDF"/>
    <w:rsid w:val="00381F19"/>
    <w:rsid w:val="00382530"/>
    <w:rsid w:val="00382568"/>
    <w:rsid w:val="0038323C"/>
    <w:rsid w:val="00383981"/>
    <w:rsid w:val="003839DF"/>
    <w:rsid w:val="00383F23"/>
    <w:rsid w:val="003846CE"/>
    <w:rsid w:val="00384AFF"/>
    <w:rsid w:val="00385819"/>
    <w:rsid w:val="003859D4"/>
    <w:rsid w:val="00386482"/>
    <w:rsid w:val="003864C4"/>
    <w:rsid w:val="00386BA9"/>
    <w:rsid w:val="0038722F"/>
    <w:rsid w:val="0038743E"/>
    <w:rsid w:val="00387462"/>
    <w:rsid w:val="00387698"/>
    <w:rsid w:val="0038793B"/>
    <w:rsid w:val="00387AEF"/>
    <w:rsid w:val="00387B48"/>
    <w:rsid w:val="00387E8D"/>
    <w:rsid w:val="003905A8"/>
    <w:rsid w:val="003908AA"/>
    <w:rsid w:val="003912B6"/>
    <w:rsid w:val="00391439"/>
    <w:rsid w:val="00391629"/>
    <w:rsid w:val="00391A05"/>
    <w:rsid w:val="0039231F"/>
    <w:rsid w:val="003925D4"/>
    <w:rsid w:val="00392EDF"/>
    <w:rsid w:val="003930F2"/>
    <w:rsid w:val="00393213"/>
    <w:rsid w:val="0039368C"/>
    <w:rsid w:val="003938A9"/>
    <w:rsid w:val="00393A4C"/>
    <w:rsid w:val="00393A60"/>
    <w:rsid w:val="00393F39"/>
    <w:rsid w:val="00394089"/>
    <w:rsid w:val="003943DF"/>
    <w:rsid w:val="003947AF"/>
    <w:rsid w:val="003947CF"/>
    <w:rsid w:val="00394858"/>
    <w:rsid w:val="00394B21"/>
    <w:rsid w:val="00394B9A"/>
    <w:rsid w:val="00395364"/>
    <w:rsid w:val="003959AB"/>
    <w:rsid w:val="00395A19"/>
    <w:rsid w:val="00395B31"/>
    <w:rsid w:val="0039703B"/>
    <w:rsid w:val="00397175"/>
    <w:rsid w:val="00397234"/>
    <w:rsid w:val="0039753B"/>
    <w:rsid w:val="003976CA"/>
    <w:rsid w:val="0039775F"/>
    <w:rsid w:val="00397860"/>
    <w:rsid w:val="00397974"/>
    <w:rsid w:val="00397A6D"/>
    <w:rsid w:val="003A0150"/>
    <w:rsid w:val="003A0B98"/>
    <w:rsid w:val="003A1130"/>
    <w:rsid w:val="003A1600"/>
    <w:rsid w:val="003A17A7"/>
    <w:rsid w:val="003A23EC"/>
    <w:rsid w:val="003A25C2"/>
    <w:rsid w:val="003A26CC"/>
    <w:rsid w:val="003A2A3E"/>
    <w:rsid w:val="003A2BF3"/>
    <w:rsid w:val="003A34C5"/>
    <w:rsid w:val="003A3897"/>
    <w:rsid w:val="003A3985"/>
    <w:rsid w:val="003A3E0E"/>
    <w:rsid w:val="003A3F59"/>
    <w:rsid w:val="003A436A"/>
    <w:rsid w:val="003A5204"/>
    <w:rsid w:val="003A521B"/>
    <w:rsid w:val="003A528A"/>
    <w:rsid w:val="003A53B0"/>
    <w:rsid w:val="003A5998"/>
    <w:rsid w:val="003A62B0"/>
    <w:rsid w:val="003A6566"/>
    <w:rsid w:val="003A65EA"/>
    <w:rsid w:val="003A7014"/>
    <w:rsid w:val="003A79AA"/>
    <w:rsid w:val="003B0205"/>
    <w:rsid w:val="003B0651"/>
    <w:rsid w:val="003B0C6A"/>
    <w:rsid w:val="003B0EC3"/>
    <w:rsid w:val="003B12E6"/>
    <w:rsid w:val="003B1BDE"/>
    <w:rsid w:val="003B1DA8"/>
    <w:rsid w:val="003B1DEF"/>
    <w:rsid w:val="003B1E25"/>
    <w:rsid w:val="003B1F0B"/>
    <w:rsid w:val="003B251C"/>
    <w:rsid w:val="003B265D"/>
    <w:rsid w:val="003B270E"/>
    <w:rsid w:val="003B2EF6"/>
    <w:rsid w:val="003B34D9"/>
    <w:rsid w:val="003B3622"/>
    <w:rsid w:val="003B3992"/>
    <w:rsid w:val="003B3B0B"/>
    <w:rsid w:val="003B4118"/>
    <w:rsid w:val="003B45BF"/>
    <w:rsid w:val="003B4A39"/>
    <w:rsid w:val="003B4D7F"/>
    <w:rsid w:val="003B534D"/>
    <w:rsid w:val="003B5F20"/>
    <w:rsid w:val="003B60A7"/>
    <w:rsid w:val="003B6261"/>
    <w:rsid w:val="003B6799"/>
    <w:rsid w:val="003B6A83"/>
    <w:rsid w:val="003B73D3"/>
    <w:rsid w:val="003B76ED"/>
    <w:rsid w:val="003B76F5"/>
    <w:rsid w:val="003B7927"/>
    <w:rsid w:val="003B7A61"/>
    <w:rsid w:val="003B7A9F"/>
    <w:rsid w:val="003C08AF"/>
    <w:rsid w:val="003C14D2"/>
    <w:rsid w:val="003C1793"/>
    <w:rsid w:val="003C19E4"/>
    <w:rsid w:val="003C1D70"/>
    <w:rsid w:val="003C2013"/>
    <w:rsid w:val="003C2158"/>
    <w:rsid w:val="003C26DE"/>
    <w:rsid w:val="003C27CE"/>
    <w:rsid w:val="003C296F"/>
    <w:rsid w:val="003C2CA3"/>
    <w:rsid w:val="003C2EF0"/>
    <w:rsid w:val="003C3155"/>
    <w:rsid w:val="003C3468"/>
    <w:rsid w:val="003C375F"/>
    <w:rsid w:val="003C3C21"/>
    <w:rsid w:val="003C3C83"/>
    <w:rsid w:val="003C3E24"/>
    <w:rsid w:val="003C427E"/>
    <w:rsid w:val="003C5AFB"/>
    <w:rsid w:val="003C67E9"/>
    <w:rsid w:val="003C6FCD"/>
    <w:rsid w:val="003C7693"/>
    <w:rsid w:val="003C79DA"/>
    <w:rsid w:val="003D0071"/>
    <w:rsid w:val="003D0130"/>
    <w:rsid w:val="003D0558"/>
    <w:rsid w:val="003D0921"/>
    <w:rsid w:val="003D0C83"/>
    <w:rsid w:val="003D158F"/>
    <w:rsid w:val="003D1B7F"/>
    <w:rsid w:val="003D1EF8"/>
    <w:rsid w:val="003D200E"/>
    <w:rsid w:val="003D21FE"/>
    <w:rsid w:val="003D2BB9"/>
    <w:rsid w:val="003D304D"/>
    <w:rsid w:val="003D320D"/>
    <w:rsid w:val="003D349A"/>
    <w:rsid w:val="003D3636"/>
    <w:rsid w:val="003D3638"/>
    <w:rsid w:val="003D3772"/>
    <w:rsid w:val="003D3FB0"/>
    <w:rsid w:val="003D5E16"/>
    <w:rsid w:val="003D62C3"/>
    <w:rsid w:val="003D63EF"/>
    <w:rsid w:val="003D6A91"/>
    <w:rsid w:val="003D6C69"/>
    <w:rsid w:val="003D6F08"/>
    <w:rsid w:val="003D7038"/>
    <w:rsid w:val="003D75D4"/>
    <w:rsid w:val="003D7AFC"/>
    <w:rsid w:val="003D7DFA"/>
    <w:rsid w:val="003E079C"/>
    <w:rsid w:val="003E0953"/>
    <w:rsid w:val="003E095C"/>
    <w:rsid w:val="003E0A7A"/>
    <w:rsid w:val="003E173D"/>
    <w:rsid w:val="003E178C"/>
    <w:rsid w:val="003E1E19"/>
    <w:rsid w:val="003E1EE7"/>
    <w:rsid w:val="003E1F57"/>
    <w:rsid w:val="003E2694"/>
    <w:rsid w:val="003E288C"/>
    <w:rsid w:val="003E2BF1"/>
    <w:rsid w:val="003E3926"/>
    <w:rsid w:val="003E438A"/>
    <w:rsid w:val="003E4627"/>
    <w:rsid w:val="003E4708"/>
    <w:rsid w:val="003E47A9"/>
    <w:rsid w:val="003E4BE5"/>
    <w:rsid w:val="003E50EC"/>
    <w:rsid w:val="003E58AF"/>
    <w:rsid w:val="003E595A"/>
    <w:rsid w:val="003E5E45"/>
    <w:rsid w:val="003E62AF"/>
    <w:rsid w:val="003E6820"/>
    <w:rsid w:val="003E6EF5"/>
    <w:rsid w:val="003E726D"/>
    <w:rsid w:val="003E7332"/>
    <w:rsid w:val="003F0250"/>
    <w:rsid w:val="003F0383"/>
    <w:rsid w:val="003F0E44"/>
    <w:rsid w:val="003F12D4"/>
    <w:rsid w:val="003F1990"/>
    <w:rsid w:val="003F1CBA"/>
    <w:rsid w:val="003F2D20"/>
    <w:rsid w:val="003F301A"/>
    <w:rsid w:val="003F32F7"/>
    <w:rsid w:val="003F3564"/>
    <w:rsid w:val="003F393B"/>
    <w:rsid w:val="003F3AC3"/>
    <w:rsid w:val="003F489E"/>
    <w:rsid w:val="003F4B3E"/>
    <w:rsid w:val="003F4BCB"/>
    <w:rsid w:val="003F4CB4"/>
    <w:rsid w:val="003F4DBF"/>
    <w:rsid w:val="003F5F43"/>
    <w:rsid w:val="003F6031"/>
    <w:rsid w:val="003F6410"/>
    <w:rsid w:val="003F657F"/>
    <w:rsid w:val="003F6C45"/>
    <w:rsid w:val="003F6DE4"/>
    <w:rsid w:val="0040019B"/>
    <w:rsid w:val="00400377"/>
    <w:rsid w:val="00400491"/>
    <w:rsid w:val="004007BB"/>
    <w:rsid w:val="00400CFD"/>
    <w:rsid w:val="00400F72"/>
    <w:rsid w:val="004013BC"/>
    <w:rsid w:val="00401CAD"/>
    <w:rsid w:val="00401E95"/>
    <w:rsid w:val="0040233B"/>
    <w:rsid w:val="0040299B"/>
    <w:rsid w:val="00402B62"/>
    <w:rsid w:val="00402D20"/>
    <w:rsid w:val="0040311E"/>
    <w:rsid w:val="00403348"/>
    <w:rsid w:val="00403B06"/>
    <w:rsid w:val="00403B58"/>
    <w:rsid w:val="00403EDF"/>
    <w:rsid w:val="00404BBB"/>
    <w:rsid w:val="00405862"/>
    <w:rsid w:val="00405982"/>
    <w:rsid w:val="00405DE5"/>
    <w:rsid w:val="00405F16"/>
    <w:rsid w:val="0040610A"/>
    <w:rsid w:val="004061CE"/>
    <w:rsid w:val="00406872"/>
    <w:rsid w:val="004072EF"/>
    <w:rsid w:val="004075DA"/>
    <w:rsid w:val="004077E3"/>
    <w:rsid w:val="0040792B"/>
    <w:rsid w:val="00407D9B"/>
    <w:rsid w:val="00407DF6"/>
    <w:rsid w:val="00410671"/>
    <w:rsid w:val="00410B8E"/>
    <w:rsid w:val="00411A55"/>
    <w:rsid w:val="00411A8C"/>
    <w:rsid w:val="00411E86"/>
    <w:rsid w:val="00411EBD"/>
    <w:rsid w:val="00412522"/>
    <w:rsid w:val="004125A1"/>
    <w:rsid w:val="00412A9B"/>
    <w:rsid w:val="00413062"/>
    <w:rsid w:val="0041312C"/>
    <w:rsid w:val="0041338B"/>
    <w:rsid w:val="00413A3A"/>
    <w:rsid w:val="0041464D"/>
    <w:rsid w:val="00414C53"/>
    <w:rsid w:val="00415279"/>
    <w:rsid w:val="0041530D"/>
    <w:rsid w:val="004154CD"/>
    <w:rsid w:val="00415E4B"/>
    <w:rsid w:val="00416059"/>
    <w:rsid w:val="004164A1"/>
    <w:rsid w:val="0041694B"/>
    <w:rsid w:val="00416B4C"/>
    <w:rsid w:val="00416C5B"/>
    <w:rsid w:val="004176C3"/>
    <w:rsid w:val="00420D89"/>
    <w:rsid w:val="00420DBD"/>
    <w:rsid w:val="00421119"/>
    <w:rsid w:val="0042120F"/>
    <w:rsid w:val="004219A0"/>
    <w:rsid w:val="00421AE6"/>
    <w:rsid w:val="00422678"/>
    <w:rsid w:val="00422942"/>
    <w:rsid w:val="00422B55"/>
    <w:rsid w:val="004230BD"/>
    <w:rsid w:val="0042393D"/>
    <w:rsid w:val="00423C00"/>
    <w:rsid w:val="0042409B"/>
    <w:rsid w:val="00424EE1"/>
    <w:rsid w:val="00425AE2"/>
    <w:rsid w:val="004260BB"/>
    <w:rsid w:val="004268CB"/>
    <w:rsid w:val="004269BA"/>
    <w:rsid w:val="004274EE"/>
    <w:rsid w:val="00427C27"/>
    <w:rsid w:val="00427CCC"/>
    <w:rsid w:val="004300CB"/>
    <w:rsid w:val="00430453"/>
    <w:rsid w:val="004304D3"/>
    <w:rsid w:val="00430B60"/>
    <w:rsid w:val="00430BCC"/>
    <w:rsid w:val="0043295B"/>
    <w:rsid w:val="00432ECA"/>
    <w:rsid w:val="0043367B"/>
    <w:rsid w:val="004336E9"/>
    <w:rsid w:val="00433981"/>
    <w:rsid w:val="00433AAE"/>
    <w:rsid w:val="004347E0"/>
    <w:rsid w:val="00434A71"/>
    <w:rsid w:val="00434C95"/>
    <w:rsid w:val="0043510A"/>
    <w:rsid w:val="00435979"/>
    <w:rsid w:val="0043628A"/>
    <w:rsid w:val="0043646E"/>
    <w:rsid w:val="004371D7"/>
    <w:rsid w:val="00437437"/>
    <w:rsid w:val="0043750A"/>
    <w:rsid w:val="004378BC"/>
    <w:rsid w:val="00437DAA"/>
    <w:rsid w:val="0044013B"/>
    <w:rsid w:val="004409FC"/>
    <w:rsid w:val="00440C17"/>
    <w:rsid w:val="00440E91"/>
    <w:rsid w:val="004411CF"/>
    <w:rsid w:val="00441A68"/>
    <w:rsid w:val="00441E0E"/>
    <w:rsid w:val="00442C3E"/>
    <w:rsid w:val="00442EFE"/>
    <w:rsid w:val="004433C6"/>
    <w:rsid w:val="0044349D"/>
    <w:rsid w:val="00443D48"/>
    <w:rsid w:val="00444056"/>
    <w:rsid w:val="004440B5"/>
    <w:rsid w:val="00444C2D"/>
    <w:rsid w:val="00444F5C"/>
    <w:rsid w:val="0044610F"/>
    <w:rsid w:val="00446316"/>
    <w:rsid w:val="00446833"/>
    <w:rsid w:val="00450CA7"/>
    <w:rsid w:val="00450E29"/>
    <w:rsid w:val="00451082"/>
    <w:rsid w:val="00451C48"/>
    <w:rsid w:val="0045351A"/>
    <w:rsid w:val="004537B4"/>
    <w:rsid w:val="004539A1"/>
    <w:rsid w:val="004544BC"/>
    <w:rsid w:val="004546C3"/>
    <w:rsid w:val="00454A40"/>
    <w:rsid w:val="00454AAB"/>
    <w:rsid w:val="004551D5"/>
    <w:rsid w:val="004564BE"/>
    <w:rsid w:val="00456D24"/>
    <w:rsid w:val="0045729F"/>
    <w:rsid w:val="0045737B"/>
    <w:rsid w:val="004573F7"/>
    <w:rsid w:val="004574E2"/>
    <w:rsid w:val="00457A81"/>
    <w:rsid w:val="00457AAB"/>
    <w:rsid w:val="004601B2"/>
    <w:rsid w:val="0046032F"/>
    <w:rsid w:val="00460331"/>
    <w:rsid w:val="00460519"/>
    <w:rsid w:val="0046065B"/>
    <w:rsid w:val="00460716"/>
    <w:rsid w:val="00460FD9"/>
    <w:rsid w:val="004610EC"/>
    <w:rsid w:val="00461268"/>
    <w:rsid w:val="00461327"/>
    <w:rsid w:val="004614CA"/>
    <w:rsid w:val="004621F8"/>
    <w:rsid w:val="004622A5"/>
    <w:rsid w:val="00462646"/>
    <w:rsid w:val="004626EB"/>
    <w:rsid w:val="00462BF4"/>
    <w:rsid w:val="00462C08"/>
    <w:rsid w:val="00462C40"/>
    <w:rsid w:val="00462CB5"/>
    <w:rsid w:val="00463ECF"/>
    <w:rsid w:val="004640A5"/>
    <w:rsid w:val="0046428D"/>
    <w:rsid w:val="0046450E"/>
    <w:rsid w:val="00464B63"/>
    <w:rsid w:val="00464BFB"/>
    <w:rsid w:val="00464DA9"/>
    <w:rsid w:val="00464E17"/>
    <w:rsid w:val="00464E39"/>
    <w:rsid w:val="00465B6B"/>
    <w:rsid w:val="00465D3D"/>
    <w:rsid w:val="00466050"/>
    <w:rsid w:val="0046613A"/>
    <w:rsid w:val="004669A1"/>
    <w:rsid w:val="00466BD6"/>
    <w:rsid w:val="00466D26"/>
    <w:rsid w:val="00467186"/>
    <w:rsid w:val="0046733B"/>
    <w:rsid w:val="004673C3"/>
    <w:rsid w:val="004674A5"/>
    <w:rsid w:val="0046761A"/>
    <w:rsid w:val="00467837"/>
    <w:rsid w:val="00467A99"/>
    <w:rsid w:val="00467E8D"/>
    <w:rsid w:val="00467EFF"/>
    <w:rsid w:val="00470052"/>
    <w:rsid w:val="0047022F"/>
    <w:rsid w:val="00470832"/>
    <w:rsid w:val="0047105B"/>
    <w:rsid w:val="0047134A"/>
    <w:rsid w:val="004713C5"/>
    <w:rsid w:val="00471907"/>
    <w:rsid w:val="0047195B"/>
    <w:rsid w:val="00471E03"/>
    <w:rsid w:val="004722CE"/>
    <w:rsid w:val="004723E6"/>
    <w:rsid w:val="00472D1F"/>
    <w:rsid w:val="004731B6"/>
    <w:rsid w:val="00473274"/>
    <w:rsid w:val="00473A5B"/>
    <w:rsid w:val="00473C85"/>
    <w:rsid w:val="00473CC0"/>
    <w:rsid w:val="004741C3"/>
    <w:rsid w:val="00474CE5"/>
    <w:rsid w:val="00475420"/>
    <w:rsid w:val="00475940"/>
    <w:rsid w:val="00475A2E"/>
    <w:rsid w:val="00475E9E"/>
    <w:rsid w:val="004761A7"/>
    <w:rsid w:val="00476CCF"/>
    <w:rsid w:val="00476D01"/>
    <w:rsid w:val="00476F39"/>
    <w:rsid w:val="00477321"/>
    <w:rsid w:val="00477499"/>
    <w:rsid w:val="00477781"/>
    <w:rsid w:val="00477951"/>
    <w:rsid w:val="00477962"/>
    <w:rsid w:val="00477A08"/>
    <w:rsid w:val="00477B66"/>
    <w:rsid w:val="00477FA4"/>
    <w:rsid w:val="0048043A"/>
    <w:rsid w:val="00480B52"/>
    <w:rsid w:val="00480B78"/>
    <w:rsid w:val="00481405"/>
    <w:rsid w:val="004818D8"/>
    <w:rsid w:val="00481CBA"/>
    <w:rsid w:val="0048202B"/>
    <w:rsid w:val="0048212A"/>
    <w:rsid w:val="00482349"/>
    <w:rsid w:val="0048290A"/>
    <w:rsid w:val="00482D1C"/>
    <w:rsid w:val="00482EC7"/>
    <w:rsid w:val="0048302C"/>
    <w:rsid w:val="0048306C"/>
    <w:rsid w:val="00483383"/>
    <w:rsid w:val="00483441"/>
    <w:rsid w:val="00483EA9"/>
    <w:rsid w:val="00484659"/>
    <w:rsid w:val="0048474B"/>
    <w:rsid w:val="004847D9"/>
    <w:rsid w:val="00484F1C"/>
    <w:rsid w:val="004853FA"/>
    <w:rsid w:val="00485A2F"/>
    <w:rsid w:val="00485B68"/>
    <w:rsid w:val="00485D1E"/>
    <w:rsid w:val="00486159"/>
    <w:rsid w:val="0048640C"/>
    <w:rsid w:val="004867EE"/>
    <w:rsid w:val="00487036"/>
    <w:rsid w:val="00487243"/>
    <w:rsid w:val="004873A7"/>
    <w:rsid w:val="0048797C"/>
    <w:rsid w:val="00487EE1"/>
    <w:rsid w:val="00490467"/>
    <w:rsid w:val="00490D93"/>
    <w:rsid w:val="0049184C"/>
    <w:rsid w:val="00491A12"/>
    <w:rsid w:val="0049217C"/>
    <w:rsid w:val="004924E6"/>
    <w:rsid w:val="004925DF"/>
    <w:rsid w:val="004930B3"/>
    <w:rsid w:val="00493223"/>
    <w:rsid w:val="0049327D"/>
    <w:rsid w:val="004935F7"/>
    <w:rsid w:val="00493D53"/>
    <w:rsid w:val="004945F1"/>
    <w:rsid w:val="00494B73"/>
    <w:rsid w:val="00495005"/>
    <w:rsid w:val="00496102"/>
    <w:rsid w:val="004969C7"/>
    <w:rsid w:val="00496D13"/>
    <w:rsid w:val="00497CE6"/>
    <w:rsid w:val="00497F1E"/>
    <w:rsid w:val="004A0E04"/>
    <w:rsid w:val="004A1197"/>
    <w:rsid w:val="004A1855"/>
    <w:rsid w:val="004A1A16"/>
    <w:rsid w:val="004A2197"/>
    <w:rsid w:val="004A2804"/>
    <w:rsid w:val="004A29B2"/>
    <w:rsid w:val="004A29B3"/>
    <w:rsid w:val="004A2F68"/>
    <w:rsid w:val="004A36C6"/>
    <w:rsid w:val="004A3D9E"/>
    <w:rsid w:val="004A4504"/>
    <w:rsid w:val="004A4E31"/>
    <w:rsid w:val="004A591E"/>
    <w:rsid w:val="004A5E2D"/>
    <w:rsid w:val="004A5E42"/>
    <w:rsid w:val="004A628A"/>
    <w:rsid w:val="004A6976"/>
    <w:rsid w:val="004A6A9E"/>
    <w:rsid w:val="004A6E88"/>
    <w:rsid w:val="004A73A7"/>
    <w:rsid w:val="004B0151"/>
    <w:rsid w:val="004B056E"/>
    <w:rsid w:val="004B0B81"/>
    <w:rsid w:val="004B1670"/>
    <w:rsid w:val="004B16A3"/>
    <w:rsid w:val="004B1BA0"/>
    <w:rsid w:val="004B2234"/>
    <w:rsid w:val="004B265B"/>
    <w:rsid w:val="004B2A86"/>
    <w:rsid w:val="004B2CEA"/>
    <w:rsid w:val="004B317F"/>
    <w:rsid w:val="004B3509"/>
    <w:rsid w:val="004B3C3E"/>
    <w:rsid w:val="004B4166"/>
    <w:rsid w:val="004B430E"/>
    <w:rsid w:val="004B464A"/>
    <w:rsid w:val="004B4D11"/>
    <w:rsid w:val="004B4E7C"/>
    <w:rsid w:val="004B4ECD"/>
    <w:rsid w:val="004B51B2"/>
    <w:rsid w:val="004B548C"/>
    <w:rsid w:val="004B54EA"/>
    <w:rsid w:val="004B5787"/>
    <w:rsid w:val="004B6062"/>
    <w:rsid w:val="004B6238"/>
    <w:rsid w:val="004B6510"/>
    <w:rsid w:val="004B68C8"/>
    <w:rsid w:val="004B6A79"/>
    <w:rsid w:val="004B6D08"/>
    <w:rsid w:val="004B6DD2"/>
    <w:rsid w:val="004B7126"/>
    <w:rsid w:val="004B76A9"/>
    <w:rsid w:val="004C0186"/>
    <w:rsid w:val="004C01BF"/>
    <w:rsid w:val="004C06EF"/>
    <w:rsid w:val="004C0E18"/>
    <w:rsid w:val="004C14C0"/>
    <w:rsid w:val="004C1D53"/>
    <w:rsid w:val="004C20B8"/>
    <w:rsid w:val="004C2935"/>
    <w:rsid w:val="004C2B94"/>
    <w:rsid w:val="004C2FE3"/>
    <w:rsid w:val="004C33E8"/>
    <w:rsid w:val="004C3E56"/>
    <w:rsid w:val="004C42B9"/>
    <w:rsid w:val="004C46C5"/>
    <w:rsid w:val="004C4911"/>
    <w:rsid w:val="004C4B9F"/>
    <w:rsid w:val="004C588A"/>
    <w:rsid w:val="004C5DEB"/>
    <w:rsid w:val="004C604C"/>
    <w:rsid w:val="004C64AB"/>
    <w:rsid w:val="004C64F9"/>
    <w:rsid w:val="004C660B"/>
    <w:rsid w:val="004C6666"/>
    <w:rsid w:val="004C70BD"/>
    <w:rsid w:val="004C7A14"/>
    <w:rsid w:val="004C7B9E"/>
    <w:rsid w:val="004C7E97"/>
    <w:rsid w:val="004D0675"/>
    <w:rsid w:val="004D0BB3"/>
    <w:rsid w:val="004D0CE2"/>
    <w:rsid w:val="004D1330"/>
    <w:rsid w:val="004D1472"/>
    <w:rsid w:val="004D1B0D"/>
    <w:rsid w:val="004D29F0"/>
    <w:rsid w:val="004D2A84"/>
    <w:rsid w:val="004D2DA0"/>
    <w:rsid w:val="004D32F6"/>
    <w:rsid w:val="004D33E4"/>
    <w:rsid w:val="004D35F0"/>
    <w:rsid w:val="004D3B40"/>
    <w:rsid w:val="004D3F44"/>
    <w:rsid w:val="004D3FC2"/>
    <w:rsid w:val="004D456C"/>
    <w:rsid w:val="004D485F"/>
    <w:rsid w:val="004D48EA"/>
    <w:rsid w:val="004D4FC2"/>
    <w:rsid w:val="004D55D2"/>
    <w:rsid w:val="004D59A0"/>
    <w:rsid w:val="004D6A94"/>
    <w:rsid w:val="004D6C99"/>
    <w:rsid w:val="004D7259"/>
    <w:rsid w:val="004D734E"/>
    <w:rsid w:val="004D741D"/>
    <w:rsid w:val="004D783B"/>
    <w:rsid w:val="004E0223"/>
    <w:rsid w:val="004E0242"/>
    <w:rsid w:val="004E0A75"/>
    <w:rsid w:val="004E0B3F"/>
    <w:rsid w:val="004E0D1D"/>
    <w:rsid w:val="004E14B8"/>
    <w:rsid w:val="004E1DB4"/>
    <w:rsid w:val="004E1E35"/>
    <w:rsid w:val="004E2110"/>
    <w:rsid w:val="004E254A"/>
    <w:rsid w:val="004E2A35"/>
    <w:rsid w:val="004E3213"/>
    <w:rsid w:val="004E3255"/>
    <w:rsid w:val="004E3338"/>
    <w:rsid w:val="004E388D"/>
    <w:rsid w:val="004E3B11"/>
    <w:rsid w:val="004E3B7A"/>
    <w:rsid w:val="004E3CEB"/>
    <w:rsid w:val="004E4659"/>
    <w:rsid w:val="004E4B03"/>
    <w:rsid w:val="004E4E17"/>
    <w:rsid w:val="004E5227"/>
    <w:rsid w:val="004E5872"/>
    <w:rsid w:val="004E5D63"/>
    <w:rsid w:val="004E6617"/>
    <w:rsid w:val="004E683B"/>
    <w:rsid w:val="004E693B"/>
    <w:rsid w:val="004E6ED3"/>
    <w:rsid w:val="004E7459"/>
    <w:rsid w:val="004E7D14"/>
    <w:rsid w:val="004F0192"/>
    <w:rsid w:val="004F01A7"/>
    <w:rsid w:val="004F0383"/>
    <w:rsid w:val="004F03E9"/>
    <w:rsid w:val="004F1C2F"/>
    <w:rsid w:val="004F1E8F"/>
    <w:rsid w:val="004F1EC7"/>
    <w:rsid w:val="004F2066"/>
    <w:rsid w:val="004F2422"/>
    <w:rsid w:val="004F242D"/>
    <w:rsid w:val="004F2855"/>
    <w:rsid w:val="004F2B14"/>
    <w:rsid w:val="004F2B1C"/>
    <w:rsid w:val="004F32EA"/>
    <w:rsid w:val="004F3B2A"/>
    <w:rsid w:val="004F429F"/>
    <w:rsid w:val="004F42D6"/>
    <w:rsid w:val="004F4466"/>
    <w:rsid w:val="004F4562"/>
    <w:rsid w:val="004F4C9C"/>
    <w:rsid w:val="004F5C6B"/>
    <w:rsid w:val="004F5EC1"/>
    <w:rsid w:val="004F6015"/>
    <w:rsid w:val="004F62FD"/>
    <w:rsid w:val="004F6332"/>
    <w:rsid w:val="004F67A2"/>
    <w:rsid w:val="004F68B0"/>
    <w:rsid w:val="004F6D57"/>
    <w:rsid w:val="004F7BDE"/>
    <w:rsid w:val="0050034B"/>
    <w:rsid w:val="00502CCF"/>
    <w:rsid w:val="00503191"/>
    <w:rsid w:val="0050326D"/>
    <w:rsid w:val="005035DD"/>
    <w:rsid w:val="00503E32"/>
    <w:rsid w:val="0050415D"/>
    <w:rsid w:val="005047CB"/>
    <w:rsid w:val="005047F1"/>
    <w:rsid w:val="00504B40"/>
    <w:rsid w:val="00505225"/>
    <w:rsid w:val="005053BE"/>
    <w:rsid w:val="00505D84"/>
    <w:rsid w:val="0050601B"/>
    <w:rsid w:val="00506108"/>
    <w:rsid w:val="0050667D"/>
    <w:rsid w:val="005068F5"/>
    <w:rsid w:val="00506BB4"/>
    <w:rsid w:val="00506C38"/>
    <w:rsid w:val="00506C3E"/>
    <w:rsid w:val="00506E46"/>
    <w:rsid w:val="0050702C"/>
    <w:rsid w:val="005101F9"/>
    <w:rsid w:val="00510573"/>
    <w:rsid w:val="005105DB"/>
    <w:rsid w:val="00510683"/>
    <w:rsid w:val="00510876"/>
    <w:rsid w:val="00510AAD"/>
    <w:rsid w:val="00511181"/>
    <w:rsid w:val="0051130C"/>
    <w:rsid w:val="005113D2"/>
    <w:rsid w:val="00511429"/>
    <w:rsid w:val="00512111"/>
    <w:rsid w:val="005124E1"/>
    <w:rsid w:val="005129C7"/>
    <w:rsid w:val="005132AC"/>
    <w:rsid w:val="00513744"/>
    <w:rsid w:val="005139AB"/>
    <w:rsid w:val="005139B9"/>
    <w:rsid w:val="005143FD"/>
    <w:rsid w:val="00514F81"/>
    <w:rsid w:val="00515684"/>
    <w:rsid w:val="0051582F"/>
    <w:rsid w:val="00515CFA"/>
    <w:rsid w:val="0051655C"/>
    <w:rsid w:val="0051667E"/>
    <w:rsid w:val="005166BA"/>
    <w:rsid w:val="00516D97"/>
    <w:rsid w:val="00517731"/>
    <w:rsid w:val="00517788"/>
    <w:rsid w:val="005179F5"/>
    <w:rsid w:val="00517AFB"/>
    <w:rsid w:val="005207FB"/>
    <w:rsid w:val="00521139"/>
    <w:rsid w:val="00521725"/>
    <w:rsid w:val="0052175E"/>
    <w:rsid w:val="00522AD0"/>
    <w:rsid w:val="00522B23"/>
    <w:rsid w:val="00522BFC"/>
    <w:rsid w:val="00522CA9"/>
    <w:rsid w:val="00522CE7"/>
    <w:rsid w:val="00522E09"/>
    <w:rsid w:val="00522EFA"/>
    <w:rsid w:val="005233E4"/>
    <w:rsid w:val="00523E8E"/>
    <w:rsid w:val="00523FD9"/>
    <w:rsid w:val="00524908"/>
    <w:rsid w:val="00524C72"/>
    <w:rsid w:val="00525088"/>
    <w:rsid w:val="005250E1"/>
    <w:rsid w:val="005258A2"/>
    <w:rsid w:val="00525972"/>
    <w:rsid w:val="00525D2D"/>
    <w:rsid w:val="00526991"/>
    <w:rsid w:val="00526FBE"/>
    <w:rsid w:val="00527322"/>
    <w:rsid w:val="00527605"/>
    <w:rsid w:val="0052760C"/>
    <w:rsid w:val="005277E2"/>
    <w:rsid w:val="00527DD2"/>
    <w:rsid w:val="005304A4"/>
    <w:rsid w:val="00530B7B"/>
    <w:rsid w:val="00530C74"/>
    <w:rsid w:val="0053128D"/>
    <w:rsid w:val="005313FE"/>
    <w:rsid w:val="00531429"/>
    <w:rsid w:val="0053157E"/>
    <w:rsid w:val="00531671"/>
    <w:rsid w:val="00531D3A"/>
    <w:rsid w:val="00531E7F"/>
    <w:rsid w:val="005320F9"/>
    <w:rsid w:val="00532181"/>
    <w:rsid w:val="00532537"/>
    <w:rsid w:val="0053263B"/>
    <w:rsid w:val="0053263D"/>
    <w:rsid w:val="00532BA0"/>
    <w:rsid w:val="00533102"/>
    <w:rsid w:val="005337F3"/>
    <w:rsid w:val="00533F5D"/>
    <w:rsid w:val="00534056"/>
    <w:rsid w:val="0053447F"/>
    <w:rsid w:val="00534C4A"/>
    <w:rsid w:val="00535625"/>
    <w:rsid w:val="00535754"/>
    <w:rsid w:val="00535D54"/>
    <w:rsid w:val="00535F5D"/>
    <w:rsid w:val="00536582"/>
    <w:rsid w:val="005365A8"/>
    <w:rsid w:val="00536855"/>
    <w:rsid w:val="005368EF"/>
    <w:rsid w:val="00536A50"/>
    <w:rsid w:val="00536D26"/>
    <w:rsid w:val="00536D53"/>
    <w:rsid w:val="00536EB7"/>
    <w:rsid w:val="005370DC"/>
    <w:rsid w:val="00537294"/>
    <w:rsid w:val="005376E4"/>
    <w:rsid w:val="00537CE9"/>
    <w:rsid w:val="0054035C"/>
    <w:rsid w:val="00540720"/>
    <w:rsid w:val="0054094E"/>
    <w:rsid w:val="00540AD1"/>
    <w:rsid w:val="00540AE6"/>
    <w:rsid w:val="005426C3"/>
    <w:rsid w:val="005428D9"/>
    <w:rsid w:val="00542C0F"/>
    <w:rsid w:val="00542D06"/>
    <w:rsid w:val="00542E4E"/>
    <w:rsid w:val="0054367B"/>
    <w:rsid w:val="00543A31"/>
    <w:rsid w:val="00543AE9"/>
    <w:rsid w:val="00543E2F"/>
    <w:rsid w:val="005442DF"/>
    <w:rsid w:val="00544747"/>
    <w:rsid w:val="00545029"/>
    <w:rsid w:val="005455B0"/>
    <w:rsid w:val="00545620"/>
    <w:rsid w:val="00545AD8"/>
    <w:rsid w:val="00545B4E"/>
    <w:rsid w:val="00545D8E"/>
    <w:rsid w:val="0054612E"/>
    <w:rsid w:val="00546465"/>
    <w:rsid w:val="00546855"/>
    <w:rsid w:val="005469E6"/>
    <w:rsid w:val="00546E3A"/>
    <w:rsid w:val="005474B0"/>
    <w:rsid w:val="005478D2"/>
    <w:rsid w:val="00547978"/>
    <w:rsid w:val="00547A54"/>
    <w:rsid w:val="00547DAA"/>
    <w:rsid w:val="00547F6E"/>
    <w:rsid w:val="005506A3"/>
    <w:rsid w:val="005508AA"/>
    <w:rsid w:val="005509AE"/>
    <w:rsid w:val="00550C30"/>
    <w:rsid w:val="00551575"/>
    <w:rsid w:val="00551A99"/>
    <w:rsid w:val="00551B34"/>
    <w:rsid w:val="00551D50"/>
    <w:rsid w:val="00551F88"/>
    <w:rsid w:val="005525C4"/>
    <w:rsid w:val="00552759"/>
    <w:rsid w:val="0055280A"/>
    <w:rsid w:val="00552915"/>
    <w:rsid w:val="0055299B"/>
    <w:rsid w:val="0055321E"/>
    <w:rsid w:val="005536C2"/>
    <w:rsid w:val="00553C0D"/>
    <w:rsid w:val="00553E04"/>
    <w:rsid w:val="00554195"/>
    <w:rsid w:val="005541B6"/>
    <w:rsid w:val="00554BEF"/>
    <w:rsid w:val="00554FE7"/>
    <w:rsid w:val="00555085"/>
    <w:rsid w:val="00555428"/>
    <w:rsid w:val="005554AC"/>
    <w:rsid w:val="005554E9"/>
    <w:rsid w:val="0055654B"/>
    <w:rsid w:val="005566D6"/>
    <w:rsid w:val="00556839"/>
    <w:rsid w:val="00556ECF"/>
    <w:rsid w:val="00557261"/>
    <w:rsid w:val="005572EF"/>
    <w:rsid w:val="0055771E"/>
    <w:rsid w:val="00557F04"/>
    <w:rsid w:val="00560DE1"/>
    <w:rsid w:val="00560EB2"/>
    <w:rsid w:val="00561A9B"/>
    <w:rsid w:val="00562138"/>
    <w:rsid w:val="0056219C"/>
    <w:rsid w:val="005622AF"/>
    <w:rsid w:val="005622B6"/>
    <w:rsid w:val="00562571"/>
    <w:rsid w:val="00562A9D"/>
    <w:rsid w:val="00562BF6"/>
    <w:rsid w:val="00562E87"/>
    <w:rsid w:val="00562F6F"/>
    <w:rsid w:val="005630AA"/>
    <w:rsid w:val="00563552"/>
    <w:rsid w:val="005638C1"/>
    <w:rsid w:val="00563A1C"/>
    <w:rsid w:val="00564037"/>
    <w:rsid w:val="005648FF"/>
    <w:rsid w:val="005651F6"/>
    <w:rsid w:val="0056540C"/>
    <w:rsid w:val="00565821"/>
    <w:rsid w:val="00566A41"/>
    <w:rsid w:val="00566DB5"/>
    <w:rsid w:val="0056720E"/>
    <w:rsid w:val="00567838"/>
    <w:rsid w:val="00567BA4"/>
    <w:rsid w:val="00567ED0"/>
    <w:rsid w:val="00567F82"/>
    <w:rsid w:val="00570033"/>
    <w:rsid w:val="005701D9"/>
    <w:rsid w:val="00570538"/>
    <w:rsid w:val="005708DE"/>
    <w:rsid w:val="00570A2C"/>
    <w:rsid w:val="00570AD7"/>
    <w:rsid w:val="00571012"/>
    <w:rsid w:val="00571319"/>
    <w:rsid w:val="005719E7"/>
    <w:rsid w:val="0057206E"/>
    <w:rsid w:val="005723A5"/>
    <w:rsid w:val="00572A7F"/>
    <w:rsid w:val="00572B7E"/>
    <w:rsid w:val="00572BFE"/>
    <w:rsid w:val="00572D65"/>
    <w:rsid w:val="005734F0"/>
    <w:rsid w:val="00573694"/>
    <w:rsid w:val="0057369A"/>
    <w:rsid w:val="00573739"/>
    <w:rsid w:val="00573985"/>
    <w:rsid w:val="00573D75"/>
    <w:rsid w:val="00573E5C"/>
    <w:rsid w:val="00574050"/>
    <w:rsid w:val="0057449D"/>
    <w:rsid w:val="00574648"/>
    <w:rsid w:val="005749A3"/>
    <w:rsid w:val="00574D79"/>
    <w:rsid w:val="00575514"/>
    <w:rsid w:val="005755AD"/>
    <w:rsid w:val="00575D8C"/>
    <w:rsid w:val="00576236"/>
    <w:rsid w:val="00576318"/>
    <w:rsid w:val="005765A5"/>
    <w:rsid w:val="005765CE"/>
    <w:rsid w:val="00576830"/>
    <w:rsid w:val="00576B45"/>
    <w:rsid w:val="00576BCE"/>
    <w:rsid w:val="00577101"/>
    <w:rsid w:val="00577123"/>
    <w:rsid w:val="00577189"/>
    <w:rsid w:val="0057761F"/>
    <w:rsid w:val="005778F3"/>
    <w:rsid w:val="005779E6"/>
    <w:rsid w:val="00577C5B"/>
    <w:rsid w:val="005808E8"/>
    <w:rsid w:val="00581542"/>
    <w:rsid w:val="00581671"/>
    <w:rsid w:val="00581942"/>
    <w:rsid w:val="005819F5"/>
    <w:rsid w:val="0058288A"/>
    <w:rsid w:val="00582D17"/>
    <w:rsid w:val="00582F6E"/>
    <w:rsid w:val="005833C2"/>
    <w:rsid w:val="00583B0A"/>
    <w:rsid w:val="00584F2A"/>
    <w:rsid w:val="005859A4"/>
    <w:rsid w:val="00585A18"/>
    <w:rsid w:val="00585D00"/>
    <w:rsid w:val="00586039"/>
    <w:rsid w:val="00586091"/>
    <w:rsid w:val="0058652B"/>
    <w:rsid w:val="00586E5E"/>
    <w:rsid w:val="0058714C"/>
    <w:rsid w:val="005876FA"/>
    <w:rsid w:val="00591383"/>
    <w:rsid w:val="005913F7"/>
    <w:rsid w:val="00591521"/>
    <w:rsid w:val="00591578"/>
    <w:rsid w:val="00591658"/>
    <w:rsid w:val="00591768"/>
    <w:rsid w:val="00591E51"/>
    <w:rsid w:val="005921FE"/>
    <w:rsid w:val="00592369"/>
    <w:rsid w:val="0059281D"/>
    <w:rsid w:val="00592A5F"/>
    <w:rsid w:val="00592B76"/>
    <w:rsid w:val="00592C2A"/>
    <w:rsid w:val="00592CDB"/>
    <w:rsid w:val="00592D8A"/>
    <w:rsid w:val="00592E00"/>
    <w:rsid w:val="0059370F"/>
    <w:rsid w:val="00593977"/>
    <w:rsid w:val="005942A7"/>
    <w:rsid w:val="00594A5A"/>
    <w:rsid w:val="00594A6F"/>
    <w:rsid w:val="00594B39"/>
    <w:rsid w:val="00594D16"/>
    <w:rsid w:val="00595057"/>
    <w:rsid w:val="005952EA"/>
    <w:rsid w:val="00595513"/>
    <w:rsid w:val="00595852"/>
    <w:rsid w:val="00595A38"/>
    <w:rsid w:val="00595D50"/>
    <w:rsid w:val="00595F6D"/>
    <w:rsid w:val="005960E2"/>
    <w:rsid w:val="00596235"/>
    <w:rsid w:val="005964B7"/>
    <w:rsid w:val="005973F1"/>
    <w:rsid w:val="00597544"/>
    <w:rsid w:val="00597852"/>
    <w:rsid w:val="0059792A"/>
    <w:rsid w:val="00597984"/>
    <w:rsid w:val="00597EA2"/>
    <w:rsid w:val="005A001D"/>
    <w:rsid w:val="005A05EF"/>
    <w:rsid w:val="005A068F"/>
    <w:rsid w:val="005A176F"/>
    <w:rsid w:val="005A17EA"/>
    <w:rsid w:val="005A2481"/>
    <w:rsid w:val="005A25AB"/>
    <w:rsid w:val="005A26D9"/>
    <w:rsid w:val="005A27E4"/>
    <w:rsid w:val="005A286A"/>
    <w:rsid w:val="005A2D7F"/>
    <w:rsid w:val="005A38A1"/>
    <w:rsid w:val="005A3C11"/>
    <w:rsid w:val="005A44C3"/>
    <w:rsid w:val="005A4503"/>
    <w:rsid w:val="005A5211"/>
    <w:rsid w:val="005A5555"/>
    <w:rsid w:val="005A55C0"/>
    <w:rsid w:val="005A59F0"/>
    <w:rsid w:val="005A5D55"/>
    <w:rsid w:val="005A6096"/>
    <w:rsid w:val="005A6AC5"/>
    <w:rsid w:val="005A6C10"/>
    <w:rsid w:val="005A6F15"/>
    <w:rsid w:val="005A737B"/>
    <w:rsid w:val="005A74ED"/>
    <w:rsid w:val="005A7C48"/>
    <w:rsid w:val="005B0296"/>
    <w:rsid w:val="005B0C13"/>
    <w:rsid w:val="005B0E69"/>
    <w:rsid w:val="005B12C6"/>
    <w:rsid w:val="005B12CD"/>
    <w:rsid w:val="005B1A92"/>
    <w:rsid w:val="005B1B30"/>
    <w:rsid w:val="005B2144"/>
    <w:rsid w:val="005B2805"/>
    <w:rsid w:val="005B2859"/>
    <w:rsid w:val="005B2863"/>
    <w:rsid w:val="005B2EA2"/>
    <w:rsid w:val="005B3282"/>
    <w:rsid w:val="005B3546"/>
    <w:rsid w:val="005B35AA"/>
    <w:rsid w:val="005B3675"/>
    <w:rsid w:val="005B36AC"/>
    <w:rsid w:val="005B3E02"/>
    <w:rsid w:val="005B4B27"/>
    <w:rsid w:val="005B4BE9"/>
    <w:rsid w:val="005B5036"/>
    <w:rsid w:val="005B52D5"/>
    <w:rsid w:val="005B5720"/>
    <w:rsid w:val="005B57B6"/>
    <w:rsid w:val="005B591D"/>
    <w:rsid w:val="005B5ADE"/>
    <w:rsid w:val="005B5C55"/>
    <w:rsid w:val="005B5DC4"/>
    <w:rsid w:val="005B682C"/>
    <w:rsid w:val="005B6A11"/>
    <w:rsid w:val="005B6F96"/>
    <w:rsid w:val="005B7163"/>
    <w:rsid w:val="005B7306"/>
    <w:rsid w:val="005B7602"/>
    <w:rsid w:val="005B7950"/>
    <w:rsid w:val="005B79E9"/>
    <w:rsid w:val="005B7C24"/>
    <w:rsid w:val="005B7DDB"/>
    <w:rsid w:val="005B7F53"/>
    <w:rsid w:val="005C00DE"/>
    <w:rsid w:val="005C0CF3"/>
    <w:rsid w:val="005C147E"/>
    <w:rsid w:val="005C15FF"/>
    <w:rsid w:val="005C1810"/>
    <w:rsid w:val="005C1C3F"/>
    <w:rsid w:val="005C1E9F"/>
    <w:rsid w:val="005C23A4"/>
    <w:rsid w:val="005C2912"/>
    <w:rsid w:val="005C2B88"/>
    <w:rsid w:val="005C2C71"/>
    <w:rsid w:val="005C2DB6"/>
    <w:rsid w:val="005C2F2F"/>
    <w:rsid w:val="005C2F40"/>
    <w:rsid w:val="005C33FE"/>
    <w:rsid w:val="005C3520"/>
    <w:rsid w:val="005C3984"/>
    <w:rsid w:val="005C3AD0"/>
    <w:rsid w:val="005C3CE6"/>
    <w:rsid w:val="005C3D13"/>
    <w:rsid w:val="005C3DE2"/>
    <w:rsid w:val="005C477A"/>
    <w:rsid w:val="005C47DE"/>
    <w:rsid w:val="005C48F5"/>
    <w:rsid w:val="005C4933"/>
    <w:rsid w:val="005C4B8B"/>
    <w:rsid w:val="005C4DE5"/>
    <w:rsid w:val="005C50A6"/>
    <w:rsid w:val="005C50FE"/>
    <w:rsid w:val="005C51D8"/>
    <w:rsid w:val="005C52AC"/>
    <w:rsid w:val="005C532D"/>
    <w:rsid w:val="005C656A"/>
    <w:rsid w:val="005C6CE3"/>
    <w:rsid w:val="005C7131"/>
    <w:rsid w:val="005C7520"/>
    <w:rsid w:val="005C7726"/>
    <w:rsid w:val="005C7DD6"/>
    <w:rsid w:val="005C7E2F"/>
    <w:rsid w:val="005C7F58"/>
    <w:rsid w:val="005D00E9"/>
    <w:rsid w:val="005D0275"/>
    <w:rsid w:val="005D0D2D"/>
    <w:rsid w:val="005D117B"/>
    <w:rsid w:val="005D1596"/>
    <w:rsid w:val="005D1782"/>
    <w:rsid w:val="005D17B9"/>
    <w:rsid w:val="005D1E03"/>
    <w:rsid w:val="005D1FCE"/>
    <w:rsid w:val="005D20D0"/>
    <w:rsid w:val="005D27C0"/>
    <w:rsid w:val="005D2BE4"/>
    <w:rsid w:val="005D2E1A"/>
    <w:rsid w:val="005D306F"/>
    <w:rsid w:val="005D3801"/>
    <w:rsid w:val="005D3984"/>
    <w:rsid w:val="005D3A96"/>
    <w:rsid w:val="005D3BCE"/>
    <w:rsid w:val="005D43A1"/>
    <w:rsid w:val="005D4FA6"/>
    <w:rsid w:val="005D502C"/>
    <w:rsid w:val="005D5352"/>
    <w:rsid w:val="005D5636"/>
    <w:rsid w:val="005D5BB7"/>
    <w:rsid w:val="005D5CC3"/>
    <w:rsid w:val="005D5D49"/>
    <w:rsid w:val="005D6019"/>
    <w:rsid w:val="005D6F67"/>
    <w:rsid w:val="005D6FE9"/>
    <w:rsid w:val="005D7101"/>
    <w:rsid w:val="005D71EF"/>
    <w:rsid w:val="005D7896"/>
    <w:rsid w:val="005D7902"/>
    <w:rsid w:val="005E06BD"/>
    <w:rsid w:val="005E0CCE"/>
    <w:rsid w:val="005E0D7D"/>
    <w:rsid w:val="005E1841"/>
    <w:rsid w:val="005E19AF"/>
    <w:rsid w:val="005E1FF7"/>
    <w:rsid w:val="005E2653"/>
    <w:rsid w:val="005E2A08"/>
    <w:rsid w:val="005E2F1A"/>
    <w:rsid w:val="005E304B"/>
    <w:rsid w:val="005E34B0"/>
    <w:rsid w:val="005E35FB"/>
    <w:rsid w:val="005E365E"/>
    <w:rsid w:val="005E3909"/>
    <w:rsid w:val="005E42E3"/>
    <w:rsid w:val="005E449E"/>
    <w:rsid w:val="005E4528"/>
    <w:rsid w:val="005E49E4"/>
    <w:rsid w:val="005E4B45"/>
    <w:rsid w:val="005E4E72"/>
    <w:rsid w:val="005E4F24"/>
    <w:rsid w:val="005E4F65"/>
    <w:rsid w:val="005E525D"/>
    <w:rsid w:val="005E5DC6"/>
    <w:rsid w:val="005E70A5"/>
    <w:rsid w:val="005E7B4E"/>
    <w:rsid w:val="005E7E73"/>
    <w:rsid w:val="005F00DE"/>
    <w:rsid w:val="005F066A"/>
    <w:rsid w:val="005F116C"/>
    <w:rsid w:val="005F11F1"/>
    <w:rsid w:val="005F2236"/>
    <w:rsid w:val="005F24E0"/>
    <w:rsid w:val="005F2671"/>
    <w:rsid w:val="005F29C5"/>
    <w:rsid w:val="005F2A4E"/>
    <w:rsid w:val="005F2CDB"/>
    <w:rsid w:val="005F2E76"/>
    <w:rsid w:val="005F3220"/>
    <w:rsid w:val="005F3443"/>
    <w:rsid w:val="005F34D6"/>
    <w:rsid w:val="005F3D28"/>
    <w:rsid w:val="005F45AF"/>
    <w:rsid w:val="005F4C69"/>
    <w:rsid w:val="005F4F3C"/>
    <w:rsid w:val="005F504C"/>
    <w:rsid w:val="005F51D3"/>
    <w:rsid w:val="005F5693"/>
    <w:rsid w:val="005F5A8E"/>
    <w:rsid w:val="005F5AAD"/>
    <w:rsid w:val="005F615D"/>
    <w:rsid w:val="005F644A"/>
    <w:rsid w:val="005F6728"/>
    <w:rsid w:val="005F6B3F"/>
    <w:rsid w:val="005F6B88"/>
    <w:rsid w:val="005F6BF9"/>
    <w:rsid w:val="005F76C0"/>
    <w:rsid w:val="00600213"/>
    <w:rsid w:val="0060066F"/>
    <w:rsid w:val="00600BDB"/>
    <w:rsid w:val="006018AA"/>
    <w:rsid w:val="00601976"/>
    <w:rsid w:val="00601BF3"/>
    <w:rsid w:val="00601C3A"/>
    <w:rsid w:val="00602059"/>
    <w:rsid w:val="00602283"/>
    <w:rsid w:val="00603AA1"/>
    <w:rsid w:val="00603E9C"/>
    <w:rsid w:val="00603F4E"/>
    <w:rsid w:val="006040A7"/>
    <w:rsid w:val="00604687"/>
    <w:rsid w:val="0060484A"/>
    <w:rsid w:val="00605A01"/>
    <w:rsid w:val="00605CED"/>
    <w:rsid w:val="0060693A"/>
    <w:rsid w:val="00606C10"/>
    <w:rsid w:val="00607235"/>
    <w:rsid w:val="0060745B"/>
    <w:rsid w:val="00607593"/>
    <w:rsid w:val="00607D56"/>
    <w:rsid w:val="00607EE3"/>
    <w:rsid w:val="00607F4A"/>
    <w:rsid w:val="0061012C"/>
    <w:rsid w:val="00610C46"/>
    <w:rsid w:val="00610F08"/>
    <w:rsid w:val="006115A3"/>
    <w:rsid w:val="00611729"/>
    <w:rsid w:val="0061174D"/>
    <w:rsid w:val="00611AD5"/>
    <w:rsid w:val="00611B39"/>
    <w:rsid w:val="00612C40"/>
    <w:rsid w:val="00612FBE"/>
    <w:rsid w:val="0061366B"/>
    <w:rsid w:val="006136C4"/>
    <w:rsid w:val="006139D4"/>
    <w:rsid w:val="00614446"/>
    <w:rsid w:val="006144EE"/>
    <w:rsid w:val="00614D59"/>
    <w:rsid w:val="00614FE8"/>
    <w:rsid w:val="0061580D"/>
    <w:rsid w:val="00615A74"/>
    <w:rsid w:val="00615EFD"/>
    <w:rsid w:val="00616D1F"/>
    <w:rsid w:val="00616D71"/>
    <w:rsid w:val="00617041"/>
    <w:rsid w:val="00617181"/>
    <w:rsid w:val="006171DB"/>
    <w:rsid w:val="00617644"/>
    <w:rsid w:val="00617769"/>
    <w:rsid w:val="006177A2"/>
    <w:rsid w:val="0062026C"/>
    <w:rsid w:val="006202C4"/>
    <w:rsid w:val="00620364"/>
    <w:rsid w:val="0062059D"/>
    <w:rsid w:val="00620994"/>
    <w:rsid w:val="00622604"/>
    <w:rsid w:val="006227DD"/>
    <w:rsid w:val="00622945"/>
    <w:rsid w:val="00622F82"/>
    <w:rsid w:val="0062336D"/>
    <w:rsid w:val="00623699"/>
    <w:rsid w:val="00623DA3"/>
    <w:rsid w:val="00623F4C"/>
    <w:rsid w:val="006245DC"/>
    <w:rsid w:val="0062536F"/>
    <w:rsid w:val="00625492"/>
    <w:rsid w:val="00625A21"/>
    <w:rsid w:val="0062605B"/>
    <w:rsid w:val="0062623D"/>
    <w:rsid w:val="00626241"/>
    <w:rsid w:val="00626355"/>
    <w:rsid w:val="00626DCD"/>
    <w:rsid w:val="006270C7"/>
    <w:rsid w:val="006275F5"/>
    <w:rsid w:val="0062793F"/>
    <w:rsid w:val="006279E3"/>
    <w:rsid w:val="00630012"/>
    <w:rsid w:val="0063065E"/>
    <w:rsid w:val="006306F2"/>
    <w:rsid w:val="00630D0A"/>
    <w:rsid w:val="00630E5A"/>
    <w:rsid w:val="00630F45"/>
    <w:rsid w:val="0063109E"/>
    <w:rsid w:val="00631157"/>
    <w:rsid w:val="0063149F"/>
    <w:rsid w:val="00631AD4"/>
    <w:rsid w:val="00631E4A"/>
    <w:rsid w:val="006321FE"/>
    <w:rsid w:val="0063286A"/>
    <w:rsid w:val="00632E65"/>
    <w:rsid w:val="00632EFF"/>
    <w:rsid w:val="006330CE"/>
    <w:rsid w:val="0063331F"/>
    <w:rsid w:val="006338CA"/>
    <w:rsid w:val="00634152"/>
    <w:rsid w:val="006342FF"/>
    <w:rsid w:val="006344E8"/>
    <w:rsid w:val="0063456E"/>
    <w:rsid w:val="006348E3"/>
    <w:rsid w:val="00634D3E"/>
    <w:rsid w:val="00634E51"/>
    <w:rsid w:val="0063539D"/>
    <w:rsid w:val="00635D30"/>
    <w:rsid w:val="006368BF"/>
    <w:rsid w:val="00636AAA"/>
    <w:rsid w:val="00636B6B"/>
    <w:rsid w:val="00636CB0"/>
    <w:rsid w:val="00637310"/>
    <w:rsid w:val="00637572"/>
    <w:rsid w:val="0063766D"/>
    <w:rsid w:val="00637673"/>
    <w:rsid w:val="00637A20"/>
    <w:rsid w:val="00637DDD"/>
    <w:rsid w:val="00637F03"/>
    <w:rsid w:val="00640662"/>
    <w:rsid w:val="006408E8"/>
    <w:rsid w:val="006409BD"/>
    <w:rsid w:val="00640F55"/>
    <w:rsid w:val="00640FF1"/>
    <w:rsid w:val="00641156"/>
    <w:rsid w:val="00641B60"/>
    <w:rsid w:val="0064266E"/>
    <w:rsid w:val="006428AB"/>
    <w:rsid w:val="00643008"/>
    <w:rsid w:val="00643809"/>
    <w:rsid w:val="00643C58"/>
    <w:rsid w:val="0064405E"/>
    <w:rsid w:val="00644558"/>
    <w:rsid w:val="006445B8"/>
    <w:rsid w:val="00644768"/>
    <w:rsid w:val="00644847"/>
    <w:rsid w:val="00644BF3"/>
    <w:rsid w:val="00645474"/>
    <w:rsid w:val="006454A0"/>
    <w:rsid w:val="006461AC"/>
    <w:rsid w:val="006462B7"/>
    <w:rsid w:val="00646435"/>
    <w:rsid w:val="0064661D"/>
    <w:rsid w:val="00646966"/>
    <w:rsid w:val="00646B49"/>
    <w:rsid w:val="006470CB"/>
    <w:rsid w:val="00647756"/>
    <w:rsid w:val="006479A4"/>
    <w:rsid w:val="00647A1C"/>
    <w:rsid w:val="00647C3E"/>
    <w:rsid w:val="00647CA5"/>
    <w:rsid w:val="00650286"/>
    <w:rsid w:val="006505FB"/>
    <w:rsid w:val="006507D6"/>
    <w:rsid w:val="0065103A"/>
    <w:rsid w:val="006511F1"/>
    <w:rsid w:val="00651487"/>
    <w:rsid w:val="0065282D"/>
    <w:rsid w:val="00652C4A"/>
    <w:rsid w:val="00652E8D"/>
    <w:rsid w:val="006535BE"/>
    <w:rsid w:val="00653B20"/>
    <w:rsid w:val="00654043"/>
    <w:rsid w:val="00654430"/>
    <w:rsid w:val="0065454A"/>
    <w:rsid w:val="00654944"/>
    <w:rsid w:val="00654964"/>
    <w:rsid w:val="0065506E"/>
    <w:rsid w:val="00655168"/>
    <w:rsid w:val="006552D8"/>
    <w:rsid w:val="0065572F"/>
    <w:rsid w:val="00655928"/>
    <w:rsid w:val="0065675D"/>
    <w:rsid w:val="00657055"/>
    <w:rsid w:val="006572E7"/>
    <w:rsid w:val="00657663"/>
    <w:rsid w:val="00657B4E"/>
    <w:rsid w:val="006605A6"/>
    <w:rsid w:val="00660706"/>
    <w:rsid w:val="0066094C"/>
    <w:rsid w:val="0066143C"/>
    <w:rsid w:val="00661900"/>
    <w:rsid w:val="0066191E"/>
    <w:rsid w:val="00661AAF"/>
    <w:rsid w:val="00662BEB"/>
    <w:rsid w:val="00662E13"/>
    <w:rsid w:val="00663955"/>
    <w:rsid w:val="00663F92"/>
    <w:rsid w:val="00664149"/>
    <w:rsid w:val="006641B3"/>
    <w:rsid w:val="006641DC"/>
    <w:rsid w:val="006645ED"/>
    <w:rsid w:val="00665105"/>
    <w:rsid w:val="00665197"/>
    <w:rsid w:val="006652AF"/>
    <w:rsid w:val="006654B0"/>
    <w:rsid w:val="0066568F"/>
    <w:rsid w:val="00665D3E"/>
    <w:rsid w:val="0066618F"/>
    <w:rsid w:val="006666C7"/>
    <w:rsid w:val="006667BB"/>
    <w:rsid w:val="006668DE"/>
    <w:rsid w:val="006669ED"/>
    <w:rsid w:val="00666A07"/>
    <w:rsid w:val="00667060"/>
    <w:rsid w:val="0066755E"/>
    <w:rsid w:val="0066763E"/>
    <w:rsid w:val="00667672"/>
    <w:rsid w:val="006676BF"/>
    <w:rsid w:val="00670205"/>
    <w:rsid w:val="0067040A"/>
    <w:rsid w:val="00670795"/>
    <w:rsid w:val="00670F1F"/>
    <w:rsid w:val="00671170"/>
    <w:rsid w:val="00671A1F"/>
    <w:rsid w:val="00671D24"/>
    <w:rsid w:val="00671F03"/>
    <w:rsid w:val="00672293"/>
    <w:rsid w:val="00672346"/>
    <w:rsid w:val="00672368"/>
    <w:rsid w:val="006726DC"/>
    <w:rsid w:val="006728BE"/>
    <w:rsid w:val="00672CF9"/>
    <w:rsid w:val="00673D54"/>
    <w:rsid w:val="00673EB3"/>
    <w:rsid w:val="006743A3"/>
    <w:rsid w:val="00674E33"/>
    <w:rsid w:val="00675105"/>
    <w:rsid w:val="0067525D"/>
    <w:rsid w:val="00675C04"/>
    <w:rsid w:val="00675C6E"/>
    <w:rsid w:val="006766BA"/>
    <w:rsid w:val="006769D2"/>
    <w:rsid w:val="00676AE5"/>
    <w:rsid w:val="00676EDF"/>
    <w:rsid w:val="00677B69"/>
    <w:rsid w:val="00677BA6"/>
    <w:rsid w:val="00677E60"/>
    <w:rsid w:val="0068001E"/>
    <w:rsid w:val="0068020A"/>
    <w:rsid w:val="00680DBD"/>
    <w:rsid w:val="006810AB"/>
    <w:rsid w:val="00681808"/>
    <w:rsid w:val="00681E07"/>
    <w:rsid w:val="00681E39"/>
    <w:rsid w:val="00682864"/>
    <w:rsid w:val="006828FA"/>
    <w:rsid w:val="006831FB"/>
    <w:rsid w:val="00683536"/>
    <w:rsid w:val="0068377F"/>
    <w:rsid w:val="00683A74"/>
    <w:rsid w:val="00683AEB"/>
    <w:rsid w:val="00683CD7"/>
    <w:rsid w:val="00683E93"/>
    <w:rsid w:val="00683FA7"/>
    <w:rsid w:val="0068432B"/>
    <w:rsid w:val="006844F6"/>
    <w:rsid w:val="006845B4"/>
    <w:rsid w:val="00684E25"/>
    <w:rsid w:val="00685582"/>
    <w:rsid w:val="0068582E"/>
    <w:rsid w:val="00685DDA"/>
    <w:rsid w:val="00686418"/>
    <w:rsid w:val="00686C68"/>
    <w:rsid w:val="006870A3"/>
    <w:rsid w:val="006875BD"/>
    <w:rsid w:val="00687852"/>
    <w:rsid w:val="00687CD8"/>
    <w:rsid w:val="00690440"/>
    <w:rsid w:val="00690508"/>
    <w:rsid w:val="0069088E"/>
    <w:rsid w:val="00690D0F"/>
    <w:rsid w:val="00690F90"/>
    <w:rsid w:val="00691402"/>
    <w:rsid w:val="00691671"/>
    <w:rsid w:val="00691B7F"/>
    <w:rsid w:val="00691FEB"/>
    <w:rsid w:val="00692849"/>
    <w:rsid w:val="00692A53"/>
    <w:rsid w:val="00692DC8"/>
    <w:rsid w:val="006934DC"/>
    <w:rsid w:val="006936A6"/>
    <w:rsid w:val="0069418D"/>
    <w:rsid w:val="00694492"/>
    <w:rsid w:val="006950D2"/>
    <w:rsid w:val="006958A4"/>
    <w:rsid w:val="00695920"/>
    <w:rsid w:val="006959FD"/>
    <w:rsid w:val="00695A86"/>
    <w:rsid w:val="00696044"/>
    <w:rsid w:val="006967C8"/>
    <w:rsid w:val="006968D1"/>
    <w:rsid w:val="00696B99"/>
    <w:rsid w:val="006970A0"/>
    <w:rsid w:val="00697586"/>
    <w:rsid w:val="00697628"/>
    <w:rsid w:val="00697AD0"/>
    <w:rsid w:val="00697CB2"/>
    <w:rsid w:val="006A0020"/>
    <w:rsid w:val="006A0727"/>
    <w:rsid w:val="006A093E"/>
    <w:rsid w:val="006A098B"/>
    <w:rsid w:val="006A0D25"/>
    <w:rsid w:val="006A0D68"/>
    <w:rsid w:val="006A0EDA"/>
    <w:rsid w:val="006A0F51"/>
    <w:rsid w:val="006A15BB"/>
    <w:rsid w:val="006A1C3F"/>
    <w:rsid w:val="006A2469"/>
    <w:rsid w:val="006A24A0"/>
    <w:rsid w:val="006A2827"/>
    <w:rsid w:val="006A2C2E"/>
    <w:rsid w:val="006A33AA"/>
    <w:rsid w:val="006A34BD"/>
    <w:rsid w:val="006A3F1F"/>
    <w:rsid w:val="006A40E4"/>
    <w:rsid w:val="006A4531"/>
    <w:rsid w:val="006A4D4D"/>
    <w:rsid w:val="006A4F9C"/>
    <w:rsid w:val="006A4FBB"/>
    <w:rsid w:val="006A5806"/>
    <w:rsid w:val="006A6657"/>
    <w:rsid w:val="006A67BD"/>
    <w:rsid w:val="006A6DD0"/>
    <w:rsid w:val="006A6FE5"/>
    <w:rsid w:val="006A74BD"/>
    <w:rsid w:val="006A7588"/>
    <w:rsid w:val="006B005C"/>
    <w:rsid w:val="006B0472"/>
    <w:rsid w:val="006B0991"/>
    <w:rsid w:val="006B0E95"/>
    <w:rsid w:val="006B0EFA"/>
    <w:rsid w:val="006B0F0D"/>
    <w:rsid w:val="006B1587"/>
    <w:rsid w:val="006B15B7"/>
    <w:rsid w:val="006B17C8"/>
    <w:rsid w:val="006B18AD"/>
    <w:rsid w:val="006B1CEB"/>
    <w:rsid w:val="006B1D20"/>
    <w:rsid w:val="006B2AB8"/>
    <w:rsid w:val="006B2AC2"/>
    <w:rsid w:val="006B2C89"/>
    <w:rsid w:val="006B2D23"/>
    <w:rsid w:val="006B2E2F"/>
    <w:rsid w:val="006B311C"/>
    <w:rsid w:val="006B333E"/>
    <w:rsid w:val="006B37B8"/>
    <w:rsid w:val="006B38A8"/>
    <w:rsid w:val="006B39FB"/>
    <w:rsid w:val="006B3E41"/>
    <w:rsid w:val="006B46B5"/>
    <w:rsid w:val="006B485B"/>
    <w:rsid w:val="006B48D3"/>
    <w:rsid w:val="006B4F91"/>
    <w:rsid w:val="006B51C1"/>
    <w:rsid w:val="006B533D"/>
    <w:rsid w:val="006B5598"/>
    <w:rsid w:val="006B55F2"/>
    <w:rsid w:val="006B7472"/>
    <w:rsid w:val="006B74A7"/>
    <w:rsid w:val="006B74DC"/>
    <w:rsid w:val="006B7619"/>
    <w:rsid w:val="006B7943"/>
    <w:rsid w:val="006C0741"/>
    <w:rsid w:val="006C08BF"/>
    <w:rsid w:val="006C09CC"/>
    <w:rsid w:val="006C0AEF"/>
    <w:rsid w:val="006C0D30"/>
    <w:rsid w:val="006C0D6E"/>
    <w:rsid w:val="006C1086"/>
    <w:rsid w:val="006C1447"/>
    <w:rsid w:val="006C27C6"/>
    <w:rsid w:val="006C28B6"/>
    <w:rsid w:val="006C2ACF"/>
    <w:rsid w:val="006C324E"/>
    <w:rsid w:val="006C3496"/>
    <w:rsid w:val="006C3584"/>
    <w:rsid w:val="006C35A7"/>
    <w:rsid w:val="006C4249"/>
    <w:rsid w:val="006C4592"/>
    <w:rsid w:val="006C490B"/>
    <w:rsid w:val="006C496F"/>
    <w:rsid w:val="006C4C9A"/>
    <w:rsid w:val="006C4DE1"/>
    <w:rsid w:val="006C5846"/>
    <w:rsid w:val="006C5A35"/>
    <w:rsid w:val="006C5C1B"/>
    <w:rsid w:val="006C60E5"/>
    <w:rsid w:val="006C6B4A"/>
    <w:rsid w:val="006C6F0E"/>
    <w:rsid w:val="006C70F8"/>
    <w:rsid w:val="006C72CC"/>
    <w:rsid w:val="006C7489"/>
    <w:rsid w:val="006C75C0"/>
    <w:rsid w:val="006C75FF"/>
    <w:rsid w:val="006C7834"/>
    <w:rsid w:val="006C7873"/>
    <w:rsid w:val="006C7FC3"/>
    <w:rsid w:val="006D0CDD"/>
    <w:rsid w:val="006D10F4"/>
    <w:rsid w:val="006D1DB6"/>
    <w:rsid w:val="006D1E75"/>
    <w:rsid w:val="006D1EA6"/>
    <w:rsid w:val="006D2177"/>
    <w:rsid w:val="006D2D02"/>
    <w:rsid w:val="006D33CD"/>
    <w:rsid w:val="006D33EB"/>
    <w:rsid w:val="006D349E"/>
    <w:rsid w:val="006D3A28"/>
    <w:rsid w:val="006D40E8"/>
    <w:rsid w:val="006D4128"/>
    <w:rsid w:val="006D466B"/>
    <w:rsid w:val="006D5700"/>
    <w:rsid w:val="006D58A0"/>
    <w:rsid w:val="006D5D14"/>
    <w:rsid w:val="006D5EEF"/>
    <w:rsid w:val="006D6742"/>
    <w:rsid w:val="006D6A56"/>
    <w:rsid w:val="006D6E79"/>
    <w:rsid w:val="006D702C"/>
    <w:rsid w:val="006D7526"/>
    <w:rsid w:val="006D7575"/>
    <w:rsid w:val="006D7594"/>
    <w:rsid w:val="006D7C2A"/>
    <w:rsid w:val="006E0884"/>
    <w:rsid w:val="006E0F37"/>
    <w:rsid w:val="006E159A"/>
    <w:rsid w:val="006E1825"/>
    <w:rsid w:val="006E1C3F"/>
    <w:rsid w:val="006E1D0E"/>
    <w:rsid w:val="006E2CCB"/>
    <w:rsid w:val="006E2E65"/>
    <w:rsid w:val="006E32E7"/>
    <w:rsid w:val="006E3531"/>
    <w:rsid w:val="006E3A95"/>
    <w:rsid w:val="006E3CF2"/>
    <w:rsid w:val="006E3D94"/>
    <w:rsid w:val="006E4094"/>
    <w:rsid w:val="006E47D5"/>
    <w:rsid w:val="006E4FAE"/>
    <w:rsid w:val="006E519B"/>
    <w:rsid w:val="006E577F"/>
    <w:rsid w:val="006E5780"/>
    <w:rsid w:val="006E59C4"/>
    <w:rsid w:val="006E5A7C"/>
    <w:rsid w:val="006E75EF"/>
    <w:rsid w:val="006E79D5"/>
    <w:rsid w:val="006F00AF"/>
    <w:rsid w:val="006F00F4"/>
    <w:rsid w:val="006F0739"/>
    <w:rsid w:val="006F08DA"/>
    <w:rsid w:val="006F1050"/>
    <w:rsid w:val="006F1743"/>
    <w:rsid w:val="006F188F"/>
    <w:rsid w:val="006F1E87"/>
    <w:rsid w:val="006F1FC6"/>
    <w:rsid w:val="006F2204"/>
    <w:rsid w:val="006F2339"/>
    <w:rsid w:val="006F24CA"/>
    <w:rsid w:val="006F2534"/>
    <w:rsid w:val="006F2669"/>
    <w:rsid w:val="006F2823"/>
    <w:rsid w:val="006F2CBE"/>
    <w:rsid w:val="006F3123"/>
    <w:rsid w:val="006F3425"/>
    <w:rsid w:val="006F362E"/>
    <w:rsid w:val="006F3B13"/>
    <w:rsid w:val="006F3D09"/>
    <w:rsid w:val="006F3E14"/>
    <w:rsid w:val="006F4D0A"/>
    <w:rsid w:val="006F4D0D"/>
    <w:rsid w:val="006F5443"/>
    <w:rsid w:val="006F55BD"/>
    <w:rsid w:val="006F584D"/>
    <w:rsid w:val="006F5926"/>
    <w:rsid w:val="006F5DF7"/>
    <w:rsid w:val="006F61C3"/>
    <w:rsid w:val="006F6414"/>
    <w:rsid w:val="006F6489"/>
    <w:rsid w:val="006F690B"/>
    <w:rsid w:val="006F6C23"/>
    <w:rsid w:val="006F7845"/>
    <w:rsid w:val="006F7B86"/>
    <w:rsid w:val="006F7BC7"/>
    <w:rsid w:val="006F7F84"/>
    <w:rsid w:val="007001A8"/>
    <w:rsid w:val="007001D5"/>
    <w:rsid w:val="00700C49"/>
    <w:rsid w:val="007013C3"/>
    <w:rsid w:val="00701783"/>
    <w:rsid w:val="00701DD2"/>
    <w:rsid w:val="0070284D"/>
    <w:rsid w:val="00702938"/>
    <w:rsid w:val="00703089"/>
    <w:rsid w:val="007035F3"/>
    <w:rsid w:val="00703974"/>
    <w:rsid w:val="00703B06"/>
    <w:rsid w:val="00703D62"/>
    <w:rsid w:val="00703E35"/>
    <w:rsid w:val="007048B5"/>
    <w:rsid w:val="007048E1"/>
    <w:rsid w:val="00704C54"/>
    <w:rsid w:val="00704DBE"/>
    <w:rsid w:val="0070512A"/>
    <w:rsid w:val="007054B3"/>
    <w:rsid w:val="00705B4B"/>
    <w:rsid w:val="007064CB"/>
    <w:rsid w:val="0070664A"/>
    <w:rsid w:val="00706C0C"/>
    <w:rsid w:val="00706C8F"/>
    <w:rsid w:val="00706EE5"/>
    <w:rsid w:val="007070B2"/>
    <w:rsid w:val="00707781"/>
    <w:rsid w:val="007077C5"/>
    <w:rsid w:val="00707CC2"/>
    <w:rsid w:val="00707F84"/>
    <w:rsid w:val="007105F7"/>
    <w:rsid w:val="00710939"/>
    <w:rsid w:val="00710C17"/>
    <w:rsid w:val="00710D32"/>
    <w:rsid w:val="00710E3E"/>
    <w:rsid w:val="0071177A"/>
    <w:rsid w:val="00711B92"/>
    <w:rsid w:val="00711F91"/>
    <w:rsid w:val="00712967"/>
    <w:rsid w:val="00712EA0"/>
    <w:rsid w:val="007132D3"/>
    <w:rsid w:val="00713F8F"/>
    <w:rsid w:val="0071415C"/>
    <w:rsid w:val="00714686"/>
    <w:rsid w:val="007146CE"/>
    <w:rsid w:val="0071471F"/>
    <w:rsid w:val="00714865"/>
    <w:rsid w:val="00714E19"/>
    <w:rsid w:val="00715050"/>
    <w:rsid w:val="00715252"/>
    <w:rsid w:val="007155CF"/>
    <w:rsid w:val="00715A31"/>
    <w:rsid w:val="00715C40"/>
    <w:rsid w:val="00715D51"/>
    <w:rsid w:val="0071615B"/>
    <w:rsid w:val="00716D70"/>
    <w:rsid w:val="00717113"/>
    <w:rsid w:val="00717AC9"/>
    <w:rsid w:val="00717B73"/>
    <w:rsid w:val="0072053A"/>
    <w:rsid w:val="0072084C"/>
    <w:rsid w:val="00720AB1"/>
    <w:rsid w:val="00720F26"/>
    <w:rsid w:val="00720F95"/>
    <w:rsid w:val="007211DA"/>
    <w:rsid w:val="007211E8"/>
    <w:rsid w:val="00721ACE"/>
    <w:rsid w:val="00721DE8"/>
    <w:rsid w:val="007223C2"/>
    <w:rsid w:val="0072272C"/>
    <w:rsid w:val="00722736"/>
    <w:rsid w:val="00722998"/>
    <w:rsid w:val="007239E0"/>
    <w:rsid w:val="0072479C"/>
    <w:rsid w:val="00724FA7"/>
    <w:rsid w:val="0072513C"/>
    <w:rsid w:val="007254C6"/>
    <w:rsid w:val="00725783"/>
    <w:rsid w:val="00725CB6"/>
    <w:rsid w:val="00725E2E"/>
    <w:rsid w:val="007262F0"/>
    <w:rsid w:val="007263C6"/>
    <w:rsid w:val="0072645E"/>
    <w:rsid w:val="007266A0"/>
    <w:rsid w:val="007269B3"/>
    <w:rsid w:val="007277F8"/>
    <w:rsid w:val="00727ECC"/>
    <w:rsid w:val="00727FD8"/>
    <w:rsid w:val="0073003E"/>
    <w:rsid w:val="00730601"/>
    <w:rsid w:val="00730D41"/>
    <w:rsid w:val="00730EF9"/>
    <w:rsid w:val="00731E6C"/>
    <w:rsid w:val="00732072"/>
    <w:rsid w:val="00732181"/>
    <w:rsid w:val="007323A6"/>
    <w:rsid w:val="00732A07"/>
    <w:rsid w:val="007337EA"/>
    <w:rsid w:val="007337F9"/>
    <w:rsid w:val="00733D16"/>
    <w:rsid w:val="00733D34"/>
    <w:rsid w:val="00733DBB"/>
    <w:rsid w:val="00734073"/>
    <w:rsid w:val="007340FF"/>
    <w:rsid w:val="00734361"/>
    <w:rsid w:val="00734388"/>
    <w:rsid w:val="007345F4"/>
    <w:rsid w:val="00734AC0"/>
    <w:rsid w:val="00734CCA"/>
    <w:rsid w:val="0073571F"/>
    <w:rsid w:val="00736094"/>
    <w:rsid w:val="007362E3"/>
    <w:rsid w:val="007365D6"/>
    <w:rsid w:val="00736CDF"/>
    <w:rsid w:val="00736EDD"/>
    <w:rsid w:val="007372C2"/>
    <w:rsid w:val="00737B55"/>
    <w:rsid w:val="00737D80"/>
    <w:rsid w:val="0074001E"/>
    <w:rsid w:val="007400ED"/>
    <w:rsid w:val="0074055D"/>
    <w:rsid w:val="00740DE7"/>
    <w:rsid w:val="0074112C"/>
    <w:rsid w:val="007417E4"/>
    <w:rsid w:val="00741866"/>
    <w:rsid w:val="00741D26"/>
    <w:rsid w:val="00741D40"/>
    <w:rsid w:val="0074208D"/>
    <w:rsid w:val="0074222A"/>
    <w:rsid w:val="00742895"/>
    <w:rsid w:val="00742C09"/>
    <w:rsid w:val="007435F0"/>
    <w:rsid w:val="00743E96"/>
    <w:rsid w:val="00744029"/>
    <w:rsid w:val="007440DF"/>
    <w:rsid w:val="007441DF"/>
    <w:rsid w:val="00744329"/>
    <w:rsid w:val="007443B4"/>
    <w:rsid w:val="00744F72"/>
    <w:rsid w:val="007452B9"/>
    <w:rsid w:val="0074570B"/>
    <w:rsid w:val="007458DC"/>
    <w:rsid w:val="00745A27"/>
    <w:rsid w:val="0074650A"/>
    <w:rsid w:val="00746785"/>
    <w:rsid w:val="00746958"/>
    <w:rsid w:val="00746975"/>
    <w:rsid w:val="00747417"/>
    <w:rsid w:val="0074748F"/>
    <w:rsid w:val="00747A66"/>
    <w:rsid w:val="00747CD7"/>
    <w:rsid w:val="00750154"/>
    <w:rsid w:val="00750308"/>
    <w:rsid w:val="00750FE0"/>
    <w:rsid w:val="00751868"/>
    <w:rsid w:val="00751B16"/>
    <w:rsid w:val="0075278F"/>
    <w:rsid w:val="00752D9F"/>
    <w:rsid w:val="00753890"/>
    <w:rsid w:val="00753A8E"/>
    <w:rsid w:val="00753AC4"/>
    <w:rsid w:val="00753B90"/>
    <w:rsid w:val="00753C69"/>
    <w:rsid w:val="00753F59"/>
    <w:rsid w:val="00754142"/>
    <w:rsid w:val="00754335"/>
    <w:rsid w:val="00754671"/>
    <w:rsid w:val="0075484F"/>
    <w:rsid w:val="00755315"/>
    <w:rsid w:val="0075590B"/>
    <w:rsid w:val="00755BFF"/>
    <w:rsid w:val="00755C38"/>
    <w:rsid w:val="00755DE8"/>
    <w:rsid w:val="0075606C"/>
    <w:rsid w:val="007566BB"/>
    <w:rsid w:val="0075674F"/>
    <w:rsid w:val="00756E93"/>
    <w:rsid w:val="00756F1C"/>
    <w:rsid w:val="00757A80"/>
    <w:rsid w:val="00757E9C"/>
    <w:rsid w:val="007604BC"/>
    <w:rsid w:val="00760895"/>
    <w:rsid w:val="00760AFB"/>
    <w:rsid w:val="00760EE2"/>
    <w:rsid w:val="00760FFC"/>
    <w:rsid w:val="00761A45"/>
    <w:rsid w:val="00762335"/>
    <w:rsid w:val="0076283A"/>
    <w:rsid w:val="00762CCA"/>
    <w:rsid w:val="00762DF2"/>
    <w:rsid w:val="00762E8E"/>
    <w:rsid w:val="00763330"/>
    <w:rsid w:val="00763B3D"/>
    <w:rsid w:val="00763BFD"/>
    <w:rsid w:val="00763CF8"/>
    <w:rsid w:val="00763DF7"/>
    <w:rsid w:val="00763E37"/>
    <w:rsid w:val="007640AC"/>
    <w:rsid w:val="00764A66"/>
    <w:rsid w:val="00765092"/>
    <w:rsid w:val="00765238"/>
    <w:rsid w:val="00765D40"/>
    <w:rsid w:val="0076640E"/>
    <w:rsid w:val="007667C7"/>
    <w:rsid w:val="00766BA7"/>
    <w:rsid w:val="00766CCF"/>
    <w:rsid w:val="00766E27"/>
    <w:rsid w:val="00766F41"/>
    <w:rsid w:val="007671EE"/>
    <w:rsid w:val="007677DA"/>
    <w:rsid w:val="00770486"/>
    <w:rsid w:val="00770F98"/>
    <w:rsid w:val="0077106A"/>
    <w:rsid w:val="00771646"/>
    <w:rsid w:val="00771699"/>
    <w:rsid w:val="00771AC9"/>
    <w:rsid w:val="00771C18"/>
    <w:rsid w:val="00772161"/>
    <w:rsid w:val="007724E6"/>
    <w:rsid w:val="007725A5"/>
    <w:rsid w:val="0077286D"/>
    <w:rsid w:val="007730E5"/>
    <w:rsid w:val="007736D7"/>
    <w:rsid w:val="00773C07"/>
    <w:rsid w:val="00773C98"/>
    <w:rsid w:val="00774281"/>
    <w:rsid w:val="007743B0"/>
    <w:rsid w:val="007746CE"/>
    <w:rsid w:val="007755F8"/>
    <w:rsid w:val="00775C01"/>
    <w:rsid w:val="007762F6"/>
    <w:rsid w:val="00776737"/>
    <w:rsid w:val="00776BAC"/>
    <w:rsid w:val="00776BE8"/>
    <w:rsid w:val="007778B6"/>
    <w:rsid w:val="00780760"/>
    <w:rsid w:val="00780A48"/>
    <w:rsid w:val="00781112"/>
    <w:rsid w:val="00781277"/>
    <w:rsid w:val="007813E2"/>
    <w:rsid w:val="00781DC1"/>
    <w:rsid w:val="00781F4B"/>
    <w:rsid w:val="007823A8"/>
    <w:rsid w:val="00782818"/>
    <w:rsid w:val="0078288F"/>
    <w:rsid w:val="007829C5"/>
    <w:rsid w:val="007833E9"/>
    <w:rsid w:val="0078386A"/>
    <w:rsid w:val="00783EFD"/>
    <w:rsid w:val="007841C2"/>
    <w:rsid w:val="00784245"/>
    <w:rsid w:val="00784625"/>
    <w:rsid w:val="00784774"/>
    <w:rsid w:val="0078492A"/>
    <w:rsid w:val="0078501A"/>
    <w:rsid w:val="007851A4"/>
    <w:rsid w:val="00785732"/>
    <w:rsid w:val="00785933"/>
    <w:rsid w:val="0078595D"/>
    <w:rsid w:val="00785B6E"/>
    <w:rsid w:val="00785B71"/>
    <w:rsid w:val="00785E62"/>
    <w:rsid w:val="00785E74"/>
    <w:rsid w:val="00785FF5"/>
    <w:rsid w:val="00786012"/>
    <w:rsid w:val="00786095"/>
    <w:rsid w:val="007861B8"/>
    <w:rsid w:val="00786C53"/>
    <w:rsid w:val="00786C90"/>
    <w:rsid w:val="007873A4"/>
    <w:rsid w:val="007873DF"/>
    <w:rsid w:val="00787772"/>
    <w:rsid w:val="00787C53"/>
    <w:rsid w:val="00787FC0"/>
    <w:rsid w:val="0079037D"/>
    <w:rsid w:val="0079043D"/>
    <w:rsid w:val="00790719"/>
    <w:rsid w:val="0079153B"/>
    <w:rsid w:val="00791AA4"/>
    <w:rsid w:val="00792108"/>
    <w:rsid w:val="00792176"/>
    <w:rsid w:val="00792625"/>
    <w:rsid w:val="00792959"/>
    <w:rsid w:val="00792DFE"/>
    <w:rsid w:val="00793831"/>
    <w:rsid w:val="00793B73"/>
    <w:rsid w:val="00793D5B"/>
    <w:rsid w:val="00793FB2"/>
    <w:rsid w:val="007943BF"/>
    <w:rsid w:val="007944CC"/>
    <w:rsid w:val="00794BF0"/>
    <w:rsid w:val="00795136"/>
    <w:rsid w:val="00795838"/>
    <w:rsid w:val="007959ED"/>
    <w:rsid w:val="00796649"/>
    <w:rsid w:val="007969AA"/>
    <w:rsid w:val="00797054"/>
    <w:rsid w:val="00797169"/>
    <w:rsid w:val="00797380"/>
    <w:rsid w:val="0079764A"/>
    <w:rsid w:val="0079791B"/>
    <w:rsid w:val="00797B55"/>
    <w:rsid w:val="00797BC9"/>
    <w:rsid w:val="00797C1E"/>
    <w:rsid w:val="00797D7F"/>
    <w:rsid w:val="007A093C"/>
    <w:rsid w:val="007A0E6C"/>
    <w:rsid w:val="007A0EA2"/>
    <w:rsid w:val="007A115F"/>
    <w:rsid w:val="007A1371"/>
    <w:rsid w:val="007A21AD"/>
    <w:rsid w:val="007A2247"/>
    <w:rsid w:val="007A23C9"/>
    <w:rsid w:val="007A2479"/>
    <w:rsid w:val="007A2551"/>
    <w:rsid w:val="007A33A4"/>
    <w:rsid w:val="007A4006"/>
    <w:rsid w:val="007A4673"/>
    <w:rsid w:val="007A4A59"/>
    <w:rsid w:val="007A50C2"/>
    <w:rsid w:val="007A5255"/>
    <w:rsid w:val="007A53F3"/>
    <w:rsid w:val="007A6823"/>
    <w:rsid w:val="007A6989"/>
    <w:rsid w:val="007A6DE3"/>
    <w:rsid w:val="007A73D1"/>
    <w:rsid w:val="007A75F8"/>
    <w:rsid w:val="007B027E"/>
    <w:rsid w:val="007B02F5"/>
    <w:rsid w:val="007B08FD"/>
    <w:rsid w:val="007B0A90"/>
    <w:rsid w:val="007B106B"/>
    <w:rsid w:val="007B1133"/>
    <w:rsid w:val="007B1493"/>
    <w:rsid w:val="007B1F0B"/>
    <w:rsid w:val="007B216E"/>
    <w:rsid w:val="007B25B4"/>
    <w:rsid w:val="007B2C6A"/>
    <w:rsid w:val="007B317A"/>
    <w:rsid w:val="007B3A87"/>
    <w:rsid w:val="007B3E2A"/>
    <w:rsid w:val="007B3F96"/>
    <w:rsid w:val="007B4006"/>
    <w:rsid w:val="007B4042"/>
    <w:rsid w:val="007B433F"/>
    <w:rsid w:val="007B4484"/>
    <w:rsid w:val="007B490E"/>
    <w:rsid w:val="007B4AF3"/>
    <w:rsid w:val="007B4D44"/>
    <w:rsid w:val="007B4DF3"/>
    <w:rsid w:val="007B4E55"/>
    <w:rsid w:val="007B4EC4"/>
    <w:rsid w:val="007B4FB5"/>
    <w:rsid w:val="007B50D5"/>
    <w:rsid w:val="007B556E"/>
    <w:rsid w:val="007B573D"/>
    <w:rsid w:val="007B5C7E"/>
    <w:rsid w:val="007B5FB2"/>
    <w:rsid w:val="007B6523"/>
    <w:rsid w:val="007B6551"/>
    <w:rsid w:val="007B6CC1"/>
    <w:rsid w:val="007B6F75"/>
    <w:rsid w:val="007B6FED"/>
    <w:rsid w:val="007B6FFF"/>
    <w:rsid w:val="007B7543"/>
    <w:rsid w:val="007B79E2"/>
    <w:rsid w:val="007C0B63"/>
    <w:rsid w:val="007C11F7"/>
    <w:rsid w:val="007C1560"/>
    <w:rsid w:val="007C1C54"/>
    <w:rsid w:val="007C1E7F"/>
    <w:rsid w:val="007C2290"/>
    <w:rsid w:val="007C2447"/>
    <w:rsid w:val="007C2A95"/>
    <w:rsid w:val="007C2BDB"/>
    <w:rsid w:val="007C2D2F"/>
    <w:rsid w:val="007C2F1E"/>
    <w:rsid w:val="007C340C"/>
    <w:rsid w:val="007C3B38"/>
    <w:rsid w:val="007C4327"/>
    <w:rsid w:val="007C433D"/>
    <w:rsid w:val="007C4B00"/>
    <w:rsid w:val="007C57BE"/>
    <w:rsid w:val="007C5A00"/>
    <w:rsid w:val="007C5E18"/>
    <w:rsid w:val="007C6241"/>
    <w:rsid w:val="007C68BD"/>
    <w:rsid w:val="007C6983"/>
    <w:rsid w:val="007C6B95"/>
    <w:rsid w:val="007C6C85"/>
    <w:rsid w:val="007C6E1F"/>
    <w:rsid w:val="007C76B6"/>
    <w:rsid w:val="007C76EB"/>
    <w:rsid w:val="007C7733"/>
    <w:rsid w:val="007D0307"/>
    <w:rsid w:val="007D0900"/>
    <w:rsid w:val="007D0C05"/>
    <w:rsid w:val="007D0F06"/>
    <w:rsid w:val="007D187F"/>
    <w:rsid w:val="007D219A"/>
    <w:rsid w:val="007D229C"/>
    <w:rsid w:val="007D2591"/>
    <w:rsid w:val="007D274F"/>
    <w:rsid w:val="007D27B0"/>
    <w:rsid w:val="007D2DA7"/>
    <w:rsid w:val="007D3010"/>
    <w:rsid w:val="007D3188"/>
    <w:rsid w:val="007D33A3"/>
    <w:rsid w:val="007D34D9"/>
    <w:rsid w:val="007D373B"/>
    <w:rsid w:val="007D3A2C"/>
    <w:rsid w:val="007D3D83"/>
    <w:rsid w:val="007D3FEF"/>
    <w:rsid w:val="007D4691"/>
    <w:rsid w:val="007D4CCD"/>
    <w:rsid w:val="007D5762"/>
    <w:rsid w:val="007D62A2"/>
    <w:rsid w:val="007D7156"/>
    <w:rsid w:val="007E02E8"/>
    <w:rsid w:val="007E0618"/>
    <w:rsid w:val="007E0689"/>
    <w:rsid w:val="007E0BF8"/>
    <w:rsid w:val="007E1231"/>
    <w:rsid w:val="007E12E8"/>
    <w:rsid w:val="007E1650"/>
    <w:rsid w:val="007E1B64"/>
    <w:rsid w:val="007E1BBB"/>
    <w:rsid w:val="007E1EB6"/>
    <w:rsid w:val="007E262C"/>
    <w:rsid w:val="007E265A"/>
    <w:rsid w:val="007E353D"/>
    <w:rsid w:val="007E4679"/>
    <w:rsid w:val="007E486A"/>
    <w:rsid w:val="007E4F58"/>
    <w:rsid w:val="007E5101"/>
    <w:rsid w:val="007E62B1"/>
    <w:rsid w:val="007E62ED"/>
    <w:rsid w:val="007E680E"/>
    <w:rsid w:val="007E6860"/>
    <w:rsid w:val="007E6CF7"/>
    <w:rsid w:val="007E71CE"/>
    <w:rsid w:val="007E7993"/>
    <w:rsid w:val="007E7C66"/>
    <w:rsid w:val="007E7F21"/>
    <w:rsid w:val="007F04DD"/>
    <w:rsid w:val="007F06B8"/>
    <w:rsid w:val="007F0B73"/>
    <w:rsid w:val="007F0CDB"/>
    <w:rsid w:val="007F1074"/>
    <w:rsid w:val="007F13D0"/>
    <w:rsid w:val="007F14A5"/>
    <w:rsid w:val="007F1553"/>
    <w:rsid w:val="007F18BE"/>
    <w:rsid w:val="007F1B5B"/>
    <w:rsid w:val="007F1C1B"/>
    <w:rsid w:val="007F2094"/>
    <w:rsid w:val="007F2141"/>
    <w:rsid w:val="007F2984"/>
    <w:rsid w:val="007F2A49"/>
    <w:rsid w:val="007F2B1C"/>
    <w:rsid w:val="007F2EB1"/>
    <w:rsid w:val="007F2FBE"/>
    <w:rsid w:val="007F3851"/>
    <w:rsid w:val="007F3ACD"/>
    <w:rsid w:val="007F45C5"/>
    <w:rsid w:val="007F4832"/>
    <w:rsid w:val="007F5E02"/>
    <w:rsid w:val="007F62AE"/>
    <w:rsid w:val="007F6922"/>
    <w:rsid w:val="007F6FEC"/>
    <w:rsid w:val="007F70FA"/>
    <w:rsid w:val="007F71C9"/>
    <w:rsid w:val="007F7634"/>
    <w:rsid w:val="007F7CAC"/>
    <w:rsid w:val="007F7E8D"/>
    <w:rsid w:val="007F7EAB"/>
    <w:rsid w:val="008000DF"/>
    <w:rsid w:val="0080017C"/>
    <w:rsid w:val="008010C5"/>
    <w:rsid w:val="008015A8"/>
    <w:rsid w:val="00801603"/>
    <w:rsid w:val="008017E9"/>
    <w:rsid w:val="00801AC0"/>
    <w:rsid w:val="00801CF0"/>
    <w:rsid w:val="00801D13"/>
    <w:rsid w:val="008021F1"/>
    <w:rsid w:val="00802266"/>
    <w:rsid w:val="00802327"/>
    <w:rsid w:val="0080245D"/>
    <w:rsid w:val="00802AAF"/>
    <w:rsid w:val="00802DCD"/>
    <w:rsid w:val="008032D7"/>
    <w:rsid w:val="008034FC"/>
    <w:rsid w:val="00803961"/>
    <w:rsid w:val="00803C9F"/>
    <w:rsid w:val="00803CD8"/>
    <w:rsid w:val="00803E1A"/>
    <w:rsid w:val="00804333"/>
    <w:rsid w:val="00804343"/>
    <w:rsid w:val="008047E8"/>
    <w:rsid w:val="0080513B"/>
    <w:rsid w:val="0080586A"/>
    <w:rsid w:val="008059C5"/>
    <w:rsid w:val="00805E8B"/>
    <w:rsid w:val="008067C1"/>
    <w:rsid w:val="00806860"/>
    <w:rsid w:val="00806C7B"/>
    <w:rsid w:val="00807627"/>
    <w:rsid w:val="00807AB2"/>
    <w:rsid w:val="00810229"/>
    <w:rsid w:val="008103D4"/>
    <w:rsid w:val="008104FB"/>
    <w:rsid w:val="00810C07"/>
    <w:rsid w:val="00811217"/>
    <w:rsid w:val="0081167C"/>
    <w:rsid w:val="00811950"/>
    <w:rsid w:val="008119CA"/>
    <w:rsid w:val="00811CCA"/>
    <w:rsid w:val="00811DC4"/>
    <w:rsid w:val="008122B2"/>
    <w:rsid w:val="008129B2"/>
    <w:rsid w:val="00812D9C"/>
    <w:rsid w:val="00813264"/>
    <w:rsid w:val="00813A2C"/>
    <w:rsid w:val="00814240"/>
    <w:rsid w:val="0081431D"/>
    <w:rsid w:val="008143B4"/>
    <w:rsid w:val="0081459C"/>
    <w:rsid w:val="0081477D"/>
    <w:rsid w:val="0081500C"/>
    <w:rsid w:val="00815090"/>
    <w:rsid w:val="008154AA"/>
    <w:rsid w:val="008157FD"/>
    <w:rsid w:val="00815E02"/>
    <w:rsid w:val="00816192"/>
    <w:rsid w:val="0081667A"/>
    <w:rsid w:val="008166C7"/>
    <w:rsid w:val="008167B7"/>
    <w:rsid w:val="0081683D"/>
    <w:rsid w:val="00816C3B"/>
    <w:rsid w:val="00817744"/>
    <w:rsid w:val="00820524"/>
    <w:rsid w:val="008208CA"/>
    <w:rsid w:val="00820D7A"/>
    <w:rsid w:val="00820E2F"/>
    <w:rsid w:val="00820F7E"/>
    <w:rsid w:val="0082177C"/>
    <w:rsid w:val="008218A2"/>
    <w:rsid w:val="0082194B"/>
    <w:rsid w:val="0082195A"/>
    <w:rsid w:val="008226B0"/>
    <w:rsid w:val="00822A82"/>
    <w:rsid w:val="0082315F"/>
    <w:rsid w:val="00823568"/>
    <w:rsid w:val="0082397E"/>
    <w:rsid w:val="00824DD9"/>
    <w:rsid w:val="0082547D"/>
    <w:rsid w:val="00825723"/>
    <w:rsid w:val="00825AC1"/>
    <w:rsid w:val="00825C2B"/>
    <w:rsid w:val="00825F2B"/>
    <w:rsid w:val="00826174"/>
    <w:rsid w:val="0082654E"/>
    <w:rsid w:val="008268F0"/>
    <w:rsid w:val="008269F8"/>
    <w:rsid w:val="00826A21"/>
    <w:rsid w:val="00827270"/>
    <w:rsid w:val="00827322"/>
    <w:rsid w:val="008276A4"/>
    <w:rsid w:val="00827BC9"/>
    <w:rsid w:val="00827C67"/>
    <w:rsid w:val="008301E5"/>
    <w:rsid w:val="00830299"/>
    <w:rsid w:val="00830799"/>
    <w:rsid w:val="00831028"/>
    <w:rsid w:val="00831594"/>
    <w:rsid w:val="008318AC"/>
    <w:rsid w:val="00831B2B"/>
    <w:rsid w:val="00831C0C"/>
    <w:rsid w:val="008325EF"/>
    <w:rsid w:val="008327BF"/>
    <w:rsid w:val="00832B66"/>
    <w:rsid w:val="008332DA"/>
    <w:rsid w:val="008332EE"/>
    <w:rsid w:val="008334F3"/>
    <w:rsid w:val="00833D88"/>
    <w:rsid w:val="00833E66"/>
    <w:rsid w:val="00834152"/>
    <w:rsid w:val="008342D1"/>
    <w:rsid w:val="008342FD"/>
    <w:rsid w:val="00834AF0"/>
    <w:rsid w:val="00834EC7"/>
    <w:rsid w:val="00835022"/>
    <w:rsid w:val="00835BBB"/>
    <w:rsid w:val="00835C43"/>
    <w:rsid w:val="00835DEA"/>
    <w:rsid w:val="00836301"/>
    <w:rsid w:val="0083671D"/>
    <w:rsid w:val="00837104"/>
    <w:rsid w:val="00837159"/>
    <w:rsid w:val="008375FB"/>
    <w:rsid w:val="0083789F"/>
    <w:rsid w:val="00837BB4"/>
    <w:rsid w:val="00837C40"/>
    <w:rsid w:val="00841451"/>
    <w:rsid w:val="008416CA"/>
    <w:rsid w:val="008418E2"/>
    <w:rsid w:val="00841F59"/>
    <w:rsid w:val="00842018"/>
    <w:rsid w:val="0084215E"/>
    <w:rsid w:val="0084289B"/>
    <w:rsid w:val="00842BDF"/>
    <w:rsid w:val="00842C5D"/>
    <w:rsid w:val="00842FDA"/>
    <w:rsid w:val="008432B9"/>
    <w:rsid w:val="008433D2"/>
    <w:rsid w:val="008435EC"/>
    <w:rsid w:val="00843789"/>
    <w:rsid w:val="008438B6"/>
    <w:rsid w:val="00843BBB"/>
    <w:rsid w:val="00843DA6"/>
    <w:rsid w:val="00844365"/>
    <w:rsid w:val="00844B6B"/>
    <w:rsid w:val="00844DBD"/>
    <w:rsid w:val="00844F03"/>
    <w:rsid w:val="0084533F"/>
    <w:rsid w:val="008455E1"/>
    <w:rsid w:val="008457EB"/>
    <w:rsid w:val="00845BD5"/>
    <w:rsid w:val="00845F98"/>
    <w:rsid w:val="00845FEE"/>
    <w:rsid w:val="0084675D"/>
    <w:rsid w:val="00846BDC"/>
    <w:rsid w:val="00846CC2"/>
    <w:rsid w:val="0084719B"/>
    <w:rsid w:val="008471EB"/>
    <w:rsid w:val="00847A08"/>
    <w:rsid w:val="00847A9E"/>
    <w:rsid w:val="00847B55"/>
    <w:rsid w:val="00847F70"/>
    <w:rsid w:val="008504AA"/>
    <w:rsid w:val="0085066F"/>
    <w:rsid w:val="008508B5"/>
    <w:rsid w:val="00850F57"/>
    <w:rsid w:val="00850FF6"/>
    <w:rsid w:val="00851AA5"/>
    <w:rsid w:val="00851D04"/>
    <w:rsid w:val="00851DE0"/>
    <w:rsid w:val="00852071"/>
    <w:rsid w:val="00852280"/>
    <w:rsid w:val="0085229B"/>
    <w:rsid w:val="008525B5"/>
    <w:rsid w:val="00852680"/>
    <w:rsid w:val="008526C5"/>
    <w:rsid w:val="00852B62"/>
    <w:rsid w:val="00852D16"/>
    <w:rsid w:val="0085342F"/>
    <w:rsid w:val="008535E9"/>
    <w:rsid w:val="008538E3"/>
    <w:rsid w:val="00853CF1"/>
    <w:rsid w:val="00854303"/>
    <w:rsid w:val="0085442C"/>
    <w:rsid w:val="00854640"/>
    <w:rsid w:val="00854B33"/>
    <w:rsid w:val="00854C96"/>
    <w:rsid w:val="0085526D"/>
    <w:rsid w:val="00855706"/>
    <w:rsid w:val="008568CC"/>
    <w:rsid w:val="008568D3"/>
    <w:rsid w:val="00856D09"/>
    <w:rsid w:val="00856D33"/>
    <w:rsid w:val="00857845"/>
    <w:rsid w:val="00857D37"/>
    <w:rsid w:val="00857F7D"/>
    <w:rsid w:val="00860016"/>
    <w:rsid w:val="008603DF"/>
    <w:rsid w:val="008606B3"/>
    <w:rsid w:val="00860756"/>
    <w:rsid w:val="00860B82"/>
    <w:rsid w:val="00860D96"/>
    <w:rsid w:val="00860F24"/>
    <w:rsid w:val="00860FD6"/>
    <w:rsid w:val="00861A61"/>
    <w:rsid w:val="00861D77"/>
    <w:rsid w:val="00862223"/>
    <w:rsid w:val="0086247F"/>
    <w:rsid w:val="008624A3"/>
    <w:rsid w:val="008625EE"/>
    <w:rsid w:val="008628AF"/>
    <w:rsid w:val="008629C6"/>
    <w:rsid w:val="00862BDD"/>
    <w:rsid w:val="00862E5D"/>
    <w:rsid w:val="0086347D"/>
    <w:rsid w:val="008635EE"/>
    <w:rsid w:val="00864385"/>
    <w:rsid w:val="008652A5"/>
    <w:rsid w:val="00865344"/>
    <w:rsid w:val="008656D3"/>
    <w:rsid w:val="00865787"/>
    <w:rsid w:val="0086579B"/>
    <w:rsid w:val="0086581E"/>
    <w:rsid w:val="00865ACE"/>
    <w:rsid w:val="00865D31"/>
    <w:rsid w:val="00865E1D"/>
    <w:rsid w:val="00866087"/>
    <w:rsid w:val="0086632C"/>
    <w:rsid w:val="00866443"/>
    <w:rsid w:val="0086653F"/>
    <w:rsid w:val="00866DA4"/>
    <w:rsid w:val="00866F3B"/>
    <w:rsid w:val="00866F49"/>
    <w:rsid w:val="008671FC"/>
    <w:rsid w:val="008673F0"/>
    <w:rsid w:val="00867612"/>
    <w:rsid w:val="00867CEB"/>
    <w:rsid w:val="00867FFA"/>
    <w:rsid w:val="00870218"/>
    <w:rsid w:val="0087087C"/>
    <w:rsid w:val="0087098D"/>
    <w:rsid w:val="00870F1F"/>
    <w:rsid w:val="00872234"/>
    <w:rsid w:val="00872BF2"/>
    <w:rsid w:val="00872C36"/>
    <w:rsid w:val="00872F2D"/>
    <w:rsid w:val="00873431"/>
    <w:rsid w:val="0087350B"/>
    <w:rsid w:val="00873E0E"/>
    <w:rsid w:val="00874237"/>
    <w:rsid w:val="008746D0"/>
    <w:rsid w:val="00874A48"/>
    <w:rsid w:val="008753FF"/>
    <w:rsid w:val="00875D33"/>
    <w:rsid w:val="008761B1"/>
    <w:rsid w:val="00876243"/>
    <w:rsid w:val="0087624D"/>
    <w:rsid w:val="00876527"/>
    <w:rsid w:val="00876A0E"/>
    <w:rsid w:val="00876DD9"/>
    <w:rsid w:val="00876EA8"/>
    <w:rsid w:val="0087755A"/>
    <w:rsid w:val="0087768C"/>
    <w:rsid w:val="008779E9"/>
    <w:rsid w:val="00877A6A"/>
    <w:rsid w:val="00877B84"/>
    <w:rsid w:val="008800D4"/>
    <w:rsid w:val="00880111"/>
    <w:rsid w:val="00880D36"/>
    <w:rsid w:val="008810B3"/>
    <w:rsid w:val="008815E0"/>
    <w:rsid w:val="00881E7D"/>
    <w:rsid w:val="0088248D"/>
    <w:rsid w:val="00882B64"/>
    <w:rsid w:val="00882F95"/>
    <w:rsid w:val="008837FE"/>
    <w:rsid w:val="008838D6"/>
    <w:rsid w:val="0088405E"/>
    <w:rsid w:val="00884D3F"/>
    <w:rsid w:val="00884E88"/>
    <w:rsid w:val="00885C1E"/>
    <w:rsid w:val="00885E97"/>
    <w:rsid w:val="00885F5D"/>
    <w:rsid w:val="008861E2"/>
    <w:rsid w:val="00886399"/>
    <w:rsid w:val="0088664A"/>
    <w:rsid w:val="00886888"/>
    <w:rsid w:val="00886E83"/>
    <w:rsid w:val="00886F42"/>
    <w:rsid w:val="0088729B"/>
    <w:rsid w:val="00887EF4"/>
    <w:rsid w:val="0089064E"/>
    <w:rsid w:val="008906E8"/>
    <w:rsid w:val="00890702"/>
    <w:rsid w:val="00890AEE"/>
    <w:rsid w:val="00890C5C"/>
    <w:rsid w:val="00890D5E"/>
    <w:rsid w:val="00890FE8"/>
    <w:rsid w:val="00891061"/>
    <w:rsid w:val="0089115A"/>
    <w:rsid w:val="008912D5"/>
    <w:rsid w:val="008913BB"/>
    <w:rsid w:val="008917F7"/>
    <w:rsid w:val="008917FC"/>
    <w:rsid w:val="00891BD1"/>
    <w:rsid w:val="00892FA1"/>
    <w:rsid w:val="00892FF0"/>
    <w:rsid w:val="00893511"/>
    <w:rsid w:val="0089364C"/>
    <w:rsid w:val="00893806"/>
    <w:rsid w:val="008938D9"/>
    <w:rsid w:val="00893AD1"/>
    <w:rsid w:val="00893CC9"/>
    <w:rsid w:val="00893D4A"/>
    <w:rsid w:val="00894306"/>
    <w:rsid w:val="00894429"/>
    <w:rsid w:val="008946A3"/>
    <w:rsid w:val="0089489B"/>
    <w:rsid w:val="00894A55"/>
    <w:rsid w:val="00894EEC"/>
    <w:rsid w:val="00894FAF"/>
    <w:rsid w:val="0089597A"/>
    <w:rsid w:val="008959C9"/>
    <w:rsid w:val="00895B8B"/>
    <w:rsid w:val="00895CEA"/>
    <w:rsid w:val="00895FA3"/>
    <w:rsid w:val="00896123"/>
    <w:rsid w:val="00896729"/>
    <w:rsid w:val="00896F33"/>
    <w:rsid w:val="00897228"/>
    <w:rsid w:val="008974D9"/>
    <w:rsid w:val="0089758A"/>
    <w:rsid w:val="00897A59"/>
    <w:rsid w:val="00897A9E"/>
    <w:rsid w:val="008A0013"/>
    <w:rsid w:val="008A00BF"/>
    <w:rsid w:val="008A024F"/>
    <w:rsid w:val="008A09AB"/>
    <w:rsid w:val="008A112A"/>
    <w:rsid w:val="008A1E2D"/>
    <w:rsid w:val="008A23AD"/>
    <w:rsid w:val="008A24AA"/>
    <w:rsid w:val="008A2786"/>
    <w:rsid w:val="008A2C4E"/>
    <w:rsid w:val="008A2F58"/>
    <w:rsid w:val="008A3120"/>
    <w:rsid w:val="008A3238"/>
    <w:rsid w:val="008A32FF"/>
    <w:rsid w:val="008A3996"/>
    <w:rsid w:val="008A3C5F"/>
    <w:rsid w:val="008A3E59"/>
    <w:rsid w:val="008A4A7D"/>
    <w:rsid w:val="008A4CDA"/>
    <w:rsid w:val="008A58B9"/>
    <w:rsid w:val="008A59AD"/>
    <w:rsid w:val="008A5E17"/>
    <w:rsid w:val="008A6033"/>
    <w:rsid w:val="008A670D"/>
    <w:rsid w:val="008A6C30"/>
    <w:rsid w:val="008A6CB4"/>
    <w:rsid w:val="008A6D74"/>
    <w:rsid w:val="008A7BCE"/>
    <w:rsid w:val="008A7E3E"/>
    <w:rsid w:val="008B0293"/>
    <w:rsid w:val="008B085F"/>
    <w:rsid w:val="008B0B45"/>
    <w:rsid w:val="008B116B"/>
    <w:rsid w:val="008B13EA"/>
    <w:rsid w:val="008B1403"/>
    <w:rsid w:val="008B14E4"/>
    <w:rsid w:val="008B1597"/>
    <w:rsid w:val="008B1881"/>
    <w:rsid w:val="008B1A7A"/>
    <w:rsid w:val="008B1D1A"/>
    <w:rsid w:val="008B1FFA"/>
    <w:rsid w:val="008B2189"/>
    <w:rsid w:val="008B24A4"/>
    <w:rsid w:val="008B2C96"/>
    <w:rsid w:val="008B2DFC"/>
    <w:rsid w:val="008B3250"/>
    <w:rsid w:val="008B35B1"/>
    <w:rsid w:val="008B3BF3"/>
    <w:rsid w:val="008B4141"/>
    <w:rsid w:val="008B4182"/>
    <w:rsid w:val="008B43C9"/>
    <w:rsid w:val="008B46FE"/>
    <w:rsid w:val="008B4B58"/>
    <w:rsid w:val="008B4DB4"/>
    <w:rsid w:val="008B4F14"/>
    <w:rsid w:val="008B50DB"/>
    <w:rsid w:val="008B5903"/>
    <w:rsid w:val="008B5AA6"/>
    <w:rsid w:val="008B5AE0"/>
    <w:rsid w:val="008B5DD4"/>
    <w:rsid w:val="008B5F5B"/>
    <w:rsid w:val="008B6739"/>
    <w:rsid w:val="008B6844"/>
    <w:rsid w:val="008B6A23"/>
    <w:rsid w:val="008B6CAC"/>
    <w:rsid w:val="008B6CEF"/>
    <w:rsid w:val="008B6DC7"/>
    <w:rsid w:val="008B7971"/>
    <w:rsid w:val="008B7C20"/>
    <w:rsid w:val="008B7C5C"/>
    <w:rsid w:val="008B7FCD"/>
    <w:rsid w:val="008C0549"/>
    <w:rsid w:val="008C1BF3"/>
    <w:rsid w:val="008C1C73"/>
    <w:rsid w:val="008C1FAE"/>
    <w:rsid w:val="008C295E"/>
    <w:rsid w:val="008C2A59"/>
    <w:rsid w:val="008C301C"/>
    <w:rsid w:val="008C3084"/>
    <w:rsid w:val="008C3299"/>
    <w:rsid w:val="008C3494"/>
    <w:rsid w:val="008C34A4"/>
    <w:rsid w:val="008C3517"/>
    <w:rsid w:val="008C38DD"/>
    <w:rsid w:val="008C3A1C"/>
    <w:rsid w:val="008C42FB"/>
    <w:rsid w:val="008C4399"/>
    <w:rsid w:val="008C4417"/>
    <w:rsid w:val="008C4B52"/>
    <w:rsid w:val="008C515A"/>
    <w:rsid w:val="008C5453"/>
    <w:rsid w:val="008C5EAD"/>
    <w:rsid w:val="008C5F4C"/>
    <w:rsid w:val="008C6C1C"/>
    <w:rsid w:val="008C6DEF"/>
    <w:rsid w:val="008C7124"/>
    <w:rsid w:val="008C727B"/>
    <w:rsid w:val="008C75CD"/>
    <w:rsid w:val="008C7B4A"/>
    <w:rsid w:val="008C7CB3"/>
    <w:rsid w:val="008D0084"/>
    <w:rsid w:val="008D04E5"/>
    <w:rsid w:val="008D05B4"/>
    <w:rsid w:val="008D0796"/>
    <w:rsid w:val="008D0E8C"/>
    <w:rsid w:val="008D223D"/>
    <w:rsid w:val="008D2358"/>
    <w:rsid w:val="008D244A"/>
    <w:rsid w:val="008D27A4"/>
    <w:rsid w:val="008D29BD"/>
    <w:rsid w:val="008D314E"/>
    <w:rsid w:val="008D34C4"/>
    <w:rsid w:val="008D350D"/>
    <w:rsid w:val="008D3966"/>
    <w:rsid w:val="008D3AAE"/>
    <w:rsid w:val="008D3B07"/>
    <w:rsid w:val="008D3BDA"/>
    <w:rsid w:val="008D3DF0"/>
    <w:rsid w:val="008D45A6"/>
    <w:rsid w:val="008D4F05"/>
    <w:rsid w:val="008D4F10"/>
    <w:rsid w:val="008D501E"/>
    <w:rsid w:val="008D5832"/>
    <w:rsid w:val="008D58AA"/>
    <w:rsid w:val="008D595A"/>
    <w:rsid w:val="008D6061"/>
    <w:rsid w:val="008D6442"/>
    <w:rsid w:val="008D6BC1"/>
    <w:rsid w:val="008D6E22"/>
    <w:rsid w:val="008D6F74"/>
    <w:rsid w:val="008D705B"/>
    <w:rsid w:val="008D74EC"/>
    <w:rsid w:val="008D7C27"/>
    <w:rsid w:val="008D7FCB"/>
    <w:rsid w:val="008E01F4"/>
    <w:rsid w:val="008E0615"/>
    <w:rsid w:val="008E0694"/>
    <w:rsid w:val="008E0AD8"/>
    <w:rsid w:val="008E0D17"/>
    <w:rsid w:val="008E19BA"/>
    <w:rsid w:val="008E1E55"/>
    <w:rsid w:val="008E20E0"/>
    <w:rsid w:val="008E2685"/>
    <w:rsid w:val="008E2868"/>
    <w:rsid w:val="008E34AA"/>
    <w:rsid w:val="008E3751"/>
    <w:rsid w:val="008E38D9"/>
    <w:rsid w:val="008E3AB4"/>
    <w:rsid w:val="008E4DE1"/>
    <w:rsid w:val="008E4E70"/>
    <w:rsid w:val="008E5163"/>
    <w:rsid w:val="008E51F2"/>
    <w:rsid w:val="008E54C1"/>
    <w:rsid w:val="008E565F"/>
    <w:rsid w:val="008E56E0"/>
    <w:rsid w:val="008E5F89"/>
    <w:rsid w:val="008E622D"/>
    <w:rsid w:val="008E6306"/>
    <w:rsid w:val="008E63E1"/>
    <w:rsid w:val="008E64A5"/>
    <w:rsid w:val="008E6513"/>
    <w:rsid w:val="008E7FAE"/>
    <w:rsid w:val="008F0324"/>
    <w:rsid w:val="008F0938"/>
    <w:rsid w:val="008F1320"/>
    <w:rsid w:val="008F14A5"/>
    <w:rsid w:val="008F15C0"/>
    <w:rsid w:val="008F259F"/>
    <w:rsid w:val="008F28A9"/>
    <w:rsid w:val="008F2CA6"/>
    <w:rsid w:val="008F2DF7"/>
    <w:rsid w:val="008F2E52"/>
    <w:rsid w:val="008F2F1D"/>
    <w:rsid w:val="008F361E"/>
    <w:rsid w:val="008F3897"/>
    <w:rsid w:val="008F3A21"/>
    <w:rsid w:val="008F3E22"/>
    <w:rsid w:val="008F467D"/>
    <w:rsid w:val="008F4744"/>
    <w:rsid w:val="008F4C99"/>
    <w:rsid w:val="008F4D8D"/>
    <w:rsid w:val="008F5229"/>
    <w:rsid w:val="008F5BEF"/>
    <w:rsid w:val="008F6843"/>
    <w:rsid w:val="008F68CF"/>
    <w:rsid w:val="008F6EEB"/>
    <w:rsid w:val="00900414"/>
    <w:rsid w:val="00900756"/>
    <w:rsid w:val="0090101F"/>
    <w:rsid w:val="009011C4"/>
    <w:rsid w:val="00901440"/>
    <w:rsid w:val="009016DD"/>
    <w:rsid w:val="009017A9"/>
    <w:rsid w:val="009019D8"/>
    <w:rsid w:val="00902656"/>
    <w:rsid w:val="00902915"/>
    <w:rsid w:val="00902CEA"/>
    <w:rsid w:val="00902FDE"/>
    <w:rsid w:val="009031AF"/>
    <w:rsid w:val="009032CD"/>
    <w:rsid w:val="009032E9"/>
    <w:rsid w:val="00903396"/>
    <w:rsid w:val="00903EA1"/>
    <w:rsid w:val="009040DA"/>
    <w:rsid w:val="00904612"/>
    <w:rsid w:val="0090496B"/>
    <w:rsid w:val="009049F7"/>
    <w:rsid w:val="00904DBE"/>
    <w:rsid w:val="00904EE2"/>
    <w:rsid w:val="009050B0"/>
    <w:rsid w:val="009051CB"/>
    <w:rsid w:val="00905469"/>
    <w:rsid w:val="0090562C"/>
    <w:rsid w:val="0090669D"/>
    <w:rsid w:val="00906E0C"/>
    <w:rsid w:val="0090742B"/>
    <w:rsid w:val="00907720"/>
    <w:rsid w:val="00907D7D"/>
    <w:rsid w:val="00907F45"/>
    <w:rsid w:val="0091015D"/>
    <w:rsid w:val="0091065F"/>
    <w:rsid w:val="009106B4"/>
    <w:rsid w:val="00910A3D"/>
    <w:rsid w:val="00910B54"/>
    <w:rsid w:val="00910B73"/>
    <w:rsid w:val="00910BD5"/>
    <w:rsid w:val="0091113B"/>
    <w:rsid w:val="0091212A"/>
    <w:rsid w:val="00912148"/>
    <w:rsid w:val="00912415"/>
    <w:rsid w:val="00912774"/>
    <w:rsid w:val="009129E8"/>
    <w:rsid w:val="00912FE0"/>
    <w:rsid w:val="0091314D"/>
    <w:rsid w:val="009135ED"/>
    <w:rsid w:val="00913748"/>
    <w:rsid w:val="009139BB"/>
    <w:rsid w:val="00913E3C"/>
    <w:rsid w:val="00914013"/>
    <w:rsid w:val="009143CD"/>
    <w:rsid w:val="00914676"/>
    <w:rsid w:val="009149A3"/>
    <w:rsid w:val="00915698"/>
    <w:rsid w:val="00915B11"/>
    <w:rsid w:val="00916372"/>
    <w:rsid w:val="0091687A"/>
    <w:rsid w:val="00916914"/>
    <w:rsid w:val="00916A6C"/>
    <w:rsid w:val="00917194"/>
    <w:rsid w:val="0091729A"/>
    <w:rsid w:val="0091764E"/>
    <w:rsid w:val="00917826"/>
    <w:rsid w:val="00917913"/>
    <w:rsid w:val="00917A26"/>
    <w:rsid w:val="00917A7D"/>
    <w:rsid w:val="00917C4A"/>
    <w:rsid w:val="00917E93"/>
    <w:rsid w:val="0092005C"/>
    <w:rsid w:val="0092030B"/>
    <w:rsid w:val="00920477"/>
    <w:rsid w:val="0092053F"/>
    <w:rsid w:val="0092076B"/>
    <w:rsid w:val="00920F06"/>
    <w:rsid w:val="0092112C"/>
    <w:rsid w:val="0092188C"/>
    <w:rsid w:val="00921B97"/>
    <w:rsid w:val="00922136"/>
    <w:rsid w:val="0092248E"/>
    <w:rsid w:val="0092288A"/>
    <w:rsid w:val="00922B2C"/>
    <w:rsid w:val="00922BB0"/>
    <w:rsid w:val="00922C38"/>
    <w:rsid w:val="00922E91"/>
    <w:rsid w:val="00923891"/>
    <w:rsid w:val="00923BCC"/>
    <w:rsid w:val="00923F59"/>
    <w:rsid w:val="0092412C"/>
    <w:rsid w:val="009249F9"/>
    <w:rsid w:val="00924CF7"/>
    <w:rsid w:val="00924E41"/>
    <w:rsid w:val="009250FD"/>
    <w:rsid w:val="0092547A"/>
    <w:rsid w:val="00925F4D"/>
    <w:rsid w:val="00925F78"/>
    <w:rsid w:val="00926518"/>
    <w:rsid w:val="00926820"/>
    <w:rsid w:val="00926A54"/>
    <w:rsid w:val="00926ACD"/>
    <w:rsid w:val="00926C5F"/>
    <w:rsid w:val="00926F44"/>
    <w:rsid w:val="009275EC"/>
    <w:rsid w:val="00927BC9"/>
    <w:rsid w:val="00927DCD"/>
    <w:rsid w:val="0093044F"/>
    <w:rsid w:val="0093080E"/>
    <w:rsid w:val="00930A85"/>
    <w:rsid w:val="00930ABD"/>
    <w:rsid w:val="00930C35"/>
    <w:rsid w:val="00930CE4"/>
    <w:rsid w:val="00931134"/>
    <w:rsid w:val="0093160C"/>
    <w:rsid w:val="009316C0"/>
    <w:rsid w:val="009317AC"/>
    <w:rsid w:val="00931DCD"/>
    <w:rsid w:val="00931E44"/>
    <w:rsid w:val="00931FF9"/>
    <w:rsid w:val="0093242F"/>
    <w:rsid w:val="00932947"/>
    <w:rsid w:val="00932D18"/>
    <w:rsid w:val="00932DD8"/>
    <w:rsid w:val="00932EB2"/>
    <w:rsid w:val="0093355E"/>
    <w:rsid w:val="00934462"/>
    <w:rsid w:val="009347B0"/>
    <w:rsid w:val="00934860"/>
    <w:rsid w:val="00934ADF"/>
    <w:rsid w:val="00934B10"/>
    <w:rsid w:val="00934D4C"/>
    <w:rsid w:val="00935218"/>
    <w:rsid w:val="009354E8"/>
    <w:rsid w:val="00935A1A"/>
    <w:rsid w:val="00935FCD"/>
    <w:rsid w:val="0093638E"/>
    <w:rsid w:val="00936571"/>
    <w:rsid w:val="0093664F"/>
    <w:rsid w:val="00936A66"/>
    <w:rsid w:val="00936B2D"/>
    <w:rsid w:val="00936ECE"/>
    <w:rsid w:val="0093729E"/>
    <w:rsid w:val="009376B2"/>
    <w:rsid w:val="00937880"/>
    <w:rsid w:val="00937BEB"/>
    <w:rsid w:val="00937C5B"/>
    <w:rsid w:val="00937E2C"/>
    <w:rsid w:val="00940111"/>
    <w:rsid w:val="009401A9"/>
    <w:rsid w:val="00940AAA"/>
    <w:rsid w:val="00940C01"/>
    <w:rsid w:val="00940CD5"/>
    <w:rsid w:val="0094114A"/>
    <w:rsid w:val="00941B66"/>
    <w:rsid w:val="00942392"/>
    <w:rsid w:val="00942524"/>
    <w:rsid w:val="00942759"/>
    <w:rsid w:val="00942AA6"/>
    <w:rsid w:val="0094304F"/>
    <w:rsid w:val="00943466"/>
    <w:rsid w:val="00943556"/>
    <w:rsid w:val="00943C77"/>
    <w:rsid w:val="00943E1D"/>
    <w:rsid w:val="00943E31"/>
    <w:rsid w:val="00943FA3"/>
    <w:rsid w:val="0094400A"/>
    <w:rsid w:val="00944465"/>
    <w:rsid w:val="00944479"/>
    <w:rsid w:val="0094475E"/>
    <w:rsid w:val="009447C3"/>
    <w:rsid w:val="00945059"/>
    <w:rsid w:val="009450E8"/>
    <w:rsid w:val="0094606D"/>
    <w:rsid w:val="0094611E"/>
    <w:rsid w:val="00946F48"/>
    <w:rsid w:val="00947B8C"/>
    <w:rsid w:val="009501AE"/>
    <w:rsid w:val="009501BB"/>
    <w:rsid w:val="009505BA"/>
    <w:rsid w:val="0095074E"/>
    <w:rsid w:val="00950A9F"/>
    <w:rsid w:val="00950E30"/>
    <w:rsid w:val="009511A1"/>
    <w:rsid w:val="00951A04"/>
    <w:rsid w:val="00951C06"/>
    <w:rsid w:val="00951EA3"/>
    <w:rsid w:val="009522F6"/>
    <w:rsid w:val="00952778"/>
    <w:rsid w:val="00952906"/>
    <w:rsid w:val="00952AB1"/>
    <w:rsid w:val="00953040"/>
    <w:rsid w:val="00953864"/>
    <w:rsid w:val="00953BF0"/>
    <w:rsid w:val="00953E2B"/>
    <w:rsid w:val="009540DD"/>
    <w:rsid w:val="0095418E"/>
    <w:rsid w:val="009543E8"/>
    <w:rsid w:val="00954834"/>
    <w:rsid w:val="0095519B"/>
    <w:rsid w:val="00955B2B"/>
    <w:rsid w:val="009561C0"/>
    <w:rsid w:val="00956315"/>
    <w:rsid w:val="009569E7"/>
    <w:rsid w:val="00956E0A"/>
    <w:rsid w:val="00957317"/>
    <w:rsid w:val="009576AF"/>
    <w:rsid w:val="009578A3"/>
    <w:rsid w:val="009578A6"/>
    <w:rsid w:val="00957C7F"/>
    <w:rsid w:val="00957D83"/>
    <w:rsid w:val="009602CB"/>
    <w:rsid w:val="00960BAD"/>
    <w:rsid w:val="00960E07"/>
    <w:rsid w:val="009610A2"/>
    <w:rsid w:val="009611B8"/>
    <w:rsid w:val="0096139B"/>
    <w:rsid w:val="00961D8A"/>
    <w:rsid w:val="00961E9B"/>
    <w:rsid w:val="00961FF6"/>
    <w:rsid w:val="00962CDC"/>
    <w:rsid w:val="00962F09"/>
    <w:rsid w:val="009633CD"/>
    <w:rsid w:val="00963B38"/>
    <w:rsid w:val="0096409E"/>
    <w:rsid w:val="00964169"/>
    <w:rsid w:val="00964188"/>
    <w:rsid w:val="00965353"/>
    <w:rsid w:val="00965766"/>
    <w:rsid w:val="00965DF4"/>
    <w:rsid w:val="00965E5E"/>
    <w:rsid w:val="00965F52"/>
    <w:rsid w:val="00966337"/>
    <w:rsid w:val="009663BF"/>
    <w:rsid w:val="0096653F"/>
    <w:rsid w:val="00966EF2"/>
    <w:rsid w:val="00966F0D"/>
    <w:rsid w:val="00966F63"/>
    <w:rsid w:val="00966F83"/>
    <w:rsid w:val="00967152"/>
    <w:rsid w:val="0096728B"/>
    <w:rsid w:val="00967614"/>
    <w:rsid w:val="0096765A"/>
    <w:rsid w:val="009676B9"/>
    <w:rsid w:val="0096771C"/>
    <w:rsid w:val="0096787F"/>
    <w:rsid w:val="00967ABA"/>
    <w:rsid w:val="0097022C"/>
    <w:rsid w:val="00970291"/>
    <w:rsid w:val="009702B0"/>
    <w:rsid w:val="0097065A"/>
    <w:rsid w:val="0097154A"/>
    <w:rsid w:val="00972489"/>
    <w:rsid w:val="009724CE"/>
    <w:rsid w:val="0097287D"/>
    <w:rsid w:val="00972A23"/>
    <w:rsid w:val="00972BBB"/>
    <w:rsid w:val="0097331A"/>
    <w:rsid w:val="00973755"/>
    <w:rsid w:val="0097398F"/>
    <w:rsid w:val="00973CCC"/>
    <w:rsid w:val="00973ED1"/>
    <w:rsid w:val="0097402A"/>
    <w:rsid w:val="009741BE"/>
    <w:rsid w:val="0097519E"/>
    <w:rsid w:val="00975374"/>
    <w:rsid w:val="009753DD"/>
    <w:rsid w:val="0097592D"/>
    <w:rsid w:val="00975933"/>
    <w:rsid w:val="00975BD3"/>
    <w:rsid w:val="00975EAB"/>
    <w:rsid w:val="00975F21"/>
    <w:rsid w:val="0097617E"/>
    <w:rsid w:val="009761B2"/>
    <w:rsid w:val="0097652C"/>
    <w:rsid w:val="00976B65"/>
    <w:rsid w:val="009774EC"/>
    <w:rsid w:val="0097757E"/>
    <w:rsid w:val="00977614"/>
    <w:rsid w:val="009777C4"/>
    <w:rsid w:val="0097792C"/>
    <w:rsid w:val="0098004F"/>
    <w:rsid w:val="00980307"/>
    <w:rsid w:val="00981325"/>
    <w:rsid w:val="00981748"/>
    <w:rsid w:val="009819D2"/>
    <w:rsid w:val="00981AE9"/>
    <w:rsid w:val="00981E4C"/>
    <w:rsid w:val="0098216F"/>
    <w:rsid w:val="009821D3"/>
    <w:rsid w:val="00982331"/>
    <w:rsid w:val="00982C36"/>
    <w:rsid w:val="00983824"/>
    <w:rsid w:val="009841E3"/>
    <w:rsid w:val="00984437"/>
    <w:rsid w:val="0098454B"/>
    <w:rsid w:val="009846C3"/>
    <w:rsid w:val="009847AE"/>
    <w:rsid w:val="00984A0F"/>
    <w:rsid w:val="00984EC1"/>
    <w:rsid w:val="00984F54"/>
    <w:rsid w:val="009851E4"/>
    <w:rsid w:val="00985469"/>
    <w:rsid w:val="00985479"/>
    <w:rsid w:val="00985668"/>
    <w:rsid w:val="009859E7"/>
    <w:rsid w:val="00985A98"/>
    <w:rsid w:val="00985FBB"/>
    <w:rsid w:val="009863A2"/>
    <w:rsid w:val="009863B8"/>
    <w:rsid w:val="00986435"/>
    <w:rsid w:val="009866FB"/>
    <w:rsid w:val="00986730"/>
    <w:rsid w:val="0098674E"/>
    <w:rsid w:val="00987081"/>
    <w:rsid w:val="00987365"/>
    <w:rsid w:val="009873EA"/>
    <w:rsid w:val="009879F4"/>
    <w:rsid w:val="00987AAF"/>
    <w:rsid w:val="00987D5A"/>
    <w:rsid w:val="00987D9E"/>
    <w:rsid w:val="00990165"/>
    <w:rsid w:val="00990362"/>
    <w:rsid w:val="009905E6"/>
    <w:rsid w:val="00990609"/>
    <w:rsid w:val="00990841"/>
    <w:rsid w:val="00990ADB"/>
    <w:rsid w:val="00990ECE"/>
    <w:rsid w:val="0099113D"/>
    <w:rsid w:val="00991A10"/>
    <w:rsid w:val="00991B1D"/>
    <w:rsid w:val="00991B86"/>
    <w:rsid w:val="00991C7F"/>
    <w:rsid w:val="00992489"/>
    <w:rsid w:val="00992575"/>
    <w:rsid w:val="00993002"/>
    <w:rsid w:val="00993A62"/>
    <w:rsid w:val="0099440A"/>
    <w:rsid w:val="00994719"/>
    <w:rsid w:val="009952D9"/>
    <w:rsid w:val="0099564A"/>
    <w:rsid w:val="00995BEB"/>
    <w:rsid w:val="00995C86"/>
    <w:rsid w:val="00995C92"/>
    <w:rsid w:val="0099665B"/>
    <w:rsid w:val="00996C82"/>
    <w:rsid w:val="00997464"/>
    <w:rsid w:val="00997646"/>
    <w:rsid w:val="00997728"/>
    <w:rsid w:val="00997922"/>
    <w:rsid w:val="00997CE6"/>
    <w:rsid w:val="00997CFA"/>
    <w:rsid w:val="00997D3D"/>
    <w:rsid w:val="009A01C8"/>
    <w:rsid w:val="009A0771"/>
    <w:rsid w:val="009A0AB5"/>
    <w:rsid w:val="009A0C5C"/>
    <w:rsid w:val="009A0D2E"/>
    <w:rsid w:val="009A0E6F"/>
    <w:rsid w:val="009A1299"/>
    <w:rsid w:val="009A1A97"/>
    <w:rsid w:val="009A1F50"/>
    <w:rsid w:val="009A22E4"/>
    <w:rsid w:val="009A2662"/>
    <w:rsid w:val="009A2922"/>
    <w:rsid w:val="009A3056"/>
    <w:rsid w:val="009A3985"/>
    <w:rsid w:val="009A4AB7"/>
    <w:rsid w:val="009A5AE8"/>
    <w:rsid w:val="009A5B44"/>
    <w:rsid w:val="009A5C09"/>
    <w:rsid w:val="009A5C2F"/>
    <w:rsid w:val="009A606F"/>
    <w:rsid w:val="009A6B1B"/>
    <w:rsid w:val="009A6FAF"/>
    <w:rsid w:val="009A76C5"/>
    <w:rsid w:val="009A7E16"/>
    <w:rsid w:val="009B00CD"/>
    <w:rsid w:val="009B09DC"/>
    <w:rsid w:val="009B11AC"/>
    <w:rsid w:val="009B147B"/>
    <w:rsid w:val="009B18C3"/>
    <w:rsid w:val="009B1F8D"/>
    <w:rsid w:val="009B2622"/>
    <w:rsid w:val="009B28CE"/>
    <w:rsid w:val="009B2D01"/>
    <w:rsid w:val="009B3DD5"/>
    <w:rsid w:val="009B42E8"/>
    <w:rsid w:val="009B4401"/>
    <w:rsid w:val="009B4649"/>
    <w:rsid w:val="009B4FC2"/>
    <w:rsid w:val="009B51D2"/>
    <w:rsid w:val="009B5339"/>
    <w:rsid w:val="009B54AB"/>
    <w:rsid w:val="009B57C3"/>
    <w:rsid w:val="009B5ECA"/>
    <w:rsid w:val="009B66C4"/>
    <w:rsid w:val="009B6709"/>
    <w:rsid w:val="009B673C"/>
    <w:rsid w:val="009B683A"/>
    <w:rsid w:val="009B69DB"/>
    <w:rsid w:val="009B6BB1"/>
    <w:rsid w:val="009B6E6E"/>
    <w:rsid w:val="009B7BF1"/>
    <w:rsid w:val="009B7C76"/>
    <w:rsid w:val="009C04A7"/>
    <w:rsid w:val="009C0845"/>
    <w:rsid w:val="009C087B"/>
    <w:rsid w:val="009C13A2"/>
    <w:rsid w:val="009C141D"/>
    <w:rsid w:val="009C14EE"/>
    <w:rsid w:val="009C288A"/>
    <w:rsid w:val="009C297B"/>
    <w:rsid w:val="009C2CF6"/>
    <w:rsid w:val="009C30D3"/>
    <w:rsid w:val="009C368C"/>
    <w:rsid w:val="009C3824"/>
    <w:rsid w:val="009C409F"/>
    <w:rsid w:val="009C4887"/>
    <w:rsid w:val="009C49D8"/>
    <w:rsid w:val="009C505F"/>
    <w:rsid w:val="009C57A6"/>
    <w:rsid w:val="009C59DA"/>
    <w:rsid w:val="009C5EA3"/>
    <w:rsid w:val="009C6520"/>
    <w:rsid w:val="009C6CD9"/>
    <w:rsid w:val="009C6E3D"/>
    <w:rsid w:val="009C713C"/>
    <w:rsid w:val="009C7C11"/>
    <w:rsid w:val="009C7CB6"/>
    <w:rsid w:val="009C7F51"/>
    <w:rsid w:val="009D0666"/>
    <w:rsid w:val="009D0774"/>
    <w:rsid w:val="009D1896"/>
    <w:rsid w:val="009D1CD7"/>
    <w:rsid w:val="009D23F4"/>
    <w:rsid w:val="009D2820"/>
    <w:rsid w:val="009D2862"/>
    <w:rsid w:val="009D2BE0"/>
    <w:rsid w:val="009D3401"/>
    <w:rsid w:val="009D41F4"/>
    <w:rsid w:val="009D423C"/>
    <w:rsid w:val="009D42EB"/>
    <w:rsid w:val="009D484B"/>
    <w:rsid w:val="009D4C13"/>
    <w:rsid w:val="009D5043"/>
    <w:rsid w:val="009D5086"/>
    <w:rsid w:val="009D51DC"/>
    <w:rsid w:val="009D534F"/>
    <w:rsid w:val="009D57E5"/>
    <w:rsid w:val="009D5FFA"/>
    <w:rsid w:val="009D6250"/>
    <w:rsid w:val="009D6603"/>
    <w:rsid w:val="009D7411"/>
    <w:rsid w:val="009D7469"/>
    <w:rsid w:val="009D7489"/>
    <w:rsid w:val="009D7539"/>
    <w:rsid w:val="009D77CF"/>
    <w:rsid w:val="009E0506"/>
    <w:rsid w:val="009E2A7B"/>
    <w:rsid w:val="009E309C"/>
    <w:rsid w:val="009E36AA"/>
    <w:rsid w:val="009E38C0"/>
    <w:rsid w:val="009E3AE3"/>
    <w:rsid w:val="009E3DBC"/>
    <w:rsid w:val="009E4115"/>
    <w:rsid w:val="009E449B"/>
    <w:rsid w:val="009E44BA"/>
    <w:rsid w:val="009E47BE"/>
    <w:rsid w:val="009E4F1B"/>
    <w:rsid w:val="009E510E"/>
    <w:rsid w:val="009E6485"/>
    <w:rsid w:val="009E740B"/>
    <w:rsid w:val="009E747F"/>
    <w:rsid w:val="009E74A3"/>
    <w:rsid w:val="009E7C13"/>
    <w:rsid w:val="009E7E77"/>
    <w:rsid w:val="009F0607"/>
    <w:rsid w:val="009F09A0"/>
    <w:rsid w:val="009F0DFC"/>
    <w:rsid w:val="009F11D7"/>
    <w:rsid w:val="009F126B"/>
    <w:rsid w:val="009F1427"/>
    <w:rsid w:val="009F1A41"/>
    <w:rsid w:val="009F1C2F"/>
    <w:rsid w:val="009F2037"/>
    <w:rsid w:val="009F22FF"/>
    <w:rsid w:val="009F241C"/>
    <w:rsid w:val="009F26EB"/>
    <w:rsid w:val="009F275E"/>
    <w:rsid w:val="009F2A16"/>
    <w:rsid w:val="009F2C33"/>
    <w:rsid w:val="009F3288"/>
    <w:rsid w:val="009F34AC"/>
    <w:rsid w:val="009F3783"/>
    <w:rsid w:val="009F39F1"/>
    <w:rsid w:val="009F3FC5"/>
    <w:rsid w:val="009F40CE"/>
    <w:rsid w:val="009F5F47"/>
    <w:rsid w:val="009F6377"/>
    <w:rsid w:val="009F68CC"/>
    <w:rsid w:val="009F6D30"/>
    <w:rsid w:val="009F7044"/>
    <w:rsid w:val="009F7184"/>
    <w:rsid w:val="009F720D"/>
    <w:rsid w:val="009F7B90"/>
    <w:rsid w:val="00A00731"/>
    <w:rsid w:val="00A00800"/>
    <w:rsid w:val="00A00A1B"/>
    <w:rsid w:val="00A00ACD"/>
    <w:rsid w:val="00A011A4"/>
    <w:rsid w:val="00A018E2"/>
    <w:rsid w:val="00A01BF5"/>
    <w:rsid w:val="00A020EB"/>
    <w:rsid w:val="00A0261B"/>
    <w:rsid w:val="00A02982"/>
    <w:rsid w:val="00A02B9C"/>
    <w:rsid w:val="00A043A8"/>
    <w:rsid w:val="00A04607"/>
    <w:rsid w:val="00A049EF"/>
    <w:rsid w:val="00A05327"/>
    <w:rsid w:val="00A0558A"/>
    <w:rsid w:val="00A05B14"/>
    <w:rsid w:val="00A06050"/>
    <w:rsid w:val="00A06AA5"/>
    <w:rsid w:val="00A070AB"/>
    <w:rsid w:val="00A0714D"/>
    <w:rsid w:val="00A07C30"/>
    <w:rsid w:val="00A07CB1"/>
    <w:rsid w:val="00A101BC"/>
    <w:rsid w:val="00A10268"/>
    <w:rsid w:val="00A10529"/>
    <w:rsid w:val="00A10639"/>
    <w:rsid w:val="00A10674"/>
    <w:rsid w:val="00A10907"/>
    <w:rsid w:val="00A10A1C"/>
    <w:rsid w:val="00A11BB9"/>
    <w:rsid w:val="00A12920"/>
    <w:rsid w:val="00A12A6A"/>
    <w:rsid w:val="00A12D4D"/>
    <w:rsid w:val="00A1348B"/>
    <w:rsid w:val="00A134CC"/>
    <w:rsid w:val="00A13B86"/>
    <w:rsid w:val="00A1449B"/>
    <w:rsid w:val="00A14F2C"/>
    <w:rsid w:val="00A14F81"/>
    <w:rsid w:val="00A156B6"/>
    <w:rsid w:val="00A15A12"/>
    <w:rsid w:val="00A163B6"/>
    <w:rsid w:val="00A16B49"/>
    <w:rsid w:val="00A16CCA"/>
    <w:rsid w:val="00A16E43"/>
    <w:rsid w:val="00A174BB"/>
    <w:rsid w:val="00A175C0"/>
    <w:rsid w:val="00A17DE4"/>
    <w:rsid w:val="00A20056"/>
    <w:rsid w:val="00A204A1"/>
    <w:rsid w:val="00A2053E"/>
    <w:rsid w:val="00A20A16"/>
    <w:rsid w:val="00A214D3"/>
    <w:rsid w:val="00A21606"/>
    <w:rsid w:val="00A21819"/>
    <w:rsid w:val="00A21B7A"/>
    <w:rsid w:val="00A22686"/>
    <w:rsid w:val="00A22C0F"/>
    <w:rsid w:val="00A22CDC"/>
    <w:rsid w:val="00A232DC"/>
    <w:rsid w:val="00A23691"/>
    <w:rsid w:val="00A23CB6"/>
    <w:rsid w:val="00A24418"/>
    <w:rsid w:val="00A24430"/>
    <w:rsid w:val="00A24766"/>
    <w:rsid w:val="00A24ABC"/>
    <w:rsid w:val="00A24E04"/>
    <w:rsid w:val="00A253FD"/>
    <w:rsid w:val="00A25713"/>
    <w:rsid w:val="00A25825"/>
    <w:rsid w:val="00A259A7"/>
    <w:rsid w:val="00A25ACD"/>
    <w:rsid w:val="00A25D85"/>
    <w:rsid w:val="00A266A6"/>
    <w:rsid w:val="00A267B1"/>
    <w:rsid w:val="00A26858"/>
    <w:rsid w:val="00A26CDB"/>
    <w:rsid w:val="00A26FED"/>
    <w:rsid w:val="00A27485"/>
    <w:rsid w:val="00A2779D"/>
    <w:rsid w:val="00A27B6D"/>
    <w:rsid w:val="00A30D0F"/>
    <w:rsid w:val="00A30D59"/>
    <w:rsid w:val="00A310E7"/>
    <w:rsid w:val="00A3110A"/>
    <w:rsid w:val="00A311F9"/>
    <w:rsid w:val="00A31B59"/>
    <w:rsid w:val="00A32253"/>
    <w:rsid w:val="00A323FF"/>
    <w:rsid w:val="00A32657"/>
    <w:rsid w:val="00A329A8"/>
    <w:rsid w:val="00A32FF7"/>
    <w:rsid w:val="00A33540"/>
    <w:rsid w:val="00A33E0B"/>
    <w:rsid w:val="00A34014"/>
    <w:rsid w:val="00A345BB"/>
    <w:rsid w:val="00A3478D"/>
    <w:rsid w:val="00A34911"/>
    <w:rsid w:val="00A3497C"/>
    <w:rsid w:val="00A34DA6"/>
    <w:rsid w:val="00A34DE5"/>
    <w:rsid w:val="00A34E61"/>
    <w:rsid w:val="00A35134"/>
    <w:rsid w:val="00A35236"/>
    <w:rsid w:val="00A356FF"/>
    <w:rsid w:val="00A35C45"/>
    <w:rsid w:val="00A3635F"/>
    <w:rsid w:val="00A3682D"/>
    <w:rsid w:val="00A36DF6"/>
    <w:rsid w:val="00A37809"/>
    <w:rsid w:val="00A37AC1"/>
    <w:rsid w:val="00A37C94"/>
    <w:rsid w:val="00A37CEB"/>
    <w:rsid w:val="00A40523"/>
    <w:rsid w:val="00A4054C"/>
    <w:rsid w:val="00A40569"/>
    <w:rsid w:val="00A40B5F"/>
    <w:rsid w:val="00A4171C"/>
    <w:rsid w:val="00A41904"/>
    <w:rsid w:val="00A41A67"/>
    <w:rsid w:val="00A41B8C"/>
    <w:rsid w:val="00A41E41"/>
    <w:rsid w:val="00A42328"/>
    <w:rsid w:val="00A42E96"/>
    <w:rsid w:val="00A4396D"/>
    <w:rsid w:val="00A4434C"/>
    <w:rsid w:val="00A4454B"/>
    <w:rsid w:val="00A44AC1"/>
    <w:rsid w:val="00A44FA8"/>
    <w:rsid w:val="00A4506E"/>
    <w:rsid w:val="00A457DD"/>
    <w:rsid w:val="00A45BEF"/>
    <w:rsid w:val="00A46350"/>
    <w:rsid w:val="00A46577"/>
    <w:rsid w:val="00A46629"/>
    <w:rsid w:val="00A46661"/>
    <w:rsid w:val="00A4673A"/>
    <w:rsid w:val="00A46B49"/>
    <w:rsid w:val="00A473F2"/>
    <w:rsid w:val="00A47415"/>
    <w:rsid w:val="00A47B9B"/>
    <w:rsid w:val="00A505A9"/>
    <w:rsid w:val="00A50895"/>
    <w:rsid w:val="00A50EF7"/>
    <w:rsid w:val="00A51219"/>
    <w:rsid w:val="00A51F13"/>
    <w:rsid w:val="00A52342"/>
    <w:rsid w:val="00A525B4"/>
    <w:rsid w:val="00A52DDB"/>
    <w:rsid w:val="00A52E32"/>
    <w:rsid w:val="00A53474"/>
    <w:rsid w:val="00A536BA"/>
    <w:rsid w:val="00A537C1"/>
    <w:rsid w:val="00A53AD4"/>
    <w:rsid w:val="00A54666"/>
    <w:rsid w:val="00A5486E"/>
    <w:rsid w:val="00A548AD"/>
    <w:rsid w:val="00A54F7A"/>
    <w:rsid w:val="00A55557"/>
    <w:rsid w:val="00A55ED6"/>
    <w:rsid w:val="00A55F0F"/>
    <w:rsid w:val="00A562A2"/>
    <w:rsid w:val="00A564D6"/>
    <w:rsid w:val="00A56A11"/>
    <w:rsid w:val="00A56B9F"/>
    <w:rsid w:val="00A575AE"/>
    <w:rsid w:val="00A57676"/>
    <w:rsid w:val="00A57677"/>
    <w:rsid w:val="00A57702"/>
    <w:rsid w:val="00A57D4E"/>
    <w:rsid w:val="00A57F34"/>
    <w:rsid w:val="00A603C5"/>
    <w:rsid w:val="00A60442"/>
    <w:rsid w:val="00A60F6F"/>
    <w:rsid w:val="00A60F78"/>
    <w:rsid w:val="00A615DA"/>
    <w:rsid w:val="00A61D71"/>
    <w:rsid w:val="00A62036"/>
    <w:rsid w:val="00A62A21"/>
    <w:rsid w:val="00A62FA1"/>
    <w:rsid w:val="00A63372"/>
    <w:rsid w:val="00A63685"/>
    <w:rsid w:val="00A638FA"/>
    <w:rsid w:val="00A6391F"/>
    <w:rsid w:val="00A63AD5"/>
    <w:rsid w:val="00A643B1"/>
    <w:rsid w:val="00A64CC8"/>
    <w:rsid w:val="00A65045"/>
    <w:rsid w:val="00A65274"/>
    <w:rsid w:val="00A654BD"/>
    <w:rsid w:val="00A65CE8"/>
    <w:rsid w:val="00A66068"/>
    <w:rsid w:val="00A661B2"/>
    <w:rsid w:val="00A66E1A"/>
    <w:rsid w:val="00A66EEA"/>
    <w:rsid w:val="00A672A0"/>
    <w:rsid w:val="00A700B7"/>
    <w:rsid w:val="00A701D8"/>
    <w:rsid w:val="00A702DD"/>
    <w:rsid w:val="00A70405"/>
    <w:rsid w:val="00A7053C"/>
    <w:rsid w:val="00A70EA6"/>
    <w:rsid w:val="00A71829"/>
    <w:rsid w:val="00A71F28"/>
    <w:rsid w:val="00A72A31"/>
    <w:rsid w:val="00A72E60"/>
    <w:rsid w:val="00A72E7F"/>
    <w:rsid w:val="00A7350B"/>
    <w:rsid w:val="00A73704"/>
    <w:rsid w:val="00A73A0E"/>
    <w:rsid w:val="00A73E04"/>
    <w:rsid w:val="00A73E82"/>
    <w:rsid w:val="00A73F5F"/>
    <w:rsid w:val="00A7431A"/>
    <w:rsid w:val="00A74467"/>
    <w:rsid w:val="00A7489D"/>
    <w:rsid w:val="00A74F3B"/>
    <w:rsid w:val="00A75020"/>
    <w:rsid w:val="00A75453"/>
    <w:rsid w:val="00A764C8"/>
    <w:rsid w:val="00A76960"/>
    <w:rsid w:val="00A76E99"/>
    <w:rsid w:val="00A77560"/>
    <w:rsid w:val="00A77942"/>
    <w:rsid w:val="00A77953"/>
    <w:rsid w:val="00A77A97"/>
    <w:rsid w:val="00A804BB"/>
    <w:rsid w:val="00A807CC"/>
    <w:rsid w:val="00A80EE5"/>
    <w:rsid w:val="00A8185B"/>
    <w:rsid w:val="00A81CE8"/>
    <w:rsid w:val="00A81FC6"/>
    <w:rsid w:val="00A82579"/>
    <w:rsid w:val="00A8298B"/>
    <w:rsid w:val="00A831B0"/>
    <w:rsid w:val="00A83233"/>
    <w:rsid w:val="00A837BF"/>
    <w:rsid w:val="00A838D7"/>
    <w:rsid w:val="00A83A12"/>
    <w:rsid w:val="00A83AB7"/>
    <w:rsid w:val="00A84943"/>
    <w:rsid w:val="00A84BDD"/>
    <w:rsid w:val="00A84F3F"/>
    <w:rsid w:val="00A850BE"/>
    <w:rsid w:val="00A85209"/>
    <w:rsid w:val="00A86B94"/>
    <w:rsid w:val="00A86CBB"/>
    <w:rsid w:val="00A8700E"/>
    <w:rsid w:val="00A8786A"/>
    <w:rsid w:val="00A87886"/>
    <w:rsid w:val="00A87CA3"/>
    <w:rsid w:val="00A87ECB"/>
    <w:rsid w:val="00A9022D"/>
    <w:rsid w:val="00A90271"/>
    <w:rsid w:val="00A902DF"/>
    <w:rsid w:val="00A90499"/>
    <w:rsid w:val="00A90F3A"/>
    <w:rsid w:val="00A9146A"/>
    <w:rsid w:val="00A91FA5"/>
    <w:rsid w:val="00A92258"/>
    <w:rsid w:val="00A923CA"/>
    <w:rsid w:val="00A92574"/>
    <w:rsid w:val="00A92BA7"/>
    <w:rsid w:val="00A92C33"/>
    <w:rsid w:val="00A92EBB"/>
    <w:rsid w:val="00A9339E"/>
    <w:rsid w:val="00A93504"/>
    <w:rsid w:val="00A937FE"/>
    <w:rsid w:val="00A93D64"/>
    <w:rsid w:val="00A94652"/>
    <w:rsid w:val="00A946CF"/>
    <w:rsid w:val="00A946D4"/>
    <w:rsid w:val="00A9489A"/>
    <w:rsid w:val="00A948C2"/>
    <w:rsid w:val="00A94A5B"/>
    <w:rsid w:val="00A94AB1"/>
    <w:rsid w:val="00A94D7F"/>
    <w:rsid w:val="00A94EA6"/>
    <w:rsid w:val="00A95832"/>
    <w:rsid w:val="00A9589F"/>
    <w:rsid w:val="00A95EFD"/>
    <w:rsid w:val="00A96435"/>
    <w:rsid w:val="00A964D2"/>
    <w:rsid w:val="00A96647"/>
    <w:rsid w:val="00A967F3"/>
    <w:rsid w:val="00A969BA"/>
    <w:rsid w:val="00A96F85"/>
    <w:rsid w:val="00A9799E"/>
    <w:rsid w:val="00A97FDE"/>
    <w:rsid w:val="00AA0689"/>
    <w:rsid w:val="00AA07FA"/>
    <w:rsid w:val="00AA08D3"/>
    <w:rsid w:val="00AA13FE"/>
    <w:rsid w:val="00AA18E4"/>
    <w:rsid w:val="00AA1B8D"/>
    <w:rsid w:val="00AA2849"/>
    <w:rsid w:val="00AA29C6"/>
    <w:rsid w:val="00AA2C4A"/>
    <w:rsid w:val="00AA2FF2"/>
    <w:rsid w:val="00AA3B6C"/>
    <w:rsid w:val="00AA3E9A"/>
    <w:rsid w:val="00AA3F65"/>
    <w:rsid w:val="00AA444C"/>
    <w:rsid w:val="00AA46AF"/>
    <w:rsid w:val="00AA4AA7"/>
    <w:rsid w:val="00AA4B5D"/>
    <w:rsid w:val="00AA5729"/>
    <w:rsid w:val="00AA6CA0"/>
    <w:rsid w:val="00AA737C"/>
    <w:rsid w:val="00AA746A"/>
    <w:rsid w:val="00AA7CB8"/>
    <w:rsid w:val="00AA7E88"/>
    <w:rsid w:val="00AB151E"/>
    <w:rsid w:val="00AB1580"/>
    <w:rsid w:val="00AB1A4A"/>
    <w:rsid w:val="00AB1D9E"/>
    <w:rsid w:val="00AB255D"/>
    <w:rsid w:val="00AB26E0"/>
    <w:rsid w:val="00AB285F"/>
    <w:rsid w:val="00AB2929"/>
    <w:rsid w:val="00AB2DA8"/>
    <w:rsid w:val="00AB30AB"/>
    <w:rsid w:val="00AB3B09"/>
    <w:rsid w:val="00AB3B58"/>
    <w:rsid w:val="00AB3C14"/>
    <w:rsid w:val="00AB3E1A"/>
    <w:rsid w:val="00AB3F7E"/>
    <w:rsid w:val="00AB3F8D"/>
    <w:rsid w:val="00AB4649"/>
    <w:rsid w:val="00AB487F"/>
    <w:rsid w:val="00AB49E3"/>
    <w:rsid w:val="00AB4AC0"/>
    <w:rsid w:val="00AB4B31"/>
    <w:rsid w:val="00AB4B90"/>
    <w:rsid w:val="00AB5B17"/>
    <w:rsid w:val="00AB5B73"/>
    <w:rsid w:val="00AB5C2F"/>
    <w:rsid w:val="00AB6141"/>
    <w:rsid w:val="00AB61F3"/>
    <w:rsid w:val="00AB65CF"/>
    <w:rsid w:val="00AB6A73"/>
    <w:rsid w:val="00AB6AB5"/>
    <w:rsid w:val="00AB6D76"/>
    <w:rsid w:val="00AB796F"/>
    <w:rsid w:val="00AB79D2"/>
    <w:rsid w:val="00AC0708"/>
    <w:rsid w:val="00AC1596"/>
    <w:rsid w:val="00AC1A41"/>
    <w:rsid w:val="00AC1EAB"/>
    <w:rsid w:val="00AC1FF7"/>
    <w:rsid w:val="00AC256D"/>
    <w:rsid w:val="00AC2B3E"/>
    <w:rsid w:val="00AC2CC0"/>
    <w:rsid w:val="00AC3062"/>
    <w:rsid w:val="00AC309A"/>
    <w:rsid w:val="00AC35BC"/>
    <w:rsid w:val="00AC3B47"/>
    <w:rsid w:val="00AC3C76"/>
    <w:rsid w:val="00AC484A"/>
    <w:rsid w:val="00AC49C1"/>
    <w:rsid w:val="00AC4C87"/>
    <w:rsid w:val="00AC51AC"/>
    <w:rsid w:val="00AC5246"/>
    <w:rsid w:val="00AC5298"/>
    <w:rsid w:val="00AC60D4"/>
    <w:rsid w:val="00AC620A"/>
    <w:rsid w:val="00AC6F58"/>
    <w:rsid w:val="00AC76D1"/>
    <w:rsid w:val="00AC7ABF"/>
    <w:rsid w:val="00AC7DCC"/>
    <w:rsid w:val="00AC7DE3"/>
    <w:rsid w:val="00AD03F0"/>
    <w:rsid w:val="00AD0D35"/>
    <w:rsid w:val="00AD1986"/>
    <w:rsid w:val="00AD1E31"/>
    <w:rsid w:val="00AD1EA4"/>
    <w:rsid w:val="00AD20A6"/>
    <w:rsid w:val="00AD284B"/>
    <w:rsid w:val="00AD2B5B"/>
    <w:rsid w:val="00AD2D8E"/>
    <w:rsid w:val="00AD2E0E"/>
    <w:rsid w:val="00AD3DC4"/>
    <w:rsid w:val="00AD4025"/>
    <w:rsid w:val="00AD4216"/>
    <w:rsid w:val="00AD4A84"/>
    <w:rsid w:val="00AD4F66"/>
    <w:rsid w:val="00AD55B9"/>
    <w:rsid w:val="00AD577F"/>
    <w:rsid w:val="00AD5A65"/>
    <w:rsid w:val="00AD5D61"/>
    <w:rsid w:val="00AD5EA7"/>
    <w:rsid w:val="00AD626B"/>
    <w:rsid w:val="00AD62E8"/>
    <w:rsid w:val="00AD6CEF"/>
    <w:rsid w:val="00AD703F"/>
    <w:rsid w:val="00AD7377"/>
    <w:rsid w:val="00AE0DB6"/>
    <w:rsid w:val="00AE0F21"/>
    <w:rsid w:val="00AE0F65"/>
    <w:rsid w:val="00AE1E69"/>
    <w:rsid w:val="00AE1EED"/>
    <w:rsid w:val="00AE22A4"/>
    <w:rsid w:val="00AE2665"/>
    <w:rsid w:val="00AE28C2"/>
    <w:rsid w:val="00AE2AEB"/>
    <w:rsid w:val="00AE3A79"/>
    <w:rsid w:val="00AE3A7C"/>
    <w:rsid w:val="00AE3DA6"/>
    <w:rsid w:val="00AE3DE3"/>
    <w:rsid w:val="00AE3F4B"/>
    <w:rsid w:val="00AE3FCC"/>
    <w:rsid w:val="00AE4115"/>
    <w:rsid w:val="00AE411A"/>
    <w:rsid w:val="00AE41F5"/>
    <w:rsid w:val="00AE4564"/>
    <w:rsid w:val="00AE4A57"/>
    <w:rsid w:val="00AE4A86"/>
    <w:rsid w:val="00AE5493"/>
    <w:rsid w:val="00AE551E"/>
    <w:rsid w:val="00AE58C8"/>
    <w:rsid w:val="00AE5BA5"/>
    <w:rsid w:val="00AE5BF5"/>
    <w:rsid w:val="00AE5C90"/>
    <w:rsid w:val="00AE5F4B"/>
    <w:rsid w:val="00AE662C"/>
    <w:rsid w:val="00AE68CA"/>
    <w:rsid w:val="00AE6B3C"/>
    <w:rsid w:val="00AE7542"/>
    <w:rsid w:val="00AE7C55"/>
    <w:rsid w:val="00AE7D04"/>
    <w:rsid w:val="00AE7E51"/>
    <w:rsid w:val="00AF0350"/>
    <w:rsid w:val="00AF0480"/>
    <w:rsid w:val="00AF0EBD"/>
    <w:rsid w:val="00AF0F1D"/>
    <w:rsid w:val="00AF0F5E"/>
    <w:rsid w:val="00AF18FE"/>
    <w:rsid w:val="00AF1D67"/>
    <w:rsid w:val="00AF2AC5"/>
    <w:rsid w:val="00AF3238"/>
    <w:rsid w:val="00AF34BE"/>
    <w:rsid w:val="00AF393D"/>
    <w:rsid w:val="00AF3AE1"/>
    <w:rsid w:val="00AF4021"/>
    <w:rsid w:val="00AF4033"/>
    <w:rsid w:val="00AF425C"/>
    <w:rsid w:val="00AF45AC"/>
    <w:rsid w:val="00AF469C"/>
    <w:rsid w:val="00AF4AC9"/>
    <w:rsid w:val="00AF4C00"/>
    <w:rsid w:val="00AF4F29"/>
    <w:rsid w:val="00AF5625"/>
    <w:rsid w:val="00AF5D5B"/>
    <w:rsid w:val="00AF5DFE"/>
    <w:rsid w:val="00AF6046"/>
    <w:rsid w:val="00AF630E"/>
    <w:rsid w:val="00AF6590"/>
    <w:rsid w:val="00AF6612"/>
    <w:rsid w:val="00AF6701"/>
    <w:rsid w:val="00AF6783"/>
    <w:rsid w:val="00AF6F1B"/>
    <w:rsid w:val="00B003E6"/>
    <w:rsid w:val="00B007C3"/>
    <w:rsid w:val="00B00C28"/>
    <w:rsid w:val="00B01186"/>
    <w:rsid w:val="00B01253"/>
    <w:rsid w:val="00B01433"/>
    <w:rsid w:val="00B014FF"/>
    <w:rsid w:val="00B015AC"/>
    <w:rsid w:val="00B01BF4"/>
    <w:rsid w:val="00B01D33"/>
    <w:rsid w:val="00B0219F"/>
    <w:rsid w:val="00B02F69"/>
    <w:rsid w:val="00B03A44"/>
    <w:rsid w:val="00B041EC"/>
    <w:rsid w:val="00B042A5"/>
    <w:rsid w:val="00B04384"/>
    <w:rsid w:val="00B04A92"/>
    <w:rsid w:val="00B051C4"/>
    <w:rsid w:val="00B051F1"/>
    <w:rsid w:val="00B05705"/>
    <w:rsid w:val="00B058C0"/>
    <w:rsid w:val="00B0597D"/>
    <w:rsid w:val="00B06E43"/>
    <w:rsid w:val="00B07127"/>
    <w:rsid w:val="00B072AC"/>
    <w:rsid w:val="00B078E8"/>
    <w:rsid w:val="00B07C69"/>
    <w:rsid w:val="00B07D99"/>
    <w:rsid w:val="00B106A4"/>
    <w:rsid w:val="00B10F5A"/>
    <w:rsid w:val="00B11018"/>
    <w:rsid w:val="00B11175"/>
    <w:rsid w:val="00B1140B"/>
    <w:rsid w:val="00B11AB1"/>
    <w:rsid w:val="00B11B64"/>
    <w:rsid w:val="00B11BF8"/>
    <w:rsid w:val="00B11C3F"/>
    <w:rsid w:val="00B11C97"/>
    <w:rsid w:val="00B11E93"/>
    <w:rsid w:val="00B11F7C"/>
    <w:rsid w:val="00B11FA5"/>
    <w:rsid w:val="00B12037"/>
    <w:rsid w:val="00B124BF"/>
    <w:rsid w:val="00B13393"/>
    <w:rsid w:val="00B133ED"/>
    <w:rsid w:val="00B13469"/>
    <w:rsid w:val="00B138E1"/>
    <w:rsid w:val="00B13A39"/>
    <w:rsid w:val="00B13AED"/>
    <w:rsid w:val="00B13F83"/>
    <w:rsid w:val="00B143D6"/>
    <w:rsid w:val="00B14459"/>
    <w:rsid w:val="00B14B56"/>
    <w:rsid w:val="00B14C39"/>
    <w:rsid w:val="00B1524D"/>
    <w:rsid w:val="00B1589A"/>
    <w:rsid w:val="00B15956"/>
    <w:rsid w:val="00B15E83"/>
    <w:rsid w:val="00B15FF7"/>
    <w:rsid w:val="00B165A3"/>
    <w:rsid w:val="00B165E2"/>
    <w:rsid w:val="00B16800"/>
    <w:rsid w:val="00B16CB0"/>
    <w:rsid w:val="00B16EB5"/>
    <w:rsid w:val="00B17148"/>
    <w:rsid w:val="00B179BB"/>
    <w:rsid w:val="00B17B36"/>
    <w:rsid w:val="00B17BE5"/>
    <w:rsid w:val="00B17CD7"/>
    <w:rsid w:val="00B17F86"/>
    <w:rsid w:val="00B200F0"/>
    <w:rsid w:val="00B2091A"/>
    <w:rsid w:val="00B20C31"/>
    <w:rsid w:val="00B20D50"/>
    <w:rsid w:val="00B20EEF"/>
    <w:rsid w:val="00B2129C"/>
    <w:rsid w:val="00B218E5"/>
    <w:rsid w:val="00B21A1D"/>
    <w:rsid w:val="00B21AA4"/>
    <w:rsid w:val="00B227F3"/>
    <w:rsid w:val="00B2295A"/>
    <w:rsid w:val="00B22D5A"/>
    <w:rsid w:val="00B22E40"/>
    <w:rsid w:val="00B22FB0"/>
    <w:rsid w:val="00B23156"/>
    <w:rsid w:val="00B2316F"/>
    <w:rsid w:val="00B2370E"/>
    <w:rsid w:val="00B23846"/>
    <w:rsid w:val="00B23ABD"/>
    <w:rsid w:val="00B23B3E"/>
    <w:rsid w:val="00B23B68"/>
    <w:rsid w:val="00B23C2D"/>
    <w:rsid w:val="00B23EDB"/>
    <w:rsid w:val="00B23FF9"/>
    <w:rsid w:val="00B2405C"/>
    <w:rsid w:val="00B248FB"/>
    <w:rsid w:val="00B24A8E"/>
    <w:rsid w:val="00B24B8B"/>
    <w:rsid w:val="00B25192"/>
    <w:rsid w:val="00B25589"/>
    <w:rsid w:val="00B2572C"/>
    <w:rsid w:val="00B25885"/>
    <w:rsid w:val="00B258AC"/>
    <w:rsid w:val="00B25AD2"/>
    <w:rsid w:val="00B268A2"/>
    <w:rsid w:val="00B269B3"/>
    <w:rsid w:val="00B26EFF"/>
    <w:rsid w:val="00B271B4"/>
    <w:rsid w:val="00B276E9"/>
    <w:rsid w:val="00B2789A"/>
    <w:rsid w:val="00B27A86"/>
    <w:rsid w:val="00B27B35"/>
    <w:rsid w:val="00B27DD0"/>
    <w:rsid w:val="00B27F73"/>
    <w:rsid w:val="00B30963"/>
    <w:rsid w:val="00B30A99"/>
    <w:rsid w:val="00B30AE1"/>
    <w:rsid w:val="00B30B06"/>
    <w:rsid w:val="00B30C4C"/>
    <w:rsid w:val="00B31621"/>
    <w:rsid w:val="00B316A1"/>
    <w:rsid w:val="00B31805"/>
    <w:rsid w:val="00B31A62"/>
    <w:rsid w:val="00B31B87"/>
    <w:rsid w:val="00B31F11"/>
    <w:rsid w:val="00B321FA"/>
    <w:rsid w:val="00B33B04"/>
    <w:rsid w:val="00B33B7C"/>
    <w:rsid w:val="00B33C07"/>
    <w:rsid w:val="00B33E4D"/>
    <w:rsid w:val="00B33EF1"/>
    <w:rsid w:val="00B34020"/>
    <w:rsid w:val="00B340CF"/>
    <w:rsid w:val="00B345EA"/>
    <w:rsid w:val="00B34939"/>
    <w:rsid w:val="00B35A65"/>
    <w:rsid w:val="00B35BAE"/>
    <w:rsid w:val="00B36122"/>
    <w:rsid w:val="00B36358"/>
    <w:rsid w:val="00B364BF"/>
    <w:rsid w:val="00B367B2"/>
    <w:rsid w:val="00B368CF"/>
    <w:rsid w:val="00B36FC8"/>
    <w:rsid w:val="00B3711D"/>
    <w:rsid w:val="00B3739F"/>
    <w:rsid w:val="00B373BF"/>
    <w:rsid w:val="00B37494"/>
    <w:rsid w:val="00B37539"/>
    <w:rsid w:val="00B37E31"/>
    <w:rsid w:val="00B37EA7"/>
    <w:rsid w:val="00B37F76"/>
    <w:rsid w:val="00B40302"/>
    <w:rsid w:val="00B40307"/>
    <w:rsid w:val="00B4065E"/>
    <w:rsid w:val="00B40981"/>
    <w:rsid w:val="00B409C7"/>
    <w:rsid w:val="00B40B01"/>
    <w:rsid w:val="00B414C2"/>
    <w:rsid w:val="00B4174D"/>
    <w:rsid w:val="00B41A43"/>
    <w:rsid w:val="00B42D76"/>
    <w:rsid w:val="00B431EB"/>
    <w:rsid w:val="00B432C9"/>
    <w:rsid w:val="00B433DD"/>
    <w:rsid w:val="00B43AF3"/>
    <w:rsid w:val="00B43BDF"/>
    <w:rsid w:val="00B44C63"/>
    <w:rsid w:val="00B450A8"/>
    <w:rsid w:val="00B4516C"/>
    <w:rsid w:val="00B45A3C"/>
    <w:rsid w:val="00B45D6E"/>
    <w:rsid w:val="00B4601E"/>
    <w:rsid w:val="00B46B56"/>
    <w:rsid w:val="00B46BBD"/>
    <w:rsid w:val="00B471F9"/>
    <w:rsid w:val="00B476E0"/>
    <w:rsid w:val="00B47BD4"/>
    <w:rsid w:val="00B50992"/>
    <w:rsid w:val="00B50DD7"/>
    <w:rsid w:val="00B51142"/>
    <w:rsid w:val="00B51173"/>
    <w:rsid w:val="00B513BC"/>
    <w:rsid w:val="00B515C7"/>
    <w:rsid w:val="00B51849"/>
    <w:rsid w:val="00B51DAE"/>
    <w:rsid w:val="00B526E6"/>
    <w:rsid w:val="00B52958"/>
    <w:rsid w:val="00B52993"/>
    <w:rsid w:val="00B52B86"/>
    <w:rsid w:val="00B52D18"/>
    <w:rsid w:val="00B53204"/>
    <w:rsid w:val="00B53649"/>
    <w:rsid w:val="00B53680"/>
    <w:rsid w:val="00B53BB5"/>
    <w:rsid w:val="00B53CAD"/>
    <w:rsid w:val="00B53D90"/>
    <w:rsid w:val="00B543BF"/>
    <w:rsid w:val="00B545DD"/>
    <w:rsid w:val="00B54727"/>
    <w:rsid w:val="00B54AF2"/>
    <w:rsid w:val="00B55050"/>
    <w:rsid w:val="00B557AA"/>
    <w:rsid w:val="00B560F2"/>
    <w:rsid w:val="00B5649B"/>
    <w:rsid w:val="00B56B58"/>
    <w:rsid w:val="00B56BC3"/>
    <w:rsid w:val="00B56E2C"/>
    <w:rsid w:val="00B56EEF"/>
    <w:rsid w:val="00B571BD"/>
    <w:rsid w:val="00B571E7"/>
    <w:rsid w:val="00B572E8"/>
    <w:rsid w:val="00B575EA"/>
    <w:rsid w:val="00B577FC"/>
    <w:rsid w:val="00B5796F"/>
    <w:rsid w:val="00B57EDB"/>
    <w:rsid w:val="00B60770"/>
    <w:rsid w:val="00B60B1E"/>
    <w:rsid w:val="00B614D7"/>
    <w:rsid w:val="00B61C8B"/>
    <w:rsid w:val="00B61E07"/>
    <w:rsid w:val="00B61E59"/>
    <w:rsid w:val="00B628F3"/>
    <w:rsid w:val="00B63E81"/>
    <w:rsid w:val="00B6414F"/>
    <w:rsid w:val="00B643E6"/>
    <w:rsid w:val="00B6443F"/>
    <w:rsid w:val="00B6469C"/>
    <w:rsid w:val="00B6486C"/>
    <w:rsid w:val="00B648B7"/>
    <w:rsid w:val="00B65324"/>
    <w:rsid w:val="00B65BED"/>
    <w:rsid w:val="00B65C17"/>
    <w:rsid w:val="00B65FC5"/>
    <w:rsid w:val="00B66202"/>
    <w:rsid w:val="00B663C8"/>
    <w:rsid w:val="00B66F90"/>
    <w:rsid w:val="00B6736F"/>
    <w:rsid w:val="00B6737E"/>
    <w:rsid w:val="00B674D9"/>
    <w:rsid w:val="00B67963"/>
    <w:rsid w:val="00B67E6E"/>
    <w:rsid w:val="00B70337"/>
    <w:rsid w:val="00B703D4"/>
    <w:rsid w:val="00B7189C"/>
    <w:rsid w:val="00B7196C"/>
    <w:rsid w:val="00B71BBB"/>
    <w:rsid w:val="00B72033"/>
    <w:rsid w:val="00B722F8"/>
    <w:rsid w:val="00B724DA"/>
    <w:rsid w:val="00B725AF"/>
    <w:rsid w:val="00B72CAD"/>
    <w:rsid w:val="00B72DF7"/>
    <w:rsid w:val="00B731E0"/>
    <w:rsid w:val="00B73838"/>
    <w:rsid w:val="00B73A44"/>
    <w:rsid w:val="00B747A7"/>
    <w:rsid w:val="00B747F4"/>
    <w:rsid w:val="00B74D1A"/>
    <w:rsid w:val="00B7516C"/>
    <w:rsid w:val="00B756E7"/>
    <w:rsid w:val="00B75C96"/>
    <w:rsid w:val="00B76640"/>
    <w:rsid w:val="00B772A1"/>
    <w:rsid w:val="00B77826"/>
    <w:rsid w:val="00B7797F"/>
    <w:rsid w:val="00B77B72"/>
    <w:rsid w:val="00B80BB7"/>
    <w:rsid w:val="00B80CBA"/>
    <w:rsid w:val="00B80D75"/>
    <w:rsid w:val="00B80E8D"/>
    <w:rsid w:val="00B80ECE"/>
    <w:rsid w:val="00B80F06"/>
    <w:rsid w:val="00B8118D"/>
    <w:rsid w:val="00B81497"/>
    <w:rsid w:val="00B816FC"/>
    <w:rsid w:val="00B82071"/>
    <w:rsid w:val="00B829C1"/>
    <w:rsid w:val="00B83560"/>
    <w:rsid w:val="00B84A18"/>
    <w:rsid w:val="00B84E8C"/>
    <w:rsid w:val="00B85977"/>
    <w:rsid w:val="00B85EC8"/>
    <w:rsid w:val="00B86DFA"/>
    <w:rsid w:val="00B86E94"/>
    <w:rsid w:val="00B87267"/>
    <w:rsid w:val="00B873E4"/>
    <w:rsid w:val="00B87DD0"/>
    <w:rsid w:val="00B91324"/>
    <w:rsid w:val="00B91957"/>
    <w:rsid w:val="00B91BF3"/>
    <w:rsid w:val="00B91F11"/>
    <w:rsid w:val="00B92236"/>
    <w:rsid w:val="00B924B3"/>
    <w:rsid w:val="00B9277A"/>
    <w:rsid w:val="00B92996"/>
    <w:rsid w:val="00B930E3"/>
    <w:rsid w:val="00B934F0"/>
    <w:rsid w:val="00B936B3"/>
    <w:rsid w:val="00B9380B"/>
    <w:rsid w:val="00B9396E"/>
    <w:rsid w:val="00B93C51"/>
    <w:rsid w:val="00B93D5A"/>
    <w:rsid w:val="00B93E3E"/>
    <w:rsid w:val="00B951CA"/>
    <w:rsid w:val="00B95822"/>
    <w:rsid w:val="00B962D7"/>
    <w:rsid w:val="00B96A61"/>
    <w:rsid w:val="00B96C6A"/>
    <w:rsid w:val="00B96DFC"/>
    <w:rsid w:val="00B9738E"/>
    <w:rsid w:val="00B9764A"/>
    <w:rsid w:val="00B97C4A"/>
    <w:rsid w:val="00BA01EC"/>
    <w:rsid w:val="00BA0DE8"/>
    <w:rsid w:val="00BA13CA"/>
    <w:rsid w:val="00BA173D"/>
    <w:rsid w:val="00BA1D60"/>
    <w:rsid w:val="00BA1F09"/>
    <w:rsid w:val="00BA2650"/>
    <w:rsid w:val="00BA26D3"/>
    <w:rsid w:val="00BA287A"/>
    <w:rsid w:val="00BA287F"/>
    <w:rsid w:val="00BA2975"/>
    <w:rsid w:val="00BA2F53"/>
    <w:rsid w:val="00BA4390"/>
    <w:rsid w:val="00BA4619"/>
    <w:rsid w:val="00BA486D"/>
    <w:rsid w:val="00BA5763"/>
    <w:rsid w:val="00BA5B17"/>
    <w:rsid w:val="00BA5DD9"/>
    <w:rsid w:val="00BA6C87"/>
    <w:rsid w:val="00BA710A"/>
    <w:rsid w:val="00BA7538"/>
    <w:rsid w:val="00BA7556"/>
    <w:rsid w:val="00BA766E"/>
    <w:rsid w:val="00BA7CBE"/>
    <w:rsid w:val="00BA7EEB"/>
    <w:rsid w:val="00BA7F8F"/>
    <w:rsid w:val="00BB0421"/>
    <w:rsid w:val="00BB05CA"/>
    <w:rsid w:val="00BB0798"/>
    <w:rsid w:val="00BB0930"/>
    <w:rsid w:val="00BB0F90"/>
    <w:rsid w:val="00BB10E1"/>
    <w:rsid w:val="00BB1349"/>
    <w:rsid w:val="00BB135B"/>
    <w:rsid w:val="00BB140D"/>
    <w:rsid w:val="00BB1425"/>
    <w:rsid w:val="00BB1675"/>
    <w:rsid w:val="00BB1CC5"/>
    <w:rsid w:val="00BB2208"/>
    <w:rsid w:val="00BB2B3F"/>
    <w:rsid w:val="00BB2EE5"/>
    <w:rsid w:val="00BB2F5D"/>
    <w:rsid w:val="00BB3173"/>
    <w:rsid w:val="00BB31E0"/>
    <w:rsid w:val="00BB395E"/>
    <w:rsid w:val="00BB3CDA"/>
    <w:rsid w:val="00BB3D0F"/>
    <w:rsid w:val="00BB4787"/>
    <w:rsid w:val="00BB510A"/>
    <w:rsid w:val="00BB5243"/>
    <w:rsid w:val="00BB5962"/>
    <w:rsid w:val="00BB5D24"/>
    <w:rsid w:val="00BB6424"/>
    <w:rsid w:val="00BB64B7"/>
    <w:rsid w:val="00BB65D9"/>
    <w:rsid w:val="00BB6B0F"/>
    <w:rsid w:val="00BB6BCE"/>
    <w:rsid w:val="00BB6D92"/>
    <w:rsid w:val="00BB6ED6"/>
    <w:rsid w:val="00BB70B9"/>
    <w:rsid w:val="00BB7D87"/>
    <w:rsid w:val="00BC06B9"/>
    <w:rsid w:val="00BC0AD0"/>
    <w:rsid w:val="00BC0E35"/>
    <w:rsid w:val="00BC1BB0"/>
    <w:rsid w:val="00BC2409"/>
    <w:rsid w:val="00BC24C9"/>
    <w:rsid w:val="00BC2CB4"/>
    <w:rsid w:val="00BC380B"/>
    <w:rsid w:val="00BC39F4"/>
    <w:rsid w:val="00BC3D45"/>
    <w:rsid w:val="00BC3D71"/>
    <w:rsid w:val="00BC3E66"/>
    <w:rsid w:val="00BC3E92"/>
    <w:rsid w:val="00BC4021"/>
    <w:rsid w:val="00BC4066"/>
    <w:rsid w:val="00BC450E"/>
    <w:rsid w:val="00BC48A4"/>
    <w:rsid w:val="00BC4D85"/>
    <w:rsid w:val="00BC531B"/>
    <w:rsid w:val="00BC548B"/>
    <w:rsid w:val="00BC5EC0"/>
    <w:rsid w:val="00BC604C"/>
    <w:rsid w:val="00BC639F"/>
    <w:rsid w:val="00BC666D"/>
    <w:rsid w:val="00BC6C96"/>
    <w:rsid w:val="00BC71C9"/>
    <w:rsid w:val="00BC763F"/>
    <w:rsid w:val="00BC7A4E"/>
    <w:rsid w:val="00BD0769"/>
    <w:rsid w:val="00BD0887"/>
    <w:rsid w:val="00BD0AB1"/>
    <w:rsid w:val="00BD10EC"/>
    <w:rsid w:val="00BD214B"/>
    <w:rsid w:val="00BD21AB"/>
    <w:rsid w:val="00BD2AFD"/>
    <w:rsid w:val="00BD378A"/>
    <w:rsid w:val="00BD43D6"/>
    <w:rsid w:val="00BD44CC"/>
    <w:rsid w:val="00BD4538"/>
    <w:rsid w:val="00BD4965"/>
    <w:rsid w:val="00BD4B75"/>
    <w:rsid w:val="00BD5521"/>
    <w:rsid w:val="00BD5A84"/>
    <w:rsid w:val="00BD68FF"/>
    <w:rsid w:val="00BD7056"/>
    <w:rsid w:val="00BD71D7"/>
    <w:rsid w:val="00BD7214"/>
    <w:rsid w:val="00BD7B25"/>
    <w:rsid w:val="00BD7DCB"/>
    <w:rsid w:val="00BE0354"/>
    <w:rsid w:val="00BE052B"/>
    <w:rsid w:val="00BE0570"/>
    <w:rsid w:val="00BE0A0D"/>
    <w:rsid w:val="00BE112F"/>
    <w:rsid w:val="00BE186B"/>
    <w:rsid w:val="00BE1890"/>
    <w:rsid w:val="00BE18DF"/>
    <w:rsid w:val="00BE1AD8"/>
    <w:rsid w:val="00BE1AFA"/>
    <w:rsid w:val="00BE1BBA"/>
    <w:rsid w:val="00BE24D5"/>
    <w:rsid w:val="00BE27ED"/>
    <w:rsid w:val="00BE2DEA"/>
    <w:rsid w:val="00BE2F1B"/>
    <w:rsid w:val="00BE37DD"/>
    <w:rsid w:val="00BE3B3C"/>
    <w:rsid w:val="00BE3FDB"/>
    <w:rsid w:val="00BE45C2"/>
    <w:rsid w:val="00BE47E1"/>
    <w:rsid w:val="00BE4FAB"/>
    <w:rsid w:val="00BE55B0"/>
    <w:rsid w:val="00BE5604"/>
    <w:rsid w:val="00BE5633"/>
    <w:rsid w:val="00BE65CE"/>
    <w:rsid w:val="00BE690B"/>
    <w:rsid w:val="00BE7226"/>
    <w:rsid w:val="00BE739E"/>
    <w:rsid w:val="00BE743B"/>
    <w:rsid w:val="00BE76E4"/>
    <w:rsid w:val="00BE7D09"/>
    <w:rsid w:val="00BE7D4F"/>
    <w:rsid w:val="00BF048D"/>
    <w:rsid w:val="00BF0E47"/>
    <w:rsid w:val="00BF1087"/>
    <w:rsid w:val="00BF12CA"/>
    <w:rsid w:val="00BF146E"/>
    <w:rsid w:val="00BF1962"/>
    <w:rsid w:val="00BF1B58"/>
    <w:rsid w:val="00BF2143"/>
    <w:rsid w:val="00BF2496"/>
    <w:rsid w:val="00BF3311"/>
    <w:rsid w:val="00BF333A"/>
    <w:rsid w:val="00BF33A5"/>
    <w:rsid w:val="00BF35F9"/>
    <w:rsid w:val="00BF3739"/>
    <w:rsid w:val="00BF3B00"/>
    <w:rsid w:val="00BF42AF"/>
    <w:rsid w:val="00BF44B0"/>
    <w:rsid w:val="00BF45A5"/>
    <w:rsid w:val="00BF462E"/>
    <w:rsid w:val="00BF4DDC"/>
    <w:rsid w:val="00BF4ED6"/>
    <w:rsid w:val="00BF4F01"/>
    <w:rsid w:val="00BF527A"/>
    <w:rsid w:val="00BF5578"/>
    <w:rsid w:val="00BF568A"/>
    <w:rsid w:val="00BF5B5A"/>
    <w:rsid w:val="00BF630D"/>
    <w:rsid w:val="00BF6988"/>
    <w:rsid w:val="00BF6A3C"/>
    <w:rsid w:val="00BF6FCD"/>
    <w:rsid w:val="00BF70BC"/>
    <w:rsid w:val="00BF7587"/>
    <w:rsid w:val="00BF7800"/>
    <w:rsid w:val="00BF78AE"/>
    <w:rsid w:val="00BF7D15"/>
    <w:rsid w:val="00C00002"/>
    <w:rsid w:val="00C002CE"/>
    <w:rsid w:val="00C0049C"/>
    <w:rsid w:val="00C00972"/>
    <w:rsid w:val="00C00A4A"/>
    <w:rsid w:val="00C00CC1"/>
    <w:rsid w:val="00C01DFC"/>
    <w:rsid w:val="00C01F56"/>
    <w:rsid w:val="00C023E3"/>
    <w:rsid w:val="00C02ADC"/>
    <w:rsid w:val="00C02EA8"/>
    <w:rsid w:val="00C02F48"/>
    <w:rsid w:val="00C02FBA"/>
    <w:rsid w:val="00C034FA"/>
    <w:rsid w:val="00C03877"/>
    <w:rsid w:val="00C038A1"/>
    <w:rsid w:val="00C03A74"/>
    <w:rsid w:val="00C03B25"/>
    <w:rsid w:val="00C03DFD"/>
    <w:rsid w:val="00C04493"/>
    <w:rsid w:val="00C04745"/>
    <w:rsid w:val="00C047B1"/>
    <w:rsid w:val="00C048AD"/>
    <w:rsid w:val="00C04A4F"/>
    <w:rsid w:val="00C04D3F"/>
    <w:rsid w:val="00C04E3E"/>
    <w:rsid w:val="00C04F06"/>
    <w:rsid w:val="00C0501C"/>
    <w:rsid w:val="00C05349"/>
    <w:rsid w:val="00C055FB"/>
    <w:rsid w:val="00C057CC"/>
    <w:rsid w:val="00C0584B"/>
    <w:rsid w:val="00C059EE"/>
    <w:rsid w:val="00C05A3B"/>
    <w:rsid w:val="00C06025"/>
    <w:rsid w:val="00C0608C"/>
    <w:rsid w:val="00C06333"/>
    <w:rsid w:val="00C06347"/>
    <w:rsid w:val="00C0687D"/>
    <w:rsid w:val="00C06A1A"/>
    <w:rsid w:val="00C06FDD"/>
    <w:rsid w:val="00C07DF9"/>
    <w:rsid w:val="00C103CB"/>
    <w:rsid w:val="00C10621"/>
    <w:rsid w:val="00C1091A"/>
    <w:rsid w:val="00C10C3D"/>
    <w:rsid w:val="00C10CB8"/>
    <w:rsid w:val="00C10FA8"/>
    <w:rsid w:val="00C11047"/>
    <w:rsid w:val="00C11815"/>
    <w:rsid w:val="00C11A28"/>
    <w:rsid w:val="00C11A34"/>
    <w:rsid w:val="00C11F12"/>
    <w:rsid w:val="00C1213F"/>
    <w:rsid w:val="00C125EC"/>
    <w:rsid w:val="00C12751"/>
    <w:rsid w:val="00C12872"/>
    <w:rsid w:val="00C12951"/>
    <w:rsid w:val="00C136F1"/>
    <w:rsid w:val="00C13CBD"/>
    <w:rsid w:val="00C13F79"/>
    <w:rsid w:val="00C14129"/>
    <w:rsid w:val="00C1420C"/>
    <w:rsid w:val="00C146F2"/>
    <w:rsid w:val="00C14DFB"/>
    <w:rsid w:val="00C14FBF"/>
    <w:rsid w:val="00C152D0"/>
    <w:rsid w:val="00C15838"/>
    <w:rsid w:val="00C15C5A"/>
    <w:rsid w:val="00C15F6A"/>
    <w:rsid w:val="00C1640F"/>
    <w:rsid w:val="00C16CC2"/>
    <w:rsid w:val="00C16D04"/>
    <w:rsid w:val="00C16E75"/>
    <w:rsid w:val="00C170D7"/>
    <w:rsid w:val="00C17185"/>
    <w:rsid w:val="00C177A7"/>
    <w:rsid w:val="00C17D64"/>
    <w:rsid w:val="00C20242"/>
    <w:rsid w:val="00C204F0"/>
    <w:rsid w:val="00C2050B"/>
    <w:rsid w:val="00C2078F"/>
    <w:rsid w:val="00C207CF"/>
    <w:rsid w:val="00C2097E"/>
    <w:rsid w:val="00C20A10"/>
    <w:rsid w:val="00C212AE"/>
    <w:rsid w:val="00C214F1"/>
    <w:rsid w:val="00C21B13"/>
    <w:rsid w:val="00C21E89"/>
    <w:rsid w:val="00C221EE"/>
    <w:rsid w:val="00C221FA"/>
    <w:rsid w:val="00C22916"/>
    <w:rsid w:val="00C22DA9"/>
    <w:rsid w:val="00C23695"/>
    <w:rsid w:val="00C236C0"/>
    <w:rsid w:val="00C23822"/>
    <w:rsid w:val="00C23B7B"/>
    <w:rsid w:val="00C23D34"/>
    <w:rsid w:val="00C23E0D"/>
    <w:rsid w:val="00C24486"/>
    <w:rsid w:val="00C24B00"/>
    <w:rsid w:val="00C24CD0"/>
    <w:rsid w:val="00C2538E"/>
    <w:rsid w:val="00C2552C"/>
    <w:rsid w:val="00C2555B"/>
    <w:rsid w:val="00C2561D"/>
    <w:rsid w:val="00C256E6"/>
    <w:rsid w:val="00C25FE7"/>
    <w:rsid w:val="00C261B6"/>
    <w:rsid w:val="00C2681F"/>
    <w:rsid w:val="00C2687C"/>
    <w:rsid w:val="00C2695A"/>
    <w:rsid w:val="00C269CE"/>
    <w:rsid w:val="00C26CFB"/>
    <w:rsid w:val="00C26EB2"/>
    <w:rsid w:val="00C26FBD"/>
    <w:rsid w:val="00C27135"/>
    <w:rsid w:val="00C2736D"/>
    <w:rsid w:val="00C27772"/>
    <w:rsid w:val="00C277BD"/>
    <w:rsid w:val="00C27E0A"/>
    <w:rsid w:val="00C30745"/>
    <w:rsid w:val="00C30E76"/>
    <w:rsid w:val="00C30FA6"/>
    <w:rsid w:val="00C315F7"/>
    <w:rsid w:val="00C31987"/>
    <w:rsid w:val="00C31FC0"/>
    <w:rsid w:val="00C32220"/>
    <w:rsid w:val="00C328A1"/>
    <w:rsid w:val="00C32A65"/>
    <w:rsid w:val="00C32E05"/>
    <w:rsid w:val="00C33159"/>
    <w:rsid w:val="00C3317C"/>
    <w:rsid w:val="00C33512"/>
    <w:rsid w:val="00C33865"/>
    <w:rsid w:val="00C33F05"/>
    <w:rsid w:val="00C34489"/>
    <w:rsid w:val="00C344FB"/>
    <w:rsid w:val="00C35057"/>
    <w:rsid w:val="00C350D7"/>
    <w:rsid w:val="00C359A6"/>
    <w:rsid w:val="00C35C92"/>
    <w:rsid w:val="00C35CCC"/>
    <w:rsid w:val="00C35D8F"/>
    <w:rsid w:val="00C35E79"/>
    <w:rsid w:val="00C35EDE"/>
    <w:rsid w:val="00C36845"/>
    <w:rsid w:val="00C36CD2"/>
    <w:rsid w:val="00C371C4"/>
    <w:rsid w:val="00C3768A"/>
    <w:rsid w:val="00C37691"/>
    <w:rsid w:val="00C37768"/>
    <w:rsid w:val="00C37777"/>
    <w:rsid w:val="00C37CE8"/>
    <w:rsid w:val="00C400F1"/>
    <w:rsid w:val="00C40380"/>
    <w:rsid w:val="00C403BB"/>
    <w:rsid w:val="00C408F3"/>
    <w:rsid w:val="00C40C18"/>
    <w:rsid w:val="00C40C23"/>
    <w:rsid w:val="00C40C30"/>
    <w:rsid w:val="00C42095"/>
    <w:rsid w:val="00C42662"/>
    <w:rsid w:val="00C42669"/>
    <w:rsid w:val="00C426F8"/>
    <w:rsid w:val="00C4286C"/>
    <w:rsid w:val="00C429D9"/>
    <w:rsid w:val="00C42D69"/>
    <w:rsid w:val="00C42DFD"/>
    <w:rsid w:val="00C4304F"/>
    <w:rsid w:val="00C4375F"/>
    <w:rsid w:val="00C43969"/>
    <w:rsid w:val="00C439A8"/>
    <w:rsid w:val="00C43BC6"/>
    <w:rsid w:val="00C43FA6"/>
    <w:rsid w:val="00C440D7"/>
    <w:rsid w:val="00C443B7"/>
    <w:rsid w:val="00C44624"/>
    <w:rsid w:val="00C44C83"/>
    <w:rsid w:val="00C44D8F"/>
    <w:rsid w:val="00C4556A"/>
    <w:rsid w:val="00C45925"/>
    <w:rsid w:val="00C46320"/>
    <w:rsid w:val="00C463D0"/>
    <w:rsid w:val="00C464E2"/>
    <w:rsid w:val="00C465B7"/>
    <w:rsid w:val="00C467E5"/>
    <w:rsid w:val="00C4775A"/>
    <w:rsid w:val="00C4781E"/>
    <w:rsid w:val="00C47C4F"/>
    <w:rsid w:val="00C50752"/>
    <w:rsid w:val="00C507A7"/>
    <w:rsid w:val="00C508F3"/>
    <w:rsid w:val="00C50958"/>
    <w:rsid w:val="00C51068"/>
    <w:rsid w:val="00C511B3"/>
    <w:rsid w:val="00C51637"/>
    <w:rsid w:val="00C51861"/>
    <w:rsid w:val="00C51939"/>
    <w:rsid w:val="00C51A88"/>
    <w:rsid w:val="00C51C0D"/>
    <w:rsid w:val="00C51EDF"/>
    <w:rsid w:val="00C51EFE"/>
    <w:rsid w:val="00C5259E"/>
    <w:rsid w:val="00C525D8"/>
    <w:rsid w:val="00C52DD6"/>
    <w:rsid w:val="00C53302"/>
    <w:rsid w:val="00C53628"/>
    <w:rsid w:val="00C53FBA"/>
    <w:rsid w:val="00C53FD0"/>
    <w:rsid w:val="00C547C3"/>
    <w:rsid w:val="00C5515B"/>
    <w:rsid w:val="00C5524C"/>
    <w:rsid w:val="00C55559"/>
    <w:rsid w:val="00C558C1"/>
    <w:rsid w:val="00C55AA6"/>
    <w:rsid w:val="00C55C8F"/>
    <w:rsid w:val="00C55DC3"/>
    <w:rsid w:val="00C57011"/>
    <w:rsid w:val="00C57943"/>
    <w:rsid w:val="00C57A20"/>
    <w:rsid w:val="00C57BE4"/>
    <w:rsid w:val="00C57D2B"/>
    <w:rsid w:val="00C60BD4"/>
    <w:rsid w:val="00C60D9B"/>
    <w:rsid w:val="00C61014"/>
    <w:rsid w:val="00C6152D"/>
    <w:rsid w:val="00C6170C"/>
    <w:rsid w:val="00C6179B"/>
    <w:rsid w:val="00C61B25"/>
    <w:rsid w:val="00C61E66"/>
    <w:rsid w:val="00C61E71"/>
    <w:rsid w:val="00C620DC"/>
    <w:rsid w:val="00C62269"/>
    <w:rsid w:val="00C624F7"/>
    <w:rsid w:val="00C62909"/>
    <w:rsid w:val="00C6296C"/>
    <w:rsid w:val="00C63033"/>
    <w:rsid w:val="00C6338D"/>
    <w:rsid w:val="00C635BB"/>
    <w:rsid w:val="00C6368F"/>
    <w:rsid w:val="00C63882"/>
    <w:rsid w:val="00C649EE"/>
    <w:rsid w:val="00C64D86"/>
    <w:rsid w:val="00C65700"/>
    <w:rsid w:val="00C65801"/>
    <w:rsid w:val="00C65838"/>
    <w:rsid w:val="00C65891"/>
    <w:rsid w:val="00C65A9B"/>
    <w:rsid w:val="00C65BFA"/>
    <w:rsid w:val="00C663C1"/>
    <w:rsid w:val="00C667DE"/>
    <w:rsid w:val="00C66859"/>
    <w:rsid w:val="00C66B4C"/>
    <w:rsid w:val="00C66C76"/>
    <w:rsid w:val="00C66DD3"/>
    <w:rsid w:val="00C6734F"/>
    <w:rsid w:val="00C67390"/>
    <w:rsid w:val="00C67D9E"/>
    <w:rsid w:val="00C67EC3"/>
    <w:rsid w:val="00C70460"/>
    <w:rsid w:val="00C7053D"/>
    <w:rsid w:val="00C71146"/>
    <w:rsid w:val="00C71376"/>
    <w:rsid w:val="00C71C6B"/>
    <w:rsid w:val="00C72801"/>
    <w:rsid w:val="00C72D44"/>
    <w:rsid w:val="00C72DA4"/>
    <w:rsid w:val="00C730F9"/>
    <w:rsid w:val="00C732E5"/>
    <w:rsid w:val="00C73809"/>
    <w:rsid w:val="00C738ED"/>
    <w:rsid w:val="00C73A96"/>
    <w:rsid w:val="00C744D8"/>
    <w:rsid w:val="00C74761"/>
    <w:rsid w:val="00C747C1"/>
    <w:rsid w:val="00C749AE"/>
    <w:rsid w:val="00C7506D"/>
    <w:rsid w:val="00C75AE6"/>
    <w:rsid w:val="00C75BF7"/>
    <w:rsid w:val="00C76337"/>
    <w:rsid w:val="00C7641B"/>
    <w:rsid w:val="00C7762C"/>
    <w:rsid w:val="00C77660"/>
    <w:rsid w:val="00C80000"/>
    <w:rsid w:val="00C8018E"/>
    <w:rsid w:val="00C8019E"/>
    <w:rsid w:val="00C802A4"/>
    <w:rsid w:val="00C80862"/>
    <w:rsid w:val="00C80C99"/>
    <w:rsid w:val="00C81091"/>
    <w:rsid w:val="00C81802"/>
    <w:rsid w:val="00C81BE9"/>
    <w:rsid w:val="00C81CB5"/>
    <w:rsid w:val="00C82184"/>
    <w:rsid w:val="00C8222D"/>
    <w:rsid w:val="00C82283"/>
    <w:rsid w:val="00C82287"/>
    <w:rsid w:val="00C82489"/>
    <w:rsid w:val="00C82B2F"/>
    <w:rsid w:val="00C82C69"/>
    <w:rsid w:val="00C837E7"/>
    <w:rsid w:val="00C83853"/>
    <w:rsid w:val="00C83B52"/>
    <w:rsid w:val="00C83FCB"/>
    <w:rsid w:val="00C840A1"/>
    <w:rsid w:val="00C844EA"/>
    <w:rsid w:val="00C85061"/>
    <w:rsid w:val="00C854C3"/>
    <w:rsid w:val="00C8568D"/>
    <w:rsid w:val="00C859F1"/>
    <w:rsid w:val="00C85C3A"/>
    <w:rsid w:val="00C866EA"/>
    <w:rsid w:val="00C86C5F"/>
    <w:rsid w:val="00C877F1"/>
    <w:rsid w:val="00C87897"/>
    <w:rsid w:val="00C87936"/>
    <w:rsid w:val="00C879B3"/>
    <w:rsid w:val="00C87D9A"/>
    <w:rsid w:val="00C902E0"/>
    <w:rsid w:val="00C909E8"/>
    <w:rsid w:val="00C90A12"/>
    <w:rsid w:val="00C914C8"/>
    <w:rsid w:val="00C9150F"/>
    <w:rsid w:val="00C9216D"/>
    <w:rsid w:val="00C926DF"/>
    <w:rsid w:val="00C926F5"/>
    <w:rsid w:val="00C92F0E"/>
    <w:rsid w:val="00C9311A"/>
    <w:rsid w:val="00C933FE"/>
    <w:rsid w:val="00C935AB"/>
    <w:rsid w:val="00C93A70"/>
    <w:rsid w:val="00C93AE4"/>
    <w:rsid w:val="00C941EE"/>
    <w:rsid w:val="00C94892"/>
    <w:rsid w:val="00C94A7C"/>
    <w:rsid w:val="00C952D1"/>
    <w:rsid w:val="00C95595"/>
    <w:rsid w:val="00C95693"/>
    <w:rsid w:val="00C95A36"/>
    <w:rsid w:val="00C95AC1"/>
    <w:rsid w:val="00C95B2A"/>
    <w:rsid w:val="00C96334"/>
    <w:rsid w:val="00C97036"/>
    <w:rsid w:val="00C973BA"/>
    <w:rsid w:val="00C97782"/>
    <w:rsid w:val="00C97B38"/>
    <w:rsid w:val="00C97DF5"/>
    <w:rsid w:val="00C97ED5"/>
    <w:rsid w:val="00CA0056"/>
    <w:rsid w:val="00CA04CC"/>
    <w:rsid w:val="00CA0599"/>
    <w:rsid w:val="00CA0706"/>
    <w:rsid w:val="00CA0A47"/>
    <w:rsid w:val="00CA1161"/>
    <w:rsid w:val="00CA1333"/>
    <w:rsid w:val="00CA13BA"/>
    <w:rsid w:val="00CA1950"/>
    <w:rsid w:val="00CA1DCB"/>
    <w:rsid w:val="00CA1E51"/>
    <w:rsid w:val="00CA25C4"/>
    <w:rsid w:val="00CA25E2"/>
    <w:rsid w:val="00CA33DC"/>
    <w:rsid w:val="00CA49B2"/>
    <w:rsid w:val="00CA4D48"/>
    <w:rsid w:val="00CA4E5D"/>
    <w:rsid w:val="00CA528B"/>
    <w:rsid w:val="00CA5E2B"/>
    <w:rsid w:val="00CA6460"/>
    <w:rsid w:val="00CA65BF"/>
    <w:rsid w:val="00CA673C"/>
    <w:rsid w:val="00CA69BF"/>
    <w:rsid w:val="00CA6AA2"/>
    <w:rsid w:val="00CA6E93"/>
    <w:rsid w:val="00CA7855"/>
    <w:rsid w:val="00CA7A07"/>
    <w:rsid w:val="00CA7C5C"/>
    <w:rsid w:val="00CA7E6C"/>
    <w:rsid w:val="00CB05B1"/>
    <w:rsid w:val="00CB0EAA"/>
    <w:rsid w:val="00CB1012"/>
    <w:rsid w:val="00CB1183"/>
    <w:rsid w:val="00CB148C"/>
    <w:rsid w:val="00CB14B3"/>
    <w:rsid w:val="00CB1550"/>
    <w:rsid w:val="00CB1626"/>
    <w:rsid w:val="00CB18F8"/>
    <w:rsid w:val="00CB1D08"/>
    <w:rsid w:val="00CB1EB9"/>
    <w:rsid w:val="00CB256C"/>
    <w:rsid w:val="00CB25F1"/>
    <w:rsid w:val="00CB2739"/>
    <w:rsid w:val="00CB3B64"/>
    <w:rsid w:val="00CB3BBD"/>
    <w:rsid w:val="00CB40B2"/>
    <w:rsid w:val="00CB4192"/>
    <w:rsid w:val="00CB41A9"/>
    <w:rsid w:val="00CB453C"/>
    <w:rsid w:val="00CB54B4"/>
    <w:rsid w:val="00CB54DB"/>
    <w:rsid w:val="00CB582D"/>
    <w:rsid w:val="00CB6027"/>
    <w:rsid w:val="00CB6A63"/>
    <w:rsid w:val="00CB6E42"/>
    <w:rsid w:val="00CB6E49"/>
    <w:rsid w:val="00CC025C"/>
    <w:rsid w:val="00CC0A26"/>
    <w:rsid w:val="00CC135F"/>
    <w:rsid w:val="00CC1E0F"/>
    <w:rsid w:val="00CC24FA"/>
    <w:rsid w:val="00CC26E8"/>
    <w:rsid w:val="00CC2DF1"/>
    <w:rsid w:val="00CC33E1"/>
    <w:rsid w:val="00CC3A00"/>
    <w:rsid w:val="00CC3D03"/>
    <w:rsid w:val="00CC41FD"/>
    <w:rsid w:val="00CC51CA"/>
    <w:rsid w:val="00CC565C"/>
    <w:rsid w:val="00CC5770"/>
    <w:rsid w:val="00CC5A28"/>
    <w:rsid w:val="00CC6068"/>
    <w:rsid w:val="00CC6374"/>
    <w:rsid w:val="00CC6697"/>
    <w:rsid w:val="00CC6C60"/>
    <w:rsid w:val="00CC701A"/>
    <w:rsid w:val="00CC746E"/>
    <w:rsid w:val="00CC754C"/>
    <w:rsid w:val="00CC7BD1"/>
    <w:rsid w:val="00CC7C53"/>
    <w:rsid w:val="00CD04C0"/>
    <w:rsid w:val="00CD062F"/>
    <w:rsid w:val="00CD07EA"/>
    <w:rsid w:val="00CD0E6F"/>
    <w:rsid w:val="00CD1020"/>
    <w:rsid w:val="00CD1C47"/>
    <w:rsid w:val="00CD2274"/>
    <w:rsid w:val="00CD227E"/>
    <w:rsid w:val="00CD2283"/>
    <w:rsid w:val="00CD28FF"/>
    <w:rsid w:val="00CD301A"/>
    <w:rsid w:val="00CD3409"/>
    <w:rsid w:val="00CD34D3"/>
    <w:rsid w:val="00CD3653"/>
    <w:rsid w:val="00CD3BC1"/>
    <w:rsid w:val="00CD3CDC"/>
    <w:rsid w:val="00CD3DCB"/>
    <w:rsid w:val="00CD432C"/>
    <w:rsid w:val="00CD49B9"/>
    <w:rsid w:val="00CD4DEC"/>
    <w:rsid w:val="00CD4F24"/>
    <w:rsid w:val="00CD4F7C"/>
    <w:rsid w:val="00CD60E0"/>
    <w:rsid w:val="00CD6330"/>
    <w:rsid w:val="00CD6760"/>
    <w:rsid w:val="00CD73B4"/>
    <w:rsid w:val="00CD77F5"/>
    <w:rsid w:val="00CD7A03"/>
    <w:rsid w:val="00CE1668"/>
    <w:rsid w:val="00CE1D33"/>
    <w:rsid w:val="00CE1F5B"/>
    <w:rsid w:val="00CE22EF"/>
    <w:rsid w:val="00CE24A4"/>
    <w:rsid w:val="00CE31D2"/>
    <w:rsid w:val="00CE33DC"/>
    <w:rsid w:val="00CE39DE"/>
    <w:rsid w:val="00CE42D1"/>
    <w:rsid w:val="00CE4428"/>
    <w:rsid w:val="00CE4833"/>
    <w:rsid w:val="00CE4D66"/>
    <w:rsid w:val="00CE5044"/>
    <w:rsid w:val="00CE51C0"/>
    <w:rsid w:val="00CE58A6"/>
    <w:rsid w:val="00CE592D"/>
    <w:rsid w:val="00CE5C93"/>
    <w:rsid w:val="00CE67B6"/>
    <w:rsid w:val="00CE6D68"/>
    <w:rsid w:val="00CE733B"/>
    <w:rsid w:val="00CE79B0"/>
    <w:rsid w:val="00CE7CCF"/>
    <w:rsid w:val="00CE7EBD"/>
    <w:rsid w:val="00CF00A2"/>
    <w:rsid w:val="00CF0463"/>
    <w:rsid w:val="00CF08A8"/>
    <w:rsid w:val="00CF09DA"/>
    <w:rsid w:val="00CF0F66"/>
    <w:rsid w:val="00CF0F7C"/>
    <w:rsid w:val="00CF1097"/>
    <w:rsid w:val="00CF157D"/>
    <w:rsid w:val="00CF2660"/>
    <w:rsid w:val="00CF31E1"/>
    <w:rsid w:val="00CF3879"/>
    <w:rsid w:val="00CF39D4"/>
    <w:rsid w:val="00CF3F4A"/>
    <w:rsid w:val="00CF43A4"/>
    <w:rsid w:val="00CF43D2"/>
    <w:rsid w:val="00CF4AF8"/>
    <w:rsid w:val="00CF4E9C"/>
    <w:rsid w:val="00CF4FF3"/>
    <w:rsid w:val="00CF5218"/>
    <w:rsid w:val="00CF590F"/>
    <w:rsid w:val="00CF5911"/>
    <w:rsid w:val="00CF5B1B"/>
    <w:rsid w:val="00CF601A"/>
    <w:rsid w:val="00CF61ED"/>
    <w:rsid w:val="00CF6263"/>
    <w:rsid w:val="00CF70F3"/>
    <w:rsid w:val="00CF72C8"/>
    <w:rsid w:val="00CF7716"/>
    <w:rsid w:val="00CF7815"/>
    <w:rsid w:val="00CF7AB8"/>
    <w:rsid w:val="00CF7D51"/>
    <w:rsid w:val="00D0000D"/>
    <w:rsid w:val="00D0161D"/>
    <w:rsid w:val="00D018AA"/>
    <w:rsid w:val="00D01B14"/>
    <w:rsid w:val="00D01F21"/>
    <w:rsid w:val="00D02299"/>
    <w:rsid w:val="00D02370"/>
    <w:rsid w:val="00D02462"/>
    <w:rsid w:val="00D029D7"/>
    <w:rsid w:val="00D02A08"/>
    <w:rsid w:val="00D03B9F"/>
    <w:rsid w:val="00D04354"/>
    <w:rsid w:val="00D04594"/>
    <w:rsid w:val="00D0474D"/>
    <w:rsid w:val="00D04EAC"/>
    <w:rsid w:val="00D04FF7"/>
    <w:rsid w:val="00D054BE"/>
    <w:rsid w:val="00D05608"/>
    <w:rsid w:val="00D05E7C"/>
    <w:rsid w:val="00D05EDA"/>
    <w:rsid w:val="00D05F65"/>
    <w:rsid w:val="00D0609F"/>
    <w:rsid w:val="00D06A47"/>
    <w:rsid w:val="00D06B6C"/>
    <w:rsid w:val="00D0703D"/>
    <w:rsid w:val="00D07794"/>
    <w:rsid w:val="00D07B04"/>
    <w:rsid w:val="00D07EF6"/>
    <w:rsid w:val="00D102CC"/>
    <w:rsid w:val="00D102D1"/>
    <w:rsid w:val="00D10312"/>
    <w:rsid w:val="00D107D3"/>
    <w:rsid w:val="00D10A17"/>
    <w:rsid w:val="00D10AFB"/>
    <w:rsid w:val="00D10B6F"/>
    <w:rsid w:val="00D1219F"/>
    <w:rsid w:val="00D12C19"/>
    <w:rsid w:val="00D12F06"/>
    <w:rsid w:val="00D130E3"/>
    <w:rsid w:val="00D13588"/>
    <w:rsid w:val="00D13C85"/>
    <w:rsid w:val="00D13F3D"/>
    <w:rsid w:val="00D14FEE"/>
    <w:rsid w:val="00D154E2"/>
    <w:rsid w:val="00D15813"/>
    <w:rsid w:val="00D164B2"/>
    <w:rsid w:val="00D168F4"/>
    <w:rsid w:val="00D16D35"/>
    <w:rsid w:val="00D16FF0"/>
    <w:rsid w:val="00D170E0"/>
    <w:rsid w:val="00D172BA"/>
    <w:rsid w:val="00D179CB"/>
    <w:rsid w:val="00D17B7D"/>
    <w:rsid w:val="00D17DFF"/>
    <w:rsid w:val="00D20AA3"/>
    <w:rsid w:val="00D20C8A"/>
    <w:rsid w:val="00D2135F"/>
    <w:rsid w:val="00D216BE"/>
    <w:rsid w:val="00D21837"/>
    <w:rsid w:val="00D219EB"/>
    <w:rsid w:val="00D21E02"/>
    <w:rsid w:val="00D22598"/>
    <w:rsid w:val="00D226BB"/>
    <w:rsid w:val="00D227ED"/>
    <w:rsid w:val="00D22A26"/>
    <w:rsid w:val="00D22C16"/>
    <w:rsid w:val="00D22EFE"/>
    <w:rsid w:val="00D2314D"/>
    <w:rsid w:val="00D242A2"/>
    <w:rsid w:val="00D242BC"/>
    <w:rsid w:val="00D24427"/>
    <w:rsid w:val="00D24C72"/>
    <w:rsid w:val="00D26235"/>
    <w:rsid w:val="00D264D3"/>
    <w:rsid w:val="00D26C68"/>
    <w:rsid w:val="00D26D82"/>
    <w:rsid w:val="00D27058"/>
    <w:rsid w:val="00D27C49"/>
    <w:rsid w:val="00D27C95"/>
    <w:rsid w:val="00D301EA"/>
    <w:rsid w:val="00D3092A"/>
    <w:rsid w:val="00D316DF"/>
    <w:rsid w:val="00D31B32"/>
    <w:rsid w:val="00D32286"/>
    <w:rsid w:val="00D325CF"/>
    <w:rsid w:val="00D3276F"/>
    <w:rsid w:val="00D328F1"/>
    <w:rsid w:val="00D32B4A"/>
    <w:rsid w:val="00D33234"/>
    <w:rsid w:val="00D33ECF"/>
    <w:rsid w:val="00D33FA4"/>
    <w:rsid w:val="00D33FD9"/>
    <w:rsid w:val="00D3422D"/>
    <w:rsid w:val="00D34413"/>
    <w:rsid w:val="00D34552"/>
    <w:rsid w:val="00D34946"/>
    <w:rsid w:val="00D34969"/>
    <w:rsid w:val="00D34E1B"/>
    <w:rsid w:val="00D34E57"/>
    <w:rsid w:val="00D34FD2"/>
    <w:rsid w:val="00D35752"/>
    <w:rsid w:val="00D35994"/>
    <w:rsid w:val="00D35A9B"/>
    <w:rsid w:val="00D35AA3"/>
    <w:rsid w:val="00D35E93"/>
    <w:rsid w:val="00D35F42"/>
    <w:rsid w:val="00D35FCF"/>
    <w:rsid w:val="00D35FD9"/>
    <w:rsid w:val="00D35FED"/>
    <w:rsid w:val="00D3631C"/>
    <w:rsid w:val="00D36390"/>
    <w:rsid w:val="00D36711"/>
    <w:rsid w:val="00D36ABE"/>
    <w:rsid w:val="00D3707F"/>
    <w:rsid w:val="00D373E6"/>
    <w:rsid w:val="00D37612"/>
    <w:rsid w:val="00D4001F"/>
    <w:rsid w:val="00D40039"/>
    <w:rsid w:val="00D401BC"/>
    <w:rsid w:val="00D40355"/>
    <w:rsid w:val="00D404D7"/>
    <w:rsid w:val="00D40508"/>
    <w:rsid w:val="00D40634"/>
    <w:rsid w:val="00D40666"/>
    <w:rsid w:val="00D408B4"/>
    <w:rsid w:val="00D40F05"/>
    <w:rsid w:val="00D410CB"/>
    <w:rsid w:val="00D41D7C"/>
    <w:rsid w:val="00D420A9"/>
    <w:rsid w:val="00D42B3B"/>
    <w:rsid w:val="00D42EE0"/>
    <w:rsid w:val="00D42F95"/>
    <w:rsid w:val="00D43A09"/>
    <w:rsid w:val="00D43F20"/>
    <w:rsid w:val="00D43F30"/>
    <w:rsid w:val="00D446FF"/>
    <w:rsid w:val="00D449D0"/>
    <w:rsid w:val="00D44EBE"/>
    <w:rsid w:val="00D44F5B"/>
    <w:rsid w:val="00D4503C"/>
    <w:rsid w:val="00D454F9"/>
    <w:rsid w:val="00D45546"/>
    <w:rsid w:val="00D45870"/>
    <w:rsid w:val="00D45CC4"/>
    <w:rsid w:val="00D46BD4"/>
    <w:rsid w:val="00D46DB3"/>
    <w:rsid w:val="00D46E2B"/>
    <w:rsid w:val="00D470DD"/>
    <w:rsid w:val="00D4713D"/>
    <w:rsid w:val="00D47944"/>
    <w:rsid w:val="00D50513"/>
    <w:rsid w:val="00D50580"/>
    <w:rsid w:val="00D50827"/>
    <w:rsid w:val="00D509B8"/>
    <w:rsid w:val="00D509D9"/>
    <w:rsid w:val="00D50EB4"/>
    <w:rsid w:val="00D5127E"/>
    <w:rsid w:val="00D5186D"/>
    <w:rsid w:val="00D521DB"/>
    <w:rsid w:val="00D522A0"/>
    <w:rsid w:val="00D5243F"/>
    <w:rsid w:val="00D525B8"/>
    <w:rsid w:val="00D5340C"/>
    <w:rsid w:val="00D53AB2"/>
    <w:rsid w:val="00D53D7E"/>
    <w:rsid w:val="00D54091"/>
    <w:rsid w:val="00D54841"/>
    <w:rsid w:val="00D54C0B"/>
    <w:rsid w:val="00D54F43"/>
    <w:rsid w:val="00D5523A"/>
    <w:rsid w:val="00D555DB"/>
    <w:rsid w:val="00D5570A"/>
    <w:rsid w:val="00D55FAD"/>
    <w:rsid w:val="00D55FF9"/>
    <w:rsid w:val="00D560F1"/>
    <w:rsid w:val="00D56A6A"/>
    <w:rsid w:val="00D5749B"/>
    <w:rsid w:val="00D574AF"/>
    <w:rsid w:val="00D57F80"/>
    <w:rsid w:val="00D6008F"/>
    <w:rsid w:val="00D604E1"/>
    <w:rsid w:val="00D60667"/>
    <w:rsid w:val="00D60BCE"/>
    <w:rsid w:val="00D614A0"/>
    <w:rsid w:val="00D61B08"/>
    <w:rsid w:val="00D621E6"/>
    <w:rsid w:val="00D62B27"/>
    <w:rsid w:val="00D62B70"/>
    <w:rsid w:val="00D62CE1"/>
    <w:rsid w:val="00D62F29"/>
    <w:rsid w:val="00D63412"/>
    <w:rsid w:val="00D6389C"/>
    <w:rsid w:val="00D63B33"/>
    <w:rsid w:val="00D63CDD"/>
    <w:rsid w:val="00D6439C"/>
    <w:rsid w:val="00D64AAF"/>
    <w:rsid w:val="00D64BAB"/>
    <w:rsid w:val="00D66142"/>
    <w:rsid w:val="00D661FD"/>
    <w:rsid w:val="00D665D3"/>
    <w:rsid w:val="00D66B5E"/>
    <w:rsid w:val="00D66CBB"/>
    <w:rsid w:val="00D67550"/>
    <w:rsid w:val="00D705FA"/>
    <w:rsid w:val="00D7139E"/>
    <w:rsid w:val="00D71CCA"/>
    <w:rsid w:val="00D71CF5"/>
    <w:rsid w:val="00D7232B"/>
    <w:rsid w:val="00D724D3"/>
    <w:rsid w:val="00D731E5"/>
    <w:rsid w:val="00D73433"/>
    <w:rsid w:val="00D73B5B"/>
    <w:rsid w:val="00D73E68"/>
    <w:rsid w:val="00D74EA5"/>
    <w:rsid w:val="00D74F17"/>
    <w:rsid w:val="00D75333"/>
    <w:rsid w:val="00D755C2"/>
    <w:rsid w:val="00D7566D"/>
    <w:rsid w:val="00D757AC"/>
    <w:rsid w:val="00D75991"/>
    <w:rsid w:val="00D759D5"/>
    <w:rsid w:val="00D75C72"/>
    <w:rsid w:val="00D764D4"/>
    <w:rsid w:val="00D76532"/>
    <w:rsid w:val="00D765D5"/>
    <w:rsid w:val="00D76791"/>
    <w:rsid w:val="00D76B50"/>
    <w:rsid w:val="00D76BE3"/>
    <w:rsid w:val="00D76D46"/>
    <w:rsid w:val="00D77071"/>
    <w:rsid w:val="00D7731F"/>
    <w:rsid w:val="00D77771"/>
    <w:rsid w:val="00D77A06"/>
    <w:rsid w:val="00D77A8B"/>
    <w:rsid w:val="00D77BA1"/>
    <w:rsid w:val="00D77F89"/>
    <w:rsid w:val="00D80255"/>
    <w:rsid w:val="00D8051A"/>
    <w:rsid w:val="00D80CC3"/>
    <w:rsid w:val="00D80D5B"/>
    <w:rsid w:val="00D80DC5"/>
    <w:rsid w:val="00D80EDD"/>
    <w:rsid w:val="00D80FF8"/>
    <w:rsid w:val="00D81708"/>
    <w:rsid w:val="00D81C01"/>
    <w:rsid w:val="00D81D48"/>
    <w:rsid w:val="00D81E13"/>
    <w:rsid w:val="00D82064"/>
    <w:rsid w:val="00D82440"/>
    <w:rsid w:val="00D8343F"/>
    <w:rsid w:val="00D84259"/>
    <w:rsid w:val="00D844B7"/>
    <w:rsid w:val="00D845E7"/>
    <w:rsid w:val="00D849B9"/>
    <w:rsid w:val="00D84A1B"/>
    <w:rsid w:val="00D84B95"/>
    <w:rsid w:val="00D84CF4"/>
    <w:rsid w:val="00D8566E"/>
    <w:rsid w:val="00D860B8"/>
    <w:rsid w:val="00D864F0"/>
    <w:rsid w:val="00D867AB"/>
    <w:rsid w:val="00D86B96"/>
    <w:rsid w:val="00D86F5F"/>
    <w:rsid w:val="00D8731E"/>
    <w:rsid w:val="00D878B3"/>
    <w:rsid w:val="00D900E5"/>
    <w:rsid w:val="00D909B2"/>
    <w:rsid w:val="00D90C29"/>
    <w:rsid w:val="00D90DB1"/>
    <w:rsid w:val="00D914E7"/>
    <w:rsid w:val="00D92340"/>
    <w:rsid w:val="00D9257D"/>
    <w:rsid w:val="00D928D0"/>
    <w:rsid w:val="00D93626"/>
    <w:rsid w:val="00D93A24"/>
    <w:rsid w:val="00D94574"/>
    <w:rsid w:val="00D946DB"/>
    <w:rsid w:val="00D94805"/>
    <w:rsid w:val="00D94C4D"/>
    <w:rsid w:val="00D95160"/>
    <w:rsid w:val="00D95240"/>
    <w:rsid w:val="00D956BC"/>
    <w:rsid w:val="00D95E18"/>
    <w:rsid w:val="00D95F1D"/>
    <w:rsid w:val="00D96282"/>
    <w:rsid w:val="00D96781"/>
    <w:rsid w:val="00D97874"/>
    <w:rsid w:val="00D979AE"/>
    <w:rsid w:val="00D97D04"/>
    <w:rsid w:val="00DA06D5"/>
    <w:rsid w:val="00DA0B11"/>
    <w:rsid w:val="00DA1229"/>
    <w:rsid w:val="00DA1B84"/>
    <w:rsid w:val="00DA23AE"/>
    <w:rsid w:val="00DA2445"/>
    <w:rsid w:val="00DA254C"/>
    <w:rsid w:val="00DA2E7A"/>
    <w:rsid w:val="00DA3127"/>
    <w:rsid w:val="00DA3860"/>
    <w:rsid w:val="00DA393F"/>
    <w:rsid w:val="00DA3DE7"/>
    <w:rsid w:val="00DA41BE"/>
    <w:rsid w:val="00DA42B9"/>
    <w:rsid w:val="00DA4F7F"/>
    <w:rsid w:val="00DA52EE"/>
    <w:rsid w:val="00DA5898"/>
    <w:rsid w:val="00DA5E70"/>
    <w:rsid w:val="00DA6252"/>
    <w:rsid w:val="00DA6F41"/>
    <w:rsid w:val="00DA72A8"/>
    <w:rsid w:val="00DA73B7"/>
    <w:rsid w:val="00DA7763"/>
    <w:rsid w:val="00DB0065"/>
    <w:rsid w:val="00DB04D7"/>
    <w:rsid w:val="00DB09D3"/>
    <w:rsid w:val="00DB158F"/>
    <w:rsid w:val="00DB1858"/>
    <w:rsid w:val="00DB1A2F"/>
    <w:rsid w:val="00DB1F1F"/>
    <w:rsid w:val="00DB1F80"/>
    <w:rsid w:val="00DB2405"/>
    <w:rsid w:val="00DB27DF"/>
    <w:rsid w:val="00DB2A78"/>
    <w:rsid w:val="00DB2B9F"/>
    <w:rsid w:val="00DB2BEA"/>
    <w:rsid w:val="00DB2BF8"/>
    <w:rsid w:val="00DB2EEF"/>
    <w:rsid w:val="00DB34D5"/>
    <w:rsid w:val="00DB3659"/>
    <w:rsid w:val="00DB3A2F"/>
    <w:rsid w:val="00DB4EB2"/>
    <w:rsid w:val="00DB4FA3"/>
    <w:rsid w:val="00DB5745"/>
    <w:rsid w:val="00DB5A79"/>
    <w:rsid w:val="00DB5AFA"/>
    <w:rsid w:val="00DB6067"/>
    <w:rsid w:val="00DB63DB"/>
    <w:rsid w:val="00DB6CFD"/>
    <w:rsid w:val="00DB6D3C"/>
    <w:rsid w:val="00DB6DD3"/>
    <w:rsid w:val="00DB74BF"/>
    <w:rsid w:val="00DB753F"/>
    <w:rsid w:val="00DB75EB"/>
    <w:rsid w:val="00DB7784"/>
    <w:rsid w:val="00DC0606"/>
    <w:rsid w:val="00DC06C1"/>
    <w:rsid w:val="00DC08EF"/>
    <w:rsid w:val="00DC095E"/>
    <w:rsid w:val="00DC0F6B"/>
    <w:rsid w:val="00DC0FD3"/>
    <w:rsid w:val="00DC1307"/>
    <w:rsid w:val="00DC190C"/>
    <w:rsid w:val="00DC1912"/>
    <w:rsid w:val="00DC1ADD"/>
    <w:rsid w:val="00DC20A5"/>
    <w:rsid w:val="00DC21CA"/>
    <w:rsid w:val="00DC3C20"/>
    <w:rsid w:val="00DC3C6B"/>
    <w:rsid w:val="00DC3F35"/>
    <w:rsid w:val="00DC3F96"/>
    <w:rsid w:val="00DC4138"/>
    <w:rsid w:val="00DC43BD"/>
    <w:rsid w:val="00DC479A"/>
    <w:rsid w:val="00DC4AC6"/>
    <w:rsid w:val="00DC4BC5"/>
    <w:rsid w:val="00DC4D53"/>
    <w:rsid w:val="00DC4E77"/>
    <w:rsid w:val="00DC5153"/>
    <w:rsid w:val="00DC5176"/>
    <w:rsid w:val="00DC5289"/>
    <w:rsid w:val="00DC52E1"/>
    <w:rsid w:val="00DC56BF"/>
    <w:rsid w:val="00DC5D15"/>
    <w:rsid w:val="00DC61FF"/>
    <w:rsid w:val="00DC6213"/>
    <w:rsid w:val="00DC636A"/>
    <w:rsid w:val="00DC66BB"/>
    <w:rsid w:val="00DC6963"/>
    <w:rsid w:val="00DC6AE7"/>
    <w:rsid w:val="00DC7CE8"/>
    <w:rsid w:val="00DC7E3D"/>
    <w:rsid w:val="00DD0233"/>
    <w:rsid w:val="00DD0748"/>
    <w:rsid w:val="00DD0DCD"/>
    <w:rsid w:val="00DD0F62"/>
    <w:rsid w:val="00DD1545"/>
    <w:rsid w:val="00DD1848"/>
    <w:rsid w:val="00DD1AFE"/>
    <w:rsid w:val="00DD1C3D"/>
    <w:rsid w:val="00DD2727"/>
    <w:rsid w:val="00DD27BB"/>
    <w:rsid w:val="00DD2BE3"/>
    <w:rsid w:val="00DD2FCF"/>
    <w:rsid w:val="00DD326E"/>
    <w:rsid w:val="00DD3314"/>
    <w:rsid w:val="00DD34E2"/>
    <w:rsid w:val="00DD388D"/>
    <w:rsid w:val="00DD3BAE"/>
    <w:rsid w:val="00DD3F2C"/>
    <w:rsid w:val="00DD4165"/>
    <w:rsid w:val="00DD416E"/>
    <w:rsid w:val="00DD4326"/>
    <w:rsid w:val="00DD45DE"/>
    <w:rsid w:val="00DD46B6"/>
    <w:rsid w:val="00DD4753"/>
    <w:rsid w:val="00DD4881"/>
    <w:rsid w:val="00DD5099"/>
    <w:rsid w:val="00DD52E0"/>
    <w:rsid w:val="00DD53EA"/>
    <w:rsid w:val="00DD5E3C"/>
    <w:rsid w:val="00DD61C2"/>
    <w:rsid w:val="00DD63EA"/>
    <w:rsid w:val="00DD66A7"/>
    <w:rsid w:val="00DD66E7"/>
    <w:rsid w:val="00DD6987"/>
    <w:rsid w:val="00DD6A66"/>
    <w:rsid w:val="00DD6C14"/>
    <w:rsid w:val="00DD7025"/>
    <w:rsid w:val="00DD7316"/>
    <w:rsid w:val="00DD7912"/>
    <w:rsid w:val="00DE0B77"/>
    <w:rsid w:val="00DE0F81"/>
    <w:rsid w:val="00DE101E"/>
    <w:rsid w:val="00DE1950"/>
    <w:rsid w:val="00DE2319"/>
    <w:rsid w:val="00DE24FC"/>
    <w:rsid w:val="00DE2596"/>
    <w:rsid w:val="00DE2DA9"/>
    <w:rsid w:val="00DE35EC"/>
    <w:rsid w:val="00DE451B"/>
    <w:rsid w:val="00DE4AA5"/>
    <w:rsid w:val="00DE4AAF"/>
    <w:rsid w:val="00DE4C4A"/>
    <w:rsid w:val="00DE5124"/>
    <w:rsid w:val="00DE57B0"/>
    <w:rsid w:val="00DE6DD3"/>
    <w:rsid w:val="00DE7A3E"/>
    <w:rsid w:val="00DE7E3E"/>
    <w:rsid w:val="00DF0A04"/>
    <w:rsid w:val="00DF1446"/>
    <w:rsid w:val="00DF1452"/>
    <w:rsid w:val="00DF1F5F"/>
    <w:rsid w:val="00DF21C9"/>
    <w:rsid w:val="00DF2235"/>
    <w:rsid w:val="00DF2281"/>
    <w:rsid w:val="00DF2701"/>
    <w:rsid w:val="00DF3ABE"/>
    <w:rsid w:val="00DF404D"/>
    <w:rsid w:val="00DF40AC"/>
    <w:rsid w:val="00DF41E3"/>
    <w:rsid w:val="00DF49A5"/>
    <w:rsid w:val="00DF4BD3"/>
    <w:rsid w:val="00DF5263"/>
    <w:rsid w:val="00DF5E9F"/>
    <w:rsid w:val="00DF5FB5"/>
    <w:rsid w:val="00DF6535"/>
    <w:rsid w:val="00DF673D"/>
    <w:rsid w:val="00DF6786"/>
    <w:rsid w:val="00DF67F6"/>
    <w:rsid w:val="00DF6878"/>
    <w:rsid w:val="00DF68B8"/>
    <w:rsid w:val="00DF6A1D"/>
    <w:rsid w:val="00DF6AC7"/>
    <w:rsid w:val="00DF6EC6"/>
    <w:rsid w:val="00DF7F1F"/>
    <w:rsid w:val="00DF7F76"/>
    <w:rsid w:val="00E00083"/>
    <w:rsid w:val="00E003AA"/>
    <w:rsid w:val="00E00428"/>
    <w:rsid w:val="00E00761"/>
    <w:rsid w:val="00E00779"/>
    <w:rsid w:val="00E00AFE"/>
    <w:rsid w:val="00E00BDA"/>
    <w:rsid w:val="00E013A0"/>
    <w:rsid w:val="00E013AB"/>
    <w:rsid w:val="00E01466"/>
    <w:rsid w:val="00E015C8"/>
    <w:rsid w:val="00E01762"/>
    <w:rsid w:val="00E0192E"/>
    <w:rsid w:val="00E01938"/>
    <w:rsid w:val="00E01C57"/>
    <w:rsid w:val="00E0222F"/>
    <w:rsid w:val="00E0241E"/>
    <w:rsid w:val="00E02616"/>
    <w:rsid w:val="00E02985"/>
    <w:rsid w:val="00E02EFD"/>
    <w:rsid w:val="00E03493"/>
    <w:rsid w:val="00E039DD"/>
    <w:rsid w:val="00E03BCB"/>
    <w:rsid w:val="00E03F86"/>
    <w:rsid w:val="00E0471A"/>
    <w:rsid w:val="00E04A18"/>
    <w:rsid w:val="00E04BF8"/>
    <w:rsid w:val="00E04E81"/>
    <w:rsid w:val="00E04F2B"/>
    <w:rsid w:val="00E05300"/>
    <w:rsid w:val="00E05C66"/>
    <w:rsid w:val="00E05D7E"/>
    <w:rsid w:val="00E05E8F"/>
    <w:rsid w:val="00E05F82"/>
    <w:rsid w:val="00E05FA2"/>
    <w:rsid w:val="00E06677"/>
    <w:rsid w:val="00E066FE"/>
    <w:rsid w:val="00E06B9E"/>
    <w:rsid w:val="00E07412"/>
    <w:rsid w:val="00E0762A"/>
    <w:rsid w:val="00E07760"/>
    <w:rsid w:val="00E0793A"/>
    <w:rsid w:val="00E07F21"/>
    <w:rsid w:val="00E10502"/>
    <w:rsid w:val="00E1059F"/>
    <w:rsid w:val="00E10A23"/>
    <w:rsid w:val="00E10D0B"/>
    <w:rsid w:val="00E10F00"/>
    <w:rsid w:val="00E11420"/>
    <w:rsid w:val="00E1183B"/>
    <w:rsid w:val="00E11AC0"/>
    <w:rsid w:val="00E11BF8"/>
    <w:rsid w:val="00E11D2B"/>
    <w:rsid w:val="00E12AB2"/>
    <w:rsid w:val="00E130C3"/>
    <w:rsid w:val="00E1344D"/>
    <w:rsid w:val="00E136D2"/>
    <w:rsid w:val="00E13776"/>
    <w:rsid w:val="00E13ACE"/>
    <w:rsid w:val="00E13C3F"/>
    <w:rsid w:val="00E14713"/>
    <w:rsid w:val="00E14A3C"/>
    <w:rsid w:val="00E15AF4"/>
    <w:rsid w:val="00E169D3"/>
    <w:rsid w:val="00E174B3"/>
    <w:rsid w:val="00E17F4D"/>
    <w:rsid w:val="00E2019A"/>
    <w:rsid w:val="00E217D3"/>
    <w:rsid w:val="00E21BD9"/>
    <w:rsid w:val="00E22162"/>
    <w:rsid w:val="00E22365"/>
    <w:rsid w:val="00E22428"/>
    <w:rsid w:val="00E225A5"/>
    <w:rsid w:val="00E22E7B"/>
    <w:rsid w:val="00E2392B"/>
    <w:rsid w:val="00E23DE6"/>
    <w:rsid w:val="00E23E9D"/>
    <w:rsid w:val="00E23FCA"/>
    <w:rsid w:val="00E24465"/>
    <w:rsid w:val="00E24537"/>
    <w:rsid w:val="00E24FDE"/>
    <w:rsid w:val="00E2504E"/>
    <w:rsid w:val="00E250B4"/>
    <w:rsid w:val="00E25226"/>
    <w:rsid w:val="00E25326"/>
    <w:rsid w:val="00E254D8"/>
    <w:rsid w:val="00E25749"/>
    <w:rsid w:val="00E25963"/>
    <w:rsid w:val="00E25C2E"/>
    <w:rsid w:val="00E25EC8"/>
    <w:rsid w:val="00E265D9"/>
    <w:rsid w:val="00E26933"/>
    <w:rsid w:val="00E269AA"/>
    <w:rsid w:val="00E26C16"/>
    <w:rsid w:val="00E2724B"/>
    <w:rsid w:val="00E30607"/>
    <w:rsid w:val="00E30851"/>
    <w:rsid w:val="00E30BF0"/>
    <w:rsid w:val="00E31BCD"/>
    <w:rsid w:val="00E31C73"/>
    <w:rsid w:val="00E31ED6"/>
    <w:rsid w:val="00E327DD"/>
    <w:rsid w:val="00E32EE1"/>
    <w:rsid w:val="00E3375B"/>
    <w:rsid w:val="00E33889"/>
    <w:rsid w:val="00E33CCB"/>
    <w:rsid w:val="00E33DE5"/>
    <w:rsid w:val="00E34669"/>
    <w:rsid w:val="00E3524F"/>
    <w:rsid w:val="00E35AA7"/>
    <w:rsid w:val="00E35C45"/>
    <w:rsid w:val="00E35C9D"/>
    <w:rsid w:val="00E35D78"/>
    <w:rsid w:val="00E35DF7"/>
    <w:rsid w:val="00E36003"/>
    <w:rsid w:val="00E36C52"/>
    <w:rsid w:val="00E36E75"/>
    <w:rsid w:val="00E3720A"/>
    <w:rsid w:val="00E3739B"/>
    <w:rsid w:val="00E376BD"/>
    <w:rsid w:val="00E37C2D"/>
    <w:rsid w:val="00E37DD8"/>
    <w:rsid w:val="00E37E68"/>
    <w:rsid w:val="00E400BA"/>
    <w:rsid w:val="00E40123"/>
    <w:rsid w:val="00E407F2"/>
    <w:rsid w:val="00E40A83"/>
    <w:rsid w:val="00E40D1A"/>
    <w:rsid w:val="00E40E99"/>
    <w:rsid w:val="00E40F6A"/>
    <w:rsid w:val="00E4151C"/>
    <w:rsid w:val="00E41709"/>
    <w:rsid w:val="00E41C69"/>
    <w:rsid w:val="00E42121"/>
    <w:rsid w:val="00E42513"/>
    <w:rsid w:val="00E426E9"/>
    <w:rsid w:val="00E42E06"/>
    <w:rsid w:val="00E43012"/>
    <w:rsid w:val="00E436F1"/>
    <w:rsid w:val="00E43F4D"/>
    <w:rsid w:val="00E44110"/>
    <w:rsid w:val="00E44623"/>
    <w:rsid w:val="00E44CA0"/>
    <w:rsid w:val="00E44EFD"/>
    <w:rsid w:val="00E44FEB"/>
    <w:rsid w:val="00E452B0"/>
    <w:rsid w:val="00E4586E"/>
    <w:rsid w:val="00E4641C"/>
    <w:rsid w:val="00E46997"/>
    <w:rsid w:val="00E46C39"/>
    <w:rsid w:val="00E46E0B"/>
    <w:rsid w:val="00E5026F"/>
    <w:rsid w:val="00E50857"/>
    <w:rsid w:val="00E50E94"/>
    <w:rsid w:val="00E50F4B"/>
    <w:rsid w:val="00E513FE"/>
    <w:rsid w:val="00E51C43"/>
    <w:rsid w:val="00E5219A"/>
    <w:rsid w:val="00E522A8"/>
    <w:rsid w:val="00E525EE"/>
    <w:rsid w:val="00E527DD"/>
    <w:rsid w:val="00E52AAE"/>
    <w:rsid w:val="00E52CA5"/>
    <w:rsid w:val="00E53136"/>
    <w:rsid w:val="00E5364D"/>
    <w:rsid w:val="00E5379B"/>
    <w:rsid w:val="00E54128"/>
    <w:rsid w:val="00E541C7"/>
    <w:rsid w:val="00E54217"/>
    <w:rsid w:val="00E5433A"/>
    <w:rsid w:val="00E544FE"/>
    <w:rsid w:val="00E54680"/>
    <w:rsid w:val="00E549B3"/>
    <w:rsid w:val="00E549B4"/>
    <w:rsid w:val="00E549F0"/>
    <w:rsid w:val="00E54E00"/>
    <w:rsid w:val="00E553CC"/>
    <w:rsid w:val="00E55606"/>
    <w:rsid w:val="00E5564C"/>
    <w:rsid w:val="00E55910"/>
    <w:rsid w:val="00E55E4F"/>
    <w:rsid w:val="00E567AE"/>
    <w:rsid w:val="00E56C23"/>
    <w:rsid w:val="00E56DD3"/>
    <w:rsid w:val="00E57656"/>
    <w:rsid w:val="00E5782D"/>
    <w:rsid w:val="00E60A38"/>
    <w:rsid w:val="00E60FDD"/>
    <w:rsid w:val="00E610A6"/>
    <w:rsid w:val="00E61CDC"/>
    <w:rsid w:val="00E61D5A"/>
    <w:rsid w:val="00E61E00"/>
    <w:rsid w:val="00E625BC"/>
    <w:rsid w:val="00E628A5"/>
    <w:rsid w:val="00E63B9D"/>
    <w:rsid w:val="00E63D36"/>
    <w:rsid w:val="00E640C9"/>
    <w:rsid w:val="00E642FC"/>
    <w:rsid w:val="00E64F16"/>
    <w:rsid w:val="00E65C84"/>
    <w:rsid w:val="00E65F97"/>
    <w:rsid w:val="00E65FBB"/>
    <w:rsid w:val="00E6606F"/>
    <w:rsid w:val="00E6677D"/>
    <w:rsid w:val="00E66A48"/>
    <w:rsid w:val="00E67380"/>
    <w:rsid w:val="00E67811"/>
    <w:rsid w:val="00E6798D"/>
    <w:rsid w:val="00E67D4D"/>
    <w:rsid w:val="00E700F1"/>
    <w:rsid w:val="00E70345"/>
    <w:rsid w:val="00E70EE4"/>
    <w:rsid w:val="00E7191F"/>
    <w:rsid w:val="00E71DAD"/>
    <w:rsid w:val="00E71E15"/>
    <w:rsid w:val="00E72050"/>
    <w:rsid w:val="00E7215E"/>
    <w:rsid w:val="00E7216F"/>
    <w:rsid w:val="00E72287"/>
    <w:rsid w:val="00E723C3"/>
    <w:rsid w:val="00E725C0"/>
    <w:rsid w:val="00E72EF1"/>
    <w:rsid w:val="00E7352A"/>
    <w:rsid w:val="00E739FC"/>
    <w:rsid w:val="00E73E86"/>
    <w:rsid w:val="00E74A69"/>
    <w:rsid w:val="00E74F6F"/>
    <w:rsid w:val="00E751ED"/>
    <w:rsid w:val="00E75A35"/>
    <w:rsid w:val="00E761BF"/>
    <w:rsid w:val="00E76275"/>
    <w:rsid w:val="00E76296"/>
    <w:rsid w:val="00E7663F"/>
    <w:rsid w:val="00E774F2"/>
    <w:rsid w:val="00E77ACD"/>
    <w:rsid w:val="00E77D36"/>
    <w:rsid w:val="00E77F21"/>
    <w:rsid w:val="00E80441"/>
    <w:rsid w:val="00E80A6F"/>
    <w:rsid w:val="00E81227"/>
    <w:rsid w:val="00E81626"/>
    <w:rsid w:val="00E8185C"/>
    <w:rsid w:val="00E82328"/>
    <w:rsid w:val="00E8265A"/>
    <w:rsid w:val="00E826BE"/>
    <w:rsid w:val="00E828E2"/>
    <w:rsid w:val="00E8305A"/>
    <w:rsid w:val="00E83118"/>
    <w:rsid w:val="00E8313E"/>
    <w:rsid w:val="00E833DE"/>
    <w:rsid w:val="00E8386A"/>
    <w:rsid w:val="00E83C2E"/>
    <w:rsid w:val="00E8423B"/>
    <w:rsid w:val="00E845C0"/>
    <w:rsid w:val="00E8591E"/>
    <w:rsid w:val="00E85976"/>
    <w:rsid w:val="00E85C09"/>
    <w:rsid w:val="00E85D6F"/>
    <w:rsid w:val="00E85F69"/>
    <w:rsid w:val="00E85F98"/>
    <w:rsid w:val="00E861EB"/>
    <w:rsid w:val="00E86448"/>
    <w:rsid w:val="00E86673"/>
    <w:rsid w:val="00E86818"/>
    <w:rsid w:val="00E86B8B"/>
    <w:rsid w:val="00E86D88"/>
    <w:rsid w:val="00E87094"/>
    <w:rsid w:val="00E87A0A"/>
    <w:rsid w:val="00E87D33"/>
    <w:rsid w:val="00E90205"/>
    <w:rsid w:val="00E904C0"/>
    <w:rsid w:val="00E906AF"/>
    <w:rsid w:val="00E918E7"/>
    <w:rsid w:val="00E91B49"/>
    <w:rsid w:val="00E91EC4"/>
    <w:rsid w:val="00E91FD4"/>
    <w:rsid w:val="00E9231A"/>
    <w:rsid w:val="00E924C2"/>
    <w:rsid w:val="00E929E8"/>
    <w:rsid w:val="00E92D95"/>
    <w:rsid w:val="00E935F1"/>
    <w:rsid w:val="00E93856"/>
    <w:rsid w:val="00E93902"/>
    <w:rsid w:val="00E93F0E"/>
    <w:rsid w:val="00E94478"/>
    <w:rsid w:val="00E94A58"/>
    <w:rsid w:val="00E94CA6"/>
    <w:rsid w:val="00E95174"/>
    <w:rsid w:val="00E95697"/>
    <w:rsid w:val="00E95A2A"/>
    <w:rsid w:val="00E95E91"/>
    <w:rsid w:val="00E95EA1"/>
    <w:rsid w:val="00E9649C"/>
    <w:rsid w:val="00E96B2F"/>
    <w:rsid w:val="00E96E0A"/>
    <w:rsid w:val="00E97397"/>
    <w:rsid w:val="00E9796A"/>
    <w:rsid w:val="00E97CC6"/>
    <w:rsid w:val="00E97F35"/>
    <w:rsid w:val="00E97FAB"/>
    <w:rsid w:val="00EA044A"/>
    <w:rsid w:val="00EA05E9"/>
    <w:rsid w:val="00EA0A0B"/>
    <w:rsid w:val="00EA0B43"/>
    <w:rsid w:val="00EA0E4C"/>
    <w:rsid w:val="00EA1CB4"/>
    <w:rsid w:val="00EA1DC0"/>
    <w:rsid w:val="00EA1E4C"/>
    <w:rsid w:val="00EA25B5"/>
    <w:rsid w:val="00EA263E"/>
    <w:rsid w:val="00EA29E5"/>
    <w:rsid w:val="00EA2F2D"/>
    <w:rsid w:val="00EA33B5"/>
    <w:rsid w:val="00EA39E3"/>
    <w:rsid w:val="00EA3E47"/>
    <w:rsid w:val="00EA3E86"/>
    <w:rsid w:val="00EA4263"/>
    <w:rsid w:val="00EA44EA"/>
    <w:rsid w:val="00EA490D"/>
    <w:rsid w:val="00EA5266"/>
    <w:rsid w:val="00EA5B8F"/>
    <w:rsid w:val="00EA5EF2"/>
    <w:rsid w:val="00EA63B6"/>
    <w:rsid w:val="00EA6977"/>
    <w:rsid w:val="00EA6EFA"/>
    <w:rsid w:val="00EA6FA8"/>
    <w:rsid w:val="00EA7037"/>
    <w:rsid w:val="00EA7094"/>
    <w:rsid w:val="00EA7AA4"/>
    <w:rsid w:val="00EA7BF2"/>
    <w:rsid w:val="00EA7FD3"/>
    <w:rsid w:val="00EB03B4"/>
    <w:rsid w:val="00EB0D14"/>
    <w:rsid w:val="00EB0DB5"/>
    <w:rsid w:val="00EB140F"/>
    <w:rsid w:val="00EB1948"/>
    <w:rsid w:val="00EB1A7F"/>
    <w:rsid w:val="00EB1BD7"/>
    <w:rsid w:val="00EB2566"/>
    <w:rsid w:val="00EB2BF4"/>
    <w:rsid w:val="00EB3453"/>
    <w:rsid w:val="00EB37BB"/>
    <w:rsid w:val="00EB38B9"/>
    <w:rsid w:val="00EB436C"/>
    <w:rsid w:val="00EB4630"/>
    <w:rsid w:val="00EB5287"/>
    <w:rsid w:val="00EB592F"/>
    <w:rsid w:val="00EB5998"/>
    <w:rsid w:val="00EB5A3F"/>
    <w:rsid w:val="00EB6043"/>
    <w:rsid w:val="00EB6076"/>
    <w:rsid w:val="00EB6336"/>
    <w:rsid w:val="00EB6423"/>
    <w:rsid w:val="00EB6685"/>
    <w:rsid w:val="00EB73D2"/>
    <w:rsid w:val="00EB765C"/>
    <w:rsid w:val="00EB773B"/>
    <w:rsid w:val="00EB7CDD"/>
    <w:rsid w:val="00EC12DC"/>
    <w:rsid w:val="00EC1491"/>
    <w:rsid w:val="00EC186C"/>
    <w:rsid w:val="00EC1905"/>
    <w:rsid w:val="00EC1B0B"/>
    <w:rsid w:val="00EC2878"/>
    <w:rsid w:val="00EC2CBC"/>
    <w:rsid w:val="00EC306F"/>
    <w:rsid w:val="00EC3088"/>
    <w:rsid w:val="00EC34BD"/>
    <w:rsid w:val="00EC354D"/>
    <w:rsid w:val="00EC37CE"/>
    <w:rsid w:val="00EC3BA1"/>
    <w:rsid w:val="00EC445F"/>
    <w:rsid w:val="00EC4A82"/>
    <w:rsid w:val="00EC4EE2"/>
    <w:rsid w:val="00EC5523"/>
    <w:rsid w:val="00EC5823"/>
    <w:rsid w:val="00EC5862"/>
    <w:rsid w:val="00EC60CC"/>
    <w:rsid w:val="00EC60D3"/>
    <w:rsid w:val="00EC61E4"/>
    <w:rsid w:val="00EC77F9"/>
    <w:rsid w:val="00ED0217"/>
    <w:rsid w:val="00ED0A76"/>
    <w:rsid w:val="00ED0EDB"/>
    <w:rsid w:val="00ED10B6"/>
    <w:rsid w:val="00ED12ED"/>
    <w:rsid w:val="00ED2312"/>
    <w:rsid w:val="00ED2953"/>
    <w:rsid w:val="00ED2EB5"/>
    <w:rsid w:val="00ED313B"/>
    <w:rsid w:val="00ED3194"/>
    <w:rsid w:val="00ED3396"/>
    <w:rsid w:val="00ED34B4"/>
    <w:rsid w:val="00ED38F0"/>
    <w:rsid w:val="00ED3B93"/>
    <w:rsid w:val="00ED3C4A"/>
    <w:rsid w:val="00ED42AB"/>
    <w:rsid w:val="00ED42D2"/>
    <w:rsid w:val="00ED4752"/>
    <w:rsid w:val="00ED4797"/>
    <w:rsid w:val="00ED5278"/>
    <w:rsid w:val="00ED5658"/>
    <w:rsid w:val="00ED5FE9"/>
    <w:rsid w:val="00ED60BB"/>
    <w:rsid w:val="00ED6145"/>
    <w:rsid w:val="00ED62B3"/>
    <w:rsid w:val="00ED6514"/>
    <w:rsid w:val="00ED6599"/>
    <w:rsid w:val="00ED6E1E"/>
    <w:rsid w:val="00ED6E77"/>
    <w:rsid w:val="00ED7316"/>
    <w:rsid w:val="00ED7475"/>
    <w:rsid w:val="00ED7C1B"/>
    <w:rsid w:val="00EE0D05"/>
    <w:rsid w:val="00EE12B8"/>
    <w:rsid w:val="00EE13C0"/>
    <w:rsid w:val="00EE1AE2"/>
    <w:rsid w:val="00EE21B4"/>
    <w:rsid w:val="00EE2511"/>
    <w:rsid w:val="00EE2777"/>
    <w:rsid w:val="00EE2A1A"/>
    <w:rsid w:val="00EE323B"/>
    <w:rsid w:val="00EE337A"/>
    <w:rsid w:val="00EE363C"/>
    <w:rsid w:val="00EE414A"/>
    <w:rsid w:val="00EE5096"/>
    <w:rsid w:val="00EE5ADF"/>
    <w:rsid w:val="00EE5BBE"/>
    <w:rsid w:val="00EE61C4"/>
    <w:rsid w:val="00EE69A6"/>
    <w:rsid w:val="00EE7265"/>
    <w:rsid w:val="00EE7A3D"/>
    <w:rsid w:val="00EE7C6E"/>
    <w:rsid w:val="00EE7DF5"/>
    <w:rsid w:val="00EE7E25"/>
    <w:rsid w:val="00EF0211"/>
    <w:rsid w:val="00EF0278"/>
    <w:rsid w:val="00EF02B4"/>
    <w:rsid w:val="00EF0D9F"/>
    <w:rsid w:val="00EF16CE"/>
    <w:rsid w:val="00EF17CB"/>
    <w:rsid w:val="00EF1C2F"/>
    <w:rsid w:val="00EF1CCA"/>
    <w:rsid w:val="00EF1D15"/>
    <w:rsid w:val="00EF2049"/>
    <w:rsid w:val="00EF2299"/>
    <w:rsid w:val="00EF257D"/>
    <w:rsid w:val="00EF2A43"/>
    <w:rsid w:val="00EF2AFD"/>
    <w:rsid w:val="00EF2E86"/>
    <w:rsid w:val="00EF3549"/>
    <w:rsid w:val="00EF39AA"/>
    <w:rsid w:val="00EF3A0C"/>
    <w:rsid w:val="00EF3C5C"/>
    <w:rsid w:val="00EF4314"/>
    <w:rsid w:val="00EF43B2"/>
    <w:rsid w:val="00EF46CE"/>
    <w:rsid w:val="00EF4B16"/>
    <w:rsid w:val="00EF4B1B"/>
    <w:rsid w:val="00EF4D6F"/>
    <w:rsid w:val="00EF51BB"/>
    <w:rsid w:val="00EF5441"/>
    <w:rsid w:val="00EF589C"/>
    <w:rsid w:val="00EF5BEA"/>
    <w:rsid w:val="00EF5CA7"/>
    <w:rsid w:val="00EF5E21"/>
    <w:rsid w:val="00EF5E38"/>
    <w:rsid w:val="00EF5FEC"/>
    <w:rsid w:val="00EF60D3"/>
    <w:rsid w:val="00EF6202"/>
    <w:rsid w:val="00EF6555"/>
    <w:rsid w:val="00EF66AB"/>
    <w:rsid w:val="00EF6D6F"/>
    <w:rsid w:val="00EF7096"/>
    <w:rsid w:val="00EF73E0"/>
    <w:rsid w:val="00EF7C02"/>
    <w:rsid w:val="00EF7E26"/>
    <w:rsid w:val="00F00387"/>
    <w:rsid w:val="00F00851"/>
    <w:rsid w:val="00F00A3A"/>
    <w:rsid w:val="00F01384"/>
    <w:rsid w:val="00F0199C"/>
    <w:rsid w:val="00F01B29"/>
    <w:rsid w:val="00F01F8D"/>
    <w:rsid w:val="00F01FA3"/>
    <w:rsid w:val="00F02146"/>
    <w:rsid w:val="00F0247B"/>
    <w:rsid w:val="00F02566"/>
    <w:rsid w:val="00F026F2"/>
    <w:rsid w:val="00F027E8"/>
    <w:rsid w:val="00F034F3"/>
    <w:rsid w:val="00F03914"/>
    <w:rsid w:val="00F039EA"/>
    <w:rsid w:val="00F03A89"/>
    <w:rsid w:val="00F03ADE"/>
    <w:rsid w:val="00F03C26"/>
    <w:rsid w:val="00F03F19"/>
    <w:rsid w:val="00F041B1"/>
    <w:rsid w:val="00F04279"/>
    <w:rsid w:val="00F048DA"/>
    <w:rsid w:val="00F04B11"/>
    <w:rsid w:val="00F04F6E"/>
    <w:rsid w:val="00F052F9"/>
    <w:rsid w:val="00F053F6"/>
    <w:rsid w:val="00F0556C"/>
    <w:rsid w:val="00F0574E"/>
    <w:rsid w:val="00F064D2"/>
    <w:rsid w:val="00F067A0"/>
    <w:rsid w:val="00F06C39"/>
    <w:rsid w:val="00F07521"/>
    <w:rsid w:val="00F076B1"/>
    <w:rsid w:val="00F07A5F"/>
    <w:rsid w:val="00F07AFB"/>
    <w:rsid w:val="00F07BDB"/>
    <w:rsid w:val="00F07CAF"/>
    <w:rsid w:val="00F1054C"/>
    <w:rsid w:val="00F10894"/>
    <w:rsid w:val="00F10D8C"/>
    <w:rsid w:val="00F11224"/>
    <w:rsid w:val="00F116CE"/>
    <w:rsid w:val="00F11DAA"/>
    <w:rsid w:val="00F124F3"/>
    <w:rsid w:val="00F12F30"/>
    <w:rsid w:val="00F1330A"/>
    <w:rsid w:val="00F133BA"/>
    <w:rsid w:val="00F136BD"/>
    <w:rsid w:val="00F13D21"/>
    <w:rsid w:val="00F14B1E"/>
    <w:rsid w:val="00F14C51"/>
    <w:rsid w:val="00F1525B"/>
    <w:rsid w:val="00F15AB5"/>
    <w:rsid w:val="00F15BF9"/>
    <w:rsid w:val="00F15D3A"/>
    <w:rsid w:val="00F15EDE"/>
    <w:rsid w:val="00F16024"/>
    <w:rsid w:val="00F1626D"/>
    <w:rsid w:val="00F1638B"/>
    <w:rsid w:val="00F16615"/>
    <w:rsid w:val="00F16FC4"/>
    <w:rsid w:val="00F17052"/>
    <w:rsid w:val="00F17636"/>
    <w:rsid w:val="00F1764F"/>
    <w:rsid w:val="00F17705"/>
    <w:rsid w:val="00F17D12"/>
    <w:rsid w:val="00F2009F"/>
    <w:rsid w:val="00F2037F"/>
    <w:rsid w:val="00F20DF1"/>
    <w:rsid w:val="00F20EE9"/>
    <w:rsid w:val="00F213AB"/>
    <w:rsid w:val="00F21593"/>
    <w:rsid w:val="00F21B37"/>
    <w:rsid w:val="00F21FC3"/>
    <w:rsid w:val="00F223CF"/>
    <w:rsid w:val="00F2265A"/>
    <w:rsid w:val="00F22978"/>
    <w:rsid w:val="00F22B94"/>
    <w:rsid w:val="00F22E58"/>
    <w:rsid w:val="00F230C3"/>
    <w:rsid w:val="00F23127"/>
    <w:rsid w:val="00F231D7"/>
    <w:rsid w:val="00F23B69"/>
    <w:rsid w:val="00F23FB6"/>
    <w:rsid w:val="00F240ED"/>
    <w:rsid w:val="00F246F0"/>
    <w:rsid w:val="00F24E8D"/>
    <w:rsid w:val="00F25192"/>
    <w:rsid w:val="00F25359"/>
    <w:rsid w:val="00F259A5"/>
    <w:rsid w:val="00F260BD"/>
    <w:rsid w:val="00F263EF"/>
    <w:rsid w:val="00F265C7"/>
    <w:rsid w:val="00F267D7"/>
    <w:rsid w:val="00F26B3C"/>
    <w:rsid w:val="00F273A9"/>
    <w:rsid w:val="00F27751"/>
    <w:rsid w:val="00F27B49"/>
    <w:rsid w:val="00F27D9B"/>
    <w:rsid w:val="00F27E85"/>
    <w:rsid w:val="00F27EA3"/>
    <w:rsid w:val="00F301ED"/>
    <w:rsid w:val="00F3042B"/>
    <w:rsid w:val="00F30767"/>
    <w:rsid w:val="00F30786"/>
    <w:rsid w:val="00F30CB8"/>
    <w:rsid w:val="00F30F8D"/>
    <w:rsid w:val="00F31565"/>
    <w:rsid w:val="00F315AA"/>
    <w:rsid w:val="00F315FD"/>
    <w:rsid w:val="00F317EE"/>
    <w:rsid w:val="00F31EF5"/>
    <w:rsid w:val="00F320DB"/>
    <w:rsid w:val="00F3262E"/>
    <w:rsid w:val="00F326D2"/>
    <w:rsid w:val="00F329FF"/>
    <w:rsid w:val="00F32CFB"/>
    <w:rsid w:val="00F32EBB"/>
    <w:rsid w:val="00F33AA4"/>
    <w:rsid w:val="00F33D04"/>
    <w:rsid w:val="00F34537"/>
    <w:rsid w:val="00F346CD"/>
    <w:rsid w:val="00F34C63"/>
    <w:rsid w:val="00F34EEC"/>
    <w:rsid w:val="00F35185"/>
    <w:rsid w:val="00F35C29"/>
    <w:rsid w:val="00F36396"/>
    <w:rsid w:val="00F366E9"/>
    <w:rsid w:val="00F36A43"/>
    <w:rsid w:val="00F36E24"/>
    <w:rsid w:val="00F36F40"/>
    <w:rsid w:val="00F371E0"/>
    <w:rsid w:val="00F37823"/>
    <w:rsid w:val="00F3784A"/>
    <w:rsid w:val="00F40003"/>
    <w:rsid w:val="00F402EC"/>
    <w:rsid w:val="00F403CE"/>
    <w:rsid w:val="00F4097A"/>
    <w:rsid w:val="00F40E9D"/>
    <w:rsid w:val="00F41370"/>
    <w:rsid w:val="00F415BC"/>
    <w:rsid w:val="00F41707"/>
    <w:rsid w:val="00F418BC"/>
    <w:rsid w:val="00F41E93"/>
    <w:rsid w:val="00F42300"/>
    <w:rsid w:val="00F42484"/>
    <w:rsid w:val="00F4276F"/>
    <w:rsid w:val="00F42AFB"/>
    <w:rsid w:val="00F42FD6"/>
    <w:rsid w:val="00F431BE"/>
    <w:rsid w:val="00F43A7E"/>
    <w:rsid w:val="00F43D4E"/>
    <w:rsid w:val="00F43E01"/>
    <w:rsid w:val="00F43F42"/>
    <w:rsid w:val="00F44A88"/>
    <w:rsid w:val="00F44B7F"/>
    <w:rsid w:val="00F4520B"/>
    <w:rsid w:val="00F455E3"/>
    <w:rsid w:val="00F45775"/>
    <w:rsid w:val="00F45838"/>
    <w:rsid w:val="00F45E10"/>
    <w:rsid w:val="00F461B4"/>
    <w:rsid w:val="00F4625A"/>
    <w:rsid w:val="00F4631B"/>
    <w:rsid w:val="00F469C5"/>
    <w:rsid w:val="00F4737A"/>
    <w:rsid w:val="00F47780"/>
    <w:rsid w:val="00F47A33"/>
    <w:rsid w:val="00F47F93"/>
    <w:rsid w:val="00F47FFE"/>
    <w:rsid w:val="00F50118"/>
    <w:rsid w:val="00F50592"/>
    <w:rsid w:val="00F5071A"/>
    <w:rsid w:val="00F507D4"/>
    <w:rsid w:val="00F50C29"/>
    <w:rsid w:val="00F50E35"/>
    <w:rsid w:val="00F513AD"/>
    <w:rsid w:val="00F514D2"/>
    <w:rsid w:val="00F519CB"/>
    <w:rsid w:val="00F51A48"/>
    <w:rsid w:val="00F524A6"/>
    <w:rsid w:val="00F524C7"/>
    <w:rsid w:val="00F52533"/>
    <w:rsid w:val="00F52943"/>
    <w:rsid w:val="00F52E86"/>
    <w:rsid w:val="00F53825"/>
    <w:rsid w:val="00F53CE9"/>
    <w:rsid w:val="00F53E70"/>
    <w:rsid w:val="00F541E9"/>
    <w:rsid w:val="00F545DB"/>
    <w:rsid w:val="00F546D9"/>
    <w:rsid w:val="00F547AA"/>
    <w:rsid w:val="00F5486B"/>
    <w:rsid w:val="00F549E1"/>
    <w:rsid w:val="00F54F7E"/>
    <w:rsid w:val="00F54FAF"/>
    <w:rsid w:val="00F55421"/>
    <w:rsid w:val="00F55424"/>
    <w:rsid w:val="00F55477"/>
    <w:rsid w:val="00F55D02"/>
    <w:rsid w:val="00F55F2E"/>
    <w:rsid w:val="00F562D4"/>
    <w:rsid w:val="00F5728F"/>
    <w:rsid w:val="00F57424"/>
    <w:rsid w:val="00F57801"/>
    <w:rsid w:val="00F579D3"/>
    <w:rsid w:val="00F609DA"/>
    <w:rsid w:val="00F60A75"/>
    <w:rsid w:val="00F60D72"/>
    <w:rsid w:val="00F60F44"/>
    <w:rsid w:val="00F61054"/>
    <w:rsid w:val="00F61996"/>
    <w:rsid w:val="00F62208"/>
    <w:rsid w:val="00F62238"/>
    <w:rsid w:val="00F62A1F"/>
    <w:rsid w:val="00F62AB6"/>
    <w:rsid w:val="00F62BF0"/>
    <w:rsid w:val="00F62C68"/>
    <w:rsid w:val="00F63119"/>
    <w:rsid w:val="00F63629"/>
    <w:rsid w:val="00F63720"/>
    <w:rsid w:val="00F63F0A"/>
    <w:rsid w:val="00F6471D"/>
    <w:rsid w:val="00F647D1"/>
    <w:rsid w:val="00F64943"/>
    <w:rsid w:val="00F64E49"/>
    <w:rsid w:val="00F65475"/>
    <w:rsid w:val="00F65693"/>
    <w:rsid w:val="00F65756"/>
    <w:rsid w:val="00F657B2"/>
    <w:rsid w:val="00F65B35"/>
    <w:rsid w:val="00F662FF"/>
    <w:rsid w:val="00F668DE"/>
    <w:rsid w:val="00F66C7C"/>
    <w:rsid w:val="00F66C9E"/>
    <w:rsid w:val="00F66D37"/>
    <w:rsid w:val="00F67189"/>
    <w:rsid w:val="00F6740A"/>
    <w:rsid w:val="00F67656"/>
    <w:rsid w:val="00F67731"/>
    <w:rsid w:val="00F67C20"/>
    <w:rsid w:val="00F707EF"/>
    <w:rsid w:val="00F70B92"/>
    <w:rsid w:val="00F70DA4"/>
    <w:rsid w:val="00F7139F"/>
    <w:rsid w:val="00F7140B"/>
    <w:rsid w:val="00F71803"/>
    <w:rsid w:val="00F71D3F"/>
    <w:rsid w:val="00F71EB8"/>
    <w:rsid w:val="00F727BA"/>
    <w:rsid w:val="00F72A4E"/>
    <w:rsid w:val="00F731DD"/>
    <w:rsid w:val="00F73258"/>
    <w:rsid w:val="00F73369"/>
    <w:rsid w:val="00F73A85"/>
    <w:rsid w:val="00F73AA5"/>
    <w:rsid w:val="00F73B11"/>
    <w:rsid w:val="00F73B82"/>
    <w:rsid w:val="00F73F23"/>
    <w:rsid w:val="00F74830"/>
    <w:rsid w:val="00F74C09"/>
    <w:rsid w:val="00F75642"/>
    <w:rsid w:val="00F7564B"/>
    <w:rsid w:val="00F75820"/>
    <w:rsid w:val="00F7593D"/>
    <w:rsid w:val="00F75977"/>
    <w:rsid w:val="00F75C2B"/>
    <w:rsid w:val="00F75C7F"/>
    <w:rsid w:val="00F75EB2"/>
    <w:rsid w:val="00F75FB8"/>
    <w:rsid w:val="00F7601B"/>
    <w:rsid w:val="00F765FF"/>
    <w:rsid w:val="00F76DDA"/>
    <w:rsid w:val="00F7798B"/>
    <w:rsid w:val="00F77DF4"/>
    <w:rsid w:val="00F77FFE"/>
    <w:rsid w:val="00F8054A"/>
    <w:rsid w:val="00F805BD"/>
    <w:rsid w:val="00F805EE"/>
    <w:rsid w:val="00F806C7"/>
    <w:rsid w:val="00F80751"/>
    <w:rsid w:val="00F81E7E"/>
    <w:rsid w:val="00F82170"/>
    <w:rsid w:val="00F82216"/>
    <w:rsid w:val="00F8228D"/>
    <w:rsid w:val="00F82735"/>
    <w:rsid w:val="00F82806"/>
    <w:rsid w:val="00F82989"/>
    <w:rsid w:val="00F82C2F"/>
    <w:rsid w:val="00F82D7F"/>
    <w:rsid w:val="00F82FFC"/>
    <w:rsid w:val="00F831ED"/>
    <w:rsid w:val="00F83AB6"/>
    <w:rsid w:val="00F83D77"/>
    <w:rsid w:val="00F84219"/>
    <w:rsid w:val="00F84561"/>
    <w:rsid w:val="00F8498B"/>
    <w:rsid w:val="00F84ED6"/>
    <w:rsid w:val="00F851CA"/>
    <w:rsid w:val="00F85816"/>
    <w:rsid w:val="00F85B1F"/>
    <w:rsid w:val="00F85B79"/>
    <w:rsid w:val="00F85C90"/>
    <w:rsid w:val="00F86137"/>
    <w:rsid w:val="00F86295"/>
    <w:rsid w:val="00F862D5"/>
    <w:rsid w:val="00F863E0"/>
    <w:rsid w:val="00F869B6"/>
    <w:rsid w:val="00F875E1"/>
    <w:rsid w:val="00F87A50"/>
    <w:rsid w:val="00F87B8C"/>
    <w:rsid w:val="00F87E77"/>
    <w:rsid w:val="00F904E9"/>
    <w:rsid w:val="00F90913"/>
    <w:rsid w:val="00F912AF"/>
    <w:rsid w:val="00F918F7"/>
    <w:rsid w:val="00F91B1B"/>
    <w:rsid w:val="00F91BB5"/>
    <w:rsid w:val="00F91C97"/>
    <w:rsid w:val="00F91D51"/>
    <w:rsid w:val="00F91E4F"/>
    <w:rsid w:val="00F91E57"/>
    <w:rsid w:val="00F91FE9"/>
    <w:rsid w:val="00F92159"/>
    <w:rsid w:val="00F923EC"/>
    <w:rsid w:val="00F92476"/>
    <w:rsid w:val="00F92801"/>
    <w:rsid w:val="00F92948"/>
    <w:rsid w:val="00F93325"/>
    <w:rsid w:val="00F93631"/>
    <w:rsid w:val="00F93EAD"/>
    <w:rsid w:val="00F93FAE"/>
    <w:rsid w:val="00F941CC"/>
    <w:rsid w:val="00F94E7E"/>
    <w:rsid w:val="00F957CD"/>
    <w:rsid w:val="00F957DA"/>
    <w:rsid w:val="00F9609D"/>
    <w:rsid w:val="00F9644B"/>
    <w:rsid w:val="00F965C7"/>
    <w:rsid w:val="00F968D4"/>
    <w:rsid w:val="00F96A8B"/>
    <w:rsid w:val="00F96AC1"/>
    <w:rsid w:val="00F96F59"/>
    <w:rsid w:val="00F970BF"/>
    <w:rsid w:val="00F97376"/>
    <w:rsid w:val="00F9746A"/>
    <w:rsid w:val="00FA0114"/>
    <w:rsid w:val="00FA059A"/>
    <w:rsid w:val="00FA0688"/>
    <w:rsid w:val="00FA070E"/>
    <w:rsid w:val="00FA09AD"/>
    <w:rsid w:val="00FA1A95"/>
    <w:rsid w:val="00FA208E"/>
    <w:rsid w:val="00FA20A2"/>
    <w:rsid w:val="00FA2260"/>
    <w:rsid w:val="00FA2305"/>
    <w:rsid w:val="00FA23AA"/>
    <w:rsid w:val="00FA246C"/>
    <w:rsid w:val="00FA2709"/>
    <w:rsid w:val="00FA303A"/>
    <w:rsid w:val="00FA364C"/>
    <w:rsid w:val="00FA368F"/>
    <w:rsid w:val="00FA37C3"/>
    <w:rsid w:val="00FA3FBE"/>
    <w:rsid w:val="00FA3FCB"/>
    <w:rsid w:val="00FA425D"/>
    <w:rsid w:val="00FA4B06"/>
    <w:rsid w:val="00FA4B17"/>
    <w:rsid w:val="00FA58C5"/>
    <w:rsid w:val="00FA596C"/>
    <w:rsid w:val="00FA5F3F"/>
    <w:rsid w:val="00FA6320"/>
    <w:rsid w:val="00FA6721"/>
    <w:rsid w:val="00FA681C"/>
    <w:rsid w:val="00FA6CA3"/>
    <w:rsid w:val="00FA710A"/>
    <w:rsid w:val="00FA7326"/>
    <w:rsid w:val="00FA7624"/>
    <w:rsid w:val="00FA764A"/>
    <w:rsid w:val="00FA7DB6"/>
    <w:rsid w:val="00FA7F2C"/>
    <w:rsid w:val="00FA7FE0"/>
    <w:rsid w:val="00FB02B8"/>
    <w:rsid w:val="00FB035D"/>
    <w:rsid w:val="00FB05EA"/>
    <w:rsid w:val="00FB0701"/>
    <w:rsid w:val="00FB0740"/>
    <w:rsid w:val="00FB0B69"/>
    <w:rsid w:val="00FB1532"/>
    <w:rsid w:val="00FB1DF2"/>
    <w:rsid w:val="00FB222F"/>
    <w:rsid w:val="00FB22C6"/>
    <w:rsid w:val="00FB25E1"/>
    <w:rsid w:val="00FB280A"/>
    <w:rsid w:val="00FB2918"/>
    <w:rsid w:val="00FB2C82"/>
    <w:rsid w:val="00FB42FE"/>
    <w:rsid w:val="00FB43F9"/>
    <w:rsid w:val="00FB46D3"/>
    <w:rsid w:val="00FB48C8"/>
    <w:rsid w:val="00FB4911"/>
    <w:rsid w:val="00FB5190"/>
    <w:rsid w:val="00FB5A89"/>
    <w:rsid w:val="00FB5F7C"/>
    <w:rsid w:val="00FB60CB"/>
    <w:rsid w:val="00FB6436"/>
    <w:rsid w:val="00FB6671"/>
    <w:rsid w:val="00FB6EF6"/>
    <w:rsid w:val="00FB7335"/>
    <w:rsid w:val="00FB7AE5"/>
    <w:rsid w:val="00FB7FE8"/>
    <w:rsid w:val="00FC00AC"/>
    <w:rsid w:val="00FC0225"/>
    <w:rsid w:val="00FC0C63"/>
    <w:rsid w:val="00FC0C90"/>
    <w:rsid w:val="00FC0EDE"/>
    <w:rsid w:val="00FC1327"/>
    <w:rsid w:val="00FC19D2"/>
    <w:rsid w:val="00FC1E70"/>
    <w:rsid w:val="00FC1FF0"/>
    <w:rsid w:val="00FC2564"/>
    <w:rsid w:val="00FC26DE"/>
    <w:rsid w:val="00FC27F3"/>
    <w:rsid w:val="00FC2A56"/>
    <w:rsid w:val="00FC2B0E"/>
    <w:rsid w:val="00FC2B57"/>
    <w:rsid w:val="00FC2BD5"/>
    <w:rsid w:val="00FC2BEB"/>
    <w:rsid w:val="00FC2E0F"/>
    <w:rsid w:val="00FC3771"/>
    <w:rsid w:val="00FC3C07"/>
    <w:rsid w:val="00FC3DEA"/>
    <w:rsid w:val="00FC4405"/>
    <w:rsid w:val="00FC445B"/>
    <w:rsid w:val="00FC4604"/>
    <w:rsid w:val="00FC46B8"/>
    <w:rsid w:val="00FC47B5"/>
    <w:rsid w:val="00FC4852"/>
    <w:rsid w:val="00FC48F6"/>
    <w:rsid w:val="00FC4DBC"/>
    <w:rsid w:val="00FC5189"/>
    <w:rsid w:val="00FC51AB"/>
    <w:rsid w:val="00FC5212"/>
    <w:rsid w:val="00FC57D0"/>
    <w:rsid w:val="00FC718E"/>
    <w:rsid w:val="00FC7AFF"/>
    <w:rsid w:val="00FC7E07"/>
    <w:rsid w:val="00FD01D9"/>
    <w:rsid w:val="00FD04F3"/>
    <w:rsid w:val="00FD09F8"/>
    <w:rsid w:val="00FD0B34"/>
    <w:rsid w:val="00FD0D5D"/>
    <w:rsid w:val="00FD0DDC"/>
    <w:rsid w:val="00FD0F79"/>
    <w:rsid w:val="00FD10BA"/>
    <w:rsid w:val="00FD1143"/>
    <w:rsid w:val="00FD1261"/>
    <w:rsid w:val="00FD1915"/>
    <w:rsid w:val="00FD1D26"/>
    <w:rsid w:val="00FD2606"/>
    <w:rsid w:val="00FD2694"/>
    <w:rsid w:val="00FD2B88"/>
    <w:rsid w:val="00FD2D8A"/>
    <w:rsid w:val="00FD2DC8"/>
    <w:rsid w:val="00FD337D"/>
    <w:rsid w:val="00FD3432"/>
    <w:rsid w:val="00FD3434"/>
    <w:rsid w:val="00FD3B42"/>
    <w:rsid w:val="00FD407F"/>
    <w:rsid w:val="00FD416F"/>
    <w:rsid w:val="00FD439B"/>
    <w:rsid w:val="00FD4669"/>
    <w:rsid w:val="00FD4C16"/>
    <w:rsid w:val="00FD57BC"/>
    <w:rsid w:val="00FD59FB"/>
    <w:rsid w:val="00FD5BD4"/>
    <w:rsid w:val="00FD62D4"/>
    <w:rsid w:val="00FD68BE"/>
    <w:rsid w:val="00FD6BF4"/>
    <w:rsid w:val="00FD6FFF"/>
    <w:rsid w:val="00FD79AB"/>
    <w:rsid w:val="00FE16B2"/>
    <w:rsid w:val="00FE1879"/>
    <w:rsid w:val="00FE1B44"/>
    <w:rsid w:val="00FE213F"/>
    <w:rsid w:val="00FE23CB"/>
    <w:rsid w:val="00FE2D92"/>
    <w:rsid w:val="00FE3551"/>
    <w:rsid w:val="00FE364B"/>
    <w:rsid w:val="00FE367F"/>
    <w:rsid w:val="00FE3953"/>
    <w:rsid w:val="00FE42CD"/>
    <w:rsid w:val="00FE50AF"/>
    <w:rsid w:val="00FE5115"/>
    <w:rsid w:val="00FE5AC5"/>
    <w:rsid w:val="00FE5B28"/>
    <w:rsid w:val="00FE5E52"/>
    <w:rsid w:val="00FE5EAF"/>
    <w:rsid w:val="00FE60FA"/>
    <w:rsid w:val="00FE633D"/>
    <w:rsid w:val="00FE6D0B"/>
    <w:rsid w:val="00FE6D99"/>
    <w:rsid w:val="00FE6E0C"/>
    <w:rsid w:val="00FE6E93"/>
    <w:rsid w:val="00FE743F"/>
    <w:rsid w:val="00FE7A11"/>
    <w:rsid w:val="00FF015E"/>
    <w:rsid w:val="00FF0888"/>
    <w:rsid w:val="00FF185C"/>
    <w:rsid w:val="00FF2056"/>
    <w:rsid w:val="00FF2065"/>
    <w:rsid w:val="00FF20F9"/>
    <w:rsid w:val="00FF2831"/>
    <w:rsid w:val="00FF29A6"/>
    <w:rsid w:val="00FF29F7"/>
    <w:rsid w:val="00FF2C52"/>
    <w:rsid w:val="00FF3533"/>
    <w:rsid w:val="00FF3A35"/>
    <w:rsid w:val="00FF3DF1"/>
    <w:rsid w:val="00FF443B"/>
    <w:rsid w:val="00FF4FEA"/>
    <w:rsid w:val="00FF5644"/>
    <w:rsid w:val="00FF5AD8"/>
    <w:rsid w:val="00FF628C"/>
    <w:rsid w:val="00FF660B"/>
    <w:rsid w:val="00FF69FD"/>
    <w:rsid w:val="00FF6A0A"/>
    <w:rsid w:val="00FF6D54"/>
    <w:rsid w:val="00FF70DA"/>
    <w:rsid w:val="00FF7942"/>
    <w:rsid w:val="00FF7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643198"/>
  <w15:chartTrackingRefBased/>
  <w15:docId w15:val="{A06D54CA-00B4-450A-9250-430F5C42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caption" w:qFormat="1"/>
    <w:lsdException w:name="List Bullet" w:qFormat="1"/>
    <w:lsdException w:name="List Number" w:qFormat="1"/>
    <w:lsdException w:name="Title" w:qFormat="1"/>
    <w:lsdException w:name="Body Text" w:qFormat="1"/>
    <w:lsdException w:name="List Continue" w:qFormat="1"/>
    <w:lsdException w:name="Subtitle" w:qFormat="1"/>
    <w:lsdException w:name="Block Text"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6F70"/>
    <w:rPr>
      <w:rFonts w:ascii="Arial" w:hAnsi="Arial"/>
      <w:sz w:val="24"/>
      <w:szCs w:val="22"/>
      <w:lang w:eastAsia="en-GB"/>
    </w:rPr>
  </w:style>
  <w:style w:type="paragraph" w:styleId="Heading1">
    <w:name w:val="heading 1"/>
    <w:next w:val="BodyText"/>
    <w:qFormat/>
    <w:rsid w:val="00094301"/>
    <w:pPr>
      <w:keepNext/>
      <w:keepLines/>
      <w:spacing w:before="720" w:after="200"/>
      <w:outlineLvl w:val="0"/>
    </w:pPr>
    <w:rPr>
      <w:rFonts w:ascii="Arial" w:hAnsi="Arial" w:cs="Arial"/>
      <w:b/>
      <w:bCs/>
      <w:color w:val="005984"/>
      <w:kern w:val="32"/>
      <w:sz w:val="37"/>
      <w:szCs w:val="32"/>
      <w:lang w:eastAsia="en-GB"/>
    </w:rPr>
  </w:style>
  <w:style w:type="paragraph" w:styleId="Heading2">
    <w:name w:val="heading 2"/>
    <w:basedOn w:val="Heading1"/>
    <w:next w:val="BodyText"/>
    <w:qFormat/>
    <w:rsid w:val="00094301"/>
    <w:pPr>
      <w:spacing w:before="640"/>
      <w:outlineLvl w:val="1"/>
    </w:pPr>
    <w:rPr>
      <w:bCs w:val="0"/>
      <w:iCs/>
      <w:sz w:val="31"/>
      <w:szCs w:val="28"/>
    </w:rPr>
  </w:style>
  <w:style w:type="paragraph" w:styleId="Heading3">
    <w:name w:val="heading 3"/>
    <w:basedOn w:val="Heading2"/>
    <w:next w:val="BodyText"/>
    <w:qFormat/>
    <w:rsid w:val="008438B6"/>
    <w:pPr>
      <w:spacing w:before="520"/>
      <w:outlineLvl w:val="2"/>
    </w:pPr>
    <w:rPr>
      <w:bCs/>
      <w:sz w:val="26"/>
      <w:szCs w:val="26"/>
    </w:rPr>
  </w:style>
  <w:style w:type="paragraph" w:styleId="Heading4">
    <w:name w:val="heading 4"/>
    <w:basedOn w:val="Heading3"/>
    <w:next w:val="BodyText"/>
    <w:qFormat/>
    <w:rsid w:val="006845B4"/>
    <w:pPr>
      <w:spacing w:before="240" w:after="180"/>
      <w:outlineLvl w:val="3"/>
    </w:pPr>
    <w:rPr>
      <w:bCs w:val="0"/>
      <w:i/>
      <w:sz w:val="23"/>
      <w:szCs w:val="28"/>
    </w:rPr>
  </w:style>
  <w:style w:type="paragraph" w:styleId="Heading5">
    <w:name w:val="heading 5"/>
    <w:basedOn w:val="Heading4"/>
    <w:next w:val="BodyText"/>
    <w:rsid w:val="00335E48"/>
    <w:pPr>
      <w:spacing w:before="0"/>
      <w:outlineLvl w:val="4"/>
    </w:pPr>
    <w:rPr>
      <w:rFonts w:cs="Times New Roman"/>
      <w:b w:val="0"/>
      <w:kern w:val="0"/>
      <w:sz w:val="22"/>
      <w:szCs w:val="26"/>
    </w:rPr>
  </w:style>
  <w:style w:type="paragraph" w:styleId="Heading6">
    <w:name w:val="heading 6"/>
    <w:basedOn w:val="Heading5"/>
    <w:next w:val="BodyText"/>
    <w:rsid w:val="00FC0C63"/>
    <w:pPr>
      <w:spacing w:before="240" w:after="60"/>
      <w:outlineLvl w:val="5"/>
    </w:pPr>
    <w:rPr>
      <w:bCs/>
      <w:sz w:val="18"/>
    </w:rPr>
  </w:style>
  <w:style w:type="paragraph" w:styleId="Heading7">
    <w:name w:val="heading 7"/>
    <w:basedOn w:val="Heading6"/>
    <w:next w:val="BodyText"/>
    <w:rsid w:val="00FC0C63"/>
    <w:pPr>
      <w:outlineLvl w:val="6"/>
    </w:pPr>
    <w:rPr>
      <w:sz w:val="16"/>
      <w:szCs w:val="24"/>
    </w:rPr>
  </w:style>
  <w:style w:type="paragraph" w:styleId="Heading8">
    <w:name w:val="heading 8"/>
    <w:basedOn w:val="Heading7"/>
    <w:next w:val="BodyText"/>
    <w:rsid w:val="00FC0C63"/>
    <w:pPr>
      <w:outlineLvl w:val="7"/>
    </w:pPr>
    <w:rPr>
      <w:iCs w:val="0"/>
      <w:sz w:val="14"/>
    </w:rPr>
  </w:style>
  <w:style w:type="paragraph" w:styleId="Heading9">
    <w:name w:val="heading 9"/>
    <w:basedOn w:val="Normal"/>
    <w:next w:val="Normal"/>
    <w:rsid w:val="00C77660"/>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7542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ascii="Arial" w:hAnsi="Arial"/>
      <w:sz w:val="24"/>
      <w:szCs w:val="22"/>
      <w:lang w:eastAsia="en-GB"/>
    </w:rPr>
  </w:style>
  <w:style w:type="paragraph" w:styleId="ListBullet">
    <w:name w:val="List Bullet"/>
    <w:basedOn w:val="BodyText"/>
    <w:qFormat/>
    <w:rsid w:val="00CB582D"/>
    <w:pPr>
      <w:numPr>
        <w:numId w:val="1"/>
      </w:numPr>
    </w:pPr>
  </w:style>
  <w:style w:type="paragraph" w:styleId="ListBullet2">
    <w:name w:val="List Bullet 2"/>
    <w:basedOn w:val="ListBullet"/>
    <w:rsid w:val="00CB582D"/>
    <w:pPr>
      <w:numPr>
        <w:ilvl w:val="1"/>
      </w:numPr>
    </w:pPr>
  </w:style>
  <w:style w:type="paragraph" w:styleId="ListBullet3">
    <w:name w:val="List Bullet 3"/>
    <w:basedOn w:val="ListBullet2"/>
    <w:rsid w:val="00CB582D"/>
    <w:pPr>
      <w:numPr>
        <w:ilvl w:val="2"/>
      </w:numPr>
    </w:pPr>
  </w:style>
  <w:style w:type="paragraph" w:styleId="ListBullet4">
    <w:name w:val="List Bullet 4"/>
    <w:basedOn w:val="ListBullet3"/>
    <w:rsid w:val="00CB582D"/>
    <w:pPr>
      <w:numPr>
        <w:ilvl w:val="3"/>
      </w:numPr>
    </w:pPr>
  </w:style>
  <w:style w:type="paragraph" w:styleId="BodyText2">
    <w:name w:val="Body Text 2"/>
    <w:basedOn w:val="BodyText"/>
    <w:next w:val="BodyText"/>
    <w:semiHidden/>
    <w:rsid w:val="005973F1"/>
    <w:pPr>
      <w:ind w:left="284"/>
    </w:pPr>
  </w:style>
  <w:style w:type="paragraph" w:styleId="BodyText3">
    <w:name w:val="Body Text 3"/>
    <w:basedOn w:val="BodyText2"/>
    <w:next w:val="BodyText"/>
    <w:semiHidden/>
    <w:rsid w:val="00196F97"/>
    <w:pPr>
      <w:ind w:left="1134"/>
    </w:pPr>
    <w:rPr>
      <w:szCs w:val="16"/>
    </w:rPr>
  </w:style>
  <w:style w:type="paragraph" w:customStyle="1" w:styleId="Heading1-Pagebreakbefore">
    <w:name w:val="Heading 1-Pagebreak before"/>
    <w:basedOn w:val="Heading1"/>
    <w:next w:val="BodyText"/>
    <w:rsid w:val="005973F1"/>
    <w:pPr>
      <w:pageBreakBefore/>
      <w:spacing w:before="0"/>
    </w:pPr>
  </w:style>
  <w:style w:type="paragraph" w:styleId="ListContinue">
    <w:name w:val="List Continue"/>
    <w:basedOn w:val="BodyText"/>
    <w:qFormat/>
    <w:rsid w:val="00CC26E8"/>
    <w:pPr>
      <w:numPr>
        <w:numId w:val="8"/>
      </w:numPr>
    </w:pPr>
  </w:style>
  <w:style w:type="paragraph" w:styleId="ListContinue2">
    <w:name w:val="List Continue 2"/>
    <w:basedOn w:val="ListContinue"/>
    <w:rsid w:val="00CC26E8"/>
    <w:pPr>
      <w:numPr>
        <w:ilvl w:val="1"/>
      </w:numPr>
    </w:pPr>
  </w:style>
  <w:style w:type="paragraph" w:styleId="ListContinue3">
    <w:name w:val="List Continue 3"/>
    <w:basedOn w:val="ListContinue2"/>
    <w:rsid w:val="00CC26E8"/>
    <w:pPr>
      <w:numPr>
        <w:ilvl w:val="2"/>
      </w:numPr>
    </w:pPr>
  </w:style>
  <w:style w:type="paragraph" w:styleId="ListContinue4">
    <w:name w:val="List Continue 4"/>
    <w:basedOn w:val="ListContinue3"/>
    <w:rsid w:val="00CC26E8"/>
    <w:pPr>
      <w:numPr>
        <w:ilvl w:val="3"/>
      </w:numPr>
    </w:pPr>
  </w:style>
  <w:style w:type="paragraph" w:styleId="ListBullet5">
    <w:name w:val="List Bullet 5"/>
    <w:basedOn w:val="ListBullet4"/>
    <w:rsid w:val="00CB582D"/>
    <w:pPr>
      <w:numPr>
        <w:ilvl w:val="4"/>
      </w:numPr>
    </w:pPr>
  </w:style>
  <w:style w:type="paragraph" w:styleId="ListContinue5">
    <w:name w:val="List Continue 5"/>
    <w:basedOn w:val="Normal"/>
    <w:rsid w:val="00CC26E8"/>
    <w:pPr>
      <w:numPr>
        <w:ilvl w:val="4"/>
        <w:numId w:val="8"/>
      </w:numPr>
      <w:spacing w:after="120"/>
    </w:pPr>
  </w:style>
  <w:style w:type="paragraph" w:styleId="List">
    <w:name w:val="List"/>
    <w:basedOn w:val="Normal"/>
    <w:semiHidden/>
    <w:rsid w:val="00A35236"/>
    <w:pPr>
      <w:ind w:left="283" w:hanging="283"/>
    </w:pPr>
  </w:style>
  <w:style w:type="paragraph" w:styleId="List2">
    <w:name w:val="List 2"/>
    <w:basedOn w:val="Normal"/>
    <w:semiHidden/>
    <w:rsid w:val="00A35236"/>
    <w:pPr>
      <w:ind w:left="566" w:hanging="283"/>
    </w:pPr>
  </w:style>
  <w:style w:type="paragraph" w:styleId="List3">
    <w:name w:val="List 3"/>
    <w:basedOn w:val="Normal"/>
    <w:semiHidden/>
    <w:rsid w:val="00A35236"/>
    <w:pPr>
      <w:ind w:left="849" w:hanging="283"/>
    </w:pPr>
  </w:style>
  <w:style w:type="paragraph" w:styleId="List4">
    <w:name w:val="List 4"/>
    <w:basedOn w:val="Normal"/>
    <w:semiHidden/>
    <w:rsid w:val="00A35236"/>
    <w:pPr>
      <w:ind w:left="1132" w:hanging="283"/>
    </w:pPr>
  </w:style>
  <w:style w:type="paragraph" w:styleId="List5">
    <w:name w:val="List 5"/>
    <w:basedOn w:val="Normal"/>
    <w:semiHidden/>
    <w:rsid w:val="00A35236"/>
    <w:pPr>
      <w:ind w:left="1415" w:hanging="283"/>
    </w:pPr>
  </w:style>
  <w:style w:type="character" w:styleId="HTMLAcronym">
    <w:name w:val="HTML Acronym"/>
    <w:basedOn w:val="DefaultParagraphFont"/>
    <w:semiHidden/>
    <w:rsid w:val="00A35236"/>
  </w:style>
  <w:style w:type="paragraph" w:styleId="HTMLAddress">
    <w:name w:val="HTML Address"/>
    <w:basedOn w:val="Normal"/>
    <w:semiHidden/>
    <w:rsid w:val="00A35236"/>
    <w:rPr>
      <w:i/>
      <w:iCs/>
    </w:rPr>
  </w:style>
  <w:style w:type="character" w:styleId="HTMLCite">
    <w:name w:val="HTML Cite"/>
    <w:semiHidden/>
    <w:rsid w:val="00A35236"/>
    <w:rPr>
      <w:i/>
      <w:iCs/>
    </w:rPr>
  </w:style>
  <w:style w:type="character" w:styleId="HTMLCode">
    <w:name w:val="HTML Code"/>
    <w:semiHidden/>
    <w:rsid w:val="00A35236"/>
    <w:rPr>
      <w:rFonts w:ascii="Courier New" w:hAnsi="Courier New" w:cs="Courier New"/>
      <w:sz w:val="20"/>
      <w:szCs w:val="20"/>
    </w:rPr>
  </w:style>
  <w:style w:type="character" w:styleId="HTMLDefinition">
    <w:name w:val="HTML Definition"/>
    <w:semiHidden/>
    <w:rsid w:val="00A35236"/>
    <w:rPr>
      <w:i/>
      <w:iCs/>
    </w:rPr>
  </w:style>
  <w:style w:type="character" w:styleId="HTMLKeyboard">
    <w:name w:val="HTML Keyboard"/>
    <w:semiHidden/>
    <w:rsid w:val="00A35236"/>
    <w:rPr>
      <w:rFonts w:ascii="Courier New" w:hAnsi="Courier New" w:cs="Courier New"/>
      <w:sz w:val="20"/>
      <w:szCs w:val="20"/>
    </w:rPr>
  </w:style>
  <w:style w:type="paragraph" w:styleId="HTMLPreformatted">
    <w:name w:val="HTML Preformatted"/>
    <w:basedOn w:val="Normal"/>
    <w:semiHidden/>
    <w:rsid w:val="00A35236"/>
    <w:rPr>
      <w:rFonts w:ascii="Courier New" w:hAnsi="Courier New" w:cs="Courier New"/>
      <w:sz w:val="20"/>
      <w:szCs w:val="20"/>
    </w:rPr>
  </w:style>
  <w:style w:type="character" w:styleId="HTMLSample">
    <w:name w:val="HTML Sample"/>
    <w:semiHidden/>
    <w:rsid w:val="00A35236"/>
    <w:rPr>
      <w:rFonts w:ascii="Courier New" w:hAnsi="Courier New" w:cs="Courier New"/>
    </w:rPr>
  </w:style>
  <w:style w:type="character" w:styleId="HTMLTypewriter">
    <w:name w:val="HTML Typewriter"/>
    <w:semiHidden/>
    <w:rsid w:val="00A35236"/>
    <w:rPr>
      <w:rFonts w:ascii="Courier New" w:hAnsi="Courier New" w:cs="Courier New"/>
      <w:sz w:val="20"/>
      <w:szCs w:val="20"/>
    </w:rPr>
  </w:style>
  <w:style w:type="character" w:styleId="HTMLVariable">
    <w:name w:val="HTML Variable"/>
    <w:semiHidden/>
    <w:rsid w:val="00A35236"/>
    <w:rPr>
      <w:i/>
      <w:iCs/>
    </w:rPr>
  </w:style>
  <w:style w:type="paragraph" w:styleId="BlockText">
    <w:name w:val="Block Text"/>
    <w:basedOn w:val="BodyText"/>
    <w:qFormat/>
    <w:rsid w:val="006428AB"/>
    <w:pPr>
      <w:ind w:left="567" w:right="567"/>
    </w:pPr>
    <w:rPr>
      <w:sz w:val="22"/>
    </w:rPr>
  </w:style>
  <w:style w:type="paragraph" w:styleId="BodyTextFirstIndent">
    <w:name w:val="Body Text First Indent"/>
    <w:basedOn w:val="BodyText"/>
    <w:semiHidden/>
    <w:rsid w:val="00353455"/>
    <w:pPr>
      <w:spacing w:after="120"/>
      <w:ind w:firstLine="210"/>
    </w:pPr>
  </w:style>
  <w:style w:type="paragraph" w:styleId="BodyTextIndent">
    <w:name w:val="Body Text Indent"/>
    <w:basedOn w:val="Normal"/>
    <w:semiHidden/>
    <w:rsid w:val="00353455"/>
    <w:pPr>
      <w:spacing w:after="120"/>
      <w:ind w:left="283"/>
    </w:pPr>
  </w:style>
  <w:style w:type="paragraph" w:styleId="BodyTextFirstIndent2">
    <w:name w:val="Body Text First Indent 2"/>
    <w:basedOn w:val="BodyTextIndent"/>
    <w:semiHidden/>
    <w:rsid w:val="00353455"/>
    <w:pPr>
      <w:ind w:firstLine="210"/>
    </w:pPr>
  </w:style>
  <w:style w:type="paragraph" w:styleId="BodyTextIndent2">
    <w:name w:val="Body Text Indent 2"/>
    <w:basedOn w:val="Normal"/>
    <w:semiHidden/>
    <w:rsid w:val="00353455"/>
    <w:pPr>
      <w:spacing w:after="120" w:line="480" w:lineRule="auto"/>
      <w:ind w:left="283"/>
    </w:pPr>
  </w:style>
  <w:style w:type="paragraph" w:styleId="BodyTextIndent3">
    <w:name w:val="Body Text Indent 3"/>
    <w:basedOn w:val="Normal"/>
    <w:semiHidden/>
    <w:rsid w:val="00353455"/>
    <w:pPr>
      <w:spacing w:after="120"/>
      <w:ind w:left="283"/>
    </w:pPr>
    <w:rPr>
      <w:sz w:val="16"/>
      <w:szCs w:val="16"/>
    </w:rPr>
  </w:style>
  <w:style w:type="paragraph" w:styleId="EnvelopeAddress">
    <w:name w:val="envelope address"/>
    <w:basedOn w:val="Normal"/>
    <w:semiHidden/>
    <w:rsid w:val="008861E2"/>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8861E2"/>
    <w:rPr>
      <w:rFonts w:cs="Arial"/>
      <w:sz w:val="20"/>
      <w:szCs w:val="20"/>
    </w:rPr>
  </w:style>
  <w:style w:type="character" w:styleId="LineNumber">
    <w:name w:val="line number"/>
    <w:basedOn w:val="DefaultParagraphFont"/>
    <w:semiHidden/>
    <w:rsid w:val="008861E2"/>
  </w:style>
  <w:style w:type="paragraph" w:styleId="MessageHeader">
    <w:name w:val="Message Header"/>
    <w:basedOn w:val="Normal"/>
    <w:semiHidden/>
    <w:rsid w:val="008861E2"/>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semiHidden/>
    <w:rsid w:val="008861E2"/>
    <w:rPr>
      <w:rFonts w:ascii="Times New Roman" w:hAnsi="Times New Roman"/>
      <w:szCs w:val="24"/>
    </w:rPr>
  </w:style>
  <w:style w:type="paragraph" w:styleId="NormalIndent">
    <w:name w:val="Normal Indent"/>
    <w:basedOn w:val="Normal"/>
    <w:semiHidden/>
    <w:rsid w:val="008861E2"/>
    <w:pPr>
      <w:ind w:left="720"/>
    </w:pPr>
  </w:style>
  <w:style w:type="paragraph" w:styleId="NoteHeading">
    <w:name w:val="Note Heading"/>
    <w:basedOn w:val="Normal"/>
    <w:next w:val="Normal"/>
    <w:semiHidden/>
    <w:rsid w:val="008861E2"/>
  </w:style>
  <w:style w:type="table" w:styleId="Table3Deffects1">
    <w:name w:val="Table 3D effects 1"/>
    <w:basedOn w:val="TableNormal"/>
    <w:semiHidden/>
    <w:rsid w:val="008861E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861E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861E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ai">
    <w:name w:val="Outline List 1"/>
    <w:basedOn w:val="NoList"/>
    <w:semiHidden/>
    <w:rsid w:val="00CD07EA"/>
    <w:pPr>
      <w:numPr>
        <w:numId w:val="3"/>
      </w:numPr>
    </w:pPr>
  </w:style>
  <w:style w:type="numbering" w:styleId="ArticleSection">
    <w:name w:val="Outline List 3"/>
    <w:basedOn w:val="NoList"/>
    <w:semiHidden/>
    <w:rsid w:val="008861E2"/>
    <w:pPr>
      <w:numPr>
        <w:numId w:val="4"/>
      </w:numPr>
    </w:pPr>
  </w:style>
  <w:style w:type="paragraph" w:styleId="Closing">
    <w:name w:val="Closing"/>
    <w:basedOn w:val="Normal"/>
    <w:semiHidden/>
    <w:rsid w:val="008861E2"/>
    <w:pPr>
      <w:ind w:left="4252"/>
    </w:pPr>
  </w:style>
  <w:style w:type="paragraph" w:styleId="Date">
    <w:name w:val="Date"/>
    <w:basedOn w:val="Normal"/>
    <w:next w:val="Normal"/>
    <w:semiHidden/>
    <w:rsid w:val="008861E2"/>
  </w:style>
  <w:style w:type="paragraph" w:styleId="E-mailSignature">
    <w:name w:val="E-mail Signature"/>
    <w:basedOn w:val="Normal"/>
    <w:semiHidden/>
    <w:rsid w:val="008861E2"/>
  </w:style>
  <w:style w:type="paragraph" w:styleId="ListNumber5">
    <w:name w:val="List Number 5"/>
    <w:basedOn w:val="ListNumber4"/>
    <w:rsid w:val="00360728"/>
    <w:pPr>
      <w:numPr>
        <w:ilvl w:val="4"/>
      </w:numPr>
    </w:pPr>
  </w:style>
  <w:style w:type="paragraph" w:styleId="Salutation">
    <w:name w:val="Salutation"/>
    <w:basedOn w:val="Normal"/>
    <w:next w:val="Normal"/>
    <w:semiHidden/>
    <w:rsid w:val="008861E2"/>
  </w:style>
  <w:style w:type="paragraph" w:styleId="Signature">
    <w:name w:val="Signature"/>
    <w:basedOn w:val="Normal"/>
    <w:semiHidden/>
    <w:rsid w:val="008861E2"/>
    <w:pPr>
      <w:ind w:left="4252"/>
    </w:pPr>
  </w:style>
  <w:style w:type="table" w:styleId="TableWeb1">
    <w:name w:val="Table Web 1"/>
    <w:basedOn w:val="TableNormal"/>
    <w:semiHidden/>
    <w:rsid w:val="008861E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861E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861E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
    <w:name w:val="List Number"/>
    <w:basedOn w:val="BodyText"/>
    <w:qFormat/>
    <w:rsid w:val="00360728"/>
    <w:pPr>
      <w:numPr>
        <w:numId w:val="2"/>
      </w:numPr>
    </w:pPr>
  </w:style>
  <w:style w:type="paragraph" w:styleId="ListNumber2">
    <w:name w:val="List Number 2"/>
    <w:basedOn w:val="ListNumber"/>
    <w:rsid w:val="00360728"/>
    <w:pPr>
      <w:numPr>
        <w:ilvl w:val="1"/>
      </w:numPr>
    </w:pPr>
  </w:style>
  <w:style w:type="paragraph" w:styleId="ListNumber3">
    <w:name w:val="List Number 3"/>
    <w:basedOn w:val="ListNumber2"/>
    <w:rsid w:val="00360728"/>
    <w:pPr>
      <w:numPr>
        <w:ilvl w:val="2"/>
      </w:numPr>
    </w:pPr>
  </w:style>
  <w:style w:type="paragraph" w:styleId="ListNumber4">
    <w:name w:val="List Number 4"/>
    <w:basedOn w:val="ListNumber3"/>
    <w:rsid w:val="00360728"/>
    <w:pPr>
      <w:numPr>
        <w:ilvl w:val="3"/>
      </w:numPr>
    </w:pPr>
  </w:style>
  <w:style w:type="numbering" w:styleId="111111">
    <w:name w:val="Outline List 2"/>
    <w:basedOn w:val="NoList"/>
    <w:semiHidden/>
    <w:rsid w:val="00AE3DA6"/>
    <w:pPr>
      <w:numPr>
        <w:numId w:val="5"/>
      </w:numPr>
    </w:pPr>
  </w:style>
  <w:style w:type="paragraph" w:styleId="Footer">
    <w:name w:val="footer"/>
    <w:basedOn w:val="Normal"/>
    <w:semiHidden/>
    <w:rsid w:val="00B82071"/>
    <w:pPr>
      <w:tabs>
        <w:tab w:val="center" w:pos="4153"/>
        <w:tab w:val="right" w:pos="8306"/>
      </w:tabs>
    </w:pPr>
  </w:style>
  <w:style w:type="paragraph" w:styleId="Header">
    <w:name w:val="header"/>
    <w:basedOn w:val="Normal"/>
    <w:semiHidden/>
    <w:rsid w:val="00B82071"/>
    <w:pPr>
      <w:tabs>
        <w:tab w:val="center" w:pos="4153"/>
        <w:tab w:val="right" w:pos="8306"/>
      </w:tabs>
    </w:pPr>
  </w:style>
  <w:style w:type="character" w:styleId="FootnoteReference">
    <w:name w:val="footnote reference"/>
    <w:rsid w:val="00336974"/>
    <w:rPr>
      <w:sz w:val="24"/>
      <w:vertAlign w:val="superscript"/>
    </w:rPr>
  </w:style>
  <w:style w:type="paragraph" w:styleId="FootnoteText">
    <w:name w:val="footnote text"/>
    <w:basedOn w:val="BodyText"/>
    <w:link w:val="FootnoteTextChar"/>
    <w:rsid w:val="00475420"/>
    <w:pPr>
      <w:tabs>
        <w:tab w:val="left" w:pos="284"/>
      </w:tabs>
      <w:spacing w:after="60" w:line="240" w:lineRule="auto"/>
      <w:ind w:left="284" w:hanging="284"/>
    </w:pPr>
    <w:rPr>
      <w:sz w:val="18"/>
      <w:szCs w:val="20"/>
    </w:rPr>
  </w:style>
  <w:style w:type="character" w:styleId="Emphasis">
    <w:name w:val="Emphasis"/>
    <w:qFormat/>
    <w:rsid w:val="00B04384"/>
    <w:rPr>
      <w:i/>
      <w:iCs/>
    </w:rPr>
  </w:style>
  <w:style w:type="character" w:styleId="Strong">
    <w:name w:val="Strong"/>
    <w:qFormat/>
    <w:rsid w:val="00B04384"/>
    <w:rPr>
      <w:b/>
      <w:bCs/>
    </w:rPr>
  </w:style>
  <w:style w:type="character" w:customStyle="1" w:styleId="Italic">
    <w:name w:val="Italic"/>
    <w:rsid w:val="00990ECE"/>
    <w:rPr>
      <w:i/>
      <w:iCs/>
    </w:rPr>
  </w:style>
  <w:style w:type="character" w:customStyle="1" w:styleId="Bold">
    <w:name w:val="Bold"/>
    <w:rsid w:val="006428AB"/>
    <w:rPr>
      <w:b/>
      <w:iCs/>
      <w:lang w:val="en-AU"/>
    </w:rPr>
  </w:style>
  <w:style w:type="character" w:styleId="FollowedHyperlink">
    <w:name w:val="FollowedHyperlink"/>
    <w:semiHidden/>
    <w:rsid w:val="00990ECE"/>
    <w:rPr>
      <w:color w:val="800080"/>
      <w:u w:val="single"/>
    </w:rPr>
  </w:style>
  <w:style w:type="character" w:styleId="Hyperlink">
    <w:name w:val="Hyperlink"/>
    <w:uiPriority w:val="99"/>
    <w:rsid w:val="00990ECE"/>
    <w:rPr>
      <w:color w:val="0000FF"/>
      <w:u w:val="single"/>
    </w:rPr>
  </w:style>
  <w:style w:type="paragraph" w:styleId="Title">
    <w:name w:val="Title"/>
    <w:qFormat/>
    <w:rsid w:val="00CB582D"/>
    <w:pPr>
      <w:spacing w:before="240" w:after="60"/>
      <w:jc w:val="center"/>
      <w:outlineLvl w:val="0"/>
    </w:pPr>
    <w:rPr>
      <w:rFonts w:ascii="Arial" w:hAnsi="Arial" w:cs="Arial"/>
      <w:b/>
      <w:bCs/>
      <w:color w:val="333333"/>
      <w:kern w:val="28"/>
      <w:sz w:val="40"/>
      <w:szCs w:val="32"/>
      <w:lang w:eastAsia="en-GB"/>
    </w:rPr>
  </w:style>
  <w:style w:type="paragraph" w:styleId="Subtitle">
    <w:name w:val="Subtitle"/>
    <w:basedOn w:val="Title"/>
    <w:qFormat/>
    <w:rsid w:val="002E40DF"/>
    <w:pPr>
      <w:spacing w:after="180"/>
      <w:outlineLvl w:val="1"/>
    </w:pPr>
    <w:rPr>
      <w:sz w:val="32"/>
      <w:szCs w:val="24"/>
    </w:rPr>
  </w:style>
  <w:style w:type="table" w:styleId="TableClassic2">
    <w:name w:val="Table Classic 2"/>
    <w:basedOn w:val="TableNormal"/>
    <w:semiHidden/>
    <w:rsid w:val="00797C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7C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7C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7C1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7C1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7C1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7C1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7C1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7C1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7C1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7C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7C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7C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45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tcMar>
        <w:left w:w="170" w:type="dxa"/>
        <w:right w:w="170" w:type="dxa"/>
      </w:tcMar>
    </w:tcPr>
  </w:style>
  <w:style w:type="table" w:styleId="TableGrid1">
    <w:name w:val="Table Grid 1"/>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7C1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7C1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7C1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7C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7C1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7C1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7C1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7C1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7C1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7C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7C1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7C1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7C1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7C1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7C1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7C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7C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7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802327"/>
  </w:style>
  <w:style w:type="table" w:styleId="TableClassic1">
    <w:name w:val="Table Classic 1"/>
    <w:basedOn w:val="TableNormal"/>
    <w:semiHidden/>
    <w:rsid w:val="006C10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
    <w:name w:val="Table heading"/>
    <w:rsid w:val="00803E1A"/>
    <w:pPr>
      <w:keepNext/>
      <w:spacing w:before="80" w:after="60"/>
    </w:pPr>
    <w:rPr>
      <w:rFonts w:ascii="Arial" w:hAnsi="Arial"/>
      <w:b/>
      <w:szCs w:val="22"/>
      <w:lang w:eastAsia="en-GB"/>
    </w:rPr>
  </w:style>
  <w:style w:type="paragraph" w:customStyle="1" w:styleId="TableBody">
    <w:name w:val="Table Body"/>
    <w:basedOn w:val="BodyText"/>
    <w:rsid w:val="00D10B6F"/>
    <w:pPr>
      <w:spacing w:before="60" w:after="60"/>
    </w:pPr>
    <w:rPr>
      <w:sz w:val="20"/>
    </w:rPr>
  </w:style>
  <w:style w:type="character" w:styleId="PageNumber">
    <w:name w:val="page number"/>
    <w:rsid w:val="006428AB"/>
    <w:rPr>
      <w:sz w:val="24"/>
      <w:lang w:val="en-AU"/>
    </w:rPr>
  </w:style>
  <w:style w:type="character" w:customStyle="1" w:styleId="BodyTextChar">
    <w:name w:val="Body Text Char"/>
    <w:link w:val="BodyText"/>
    <w:rsid w:val="00475420"/>
    <w:rPr>
      <w:rFonts w:ascii="Arial" w:hAnsi="Arial"/>
      <w:sz w:val="24"/>
      <w:szCs w:val="22"/>
      <w:lang w:eastAsia="en-GB"/>
    </w:rPr>
  </w:style>
  <w:style w:type="paragraph" w:customStyle="1" w:styleId="BlockText-ListBullet">
    <w:name w:val="Block Text - List Bullet"/>
    <w:basedOn w:val="BlockText"/>
    <w:rsid w:val="00CB582D"/>
    <w:pPr>
      <w:numPr>
        <w:numId w:val="7"/>
      </w:numPr>
      <w:spacing w:after="160"/>
    </w:pPr>
  </w:style>
  <w:style w:type="paragraph" w:customStyle="1" w:styleId="Table-ListBullet">
    <w:name w:val="Table - List Bullet"/>
    <w:basedOn w:val="TableBody"/>
    <w:rsid w:val="00EA6977"/>
    <w:pPr>
      <w:numPr>
        <w:numId w:val="6"/>
      </w:numPr>
    </w:pPr>
  </w:style>
  <w:style w:type="paragraph" w:styleId="PlainText">
    <w:name w:val="Plain Text"/>
    <w:basedOn w:val="Normal"/>
    <w:rsid w:val="006428AB"/>
    <w:rPr>
      <w:rFonts w:ascii="Courier New" w:hAnsi="Courier New" w:cs="Courier New"/>
      <w:sz w:val="20"/>
      <w:szCs w:val="20"/>
    </w:rPr>
  </w:style>
  <w:style w:type="table" w:customStyle="1" w:styleId="RecommendationsBox">
    <w:name w:val="Recommendations Box"/>
    <w:basedOn w:val="TableGrid"/>
    <w:rsid w:val="000164F8"/>
    <w:tblPr>
      <w:tblBorders>
        <w:top w:val="single" w:sz="4" w:space="0" w:color="005984"/>
        <w:left w:val="single" w:sz="4" w:space="0" w:color="005984"/>
        <w:bottom w:val="single" w:sz="4" w:space="0" w:color="005984"/>
        <w:right w:val="single" w:sz="4" w:space="0" w:color="005984"/>
        <w:insideH w:val="none" w:sz="0" w:space="0" w:color="auto"/>
        <w:insideV w:val="none" w:sz="0" w:space="0" w:color="auto"/>
      </w:tblBorders>
    </w:tblPr>
    <w:trPr>
      <w:cantSplit/>
    </w:trPr>
  </w:style>
  <w:style w:type="paragraph" w:customStyle="1" w:styleId="Recommendationsheading">
    <w:name w:val="Recommendations heading"/>
    <w:rsid w:val="00F82735"/>
    <w:pPr>
      <w:spacing w:before="120" w:after="180"/>
    </w:pPr>
    <w:rPr>
      <w:rFonts w:ascii="Arial" w:hAnsi="Arial"/>
      <w:b/>
      <w:color w:val="005984"/>
      <w:sz w:val="24"/>
      <w:szCs w:val="22"/>
      <w:lang w:eastAsia="en-GB"/>
    </w:rPr>
  </w:style>
  <w:style w:type="paragraph" w:styleId="TOC1">
    <w:name w:val="toc 1"/>
    <w:next w:val="BodyText"/>
    <w:autoRedefine/>
    <w:uiPriority w:val="39"/>
    <w:rsid w:val="00356F70"/>
    <w:pPr>
      <w:tabs>
        <w:tab w:val="right" w:leader="dot" w:pos="8494"/>
      </w:tabs>
      <w:spacing w:before="180" w:line="288" w:lineRule="auto"/>
    </w:pPr>
    <w:rPr>
      <w:rFonts w:ascii="Arial" w:hAnsi="Arial"/>
      <w:b/>
      <w:sz w:val="24"/>
      <w:szCs w:val="22"/>
      <w:lang w:eastAsia="en-GB"/>
    </w:rPr>
  </w:style>
  <w:style w:type="paragraph" w:styleId="TOC2">
    <w:name w:val="toc 2"/>
    <w:basedOn w:val="TOC1"/>
    <w:next w:val="BodyText"/>
    <w:autoRedefine/>
    <w:uiPriority w:val="39"/>
    <w:rsid w:val="00422B55"/>
    <w:pPr>
      <w:spacing w:before="100"/>
      <w:ind w:left="567"/>
    </w:pPr>
    <w:rPr>
      <w:b w:val="0"/>
    </w:rPr>
  </w:style>
  <w:style w:type="paragraph" w:styleId="TOC3">
    <w:name w:val="toc 3"/>
    <w:basedOn w:val="TOC2"/>
    <w:next w:val="BodyText"/>
    <w:autoRedefine/>
    <w:uiPriority w:val="39"/>
    <w:rsid w:val="00F70B92"/>
    <w:pPr>
      <w:ind w:left="1134"/>
    </w:pPr>
  </w:style>
  <w:style w:type="paragraph" w:styleId="TOC4">
    <w:name w:val="toc 4"/>
    <w:basedOn w:val="TOC3"/>
    <w:next w:val="BodyText"/>
    <w:autoRedefine/>
    <w:rsid w:val="00F70B92"/>
    <w:pPr>
      <w:ind w:left="1701"/>
    </w:pPr>
  </w:style>
  <w:style w:type="paragraph" w:styleId="TOC5">
    <w:name w:val="toc 5"/>
    <w:basedOn w:val="TOC4"/>
    <w:next w:val="BodyText"/>
    <w:autoRedefine/>
    <w:rsid w:val="00F70B92"/>
    <w:pPr>
      <w:ind w:left="2268"/>
    </w:pPr>
  </w:style>
  <w:style w:type="paragraph" w:styleId="TOC6">
    <w:name w:val="toc 6"/>
    <w:basedOn w:val="TOC5"/>
    <w:next w:val="BodyText"/>
    <w:autoRedefine/>
    <w:semiHidden/>
    <w:rsid w:val="00F70B92"/>
    <w:pPr>
      <w:ind w:left="1200"/>
    </w:pPr>
  </w:style>
  <w:style w:type="paragraph" w:styleId="TOC7">
    <w:name w:val="toc 7"/>
    <w:basedOn w:val="TOC6"/>
    <w:next w:val="BodyText"/>
    <w:autoRedefine/>
    <w:semiHidden/>
    <w:rsid w:val="00F70B92"/>
    <w:pPr>
      <w:ind w:left="1440"/>
    </w:pPr>
  </w:style>
  <w:style w:type="paragraph" w:styleId="TOC8">
    <w:name w:val="toc 8"/>
    <w:basedOn w:val="TOC7"/>
    <w:next w:val="BodyText"/>
    <w:autoRedefine/>
    <w:semiHidden/>
    <w:rsid w:val="00F70B92"/>
    <w:pPr>
      <w:ind w:left="1680"/>
    </w:pPr>
  </w:style>
  <w:style w:type="paragraph" w:styleId="TOC9">
    <w:name w:val="toc 9"/>
    <w:basedOn w:val="TOC8"/>
    <w:next w:val="BodyText"/>
    <w:autoRedefine/>
    <w:semiHidden/>
    <w:rsid w:val="00F70B92"/>
    <w:pPr>
      <w:ind w:left="1920"/>
    </w:pPr>
  </w:style>
  <w:style w:type="paragraph" w:customStyle="1" w:styleId="AcronymsList">
    <w:name w:val="Acronyms List"/>
    <w:basedOn w:val="BodyText"/>
    <w:rsid w:val="00776BAC"/>
    <w:pPr>
      <w:tabs>
        <w:tab w:val="clear" w:pos="567"/>
        <w:tab w:val="clear" w:pos="1134"/>
        <w:tab w:val="clear" w:pos="1701"/>
      </w:tabs>
      <w:ind w:left="2268" w:hanging="2268"/>
    </w:pPr>
  </w:style>
  <w:style w:type="paragraph" w:customStyle="1" w:styleId="ListLetter">
    <w:name w:val="List Letter"/>
    <w:basedOn w:val="BodyText"/>
    <w:qFormat/>
    <w:rsid w:val="00360728"/>
    <w:pPr>
      <w:numPr>
        <w:numId w:val="9"/>
      </w:numPr>
    </w:pPr>
  </w:style>
  <w:style w:type="paragraph" w:customStyle="1" w:styleId="BlockText-ListBullet2">
    <w:name w:val="Block Text - List Bullet 2"/>
    <w:basedOn w:val="BlockText-ListBullet"/>
    <w:rsid w:val="00CB582D"/>
    <w:pPr>
      <w:numPr>
        <w:ilvl w:val="1"/>
      </w:numPr>
    </w:pPr>
  </w:style>
  <w:style w:type="paragraph" w:customStyle="1" w:styleId="BlockText-ListBullet3">
    <w:name w:val="Block Text - List Bullet 3"/>
    <w:basedOn w:val="BlockText-ListBullet2"/>
    <w:rsid w:val="00CB582D"/>
    <w:pPr>
      <w:numPr>
        <w:ilvl w:val="2"/>
      </w:numPr>
    </w:pPr>
  </w:style>
  <w:style w:type="paragraph" w:customStyle="1" w:styleId="BlockText-ListBullet4">
    <w:name w:val="Block Text - List Bullet 4"/>
    <w:basedOn w:val="BlockText-ListBullet3"/>
    <w:rsid w:val="00CB582D"/>
    <w:pPr>
      <w:numPr>
        <w:ilvl w:val="3"/>
      </w:numPr>
    </w:pPr>
  </w:style>
  <w:style w:type="paragraph" w:customStyle="1" w:styleId="BlockText-ListBullet5">
    <w:name w:val="Block Text - List Bullet 5"/>
    <w:basedOn w:val="BlockText-ListBullet4"/>
    <w:rsid w:val="00CB582D"/>
    <w:pPr>
      <w:numPr>
        <w:ilvl w:val="4"/>
      </w:numPr>
    </w:pPr>
  </w:style>
  <w:style w:type="paragraph" w:customStyle="1" w:styleId="ListLetter2">
    <w:name w:val="List Letter 2"/>
    <w:basedOn w:val="ListLetter"/>
    <w:rsid w:val="00360728"/>
    <w:pPr>
      <w:numPr>
        <w:ilvl w:val="1"/>
      </w:numPr>
    </w:pPr>
  </w:style>
  <w:style w:type="paragraph" w:customStyle="1" w:styleId="ListLetter3">
    <w:name w:val="List Letter 3"/>
    <w:basedOn w:val="ListLetter2"/>
    <w:rsid w:val="00360728"/>
    <w:pPr>
      <w:numPr>
        <w:ilvl w:val="2"/>
      </w:numPr>
    </w:pPr>
  </w:style>
  <w:style w:type="paragraph" w:customStyle="1" w:styleId="ListLetter4">
    <w:name w:val="List Letter 4"/>
    <w:basedOn w:val="ListLetter3"/>
    <w:rsid w:val="00360728"/>
    <w:pPr>
      <w:numPr>
        <w:ilvl w:val="3"/>
      </w:numPr>
    </w:pPr>
  </w:style>
  <w:style w:type="paragraph" w:customStyle="1" w:styleId="ListLetter5">
    <w:name w:val="List Letter 5"/>
    <w:basedOn w:val="ListLetter4"/>
    <w:rsid w:val="00360728"/>
    <w:pPr>
      <w:numPr>
        <w:ilvl w:val="4"/>
      </w:numPr>
    </w:pPr>
  </w:style>
  <w:style w:type="paragraph" w:customStyle="1" w:styleId="ListRoman">
    <w:name w:val="List Roman"/>
    <w:basedOn w:val="BodyText"/>
    <w:rsid w:val="00F36A43"/>
    <w:pPr>
      <w:numPr>
        <w:numId w:val="10"/>
      </w:numPr>
    </w:pPr>
  </w:style>
  <w:style w:type="paragraph" w:customStyle="1" w:styleId="ListRoman2">
    <w:name w:val="List Roman 2"/>
    <w:basedOn w:val="ListRoman"/>
    <w:rsid w:val="00F36A43"/>
    <w:pPr>
      <w:numPr>
        <w:ilvl w:val="1"/>
      </w:numPr>
    </w:pPr>
  </w:style>
  <w:style w:type="paragraph" w:customStyle="1" w:styleId="ListRoman3">
    <w:name w:val="List Roman 3"/>
    <w:basedOn w:val="ListRoman2"/>
    <w:rsid w:val="00F36A43"/>
    <w:pPr>
      <w:numPr>
        <w:ilvl w:val="2"/>
      </w:numPr>
    </w:pPr>
  </w:style>
  <w:style w:type="paragraph" w:customStyle="1" w:styleId="ListRoman4">
    <w:name w:val="List Roman 4"/>
    <w:basedOn w:val="ListRoman3"/>
    <w:rsid w:val="00F36A43"/>
    <w:pPr>
      <w:numPr>
        <w:ilvl w:val="3"/>
      </w:numPr>
    </w:pPr>
  </w:style>
  <w:style w:type="paragraph" w:customStyle="1" w:styleId="ListRoman5">
    <w:name w:val="List Roman 5"/>
    <w:basedOn w:val="ListRoman4"/>
    <w:rsid w:val="00F36A43"/>
    <w:pPr>
      <w:numPr>
        <w:ilvl w:val="4"/>
      </w:numPr>
    </w:pPr>
  </w:style>
  <w:style w:type="paragraph" w:customStyle="1" w:styleId="BlockText-ListNumber">
    <w:name w:val="Block Text - List Number"/>
    <w:basedOn w:val="BlockText"/>
    <w:rsid w:val="0042409B"/>
    <w:pPr>
      <w:numPr>
        <w:numId w:val="11"/>
      </w:numPr>
    </w:pPr>
  </w:style>
  <w:style w:type="paragraph" w:customStyle="1" w:styleId="BlockText-ListNumber2">
    <w:name w:val="Block Text - List Number 2"/>
    <w:basedOn w:val="BlockText-ListNumber"/>
    <w:rsid w:val="00CD7A03"/>
    <w:pPr>
      <w:numPr>
        <w:ilvl w:val="1"/>
      </w:numPr>
      <w:ind w:right="0"/>
    </w:pPr>
  </w:style>
  <w:style w:type="paragraph" w:customStyle="1" w:styleId="BlockText-ListNumber3">
    <w:name w:val="Block Text - List Number 3"/>
    <w:basedOn w:val="BlockText-ListNumber2"/>
    <w:rsid w:val="0042409B"/>
    <w:pPr>
      <w:numPr>
        <w:ilvl w:val="2"/>
      </w:numPr>
    </w:pPr>
  </w:style>
  <w:style w:type="paragraph" w:customStyle="1" w:styleId="BlockText-ListNumber4">
    <w:name w:val="Block Text - List Number 4"/>
    <w:basedOn w:val="BlockText-ListNumber3"/>
    <w:rsid w:val="0042409B"/>
    <w:pPr>
      <w:numPr>
        <w:ilvl w:val="3"/>
      </w:numPr>
    </w:pPr>
  </w:style>
  <w:style w:type="paragraph" w:customStyle="1" w:styleId="BlockText-ListNumber5">
    <w:name w:val="Block Text - List Number 5"/>
    <w:basedOn w:val="BlockText-ListNumber4"/>
    <w:rsid w:val="0042409B"/>
    <w:pPr>
      <w:numPr>
        <w:ilvl w:val="4"/>
      </w:numPr>
    </w:pPr>
  </w:style>
  <w:style w:type="paragraph" w:customStyle="1" w:styleId="BlockText-ListLetter">
    <w:name w:val="Block Text - List Letter"/>
    <w:basedOn w:val="BlockText"/>
    <w:rsid w:val="00274836"/>
    <w:pPr>
      <w:numPr>
        <w:numId w:val="12"/>
      </w:numPr>
    </w:pPr>
  </w:style>
  <w:style w:type="paragraph" w:customStyle="1" w:styleId="BlockText-ListLetter2">
    <w:name w:val="Block Text - List Letter 2"/>
    <w:basedOn w:val="BlockText-ListLetter"/>
    <w:rsid w:val="00CD7A03"/>
    <w:pPr>
      <w:numPr>
        <w:ilvl w:val="1"/>
      </w:numPr>
      <w:ind w:right="0"/>
    </w:pPr>
  </w:style>
  <w:style w:type="paragraph" w:customStyle="1" w:styleId="BlockText-ListLetter3">
    <w:name w:val="Block Text - List Letter 3"/>
    <w:basedOn w:val="BlockText-ListLetter2"/>
    <w:rsid w:val="00274836"/>
    <w:pPr>
      <w:numPr>
        <w:ilvl w:val="2"/>
      </w:numPr>
    </w:pPr>
  </w:style>
  <w:style w:type="paragraph" w:customStyle="1" w:styleId="BlockText-ListLetter4">
    <w:name w:val="Block Text - List Letter 4"/>
    <w:basedOn w:val="BlockText-ListLetter3"/>
    <w:rsid w:val="00274836"/>
    <w:pPr>
      <w:numPr>
        <w:ilvl w:val="3"/>
      </w:numPr>
    </w:pPr>
  </w:style>
  <w:style w:type="paragraph" w:customStyle="1" w:styleId="BlockText-ListLetter5">
    <w:name w:val="Block Text - List Letter 5"/>
    <w:basedOn w:val="BlockText-ListLetter4"/>
    <w:rsid w:val="00274836"/>
    <w:pPr>
      <w:numPr>
        <w:ilvl w:val="4"/>
      </w:numPr>
    </w:pPr>
  </w:style>
  <w:style w:type="paragraph" w:customStyle="1" w:styleId="BlockText-ListRoman">
    <w:name w:val="Block Text - List Roman"/>
    <w:basedOn w:val="BlockText"/>
    <w:rsid w:val="00806C7B"/>
    <w:pPr>
      <w:numPr>
        <w:numId w:val="13"/>
      </w:numPr>
    </w:pPr>
  </w:style>
  <w:style w:type="paragraph" w:customStyle="1" w:styleId="BlockText-ListRoman2">
    <w:name w:val="Block Text - List Roman 2"/>
    <w:basedOn w:val="BlockText-ListRoman"/>
    <w:rsid w:val="00CD7A03"/>
    <w:pPr>
      <w:numPr>
        <w:ilvl w:val="1"/>
      </w:numPr>
      <w:ind w:right="0"/>
    </w:pPr>
  </w:style>
  <w:style w:type="paragraph" w:customStyle="1" w:styleId="BlockText-ListRoman3">
    <w:name w:val="Block Text - List Roman 3"/>
    <w:basedOn w:val="BlockText-ListRoman2"/>
    <w:rsid w:val="00806C7B"/>
    <w:pPr>
      <w:numPr>
        <w:ilvl w:val="2"/>
      </w:numPr>
    </w:pPr>
  </w:style>
  <w:style w:type="paragraph" w:customStyle="1" w:styleId="BlockText-ListRoman4">
    <w:name w:val="Block Text - List Roman 4"/>
    <w:basedOn w:val="BlockText-ListRoman3"/>
    <w:rsid w:val="00806C7B"/>
    <w:pPr>
      <w:numPr>
        <w:ilvl w:val="3"/>
      </w:numPr>
    </w:pPr>
  </w:style>
  <w:style w:type="paragraph" w:customStyle="1" w:styleId="BlockText-ListRoman5">
    <w:name w:val="Block Text - List Roman 5"/>
    <w:basedOn w:val="BlockText-ListRoman4"/>
    <w:rsid w:val="00806C7B"/>
    <w:pPr>
      <w:numPr>
        <w:ilvl w:val="4"/>
      </w:numPr>
    </w:pPr>
  </w:style>
  <w:style w:type="paragraph" w:customStyle="1" w:styleId="Table-ListNumber">
    <w:name w:val="Table - List Number"/>
    <w:basedOn w:val="TableBody"/>
    <w:rsid w:val="005D1782"/>
    <w:pPr>
      <w:numPr>
        <w:numId w:val="14"/>
      </w:numPr>
    </w:pPr>
  </w:style>
  <w:style w:type="paragraph" w:customStyle="1" w:styleId="Table-ListLetter">
    <w:name w:val="Table - List Letter"/>
    <w:basedOn w:val="TableBody"/>
    <w:rsid w:val="005D1782"/>
    <w:pPr>
      <w:numPr>
        <w:numId w:val="15"/>
      </w:numPr>
    </w:pPr>
  </w:style>
  <w:style w:type="paragraph" w:customStyle="1" w:styleId="Table-ListBullet2">
    <w:name w:val="Table - List Bullet 2"/>
    <w:basedOn w:val="Table-ListBullet"/>
    <w:rsid w:val="00EA6977"/>
    <w:pPr>
      <w:numPr>
        <w:ilvl w:val="1"/>
      </w:numPr>
    </w:pPr>
  </w:style>
  <w:style w:type="paragraph" w:customStyle="1" w:styleId="Table-ListBullet3">
    <w:name w:val="Table - List Bullet 3"/>
    <w:basedOn w:val="Table-ListBullet2"/>
    <w:rsid w:val="00EA6977"/>
    <w:pPr>
      <w:numPr>
        <w:ilvl w:val="2"/>
      </w:numPr>
    </w:pPr>
  </w:style>
  <w:style w:type="paragraph" w:customStyle="1" w:styleId="Table-ListNumber2">
    <w:name w:val="Table - List Number 2"/>
    <w:basedOn w:val="Table-ListNumber"/>
    <w:rsid w:val="005D1782"/>
    <w:pPr>
      <w:numPr>
        <w:ilvl w:val="1"/>
      </w:numPr>
    </w:pPr>
  </w:style>
  <w:style w:type="paragraph" w:customStyle="1" w:styleId="Table-ListNumber3">
    <w:name w:val="Table - List Number 3"/>
    <w:basedOn w:val="Table-ListNumber2"/>
    <w:rsid w:val="005D1782"/>
    <w:pPr>
      <w:numPr>
        <w:ilvl w:val="2"/>
      </w:numPr>
    </w:pPr>
  </w:style>
  <w:style w:type="paragraph" w:customStyle="1" w:styleId="Table-ListLetter2">
    <w:name w:val="Table - List Letter 2"/>
    <w:basedOn w:val="Table-ListLetter"/>
    <w:rsid w:val="005D1782"/>
    <w:pPr>
      <w:numPr>
        <w:ilvl w:val="1"/>
      </w:numPr>
    </w:pPr>
  </w:style>
  <w:style w:type="paragraph" w:customStyle="1" w:styleId="Table-ListLetter3">
    <w:name w:val="Table - List Letter 3"/>
    <w:basedOn w:val="Table-ListLetter2"/>
    <w:rsid w:val="005D1782"/>
    <w:pPr>
      <w:numPr>
        <w:ilvl w:val="2"/>
      </w:numPr>
    </w:pPr>
  </w:style>
  <w:style w:type="paragraph" w:customStyle="1" w:styleId="Table-ListRoman">
    <w:name w:val="Table - List Roman"/>
    <w:basedOn w:val="TableBody"/>
    <w:rsid w:val="00CB6A63"/>
    <w:pPr>
      <w:numPr>
        <w:numId w:val="16"/>
      </w:numPr>
    </w:pPr>
  </w:style>
  <w:style w:type="paragraph" w:customStyle="1" w:styleId="Table-ListRoman2">
    <w:name w:val="Table - List Roman 2"/>
    <w:basedOn w:val="Table-ListRoman"/>
    <w:rsid w:val="00CB6A63"/>
    <w:pPr>
      <w:numPr>
        <w:ilvl w:val="1"/>
      </w:numPr>
    </w:pPr>
  </w:style>
  <w:style w:type="paragraph" w:customStyle="1" w:styleId="Table-ListRoman3">
    <w:name w:val="Table - List Roman 3"/>
    <w:basedOn w:val="Table-ListRoman2"/>
    <w:rsid w:val="00CB6A63"/>
    <w:pPr>
      <w:numPr>
        <w:ilvl w:val="2"/>
      </w:numPr>
    </w:pPr>
  </w:style>
  <w:style w:type="paragraph" w:customStyle="1" w:styleId="BlockText-ListContinue">
    <w:name w:val="Block Text - List Continue"/>
    <w:basedOn w:val="BlockText"/>
    <w:rsid w:val="00D76532"/>
    <w:pPr>
      <w:numPr>
        <w:numId w:val="23"/>
      </w:numPr>
    </w:pPr>
  </w:style>
  <w:style w:type="paragraph" w:customStyle="1" w:styleId="BlockText-ListContinue2">
    <w:name w:val="Block Text - List Continue 2"/>
    <w:basedOn w:val="BlockText-ListContinue"/>
    <w:rsid w:val="00D76532"/>
    <w:pPr>
      <w:numPr>
        <w:ilvl w:val="1"/>
      </w:numPr>
    </w:pPr>
  </w:style>
  <w:style w:type="paragraph" w:customStyle="1" w:styleId="BlockText-ListContinue3">
    <w:name w:val="Block Text - List Continue 3"/>
    <w:basedOn w:val="BlockText-ListContinue2"/>
    <w:rsid w:val="00D76532"/>
    <w:pPr>
      <w:numPr>
        <w:ilvl w:val="2"/>
      </w:numPr>
    </w:pPr>
  </w:style>
  <w:style w:type="paragraph" w:customStyle="1" w:styleId="BlockText-ListContinue4">
    <w:name w:val="Block Text - List Continue 4"/>
    <w:basedOn w:val="BlockText-ListContinue3"/>
    <w:rsid w:val="00D76532"/>
    <w:pPr>
      <w:numPr>
        <w:ilvl w:val="3"/>
      </w:numPr>
    </w:pPr>
  </w:style>
  <w:style w:type="paragraph" w:customStyle="1" w:styleId="BlockText-ListContinue5">
    <w:name w:val="Block Text - List Continue 5"/>
    <w:basedOn w:val="BlockText-ListContinue4"/>
    <w:rsid w:val="00D76532"/>
    <w:pPr>
      <w:numPr>
        <w:ilvl w:val="4"/>
      </w:numPr>
    </w:pPr>
  </w:style>
  <w:style w:type="paragraph" w:customStyle="1" w:styleId="Frontmatter">
    <w:name w:val="Frontmatter"/>
    <w:basedOn w:val="BodyText"/>
    <w:rsid w:val="0026498C"/>
    <w:pPr>
      <w:spacing w:after="120"/>
    </w:pPr>
    <w:rPr>
      <w:sz w:val="20"/>
    </w:rPr>
  </w:style>
  <w:style w:type="paragraph" w:customStyle="1" w:styleId="Titlepagetitle">
    <w:name w:val="Titlepage title"/>
    <w:rsid w:val="00F62238"/>
    <w:pPr>
      <w:spacing w:after="180" w:line="600" w:lineRule="exact"/>
      <w:jc w:val="center"/>
    </w:pPr>
    <w:rPr>
      <w:rFonts w:ascii="Arial" w:hAnsi="Arial" w:cs="Arial"/>
      <w:b/>
      <w:bCs/>
      <w:color w:val="333333"/>
      <w:kern w:val="28"/>
      <w:sz w:val="40"/>
      <w:szCs w:val="32"/>
      <w:lang w:eastAsia="en-GB"/>
    </w:rPr>
  </w:style>
  <w:style w:type="paragraph" w:customStyle="1" w:styleId="Titlepagesubtitle">
    <w:name w:val="Titlepage subtitle"/>
    <w:basedOn w:val="Titlepagetitle"/>
    <w:rsid w:val="0026498C"/>
    <w:pPr>
      <w:spacing w:before="320"/>
    </w:pPr>
    <w:rPr>
      <w:sz w:val="32"/>
    </w:rPr>
  </w:style>
  <w:style w:type="character" w:customStyle="1" w:styleId="Bolditalic">
    <w:name w:val="Bold italic"/>
    <w:rsid w:val="00ED2312"/>
    <w:rPr>
      <w:b/>
      <w:i/>
    </w:rPr>
  </w:style>
  <w:style w:type="paragraph" w:styleId="DocumentMap">
    <w:name w:val="Document Map"/>
    <w:basedOn w:val="Normal"/>
    <w:semiHidden/>
    <w:rsid w:val="00ED0217"/>
    <w:pPr>
      <w:shd w:val="clear" w:color="auto" w:fill="000080"/>
    </w:pPr>
    <w:rPr>
      <w:rFonts w:ascii="Tahoma" w:hAnsi="Tahoma" w:cs="Tahoma"/>
      <w:sz w:val="20"/>
      <w:szCs w:val="20"/>
    </w:rPr>
  </w:style>
  <w:style w:type="paragraph" w:customStyle="1" w:styleId="Wiki">
    <w:name w:val="Wiki"/>
    <w:basedOn w:val="BodyText"/>
    <w:semiHidden/>
    <w:rsid w:val="002973AB"/>
  </w:style>
  <w:style w:type="paragraph" w:styleId="Caption">
    <w:name w:val="caption"/>
    <w:basedOn w:val="BodyText"/>
    <w:next w:val="BodyText"/>
    <w:qFormat/>
    <w:rsid w:val="00D10B6F"/>
    <w:rPr>
      <w:b/>
      <w:bCs/>
      <w:sz w:val="20"/>
      <w:szCs w:val="20"/>
    </w:rPr>
  </w:style>
  <w:style w:type="paragraph" w:customStyle="1" w:styleId="Logo-Centred">
    <w:name w:val="Logo - Centred"/>
    <w:basedOn w:val="BodyText"/>
    <w:rsid w:val="00F62238"/>
    <w:pPr>
      <w:jc w:val="center"/>
    </w:pPr>
  </w:style>
  <w:style w:type="character" w:styleId="CommentReference">
    <w:name w:val="annotation reference"/>
    <w:semiHidden/>
    <w:rsid w:val="005913F7"/>
    <w:rPr>
      <w:sz w:val="16"/>
      <w:szCs w:val="16"/>
    </w:rPr>
  </w:style>
  <w:style w:type="paragraph" w:styleId="CommentText">
    <w:name w:val="annotation text"/>
    <w:basedOn w:val="Normal"/>
    <w:semiHidden/>
    <w:rsid w:val="005913F7"/>
    <w:rPr>
      <w:sz w:val="20"/>
      <w:szCs w:val="20"/>
    </w:rPr>
  </w:style>
  <w:style w:type="paragraph" w:styleId="BalloonText">
    <w:name w:val="Balloon Text"/>
    <w:basedOn w:val="Normal"/>
    <w:semiHidden/>
    <w:rsid w:val="005913F7"/>
    <w:rPr>
      <w:rFonts w:ascii="Tahoma" w:hAnsi="Tahoma" w:cs="Tahoma"/>
      <w:sz w:val="16"/>
      <w:szCs w:val="16"/>
    </w:rPr>
  </w:style>
  <w:style w:type="paragraph" w:styleId="CommentSubject">
    <w:name w:val="annotation subject"/>
    <w:basedOn w:val="CommentText"/>
    <w:next w:val="CommentText"/>
    <w:semiHidden/>
    <w:rsid w:val="00CB148C"/>
    <w:rPr>
      <w:b/>
      <w:bCs/>
    </w:rPr>
  </w:style>
  <w:style w:type="paragraph" w:customStyle="1" w:styleId="PseudoHeading1">
    <w:name w:val="Pseudo Heading 1"/>
    <w:rsid w:val="002A2F3E"/>
    <w:pPr>
      <w:pageBreakBefore/>
      <w:spacing w:after="360"/>
    </w:pPr>
    <w:rPr>
      <w:rFonts w:ascii="Arial" w:hAnsi="Arial" w:cs="Arial"/>
      <w:b/>
      <w:bCs/>
      <w:color w:val="005984"/>
      <w:kern w:val="32"/>
      <w:sz w:val="37"/>
      <w:szCs w:val="32"/>
      <w:lang w:eastAsia="en-GB"/>
    </w:rPr>
  </w:style>
  <w:style w:type="character" w:customStyle="1" w:styleId="FootnoteTextChar">
    <w:name w:val="Footnote Text Char"/>
    <w:basedOn w:val="DefaultParagraphFont"/>
    <w:link w:val="FootnoteText"/>
    <w:rsid w:val="00475420"/>
    <w:rPr>
      <w:rFonts w:ascii="Arial" w:hAnsi="Arial"/>
      <w:sz w:val="18"/>
      <w:lang w:eastAsia="en-GB"/>
    </w:rPr>
  </w:style>
  <w:style w:type="paragraph" w:customStyle="1" w:styleId="Figuretabletitle">
    <w:name w:val="Figure/table title"/>
    <w:basedOn w:val="Normal"/>
    <w:qFormat/>
    <w:rsid w:val="002B2C28"/>
    <w:pPr>
      <w:keepNext/>
      <w:spacing w:before="240" w:after="120"/>
    </w:pPr>
    <w:rPr>
      <w:b/>
      <w:sz w:val="20"/>
    </w:rPr>
  </w:style>
  <w:style w:type="character" w:styleId="UnresolvedMention">
    <w:name w:val="Unresolved Mention"/>
    <w:basedOn w:val="DefaultParagraphFont"/>
    <w:uiPriority w:val="99"/>
    <w:unhideWhenUsed/>
    <w:rsid w:val="00305EE2"/>
    <w:rPr>
      <w:color w:val="605E5C"/>
      <w:shd w:val="clear" w:color="auto" w:fill="E1DFDD"/>
    </w:rPr>
  </w:style>
  <w:style w:type="paragraph" w:customStyle="1" w:styleId="Source">
    <w:name w:val="Source"/>
    <w:basedOn w:val="BodyText"/>
    <w:qFormat/>
    <w:rsid w:val="00740DE7"/>
    <w:pPr>
      <w:spacing w:before="60" w:after="240" w:line="240" w:lineRule="auto"/>
    </w:pPr>
    <w:rPr>
      <w:color w:val="808080" w:themeColor="background1" w:themeShade="80"/>
      <w:sz w:val="17"/>
    </w:rPr>
  </w:style>
  <w:style w:type="paragraph" w:customStyle="1" w:styleId="Image">
    <w:name w:val="Image"/>
    <w:basedOn w:val="Normal"/>
    <w:qFormat/>
    <w:rsid w:val="004A591E"/>
    <w:pPr>
      <w:keepNext/>
    </w:pPr>
  </w:style>
  <w:style w:type="character" w:styleId="Mention">
    <w:name w:val="Mention"/>
    <w:basedOn w:val="DefaultParagraphFont"/>
    <w:uiPriority w:val="99"/>
    <w:unhideWhenUsed/>
    <w:rsid w:val="002014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541021">
      <w:bodyDiv w:val="1"/>
      <w:marLeft w:val="0"/>
      <w:marRight w:val="0"/>
      <w:marTop w:val="0"/>
      <w:marBottom w:val="0"/>
      <w:divBdr>
        <w:top w:val="none" w:sz="0" w:space="0" w:color="auto"/>
        <w:left w:val="none" w:sz="0" w:space="0" w:color="auto"/>
        <w:bottom w:val="none" w:sz="0" w:space="0" w:color="auto"/>
        <w:right w:val="none" w:sz="0" w:space="0" w:color="auto"/>
      </w:divBdr>
    </w:div>
    <w:div w:id="1203862253">
      <w:bodyDiv w:val="1"/>
      <w:marLeft w:val="0"/>
      <w:marRight w:val="0"/>
      <w:marTop w:val="0"/>
      <w:marBottom w:val="0"/>
      <w:divBdr>
        <w:top w:val="none" w:sz="0" w:space="0" w:color="auto"/>
        <w:left w:val="none" w:sz="0" w:space="0" w:color="auto"/>
        <w:bottom w:val="none" w:sz="0" w:space="0" w:color="auto"/>
        <w:right w:val="none" w:sz="0" w:space="0" w:color="auto"/>
      </w:divBdr>
    </w:div>
    <w:div w:id="157339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er.gov.au/publications/state-of-the-energy-market-reports" TargetMode="External"/><Relationship Id="rId21" Type="http://schemas.openxmlformats.org/officeDocument/2006/relationships/image" Target="media/image6.png"/><Relationship Id="rId34" Type="http://schemas.openxmlformats.org/officeDocument/2006/relationships/hyperlink" Target="https://www.aihw.gov.au/reports/housing-assistance/housing-assistance-in-australia/contents/summary" TargetMode="External"/><Relationship Id="rId42" Type="http://schemas.openxmlformats.org/officeDocument/2006/relationships/image" Target="media/image15.png"/><Relationship Id="rId47" Type="http://schemas.openxmlformats.org/officeDocument/2006/relationships/hyperlink" Target="https://www.fwc.gov.au/awards-and-agreements/minimum-wages-conditions/national-minimum-wage-orders" TargetMode="External"/><Relationship Id="rId50" Type="http://schemas.openxmlformats.org/officeDocument/2006/relationships/hyperlink" Target="https://www.abs.gov.au/statistics/economy/price-indexes-and-inflation/selected-living-cost-indexes-australia/mar-2021" TargetMode="External"/><Relationship Id="rId55" Type="http://schemas.openxmlformats.org/officeDocument/2006/relationships/image" Target="media/image18.png"/><Relationship Id="rId63" Type="http://schemas.openxmlformats.org/officeDocument/2006/relationships/hyperlink" Target="http://www.abs.gov.au/ausstats/abs@.nsf/mf/6302.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abs.gov.au/statistics/people/housing/housing-occupancy-and-costs" TargetMode="External"/><Relationship Id="rId11" Type="http://schemas.openxmlformats.org/officeDocument/2006/relationships/image" Target="media/image1.emf"/><Relationship Id="rId24" Type="http://schemas.openxmlformats.org/officeDocument/2006/relationships/hyperlink" Target="https://www.abs.gov.au/statistics/economy/price-indexes-and-inflation/consumer-price-index-australia/dec-2020" TargetMode="External"/><Relationship Id="rId32" Type="http://schemas.openxmlformats.org/officeDocument/2006/relationships/hyperlink" Target="https://www.anglicare.com.au/anglicare-research-rental-affordability-forcing-more-canberrans-into-financial-hardship/" TargetMode="External"/><Relationship Id="rId37" Type="http://schemas.openxmlformats.org/officeDocument/2006/relationships/hyperlink" Target="https://www.abs.gov.au/statistics/economy/price-indexes-and-inflation/selected-living-cost-indexes-australia" TargetMode="External"/><Relationship Id="rId40" Type="http://schemas.openxmlformats.org/officeDocument/2006/relationships/image" Target="media/image14.png"/><Relationship Id="rId45" Type="http://schemas.openxmlformats.org/officeDocument/2006/relationships/hyperlink" Target="https://www.servicesaustralia.gov.au/organisations/about-us/reports-and-statistics/guide-australian-government-payments" TargetMode="External"/><Relationship Id="rId53" Type="http://schemas.openxmlformats.org/officeDocument/2006/relationships/hyperlink" Target="https://www.fwc.gov.au/awards-and-agreements/minimum-wages-conditions/national-minimum-wage-orders" TargetMode="External"/><Relationship Id="rId58" Type="http://schemas.openxmlformats.org/officeDocument/2006/relationships/hyperlink" Target="https://www.servicesaustralia.gov.au/organisations/about-us/reports-and-statistics/guide-australian-government-payments/historical-versions-guide-australian-government-payments"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abs.gov.au/ausstats/abs@.nsf/mf/6401.0?opendocument" TargetMode="External"/><Relationship Id="rId19" Type="http://schemas.openxmlformats.org/officeDocument/2006/relationships/hyperlink" Target="https://www.abs.gov.au/articles/measuring-non-discretionary-and-discretionary-inflation" TargetMode="External"/><Relationship Id="rId14" Type="http://schemas.openxmlformats.org/officeDocument/2006/relationships/hyperlink" Target="https://www.actcoss.org.au" TargetMode="External"/><Relationship Id="rId22" Type="http://schemas.openxmlformats.org/officeDocument/2006/relationships/hyperlink" Target="https://www.abs.gov.au/statistics/economy/price-indexes-and-inflation/consumer-price-index-australia/dec-2020" TargetMode="External"/><Relationship Id="rId27" Type="http://schemas.openxmlformats.org/officeDocument/2006/relationships/hyperlink" Target="https://www.abs.gov.au/statistics/economy/finance/household-expenditure-survey-australia-summary-results" TargetMode="External"/><Relationship Id="rId30" Type="http://schemas.openxmlformats.org/officeDocument/2006/relationships/image" Target="media/image10.png"/><Relationship Id="rId35" Type="http://schemas.openxmlformats.org/officeDocument/2006/relationships/hyperlink" Target="https://www.communityservices.act.gov.au/hcs/services/social_housing/waiting_lists" TargetMode="External"/><Relationship Id="rId43" Type="http://schemas.openxmlformats.org/officeDocument/2006/relationships/hyperlink" Target="https://www.servicesaustralia.gov.au/organisations/about-us/reports-and-statistics/guide-australian-government-payments" TargetMode="External"/><Relationship Id="rId48" Type="http://schemas.openxmlformats.org/officeDocument/2006/relationships/hyperlink" Target="https://www.abs.gov.au/statistics/labour/earnings-and-work-hours/average-weekly-earnings-australia" TargetMode="External"/><Relationship Id="rId56" Type="http://schemas.openxmlformats.org/officeDocument/2006/relationships/hyperlink" Target="https://www.abs.gov.au/statistics/economy/price-indexes-and-inflation/selected-living-cost-indexes-australia"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servicesaustralia.gov.au/organisations/about-us/reports-and-statistics/guide-australian-government-payments"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abs.gov.au/articles/measuring-non-discretionary-and-discretionary-inflation"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s://www.fwc.gov.au/awards-and-agreements/minimum-wages-conditions/national-minimum-wage-orders" TargetMode="External"/><Relationship Id="rId59" Type="http://schemas.openxmlformats.org/officeDocument/2006/relationships/hyperlink" Target="https://www.servicesaustralia.gov.au/organisations/about-us/reports-and-statistics/guide-australian-government-payments" TargetMode="External"/><Relationship Id="rId67" Type="http://schemas.openxmlformats.org/officeDocument/2006/relationships/theme" Target="theme/theme1.xml"/><Relationship Id="rId20" Type="http://schemas.openxmlformats.org/officeDocument/2006/relationships/hyperlink" Target="https://www.abs.gov.au/statistics/economy/price-indexes-and-inflation/consumer-price-index-australia/dec-2020" TargetMode="External"/><Relationship Id="rId41" Type="http://schemas.openxmlformats.org/officeDocument/2006/relationships/hyperlink" Target="https://www.servicesaustralia.gov.au/organisations/about-us/reports-and-statistics/guide-australian-government-payments" TargetMode="External"/><Relationship Id="rId54" Type="http://schemas.openxmlformats.org/officeDocument/2006/relationships/hyperlink" Target="https://www.abs.gov.au/statistics/labour/earnings-and-work-hours/average-weekly-earnings-australia" TargetMode="External"/><Relationship Id="rId62" Type="http://schemas.openxmlformats.org/officeDocument/2006/relationships/hyperlink" Target="http://www.abs.gov.au/AUSSTATS/abs@.nsf/allprimarymainfeatures/E592A3A56EBC2B31CA257C130017D2FA?opendocu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hyperlink" Target="https://www.abs.gov.au/statistics/economy/price-indexes-and-inflation/consumer-price-index-australia" TargetMode="External"/><Relationship Id="rId10" Type="http://schemas.openxmlformats.org/officeDocument/2006/relationships/endnotes" Target="endnotes.xml"/><Relationship Id="rId31" Type="http://schemas.openxmlformats.org/officeDocument/2006/relationships/hyperlink" Target="https://www.domain.com.au/research/rental-report/june-2021" TargetMode="External"/><Relationship Id="rId44" Type="http://schemas.openxmlformats.org/officeDocument/2006/relationships/image" Target="media/image16.png"/><Relationship Id="rId52" Type="http://schemas.openxmlformats.org/officeDocument/2006/relationships/hyperlink" Target="https://www.fwc.gov.au/awards-and-agreements/minimum-wages-conditions/national-minimum-wage-orders" TargetMode="External"/><Relationship Id="rId60" Type="http://schemas.openxmlformats.org/officeDocument/2006/relationships/hyperlink" Target="http://guides.dss.gov.au/guide-social-security-law/5/1/8/50"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ctcoss@actcoss.org.au" TargetMode="External"/><Relationship Id="rId18" Type="http://schemas.openxmlformats.org/officeDocument/2006/relationships/image" Target="media/image5.png"/><Relationship Id="rId39" Type="http://schemas.openxmlformats.org/officeDocument/2006/relationships/hyperlink" Target="https://data.gov.au/data/dataset/jobseeker-payment-and-youth-allowance-recipients-monthly-profil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huri.edu.au/research/final-reports/306" TargetMode="External"/><Relationship Id="rId18" Type="http://schemas.openxmlformats.org/officeDocument/2006/relationships/hyperlink" Target="http://www.nwhn.net.au/admin/file/content101/c6/social_housing_initiative_review.pdf" TargetMode="External"/><Relationship Id="rId26" Type="http://schemas.openxmlformats.org/officeDocument/2006/relationships/hyperlink" Target="http://unsworks.unsw.edu.au/fapi/datastream/unsworks:46141/binaaacbcf3-915f-40bc-a70f-2052746ab643?view=true" TargetMode="External"/><Relationship Id="rId3" Type="http://schemas.openxmlformats.org/officeDocument/2006/relationships/hyperlink" Target="http://povertyandinequality.acoss.org.au/poverty/" TargetMode="External"/><Relationship Id="rId21" Type="http://schemas.openxmlformats.org/officeDocument/2006/relationships/hyperlink" Target="https://www.actcoss.org.au/publications/advocacy-publications/act-cost-living-report-2020" TargetMode="External"/><Relationship Id="rId7" Type="http://schemas.openxmlformats.org/officeDocument/2006/relationships/hyperlink" Target="https://www.icrc.act.gov.au/energy/electricity/retail-electricity-prices-2020-24" TargetMode="External"/><Relationship Id="rId12" Type="http://schemas.openxmlformats.org/officeDocument/2006/relationships/hyperlink" Target="https://www.anglicare.com.au/anglicare-research-rental-affordability-forcing-more-canberrans-into-financial-hardship/" TargetMode="External"/><Relationship Id="rId17" Type="http://schemas.openxmlformats.org/officeDocument/2006/relationships/hyperlink" Target="http://www.equityeconomics.com.au/nowhere-to-go" TargetMode="External"/><Relationship Id="rId25" Type="http://schemas.openxmlformats.org/officeDocument/2006/relationships/hyperlink" Target="https://www.sacoss.org.au/reports/cost-living-updates" TargetMode="External"/><Relationship Id="rId33" Type="http://schemas.openxmlformats.org/officeDocument/2006/relationships/hyperlink" Target="https://www.aph.gov.au/About_Parliament/Parliamentary_Departments/Parliamentary_Library/FlagPost/2014/April/Pension-indexation" TargetMode="External"/><Relationship Id="rId2" Type="http://schemas.openxmlformats.org/officeDocument/2006/relationships/hyperlink" Target="https://unitingcare.org.au/publications/child-social-exclusion/" TargetMode="External"/><Relationship Id="rId16" Type="http://schemas.openxmlformats.org/officeDocument/2006/relationships/hyperlink" Target="https://www.communityservices.act.gov.au/hcs/services/social_housing/waiting_lists" TargetMode="External"/><Relationship Id="rId20" Type="http://schemas.openxmlformats.org/officeDocument/2006/relationships/hyperlink" Target="https://everybodyshome.com.au/heat-maps/" TargetMode="External"/><Relationship Id="rId29" Type="http://schemas.openxmlformats.org/officeDocument/2006/relationships/hyperlink" Target="https://www.actcoss.org.au/publications/advocacy-publications/submission-inquiry-purpose-intent-and-adequacy-disability-support" TargetMode="External"/><Relationship Id="rId1" Type="http://schemas.openxmlformats.org/officeDocument/2006/relationships/hyperlink" Target="http://povertyandinequality.acoss.org.au/poverty/rate-of-poverty-by-state-territory-of-residence-of-people/" TargetMode="External"/><Relationship Id="rId6" Type="http://schemas.openxmlformats.org/officeDocument/2006/relationships/hyperlink" Target="https://www.aer.gov.au/publications/state-of-the-energy-market-reports" TargetMode="External"/><Relationship Id="rId11" Type="http://schemas.openxmlformats.org/officeDocument/2006/relationships/hyperlink" Target="https://www.domain.com.au/research/vacancy-rates-june-2021-1068785/" TargetMode="External"/><Relationship Id="rId24" Type="http://schemas.openxmlformats.org/officeDocument/2006/relationships/hyperlink" Target="https://www.acoss.org.au/wp-content/uploads/2020/09/If-It-Wasnt-For-The-Supplement-I-Dont-Know-Where-Id-Be-August-2020-JobSeeker-Survey.pdf" TargetMode="External"/><Relationship Id="rId32" Type="http://schemas.openxmlformats.org/officeDocument/2006/relationships/hyperlink" Target="https://www.abs.gov.au/methodologies/selected-living-cost-indexes-australia-methodology/mar-2021" TargetMode="External"/><Relationship Id="rId5" Type="http://schemas.openxmlformats.org/officeDocument/2006/relationships/hyperlink" Target="https://www.rba.gov.au/publications/bulletin/2014/mar/" TargetMode="External"/><Relationship Id="rId15" Type="http://schemas.openxmlformats.org/officeDocument/2006/relationships/hyperlink" Target="https://www.aihw.gov.au/reports/housing-assistance/housing-assistance-in-australia/contents/summary" TargetMode="External"/><Relationship Id="rId23" Type="http://schemas.openxmlformats.org/officeDocument/2006/relationships/hyperlink" Target="http://povertyandinequality.acoss.org.au/poverty/rate-of-poverty-by-state-territory-of-residence-of-people/" TargetMode="External"/><Relationship Id="rId28" Type="http://schemas.openxmlformats.org/officeDocument/2006/relationships/hyperlink" Target="https://www.acoss.org.au/media-releases/?media_release=media-briefing-who-misses-out-on-covid-disaster-payments" TargetMode="External"/><Relationship Id="rId10" Type="http://schemas.openxmlformats.org/officeDocument/2006/relationships/hyperlink" Target="https://www.domain.com.au/research/rental-report/june-2021" TargetMode="External"/><Relationship Id="rId19" Type="http://schemas.openxmlformats.org/officeDocument/2006/relationships/hyperlink" Target="https://www.infrastructurevictoria.com.au/wp-content/uploads/2019/04/Infrastructure-Victoria-Technical-Paper-%E2%80%93-What-are-the-impacts-of-living-in-social-housing-May-2018.pdf" TargetMode="External"/><Relationship Id="rId31" Type="http://schemas.openxmlformats.org/officeDocument/2006/relationships/hyperlink" Target="https://www.sacoss.org.au/sites/default/files/public/documents/Reports/Cost%20of%20Living%20Reports/190130%20Cost%20of%20Living%20Update37.pdf" TargetMode="External"/><Relationship Id="rId4" Type="http://schemas.openxmlformats.org/officeDocument/2006/relationships/hyperlink" Target="https://data.gov.au/data/dataset/jobseeker-payment-and-youth-allowance-recipients-monthly-profile" TargetMode="External"/><Relationship Id="rId9" Type="http://schemas.openxmlformats.org/officeDocument/2006/relationships/hyperlink" Target="https://www.pc.gov.au/research/ongoing/report-on-government-services" TargetMode="External"/><Relationship Id="rId14" Type="http://schemas.openxmlformats.org/officeDocument/2006/relationships/hyperlink" Target="https://www.communityservices.act.gov.au/hcs/act-housing-strategy-growing-and-renewing-public-housing-2019-2024" TargetMode="External"/><Relationship Id="rId22" Type="http://schemas.openxmlformats.org/officeDocument/2006/relationships/hyperlink" Target="https://www.abs.gov.au/statistics/economy/price-indexes-and-inflation/selected-living-cost-indexes-australia/mar-2021" TargetMode="External"/><Relationship Id="rId27" Type="http://schemas.openxmlformats.org/officeDocument/2006/relationships/hyperlink" Target="https://raisetherate.org.au/about/" TargetMode="External"/><Relationship Id="rId30" Type="http://schemas.openxmlformats.org/officeDocument/2006/relationships/hyperlink" Target="https://www.actcoss.org.au/publications/advocacy-publications/submission-actcoss-act-budget-priorities-2021-22" TargetMode="External"/><Relationship Id="rId8" Type="http://schemas.openxmlformats.org/officeDocument/2006/relationships/hyperlink" Target="https://www.aer.gov.au/publications/state-of-the-energy-market-reports/state-of-the-energy-market-20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er\Downloads\TPL%20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5d6394ce4c6bffbcc4f52b034a3c72c8">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36bb2ce0b774c68ce95e0a4a60e0c01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C92C23-618D-4890-B4CF-73B48AA2BC43}">
  <ds:schemaRefs>
    <ds:schemaRef ds:uri="http://schemas.openxmlformats.org/officeDocument/2006/bibliography"/>
  </ds:schemaRefs>
</ds:datastoreItem>
</file>

<file path=customXml/itemProps2.xml><?xml version="1.0" encoding="utf-8"?>
<ds:datastoreItem xmlns:ds="http://schemas.openxmlformats.org/officeDocument/2006/customXml" ds:itemID="{4FC06235-2002-4A40-86E9-C8AE67EEB127}">
  <ds:schemaRefs>
    <ds:schemaRef ds:uri="http://schemas.microsoft.com/sharepoint/v3/contenttype/forms"/>
  </ds:schemaRefs>
</ds:datastoreItem>
</file>

<file path=customXml/itemProps3.xml><?xml version="1.0" encoding="utf-8"?>
<ds:datastoreItem xmlns:ds="http://schemas.openxmlformats.org/officeDocument/2006/customXml" ds:itemID="{3E5FF990-7EFD-4197-86E7-8DF3C328D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FC22B7-250C-44DE-AF10-0ADFC904FF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TPL Submission.dot</Template>
  <TotalTime>2585</TotalTime>
  <Pages>1</Pages>
  <Words>7590</Words>
  <Characters>43266</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ACT Council of Social Service</Company>
  <LinksUpToDate>false</LinksUpToDate>
  <CharactersWithSpaces>50755</CharactersWithSpaces>
  <SharedDoc>false</SharedDoc>
  <HLinks>
    <vt:vector size="474" baseType="variant">
      <vt:variant>
        <vt:i4>6029436</vt:i4>
      </vt:variant>
      <vt:variant>
        <vt:i4>171</vt:i4>
      </vt:variant>
      <vt:variant>
        <vt:i4>0</vt:i4>
      </vt:variant>
      <vt:variant>
        <vt:i4>5</vt:i4>
      </vt:variant>
      <vt:variant>
        <vt:lpwstr>http://www.abs.gov.au/ausstats/abs@.nsf/mf/6302.0</vt:lpwstr>
      </vt:variant>
      <vt:variant>
        <vt:lpwstr/>
      </vt:variant>
      <vt:variant>
        <vt:i4>1507433</vt:i4>
      </vt:variant>
      <vt:variant>
        <vt:i4>168</vt:i4>
      </vt:variant>
      <vt:variant>
        <vt:i4>0</vt:i4>
      </vt:variant>
      <vt:variant>
        <vt:i4>5</vt:i4>
      </vt:variant>
      <vt:variant>
        <vt:lpwstr>http://www.abs.gov.au/AUSSTATS/abs@.nsf/allprimarymainfeatures/E592A3A56EBC2B31CA257C130017D2FA?opendocument</vt:lpwstr>
      </vt:variant>
      <vt:variant>
        <vt:lpwstr/>
      </vt:variant>
      <vt:variant>
        <vt:i4>7733318</vt:i4>
      </vt:variant>
      <vt:variant>
        <vt:i4>165</vt:i4>
      </vt:variant>
      <vt:variant>
        <vt:i4>0</vt:i4>
      </vt:variant>
      <vt:variant>
        <vt:i4>5</vt:i4>
      </vt:variant>
      <vt:variant>
        <vt:lpwstr>http://www.abs.gov.au/ausstats/abs@.nsf/mf/6401.0?opendocument</vt:lpwstr>
      </vt:variant>
      <vt:variant>
        <vt:lpwstr/>
      </vt:variant>
      <vt:variant>
        <vt:i4>2228271</vt:i4>
      </vt:variant>
      <vt:variant>
        <vt:i4>162</vt:i4>
      </vt:variant>
      <vt:variant>
        <vt:i4>0</vt:i4>
      </vt:variant>
      <vt:variant>
        <vt:i4>5</vt:i4>
      </vt:variant>
      <vt:variant>
        <vt:lpwstr>http://guides.dss.gov.au/guide-social-security-law/5/1/8/50</vt:lpwstr>
      </vt:variant>
      <vt:variant>
        <vt:lpwstr/>
      </vt:variant>
      <vt:variant>
        <vt:i4>3801140</vt:i4>
      </vt:variant>
      <vt:variant>
        <vt:i4>159</vt:i4>
      </vt:variant>
      <vt:variant>
        <vt:i4>0</vt:i4>
      </vt:variant>
      <vt:variant>
        <vt:i4>5</vt:i4>
      </vt:variant>
      <vt:variant>
        <vt:lpwstr>https://www.servicesaustralia.gov.au/organisations/about-us/reports-and-statistics/guide-australian-government-payments</vt:lpwstr>
      </vt:variant>
      <vt:variant>
        <vt:lpwstr/>
      </vt:variant>
      <vt:variant>
        <vt:i4>7274555</vt:i4>
      </vt:variant>
      <vt:variant>
        <vt:i4>156</vt:i4>
      </vt:variant>
      <vt:variant>
        <vt:i4>0</vt:i4>
      </vt:variant>
      <vt:variant>
        <vt:i4>5</vt:i4>
      </vt:variant>
      <vt:variant>
        <vt:lpwstr>https://www.servicesaustralia.gov.au/organisations/about-us/reports-and-statistics/guide-australian-government-payments/historical-versions-guide-australian-government-payments</vt:lpwstr>
      </vt:variant>
      <vt:variant>
        <vt:lpwstr>a3</vt:lpwstr>
      </vt:variant>
      <vt:variant>
        <vt:i4>5308493</vt:i4>
      </vt:variant>
      <vt:variant>
        <vt:i4>153</vt:i4>
      </vt:variant>
      <vt:variant>
        <vt:i4>0</vt:i4>
      </vt:variant>
      <vt:variant>
        <vt:i4>5</vt:i4>
      </vt:variant>
      <vt:variant>
        <vt:lpwstr>https://www.abs.gov.au/statistics/economy/price-indexes-and-inflation/consumer-price-index-australia</vt:lpwstr>
      </vt:variant>
      <vt:variant>
        <vt:lpwstr/>
      </vt:variant>
      <vt:variant>
        <vt:i4>983114</vt:i4>
      </vt:variant>
      <vt:variant>
        <vt:i4>150</vt:i4>
      </vt:variant>
      <vt:variant>
        <vt:i4>0</vt:i4>
      </vt:variant>
      <vt:variant>
        <vt:i4>5</vt:i4>
      </vt:variant>
      <vt:variant>
        <vt:lpwstr>https://www.abs.gov.au/statistics/economy/price-indexes-and-inflation/selected-living-cost-indexes-australia</vt:lpwstr>
      </vt:variant>
      <vt:variant>
        <vt:lpwstr/>
      </vt:variant>
      <vt:variant>
        <vt:i4>4063289</vt:i4>
      </vt:variant>
      <vt:variant>
        <vt:i4>147</vt:i4>
      </vt:variant>
      <vt:variant>
        <vt:i4>0</vt:i4>
      </vt:variant>
      <vt:variant>
        <vt:i4>5</vt:i4>
      </vt:variant>
      <vt:variant>
        <vt:lpwstr>https://www.abs.gov.au/statistics/labour/earnings-and-work-hours/average-weekly-earnings-australia</vt:lpwstr>
      </vt:variant>
      <vt:variant>
        <vt:lpwstr/>
      </vt:variant>
      <vt:variant>
        <vt:i4>2162735</vt:i4>
      </vt:variant>
      <vt:variant>
        <vt:i4>144</vt:i4>
      </vt:variant>
      <vt:variant>
        <vt:i4>0</vt:i4>
      </vt:variant>
      <vt:variant>
        <vt:i4>5</vt:i4>
      </vt:variant>
      <vt:variant>
        <vt:lpwstr>https://www.fwc.gov.au/awards-and-agreements/minimum-wages-conditions/national-minimum-wage-orders</vt:lpwstr>
      </vt:variant>
      <vt:variant>
        <vt:lpwstr/>
      </vt:variant>
      <vt:variant>
        <vt:i4>2162735</vt:i4>
      </vt:variant>
      <vt:variant>
        <vt:i4>141</vt:i4>
      </vt:variant>
      <vt:variant>
        <vt:i4>0</vt:i4>
      </vt:variant>
      <vt:variant>
        <vt:i4>5</vt:i4>
      </vt:variant>
      <vt:variant>
        <vt:lpwstr>https://www.fwc.gov.au/awards-and-agreements/minimum-wages-conditions/national-minimum-wage-orders</vt:lpwstr>
      </vt:variant>
      <vt:variant>
        <vt:lpwstr/>
      </vt:variant>
      <vt:variant>
        <vt:i4>3801140</vt:i4>
      </vt:variant>
      <vt:variant>
        <vt:i4>138</vt:i4>
      </vt:variant>
      <vt:variant>
        <vt:i4>0</vt:i4>
      </vt:variant>
      <vt:variant>
        <vt:i4>5</vt:i4>
      </vt:variant>
      <vt:variant>
        <vt:lpwstr>https://www.servicesaustralia.gov.au/organisations/about-us/reports-and-statistics/guide-australian-government-payments</vt:lpwstr>
      </vt:variant>
      <vt:variant>
        <vt:lpwstr/>
      </vt:variant>
      <vt:variant>
        <vt:i4>1048601</vt:i4>
      </vt:variant>
      <vt:variant>
        <vt:i4>135</vt:i4>
      </vt:variant>
      <vt:variant>
        <vt:i4>0</vt:i4>
      </vt:variant>
      <vt:variant>
        <vt:i4>5</vt:i4>
      </vt:variant>
      <vt:variant>
        <vt:lpwstr>https://www.abs.gov.au/statistics/economy/price-indexes-and-inflation/selected-living-cost-indexes-australia/mar-2021</vt:lpwstr>
      </vt:variant>
      <vt:variant>
        <vt:lpwstr/>
      </vt:variant>
      <vt:variant>
        <vt:i4>4063289</vt:i4>
      </vt:variant>
      <vt:variant>
        <vt:i4>132</vt:i4>
      </vt:variant>
      <vt:variant>
        <vt:i4>0</vt:i4>
      </vt:variant>
      <vt:variant>
        <vt:i4>5</vt:i4>
      </vt:variant>
      <vt:variant>
        <vt:lpwstr>https://www.abs.gov.au/statistics/labour/earnings-and-work-hours/average-weekly-earnings-australia</vt:lpwstr>
      </vt:variant>
      <vt:variant>
        <vt:lpwstr/>
      </vt:variant>
      <vt:variant>
        <vt:i4>2162735</vt:i4>
      </vt:variant>
      <vt:variant>
        <vt:i4>129</vt:i4>
      </vt:variant>
      <vt:variant>
        <vt:i4>0</vt:i4>
      </vt:variant>
      <vt:variant>
        <vt:i4>5</vt:i4>
      </vt:variant>
      <vt:variant>
        <vt:lpwstr>https://www.fwc.gov.au/awards-and-agreements/minimum-wages-conditions/national-minimum-wage-orders</vt:lpwstr>
      </vt:variant>
      <vt:variant>
        <vt:lpwstr/>
      </vt:variant>
      <vt:variant>
        <vt:i4>2162735</vt:i4>
      </vt:variant>
      <vt:variant>
        <vt:i4>126</vt:i4>
      </vt:variant>
      <vt:variant>
        <vt:i4>0</vt:i4>
      </vt:variant>
      <vt:variant>
        <vt:i4>5</vt:i4>
      </vt:variant>
      <vt:variant>
        <vt:lpwstr>https://www.fwc.gov.au/awards-and-agreements/minimum-wages-conditions/national-minimum-wage-orders</vt:lpwstr>
      </vt:variant>
      <vt:variant>
        <vt:lpwstr/>
      </vt:variant>
      <vt:variant>
        <vt:i4>3801140</vt:i4>
      </vt:variant>
      <vt:variant>
        <vt:i4>123</vt:i4>
      </vt:variant>
      <vt:variant>
        <vt:i4>0</vt:i4>
      </vt:variant>
      <vt:variant>
        <vt:i4>5</vt:i4>
      </vt:variant>
      <vt:variant>
        <vt:lpwstr>https://www.servicesaustralia.gov.au/organisations/about-us/reports-and-statistics/guide-australian-government-payments</vt:lpwstr>
      </vt:variant>
      <vt:variant>
        <vt:lpwstr/>
      </vt:variant>
      <vt:variant>
        <vt:i4>3801140</vt:i4>
      </vt:variant>
      <vt:variant>
        <vt:i4>120</vt:i4>
      </vt:variant>
      <vt:variant>
        <vt:i4>0</vt:i4>
      </vt:variant>
      <vt:variant>
        <vt:i4>5</vt:i4>
      </vt:variant>
      <vt:variant>
        <vt:lpwstr>https://www.servicesaustralia.gov.au/organisations/about-us/reports-and-statistics/guide-australian-government-payments</vt:lpwstr>
      </vt:variant>
      <vt:variant>
        <vt:lpwstr/>
      </vt:variant>
      <vt:variant>
        <vt:i4>3801140</vt:i4>
      </vt:variant>
      <vt:variant>
        <vt:i4>117</vt:i4>
      </vt:variant>
      <vt:variant>
        <vt:i4>0</vt:i4>
      </vt:variant>
      <vt:variant>
        <vt:i4>5</vt:i4>
      </vt:variant>
      <vt:variant>
        <vt:lpwstr>https://www.servicesaustralia.gov.au/organisations/about-us/reports-and-statistics/guide-australian-government-payments</vt:lpwstr>
      </vt:variant>
      <vt:variant>
        <vt:lpwstr/>
      </vt:variant>
      <vt:variant>
        <vt:i4>5898244</vt:i4>
      </vt:variant>
      <vt:variant>
        <vt:i4>114</vt:i4>
      </vt:variant>
      <vt:variant>
        <vt:i4>0</vt:i4>
      </vt:variant>
      <vt:variant>
        <vt:i4>5</vt:i4>
      </vt:variant>
      <vt:variant>
        <vt:lpwstr>https://data.gov.au/data/dataset/jobseeker-payment-and-youth-allowance-recipients-monthly-profile</vt:lpwstr>
      </vt:variant>
      <vt:variant>
        <vt:lpwstr/>
      </vt:variant>
      <vt:variant>
        <vt:i4>983114</vt:i4>
      </vt:variant>
      <vt:variant>
        <vt:i4>111</vt:i4>
      </vt:variant>
      <vt:variant>
        <vt:i4>0</vt:i4>
      </vt:variant>
      <vt:variant>
        <vt:i4>5</vt:i4>
      </vt:variant>
      <vt:variant>
        <vt:lpwstr>https://www.abs.gov.au/statistics/economy/price-indexes-and-inflation/selected-living-cost-indexes-australia</vt:lpwstr>
      </vt:variant>
      <vt:variant>
        <vt:lpwstr/>
      </vt:variant>
      <vt:variant>
        <vt:i4>3539047</vt:i4>
      </vt:variant>
      <vt:variant>
        <vt:i4>108</vt:i4>
      </vt:variant>
      <vt:variant>
        <vt:i4>0</vt:i4>
      </vt:variant>
      <vt:variant>
        <vt:i4>5</vt:i4>
      </vt:variant>
      <vt:variant>
        <vt:lpwstr>https://www.communityservices.act.gov.au/hcs/services/social_housing/waiting_lists</vt:lpwstr>
      </vt:variant>
      <vt:variant>
        <vt:lpwstr/>
      </vt:variant>
      <vt:variant>
        <vt:i4>6619182</vt:i4>
      </vt:variant>
      <vt:variant>
        <vt:i4>105</vt:i4>
      </vt:variant>
      <vt:variant>
        <vt:i4>0</vt:i4>
      </vt:variant>
      <vt:variant>
        <vt:i4>5</vt:i4>
      </vt:variant>
      <vt:variant>
        <vt:lpwstr>https://www.aihw.gov.au/reports/housing-assistance/housing-assistance-in-australia/contents/summary</vt:lpwstr>
      </vt:variant>
      <vt:variant>
        <vt:lpwstr/>
      </vt:variant>
      <vt:variant>
        <vt:i4>5570651</vt:i4>
      </vt:variant>
      <vt:variant>
        <vt:i4>102</vt:i4>
      </vt:variant>
      <vt:variant>
        <vt:i4>0</vt:i4>
      </vt:variant>
      <vt:variant>
        <vt:i4>5</vt:i4>
      </vt:variant>
      <vt:variant>
        <vt:lpwstr>https://www.anglicare.com.au/anglicare-research-rental-affordability-forcing-more-canberrans-into-financial-hardship/</vt:lpwstr>
      </vt:variant>
      <vt:variant>
        <vt:lpwstr/>
      </vt:variant>
      <vt:variant>
        <vt:i4>7602212</vt:i4>
      </vt:variant>
      <vt:variant>
        <vt:i4>99</vt:i4>
      </vt:variant>
      <vt:variant>
        <vt:i4>0</vt:i4>
      </vt:variant>
      <vt:variant>
        <vt:i4>5</vt:i4>
      </vt:variant>
      <vt:variant>
        <vt:lpwstr>https://www.domain.com.au/research/rental-report/june-2021</vt:lpwstr>
      </vt:variant>
      <vt:variant>
        <vt:lpwstr/>
      </vt:variant>
      <vt:variant>
        <vt:i4>917595</vt:i4>
      </vt:variant>
      <vt:variant>
        <vt:i4>96</vt:i4>
      </vt:variant>
      <vt:variant>
        <vt:i4>0</vt:i4>
      </vt:variant>
      <vt:variant>
        <vt:i4>5</vt:i4>
      </vt:variant>
      <vt:variant>
        <vt:lpwstr>https://www.abs.gov.au/statistics/people/housing/housing-occupancy-and-costs</vt:lpwstr>
      </vt:variant>
      <vt:variant>
        <vt:lpwstr/>
      </vt:variant>
      <vt:variant>
        <vt:i4>1048644</vt:i4>
      </vt:variant>
      <vt:variant>
        <vt:i4>93</vt:i4>
      </vt:variant>
      <vt:variant>
        <vt:i4>0</vt:i4>
      </vt:variant>
      <vt:variant>
        <vt:i4>5</vt:i4>
      </vt:variant>
      <vt:variant>
        <vt:lpwstr>https://www.abs.gov.au/statistics/economy/finance/household-expenditure-survey-australia-summary-results</vt:lpwstr>
      </vt:variant>
      <vt:variant>
        <vt:lpwstr/>
      </vt:variant>
      <vt:variant>
        <vt:i4>6815778</vt:i4>
      </vt:variant>
      <vt:variant>
        <vt:i4>90</vt:i4>
      </vt:variant>
      <vt:variant>
        <vt:i4>0</vt:i4>
      </vt:variant>
      <vt:variant>
        <vt:i4>5</vt:i4>
      </vt:variant>
      <vt:variant>
        <vt:lpwstr>https://www.aer.gov.au/publications/state-of-the-energy-market-reports</vt:lpwstr>
      </vt:variant>
      <vt:variant>
        <vt:lpwstr/>
      </vt:variant>
      <vt:variant>
        <vt:i4>5636122</vt:i4>
      </vt:variant>
      <vt:variant>
        <vt:i4>87</vt:i4>
      </vt:variant>
      <vt:variant>
        <vt:i4>0</vt:i4>
      </vt:variant>
      <vt:variant>
        <vt:i4>5</vt:i4>
      </vt:variant>
      <vt:variant>
        <vt:lpwstr>https://www.abs.gov.au/statistics/economy/price-indexes-and-inflation/consumer-price-index-australia/dec-2020</vt:lpwstr>
      </vt:variant>
      <vt:variant>
        <vt:lpwstr/>
      </vt:variant>
      <vt:variant>
        <vt:i4>5636122</vt:i4>
      </vt:variant>
      <vt:variant>
        <vt:i4>84</vt:i4>
      </vt:variant>
      <vt:variant>
        <vt:i4>0</vt:i4>
      </vt:variant>
      <vt:variant>
        <vt:i4>5</vt:i4>
      </vt:variant>
      <vt:variant>
        <vt:lpwstr>https://www.abs.gov.au/statistics/economy/price-indexes-and-inflation/consumer-price-index-australia/dec-2020</vt:lpwstr>
      </vt:variant>
      <vt:variant>
        <vt:lpwstr/>
      </vt:variant>
      <vt:variant>
        <vt:i4>5636122</vt:i4>
      </vt:variant>
      <vt:variant>
        <vt:i4>81</vt:i4>
      </vt:variant>
      <vt:variant>
        <vt:i4>0</vt:i4>
      </vt:variant>
      <vt:variant>
        <vt:i4>5</vt:i4>
      </vt:variant>
      <vt:variant>
        <vt:lpwstr>https://www.abs.gov.au/statistics/economy/price-indexes-and-inflation/consumer-price-index-australia/dec-2020</vt:lpwstr>
      </vt:variant>
      <vt:variant>
        <vt:lpwstr/>
      </vt:variant>
      <vt:variant>
        <vt:i4>3342460</vt:i4>
      </vt:variant>
      <vt:variant>
        <vt:i4>78</vt:i4>
      </vt:variant>
      <vt:variant>
        <vt:i4>0</vt:i4>
      </vt:variant>
      <vt:variant>
        <vt:i4>5</vt:i4>
      </vt:variant>
      <vt:variant>
        <vt:lpwstr>https://www.abs.gov.au/articles/measuring-non-discretionary-and-discretionary-inflation</vt:lpwstr>
      </vt:variant>
      <vt:variant>
        <vt:lpwstr/>
      </vt:variant>
      <vt:variant>
        <vt:i4>3342460</vt:i4>
      </vt:variant>
      <vt:variant>
        <vt:i4>75</vt:i4>
      </vt:variant>
      <vt:variant>
        <vt:i4>0</vt:i4>
      </vt:variant>
      <vt:variant>
        <vt:i4>5</vt:i4>
      </vt:variant>
      <vt:variant>
        <vt:lpwstr>https://www.abs.gov.au/articles/measuring-non-discretionary-and-discretionary-inflation</vt:lpwstr>
      </vt:variant>
      <vt:variant>
        <vt:lpwstr/>
      </vt:variant>
      <vt:variant>
        <vt:i4>1703984</vt:i4>
      </vt:variant>
      <vt:variant>
        <vt:i4>68</vt:i4>
      </vt:variant>
      <vt:variant>
        <vt:i4>0</vt:i4>
      </vt:variant>
      <vt:variant>
        <vt:i4>5</vt:i4>
      </vt:variant>
      <vt:variant>
        <vt:lpwstr/>
      </vt:variant>
      <vt:variant>
        <vt:lpwstr>_Toc79584864</vt:lpwstr>
      </vt:variant>
      <vt:variant>
        <vt:i4>1900592</vt:i4>
      </vt:variant>
      <vt:variant>
        <vt:i4>62</vt:i4>
      </vt:variant>
      <vt:variant>
        <vt:i4>0</vt:i4>
      </vt:variant>
      <vt:variant>
        <vt:i4>5</vt:i4>
      </vt:variant>
      <vt:variant>
        <vt:lpwstr/>
      </vt:variant>
      <vt:variant>
        <vt:lpwstr>_Toc79584863</vt:lpwstr>
      </vt:variant>
      <vt:variant>
        <vt:i4>1835056</vt:i4>
      </vt:variant>
      <vt:variant>
        <vt:i4>56</vt:i4>
      </vt:variant>
      <vt:variant>
        <vt:i4>0</vt:i4>
      </vt:variant>
      <vt:variant>
        <vt:i4>5</vt:i4>
      </vt:variant>
      <vt:variant>
        <vt:lpwstr/>
      </vt:variant>
      <vt:variant>
        <vt:lpwstr>_Toc79584862</vt:lpwstr>
      </vt:variant>
      <vt:variant>
        <vt:i4>2031664</vt:i4>
      </vt:variant>
      <vt:variant>
        <vt:i4>50</vt:i4>
      </vt:variant>
      <vt:variant>
        <vt:i4>0</vt:i4>
      </vt:variant>
      <vt:variant>
        <vt:i4>5</vt:i4>
      </vt:variant>
      <vt:variant>
        <vt:lpwstr/>
      </vt:variant>
      <vt:variant>
        <vt:lpwstr>_Toc79584861</vt:lpwstr>
      </vt:variant>
      <vt:variant>
        <vt:i4>1966128</vt:i4>
      </vt:variant>
      <vt:variant>
        <vt:i4>44</vt:i4>
      </vt:variant>
      <vt:variant>
        <vt:i4>0</vt:i4>
      </vt:variant>
      <vt:variant>
        <vt:i4>5</vt:i4>
      </vt:variant>
      <vt:variant>
        <vt:lpwstr/>
      </vt:variant>
      <vt:variant>
        <vt:lpwstr>_Toc79584860</vt:lpwstr>
      </vt:variant>
      <vt:variant>
        <vt:i4>1507379</vt:i4>
      </vt:variant>
      <vt:variant>
        <vt:i4>38</vt:i4>
      </vt:variant>
      <vt:variant>
        <vt:i4>0</vt:i4>
      </vt:variant>
      <vt:variant>
        <vt:i4>5</vt:i4>
      </vt:variant>
      <vt:variant>
        <vt:lpwstr/>
      </vt:variant>
      <vt:variant>
        <vt:lpwstr>_Toc79584859</vt:lpwstr>
      </vt:variant>
      <vt:variant>
        <vt:i4>1441843</vt:i4>
      </vt:variant>
      <vt:variant>
        <vt:i4>32</vt:i4>
      </vt:variant>
      <vt:variant>
        <vt:i4>0</vt:i4>
      </vt:variant>
      <vt:variant>
        <vt:i4>5</vt:i4>
      </vt:variant>
      <vt:variant>
        <vt:lpwstr/>
      </vt:variant>
      <vt:variant>
        <vt:lpwstr>_Toc79584858</vt:lpwstr>
      </vt:variant>
      <vt:variant>
        <vt:i4>1638451</vt:i4>
      </vt:variant>
      <vt:variant>
        <vt:i4>26</vt:i4>
      </vt:variant>
      <vt:variant>
        <vt:i4>0</vt:i4>
      </vt:variant>
      <vt:variant>
        <vt:i4>5</vt:i4>
      </vt:variant>
      <vt:variant>
        <vt:lpwstr/>
      </vt:variant>
      <vt:variant>
        <vt:lpwstr>_Toc79584857</vt:lpwstr>
      </vt:variant>
      <vt:variant>
        <vt:i4>1572915</vt:i4>
      </vt:variant>
      <vt:variant>
        <vt:i4>20</vt:i4>
      </vt:variant>
      <vt:variant>
        <vt:i4>0</vt:i4>
      </vt:variant>
      <vt:variant>
        <vt:i4>5</vt:i4>
      </vt:variant>
      <vt:variant>
        <vt:lpwstr/>
      </vt:variant>
      <vt:variant>
        <vt:lpwstr>_Toc79584856</vt:lpwstr>
      </vt:variant>
      <vt:variant>
        <vt:i4>1769523</vt:i4>
      </vt:variant>
      <vt:variant>
        <vt:i4>14</vt:i4>
      </vt:variant>
      <vt:variant>
        <vt:i4>0</vt:i4>
      </vt:variant>
      <vt:variant>
        <vt:i4>5</vt:i4>
      </vt:variant>
      <vt:variant>
        <vt:lpwstr/>
      </vt:variant>
      <vt:variant>
        <vt:lpwstr>_Toc79584855</vt:lpwstr>
      </vt:variant>
      <vt:variant>
        <vt:i4>1703987</vt:i4>
      </vt:variant>
      <vt:variant>
        <vt:i4>8</vt:i4>
      </vt:variant>
      <vt:variant>
        <vt:i4>0</vt:i4>
      </vt:variant>
      <vt:variant>
        <vt:i4>5</vt:i4>
      </vt:variant>
      <vt:variant>
        <vt:lpwstr/>
      </vt:variant>
      <vt:variant>
        <vt:lpwstr>_Toc79584854</vt:lpwstr>
      </vt:variant>
      <vt:variant>
        <vt:i4>3932192</vt:i4>
      </vt:variant>
      <vt:variant>
        <vt:i4>3</vt:i4>
      </vt:variant>
      <vt:variant>
        <vt:i4>0</vt:i4>
      </vt:variant>
      <vt:variant>
        <vt:i4>5</vt:i4>
      </vt:variant>
      <vt:variant>
        <vt:lpwstr>https://www.actcoss.org.au/</vt:lpwstr>
      </vt:variant>
      <vt:variant>
        <vt:lpwstr/>
      </vt:variant>
      <vt:variant>
        <vt:i4>721016</vt:i4>
      </vt:variant>
      <vt:variant>
        <vt:i4>0</vt:i4>
      </vt:variant>
      <vt:variant>
        <vt:i4>0</vt:i4>
      </vt:variant>
      <vt:variant>
        <vt:i4>5</vt:i4>
      </vt:variant>
      <vt:variant>
        <vt:lpwstr>mailto:actcoss@actcoss.org.au</vt:lpwstr>
      </vt:variant>
      <vt:variant>
        <vt:lpwstr/>
      </vt:variant>
      <vt:variant>
        <vt:i4>2359300</vt:i4>
      </vt:variant>
      <vt:variant>
        <vt:i4>96</vt:i4>
      </vt:variant>
      <vt:variant>
        <vt:i4>0</vt:i4>
      </vt:variant>
      <vt:variant>
        <vt:i4>5</vt:i4>
      </vt:variant>
      <vt:variant>
        <vt:lpwstr>https://www.aph.gov.au/About_Parliament/Parliamentary_Departments/Parliamentary_Library/FlagPost/2014/April/Pension-indexation</vt:lpwstr>
      </vt:variant>
      <vt:variant>
        <vt:lpwstr/>
      </vt:variant>
      <vt:variant>
        <vt:i4>5570572</vt:i4>
      </vt:variant>
      <vt:variant>
        <vt:i4>93</vt:i4>
      </vt:variant>
      <vt:variant>
        <vt:i4>0</vt:i4>
      </vt:variant>
      <vt:variant>
        <vt:i4>5</vt:i4>
      </vt:variant>
      <vt:variant>
        <vt:lpwstr>https://www.abs.gov.au/methodologies/selected-living-cost-indexes-australia-methodology/mar-2021</vt:lpwstr>
      </vt:variant>
      <vt:variant>
        <vt:lpwstr/>
      </vt:variant>
      <vt:variant>
        <vt:i4>393222</vt:i4>
      </vt:variant>
      <vt:variant>
        <vt:i4>90</vt:i4>
      </vt:variant>
      <vt:variant>
        <vt:i4>0</vt:i4>
      </vt:variant>
      <vt:variant>
        <vt:i4>5</vt:i4>
      </vt:variant>
      <vt:variant>
        <vt:lpwstr>https://www.sacoss.org.au/sites/default/files/public/documents/Reports/Cost of Living Reports/190130 Cost of Living Update37.pdf</vt:lpwstr>
      </vt:variant>
      <vt:variant>
        <vt:lpwstr/>
      </vt:variant>
      <vt:variant>
        <vt:i4>6291566</vt:i4>
      </vt:variant>
      <vt:variant>
        <vt:i4>87</vt:i4>
      </vt:variant>
      <vt:variant>
        <vt:i4>0</vt:i4>
      </vt:variant>
      <vt:variant>
        <vt:i4>5</vt:i4>
      </vt:variant>
      <vt:variant>
        <vt:lpwstr>https://www.actcoss.org.au/publications/advocacy-publications/submission-actcoss-act-budget-priorities-2021-22</vt:lpwstr>
      </vt:variant>
      <vt:variant>
        <vt:lpwstr/>
      </vt:variant>
      <vt:variant>
        <vt:i4>6553659</vt:i4>
      </vt:variant>
      <vt:variant>
        <vt:i4>84</vt:i4>
      </vt:variant>
      <vt:variant>
        <vt:i4>0</vt:i4>
      </vt:variant>
      <vt:variant>
        <vt:i4>5</vt:i4>
      </vt:variant>
      <vt:variant>
        <vt:lpwstr>https://www.actcoss.org.au/publications/advocacy-publications/submission-inquiry-purpose-intent-and-adequacy-disability-support</vt:lpwstr>
      </vt:variant>
      <vt:variant>
        <vt:lpwstr/>
      </vt:variant>
      <vt:variant>
        <vt:i4>8257543</vt:i4>
      </vt:variant>
      <vt:variant>
        <vt:i4>81</vt:i4>
      </vt:variant>
      <vt:variant>
        <vt:i4>0</vt:i4>
      </vt:variant>
      <vt:variant>
        <vt:i4>5</vt:i4>
      </vt:variant>
      <vt:variant>
        <vt:lpwstr>https://www.acoss.org.au/media-releases/?media_release=media-briefing-who-misses-out-on-covid-disaster-payments</vt:lpwstr>
      </vt:variant>
      <vt:variant>
        <vt:lpwstr/>
      </vt:variant>
      <vt:variant>
        <vt:i4>6815789</vt:i4>
      </vt:variant>
      <vt:variant>
        <vt:i4>78</vt:i4>
      </vt:variant>
      <vt:variant>
        <vt:i4>0</vt:i4>
      </vt:variant>
      <vt:variant>
        <vt:i4>5</vt:i4>
      </vt:variant>
      <vt:variant>
        <vt:lpwstr>https://raisetherate.org.au/about/</vt:lpwstr>
      </vt:variant>
      <vt:variant>
        <vt:lpwstr/>
      </vt:variant>
      <vt:variant>
        <vt:i4>2818145</vt:i4>
      </vt:variant>
      <vt:variant>
        <vt:i4>75</vt:i4>
      </vt:variant>
      <vt:variant>
        <vt:i4>0</vt:i4>
      </vt:variant>
      <vt:variant>
        <vt:i4>5</vt:i4>
      </vt:variant>
      <vt:variant>
        <vt:lpwstr>http://unsworks.unsw.edu.au/fapi/datastream/unsworks:46141/binaaacbcf3-915f-40bc-a70f-2052746ab643?view=true</vt:lpwstr>
      </vt:variant>
      <vt:variant>
        <vt:lpwstr>:~:text=The%20new%20weekly%20low%2Dpaid,10%20year%2Dold%20boy).&amp;text=The%20corresponding%20budgets%20for%20the,a%20couple%20with%20two%20children.</vt:lpwstr>
      </vt:variant>
      <vt:variant>
        <vt:i4>1310744</vt:i4>
      </vt:variant>
      <vt:variant>
        <vt:i4>72</vt:i4>
      </vt:variant>
      <vt:variant>
        <vt:i4>0</vt:i4>
      </vt:variant>
      <vt:variant>
        <vt:i4>5</vt:i4>
      </vt:variant>
      <vt:variant>
        <vt:lpwstr>https://www.sacoss.org.au/reports/cost-living-updates</vt:lpwstr>
      </vt:variant>
      <vt:variant>
        <vt:lpwstr/>
      </vt:variant>
      <vt:variant>
        <vt:i4>6357103</vt:i4>
      </vt:variant>
      <vt:variant>
        <vt:i4>69</vt:i4>
      </vt:variant>
      <vt:variant>
        <vt:i4>0</vt:i4>
      </vt:variant>
      <vt:variant>
        <vt:i4>5</vt:i4>
      </vt:variant>
      <vt:variant>
        <vt:lpwstr>https://www.acoss.org.au/wp-content/uploads/2020/09/If-It-Wasnt-For-The-Supplement-I-Dont-Know-Where-Id-Be-August-2020-JobSeeker-Survey.pdf</vt:lpwstr>
      </vt:variant>
      <vt:variant>
        <vt:lpwstr/>
      </vt:variant>
      <vt:variant>
        <vt:i4>3735652</vt:i4>
      </vt:variant>
      <vt:variant>
        <vt:i4>66</vt:i4>
      </vt:variant>
      <vt:variant>
        <vt:i4>0</vt:i4>
      </vt:variant>
      <vt:variant>
        <vt:i4>5</vt:i4>
      </vt:variant>
      <vt:variant>
        <vt:lpwstr>http://povertyandinequality.acoss.org.au/poverty/rate-of-poverty-by-state-territory-of-residence-of-people/</vt:lpwstr>
      </vt:variant>
      <vt:variant>
        <vt:lpwstr/>
      </vt:variant>
      <vt:variant>
        <vt:i4>1048601</vt:i4>
      </vt:variant>
      <vt:variant>
        <vt:i4>63</vt:i4>
      </vt:variant>
      <vt:variant>
        <vt:i4>0</vt:i4>
      </vt:variant>
      <vt:variant>
        <vt:i4>5</vt:i4>
      </vt:variant>
      <vt:variant>
        <vt:lpwstr>https://www.abs.gov.au/statistics/economy/price-indexes-and-inflation/selected-living-cost-indexes-australia/mar-2021</vt:lpwstr>
      </vt:variant>
      <vt:variant>
        <vt:lpwstr/>
      </vt:variant>
      <vt:variant>
        <vt:i4>6094871</vt:i4>
      </vt:variant>
      <vt:variant>
        <vt:i4>60</vt:i4>
      </vt:variant>
      <vt:variant>
        <vt:i4>0</vt:i4>
      </vt:variant>
      <vt:variant>
        <vt:i4>5</vt:i4>
      </vt:variant>
      <vt:variant>
        <vt:lpwstr>https://www.actcoss.org.au/publications/advocacy-publications/act-cost-living-report-2020</vt:lpwstr>
      </vt:variant>
      <vt:variant>
        <vt:lpwstr/>
      </vt:variant>
      <vt:variant>
        <vt:i4>589830</vt:i4>
      </vt:variant>
      <vt:variant>
        <vt:i4>57</vt:i4>
      </vt:variant>
      <vt:variant>
        <vt:i4>0</vt:i4>
      </vt:variant>
      <vt:variant>
        <vt:i4>5</vt:i4>
      </vt:variant>
      <vt:variant>
        <vt:lpwstr>https://everybodyshome.com.au/heat-maps/</vt:lpwstr>
      </vt:variant>
      <vt:variant>
        <vt:lpwstr/>
      </vt:variant>
      <vt:variant>
        <vt:i4>1310738</vt:i4>
      </vt:variant>
      <vt:variant>
        <vt:i4>54</vt:i4>
      </vt:variant>
      <vt:variant>
        <vt:i4>0</vt:i4>
      </vt:variant>
      <vt:variant>
        <vt:i4>5</vt:i4>
      </vt:variant>
      <vt:variant>
        <vt:lpwstr>https://www.infrastructurevictoria.com.au/wp-content/uploads/2019/04/Infrastructure-Victoria-Technical-Paper-%E2%80%93-What-are-the-impacts-of-living-in-social-housing-May-2018.pdf</vt:lpwstr>
      </vt:variant>
      <vt:variant>
        <vt:lpwstr/>
      </vt:variant>
      <vt:variant>
        <vt:i4>6488153</vt:i4>
      </vt:variant>
      <vt:variant>
        <vt:i4>51</vt:i4>
      </vt:variant>
      <vt:variant>
        <vt:i4>0</vt:i4>
      </vt:variant>
      <vt:variant>
        <vt:i4>5</vt:i4>
      </vt:variant>
      <vt:variant>
        <vt:lpwstr>http://www.nwhn.net.au/admin/file/content101/c6/social_housing_initiative_review.pdf</vt:lpwstr>
      </vt:variant>
      <vt:variant>
        <vt:lpwstr/>
      </vt:variant>
      <vt:variant>
        <vt:i4>2097256</vt:i4>
      </vt:variant>
      <vt:variant>
        <vt:i4>48</vt:i4>
      </vt:variant>
      <vt:variant>
        <vt:i4>0</vt:i4>
      </vt:variant>
      <vt:variant>
        <vt:i4>5</vt:i4>
      </vt:variant>
      <vt:variant>
        <vt:lpwstr>http://www.equityeconomics.com.au/nowhere-to-go</vt:lpwstr>
      </vt:variant>
      <vt:variant>
        <vt:lpwstr/>
      </vt:variant>
      <vt:variant>
        <vt:i4>3539047</vt:i4>
      </vt:variant>
      <vt:variant>
        <vt:i4>45</vt:i4>
      </vt:variant>
      <vt:variant>
        <vt:i4>0</vt:i4>
      </vt:variant>
      <vt:variant>
        <vt:i4>5</vt:i4>
      </vt:variant>
      <vt:variant>
        <vt:lpwstr>https://www.communityservices.act.gov.au/hcs/services/social_housing/waiting_lists</vt:lpwstr>
      </vt:variant>
      <vt:variant>
        <vt:lpwstr/>
      </vt:variant>
      <vt:variant>
        <vt:i4>6619182</vt:i4>
      </vt:variant>
      <vt:variant>
        <vt:i4>42</vt:i4>
      </vt:variant>
      <vt:variant>
        <vt:i4>0</vt:i4>
      </vt:variant>
      <vt:variant>
        <vt:i4>5</vt:i4>
      </vt:variant>
      <vt:variant>
        <vt:lpwstr>https://www.aihw.gov.au/reports/housing-assistance/housing-assistance-in-australia/contents/summary</vt:lpwstr>
      </vt:variant>
      <vt:variant>
        <vt:lpwstr/>
      </vt:variant>
      <vt:variant>
        <vt:i4>2293866</vt:i4>
      </vt:variant>
      <vt:variant>
        <vt:i4>39</vt:i4>
      </vt:variant>
      <vt:variant>
        <vt:i4>0</vt:i4>
      </vt:variant>
      <vt:variant>
        <vt:i4>5</vt:i4>
      </vt:variant>
      <vt:variant>
        <vt:lpwstr>https://www.communityservices.act.gov.au/hcs/act-housing-strategy-growing-and-renewing-public-housing-2019-2024</vt:lpwstr>
      </vt:variant>
      <vt:variant>
        <vt:lpwstr/>
      </vt:variant>
      <vt:variant>
        <vt:i4>2818093</vt:i4>
      </vt:variant>
      <vt:variant>
        <vt:i4>36</vt:i4>
      </vt:variant>
      <vt:variant>
        <vt:i4>0</vt:i4>
      </vt:variant>
      <vt:variant>
        <vt:i4>5</vt:i4>
      </vt:variant>
      <vt:variant>
        <vt:lpwstr>https://www.ahuri.edu.au/research/final-reports/306</vt:lpwstr>
      </vt:variant>
      <vt:variant>
        <vt:lpwstr/>
      </vt:variant>
      <vt:variant>
        <vt:i4>5570651</vt:i4>
      </vt:variant>
      <vt:variant>
        <vt:i4>33</vt:i4>
      </vt:variant>
      <vt:variant>
        <vt:i4>0</vt:i4>
      </vt:variant>
      <vt:variant>
        <vt:i4>5</vt:i4>
      </vt:variant>
      <vt:variant>
        <vt:lpwstr>https://www.anglicare.com.au/anglicare-research-rental-affordability-forcing-more-canberrans-into-financial-hardship/</vt:lpwstr>
      </vt:variant>
      <vt:variant>
        <vt:lpwstr/>
      </vt:variant>
      <vt:variant>
        <vt:i4>2621564</vt:i4>
      </vt:variant>
      <vt:variant>
        <vt:i4>30</vt:i4>
      </vt:variant>
      <vt:variant>
        <vt:i4>0</vt:i4>
      </vt:variant>
      <vt:variant>
        <vt:i4>5</vt:i4>
      </vt:variant>
      <vt:variant>
        <vt:lpwstr>https://www.domain.com.au/research/vacancy-rates-june-2021-1068785/</vt:lpwstr>
      </vt:variant>
      <vt:variant>
        <vt:lpwstr/>
      </vt:variant>
      <vt:variant>
        <vt:i4>7602212</vt:i4>
      </vt:variant>
      <vt:variant>
        <vt:i4>27</vt:i4>
      </vt:variant>
      <vt:variant>
        <vt:i4>0</vt:i4>
      </vt:variant>
      <vt:variant>
        <vt:i4>5</vt:i4>
      </vt:variant>
      <vt:variant>
        <vt:lpwstr>https://www.domain.com.au/research/rental-report/june-2021</vt:lpwstr>
      </vt:variant>
      <vt:variant>
        <vt:lpwstr/>
      </vt:variant>
      <vt:variant>
        <vt:i4>1376258</vt:i4>
      </vt:variant>
      <vt:variant>
        <vt:i4>24</vt:i4>
      </vt:variant>
      <vt:variant>
        <vt:i4>0</vt:i4>
      </vt:variant>
      <vt:variant>
        <vt:i4>5</vt:i4>
      </vt:variant>
      <vt:variant>
        <vt:lpwstr>https://www.pc.gov.au/research/ongoing/report-on-government-services</vt:lpwstr>
      </vt:variant>
      <vt:variant>
        <vt:lpwstr/>
      </vt:variant>
      <vt:variant>
        <vt:i4>2818147</vt:i4>
      </vt:variant>
      <vt:variant>
        <vt:i4>21</vt:i4>
      </vt:variant>
      <vt:variant>
        <vt:i4>0</vt:i4>
      </vt:variant>
      <vt:variant>
        <vt:i4>5</vt:i4>
      </vt:variant>
      <vt:variant>
        <vt:lpwstr>https://www.aer.gov.au/publications/state-of-the-energy-market-reports/state-of-the-energy-market-2021</vt:lpwstr>
      </vt:variant>
      <vt:variant>
        <vt:lpwstr/>
      </vt:variant>
      <vt:variant>
        <vt:i4>1310727</vt:i4>
      </vt:variant>
      <vt:variant>
        <vt:i4>18</vt:i4>
      </vt:variant>
      <vt:variant>
        <vt:i4>0</vt:i4>
      </vt:variant>
      <vt:variant>
        <vt:i4>5</vt:i4>
      </vt:variant>
      <vt:variant>
        <vt:lpwstr>https://www.icrc.act.gov.au/energy/electricity/retail-electricity-prices-2020-24</vt:lpwstr>
      </vt:variant>
      <vt:variant>
        <vt:lpwstr/>
      </vt:variant>
      <vt:variant>
        <vt:i4>6815778</vt:i4>
      </vt:variant>
      <vt:variant>
        <vt:i4>15</vt:i4>
      </vt:variant>
      <vt:variant>
        <vt:i4>0</vt:i4>
      </vt:variant>
      <vt:variant>
        <vt:i4>5</vt:i4>
      </vt:variant>
      <vt:variant>
        <vt:lpwstr>https://www.aer.gov.au/publications/state-of-the-energy-market-reports</vt:lpwstr>
      </vt:variant>
      <vt:variant>
        <vt:lpwstr/>
      </vt:variant>
      <vt:variant>
        <vt:i4>6488104</vt:i4>
      </vt:variant>
      <vt:variant>
        <vt:i4>12</vt:i4>
      </vt:variant>
      <vt:variant>
        <vt:i4>0</vt:i4>
      </vt:variant>
      <vt:variant>
        <vt:i4>5</vt:i4>
      </vt:variant>
      <vt:variant>
        <vt:lpwstr>https://www.rba.gov.au/publications/bulletin/2014/mar/</vt:lpwstr>
      </vt:variant>
      <vt:variant>
        <vt:lpwstr/>
      </vt:variant>
      <vt:variant>
        <vt:i4>5898244</vt:i4>
      </vt:variant>
      <vt:variant>
        <vt:i4>9</vt:i4>
      </vt:variant>
      <vt:variant>
        <vt:i4>0</vt:i4>
      </vt:variant>
      <vt:variant>
        <vt:i4>5</vt:i4>
      </vt:variant>
      <vt:variant>
        <vt:lpwstr>https://data.gov.au/data/dataset/jobseeker-payment-and-youth-allowance-recipients-monthly-profile</vt:lpwstr>
      </vt:variant>
      <vt:variant>
        <vt:lpwstr/>
      </vt:variant>
      <vt:variant>
        <vt:i4>1900633</vt:i4>
      </vt:variant>
      <vt:variant>
        <vt:i4>6</vt:i4>
      </vt:variant>
      <vt:variant>
        <vt:i4>0</vt:i4>
      </vt:variant>
      <vt:variant>
        <vt:i4>5</vt:i4>
      </vt:variant>
      <vt:variant>
        <vt:lpwstr>http://povertyandinequality.acoss.org.au/poverty/</vt:lpwstr>
      </vt:variant>
      <vt:variant>
        <vt:lpwstr/>
      </vt:variant>
      <vt:variant>
        <vt:i4>7733304</vt:i4>
      </vt:variant>
      <vt:variant>
        <vt:i4>3</vt:i4>
      </vt:variant>
      <vt:variant>
        <vt:i4>0</vt:i4>
      </vt:variant>
      <vt:variant>
        <vt:i4>5</vt:i4>
      </vt:variant>
      <vt:variant>
        <vt:lpwstr>https://unitingcare.org.au/publications/child-social-exclusion/</vt:lpwstr>
      </vt:variant>
      <vt:variant>
        <vt:lpwstr/>
      </vt:variant>
      <vt:variant>
        <vt:i4>3735652</vt:i4>
      </vt:variant>
      <vt:variant>
        <vt:i4>0</vt:i4>
      </vt:variant>
      <vt:variant>
        <vt:i4>0</vt:i4>
      </vt:variant>
      <vt:variant>
        <vt:i4>5</vt:i4>
      </vt:variant>
      <vt:variant>
        <vt:lpwstr>http://povertyandinequality.acoss.org.au/poverty/rate-of-poverty-by-state-territory-of-residence-of-people/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Cost of Living Report, August 2021</dc:title>
  <dc:subject/>
  <dc:creator/>
  <cp:keywords/>
  <dc:description/>
  <cp:lastModifiedBy>Geoff Buchanan</cp:lastModifiedBy>
  <cp:revision>1490</cp:revision>
  <cp:lastPrinted>2021-07-28T10:05:00Z</cp:lastPrinted>
  <dcterms:created xsi:type="dcterms:W3CDTF">2021-03-19T15:50:00Z</dcterms:created>
  <dcterms:modified xsi:type="dcterms:W3CDTF">2021-08-12T00:18:00Z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2010-02-07T13:00:00Z</vt:filetime>
  </property>
  <property fmtid="{D5CDD505-2E9C-101B-9397-08002B2CF9AE}" pid="3" name="ContentTypeId">
    <vt:lpwstr>0x010100A393A2617EF7DB41893826E3ECAAB324</vt:lpwstr>
  </property>
  <property fmtid="{D5CDD505-2E9C-101B-9397-08002B2CF9AE}" pid="4" name="AuthorIds_UIVersion_512">
    <vt:lpwstr>6</vt:lpwstr>
  </property>
  <property fmtid="{D5CDD505-2E9C-101B-9397-08002B2CF9AE}" pid="5" name="AuthorIds_UIVersion_2560">
    <vt:lpwstr>6</vt:lpwstr>
  </property>
</Properties>
</file>