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82687237" w:displacedByCustomXml="next"/>
    <w:bookmarkEnd w:id="0" w:displacedByCustomXml="next"/>
    <w:sdt>
      <w:sdtPr>
        <w:rPr>
          <w:rFonts w:ascii="Arial" w:hAnsi="Arial" w:cs="Arial"/>
          <w:sz w:val="22"/>
          <w:szCs w:val="22"/>
        </w:rPr>
        <w:id w:val="61211214"/>
        <w:docPartObj>
          <w:docPartGallery w:val="Cover Pages"/>
          <w:docPartUnique/>
        </w:docPartObj>
      </w:sdtPr>
      <w:sdtEndPr/>
      <w:sdtContent>
        <w:p w14:paraId="020F950A" w14:textId="7F4021C7" w:rsidR="00CD2872" w:rsidRDefault="00CD2872" w:rsidP="00062ACD">
          <w:pPr>
            <w:spacing w:after="0"/>
            <w:rPr>
              <w:rFonts w:ascii="Arial" w:hAnsi="Arial" w:cs="Arial"/>
              <w:sz w:val="22"/>
              <w:szCs w:val="22"/>
            </w:rPr>
          </w:pPr>
        </w:p>
        <w:p w14:paraId="5A5CBD23" w14:textId="3C969FF8" w:rsidR="008E6A62" w:rsidRDefault="008E6A62" w:rsidP="00062ACD">
          <w:pPr>
            <w:spacing w:after="0"/>
            <w:rPr>
              <w:rFonts w:ascii="Sommet" w:hAnsi="Sommet" w:hint="eastAsia"/>
              <w:sz w:val="56"/>
              <w:szCs w:val="60"/>
              <w:lang w:val="en-US"/>
            </w:rPr>
          </w:pPr>
        </w:p>
        <w:p w14:paraId="160C4D90" w14:textId="44D5F588" w:rsidR="00224ABE" w:rsidRDefault="00224ABE" w:rsidP="00974C50">
          <w:pPr>
            <w:pStyle w:val="Title"/>
            <w:pBdr>
              <w:bottom w:val="none" w:sz="0" w:space="0" w:color="auto"/>
            </w:pBdr>
            <w:ind w:left="-851"/>
            <w:rPr>
              <w:b/>
              <w:bCs/>
            </w:rPr>
          </w:pPr>
        </w:p>
        <w:p w14:paraId="035ED422" w14:textId="58A4140D" w:rsidR="00224ABE" w:rsidRPr="00224ABE" w:rsidRDefault="00224ABE" w:rsidP="00DC2AF8">
          <w:pPr>
            <w:pStyle w:val="Preparedfor"/>
            <w:tabs>
              <w:tab w:val="clear" w:pos="357"/>
              <w:tab w:val="left" w:pos="0"/>
            </w:tabs>
            <w:ind w:left="-851"/>
          </w:pPr>
        </w:p>
        <w:p w14:paraId="1ED69424" w14:textId="06FA429F" w:rsidR="00F050D7" w:rsidRPr="00ED2BAD" w:rsidRDefault="00BC49FA" w:rsidP="00974C50">
          <w:pPr>
            <w:pStyle w:val="Title"/>
            <w:pBdr>
              <w:bottom w:val="none" w:sz="0" w:space="0" w:color="auto"/>
            </w:pBdr>
            <w:ind w:left="-851"/>
            <w:rPr>
              <w:b/>
              <w:bCs/>
            </w:rPr>
          </w:pPr>
          <w:r w:rsidRPr="00ED2BAD">
            <w:rPr>
              <w:b/>
              <w:bCs/>
            </w:rPr>
            <w:t>Countin</w:t>
          </w:r>
          <w:r w:rsidR="008E6A62">
            <w:rPr>
              <w:b/>
              <w:bCs/>
            </w:rPr>
            <w:t>g</w:t>
          </w:r>
          <w:r w:rsidRPr="00ED2BAD">
            <w:rPr>
              <w:b/>
              <w:bCs/>
            </w:rPr>
            <w:t xml:space="preserve"> the Cost</w:t>
          </w:r>
          <w:r w:rsidR="0069045C" w:rsidRPr="00ED2BAD">
            <w:rPr>
              <w:b/>
              <w:bCs/>
            </w:rPr>
            <w:t>s</w:t>
          </w:r>
          <w:r w:rsidR="00F050D7" w:rsidRPr="00ED2BAD">
            <w:rPr>
              <w:b/>
              <w:bCs/>
            </w:rPr>
            <w:t xml:space="preserve">: </w:t>
          </w:r>
        </w:p>
        <w:p w14:paraId="0AB326BB" w14:textId="4E48F231" w:rsidR="00354A67" w:rsidRDefault="00C425DE" w:rsidP="00974C50">
          <w:pPr>
            <w:pStyle w:val="Title"/>
            <w:pBdr>
              <w:bottom w:val="none" w:sz="0" w:space="0" w:color="auto"/>
            </w:pBdr>
            <w:ind w:left="-851"/>
          </w:pPr>
          <w:r>
            <w:t>S</w:t>
          </w:r>
          <w:r w:rsidR="00943958">
            <w:t>ustain</w:t>
          </w:r>
          <w:r w:rsidR="000F2EF1">
            <w:t xml:space="preserve">able </w:t>
          </w:r>
          <w:r>
            <w:t>funding</w:t>
          </w:r>
          <w:r w:rsidR="000F2EF1">
            <w:t xml:space="preserve"> for the ACT community services sector</w:t>
          </w:r>
        </w:p>
        <w:p w14:paraId="189C3389" w14:textId="4C0C29AF" w:rsidR="00432245" w:rsidRDefault="00432245" w:rsidP="00974C50">
          <w:pPr>
            <w:pStyle w:val="Preparedfor"/>
            <w:tabs>
              <w:tab w:val="clear" w:pos="357"/>
              <w:tab w:val="left" w:pos="0"/>
            </w:tabs>
            <w:ind w:left="-851"/>
          </w:pPr>
        </w:p>
        <w:p w14:paraId="1F502D94" w14:textId="5632D2EF" w:rsidR="00224ABE" w:rsidRPr="00224ABE" w:rsidRDefault="00224ABE" w:rsidP="00DC2AF8">
          <w:pPr>
            <w:pStyle w:val="Preparedfor"/>
            <w:tabs>
              <w:tab w:val="clear" w:pos="357"/>
              <w:tab w:val="left" w:pos="0"/>
            </w:tabs>
            <w:ind w:left="-851"/>
          </w:pPr>
        </w:p>
        <w:p w14:paraId="2C0D28B6" w14:textId="06C53754" w:rsidR="00354A67" w:rsidRDefault="00354A67" w:rsidP="00974C50">
          <w:pPr>
            <w:pStyle w:val="Preparedfor"/>
            <w:tabs>
              <w:tab w:val="clear" w:pos="357"/>
              <w:tab w:val="left" w:pos="0"/>
            </w:tabs>
            <w:ind w:left="-851"/>
          </w:pPr>
          <w:r w:rsidRPr="00397AEE">
            <w:t>Prepared</w:t>
          </w:r>
          <w:r>
            <w:t xml:space="preserve"> for:</w:t>
          </w:r>
          <w:r>
            <w:br/>
          </w:r>
          <w:r w:rsidR="00D35781">
            <w:t xml:space="preserve">ACT Council of Social Service </w:t>
          </w:r>
          <w:r w:rsidR="00224ABE">
            <w:t>(ACTCOSS)</w:t>
          </w:r>
          <w:r w:rsidR="000244A2" w:rsidRPr="000244A2">
            <w:t xml:space="preserve"> on behalf of the ACT Community Services Industry Strategy Steering Group (ISSG); and </w:t>
          </w:r>
          <w:r w:rsidR="004B1FB1">
            <w:br/>
          </w:r>
          <w:r w:rsidR="000244A2" w:rsidRPr="000244A2">
            <w:t>the ACT Government</w:t>
          </w:r>
        </w:p>
        <w:p w14:paraId="0FDF8977" w14:textId="534AB64F" w:rsidR="00974C50" w:rsidRDefault="00F13E8B" w:rsidP="00974C50">
          <w:pPr>
            <w:pStyle w:val="Preparedfor"/>
            <w:tabs>
              <w:tab w:val="clear" w:pos="357"/>
              <w:tab w:val="left" w:pos="0"/>
            </w:tabs>
            <w:ind w:left="-851"/>
          </w:pPr>
          <w:r>
            <w:t>December</w:t>
          </w:r>
          <w:r w:rsidR="00D35781">
            <w:t xml:space="preserve"> 2021</w:t>
          </w:r>
        </w:p>
        <w:p w14:paraId="7324B508" w14:textId="29D49C03" w:rsidR="004B1FB1" w:rsidRDefault="00D35781">
          <w:pPr>
            <w:autoSpaceDE/>
            <w:autoSpaceDN/>
            <w:adjustRightInd/>
            <w:spacing w:after="200" w:line="276" w:lineRule="auto"/>
            <w:ind w:right="0"/>
          </w:pPr>
          <w:r>
            <w:t xml:space="preserve">Natasha </w:t>
          </w:r>
          <w:proofErr w:type="spellStart"/>
          <w:r>
            <w:t>Cortis</w:t>
          </w:r>
          <w:proofErr w:type="spellEnd"/>
          <w:r>
            <w:t>, Megan Blaxland, Elizabeth Adamson</w:t>
          </w:r>
        </w:p>
        <w:p w14:paraId="0D5E68DD" w14:textId="53929DEF" w:rsidR="00FE6092" w:rsidRDefault="004B1FB1">
          <w:pPr>
            <w:autoSpaceDE/>
            <w:autoSpaceDN/>
            <w:adjustRightInd/>
            <w:spacing w:after="200" w:line="276" w:lineRule="auto"/>
            <w:ind w:right="0"/>
          </w:pPr>
          <w:r>
            <w:rPr>
              <w:noProof/>
            </w:rPr>
            <w:drawing>
              <wp:anchor distT="0" distB="0" distL="114300" distR="114300" simplePos="0" relativeHeight="251658243" behindDoc="0" locked="0" layoutInCell="1" allowOverlap="1" wp14:anchorId="279788F6" wp14:editId="03C646B8">
                <wp:simplePos x="0" y="0"/>
                <wp:positionH relativeFrom="column">
                  <wp:posOffset>4444365</wp:posOffset>
                </wp:positionH>
                <wp:positionV relativeFrom="page">
                  <wp:posOffset>9448165</wp:posOffset>
                </wp:positionV>
                <wp:extent cx="1470060" cy="74734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060" cy="7473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4C7B591" wp14:editId="71A93795">
                <wp:simplePos x="0" y="0"/>
                <wp:positionH relativeFrom="column">
                  <wp:posOffset>-515593</wp:posOffset>
                </wp:positionH>
                <wp:positionV relativeFrom="page">
                  <wp:posOffset>9412955</wp:posOffset>
                </wp:positionV>
                <wp:extent cx="1900361" cy="716259"/>
                <wp:effectExtent l="0" t="0" r="5080"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a:stretch>
                          <a:fillRect/>
                        </a:stretch>
                      </pic:blipFill>
                      <pic:spPr>
                        <a:xfrm>
                          <a:off x="0" y="0"/>
                          <a:ext cx="1912180" cy="720714"/>
                        </a:xfrm>
                        <a:prstGeom prst="rect">
                          <a:avLst/>
                        </a:prstGeom>
                      </pic:spPr>
                    </pic:pic>
                  </a:graphicData>
                </a:graphic>
                <wp14:sizeRelH relativeFrom="margin">
                  <wp14:pctWidth>0</wp14:pctWidth>
                </wp14:sizeRelH>
                <wp14:sizeRelV relativeFrom="margin">
                  <wp14:pctHeight>0</wp14:pctHeight>
                </wp14:sizeRelV>
              </wp:anchor>
            </w:drawing>
          </w:r>
          <w:r w:rsidR="00FE6092">
            <w:br w:type="page"/>
          </w:r>
        </w:p>
        <w:p w14:paraId="79E99988" w14:textId="147B26F7" w:rsidR="00CD2872" w:rsidRDefault="00CD2872" w:rsidP="00151533">
          <w:pPr>
            <w:sectPr w:rsidR="00CD2872" w:rsidSect="00F60985">
              <w:headerReference w:type="even" r:id="rId13"/>
              <w:footerReference w:type="even" r:id="rId14"/>
              <w:footerReference w:type="default" r:id="rId15"/>
              <w:headerReference w:type="first" r:id="rId16"/>
              <w:footerReference w:type="first" r:id="rId17"/>
              <w:pgSz w:w="11906" w:h="16838" w:code="9"/>
              <w:pgMar w:top="851" w:right="1985" w:bottom="1559" w:left="1701" w:header="992" w:footer="709" w:gutter="0"/>
              <w:pgNumType w:fmt="lowerRoman" w:start="1" w:chapSep="period"/>
              <w:cols w:space="708"/>
              <w:titlePg/>
              <w:docGrid w:linePitch="360"/>
            </w:sectPr>
          </w:pPr>
        </w:p>
        <w:p w14:paraId="11B3FFE7" w14:textId="71C583FE" w:rsidR="0038485C" w:rsidRDefault="00B54793" w:rsidP="0038485C">
          <w:pPr>
            <w:pStyle w:val="BodyText"/>
          </w:pPr>
        </w:p>
      </w:sdtContent>
    </w:sdt>
    <w:p w14:paraId="416D0062" w14:textId="77777777" w:rsidR="0038485C" w:rsidRPr="0038485C" w:rsidRDefault="0038485C" w:rsidP="0038485C">
      <w:pPr>
        <w:pStyle w:val="Heading"/>
        <w:spacing w:line="360" w:lineRule="auto"/>
        <w:rPr>
          <w:rFonts w:ascii="Calibri" w:hAnsi="Calibri"/>
          <w:b/>
          <w:sz w:val="40"/>
          <w:szCs w:val="40"/>
        </w:rPr>
      </w:pPr>
    </w:p>
    <w:p w14:paraId="0DB483AD" w14:textId="77777777" w:rsidR="00062ACD" w:rsidRPr="001630E6" w:rsidRDefault="00062ACD" w:rsidP="001630E6">
      <w:pPr>
        <w:autoSpaceDE/>
        <w:autoSpaceDN/>
        <w:adjustRightInd/>
        <w:spacing w:after="0"/>
        <w:ind w:right="0"/>
        <w:rPr>
          <w:rFonts w:eastAsia="Calibri" w:cstheme="minorHAnsi"/>
          <w:sz w:val="20"/>
          <w:szCs w:val="20"/>
          <w:lang w:val="en-GB" w:eastAsia="en-AU"/>
        </w:rPr>
      </w:pPr>
    </w:p>
    <w:p w14:paraId="612C2FAE" w14:textId="77777777" w:rsidR="00354A67" w:rsidRPr="005A20FA" w:rsidRDefault="00354A67" w:rsidP="00974C50">
      <w:pPr>
        <w:pStyle w:val="AcknowledgementBeforespace"/>
        <w:spacing w:after="0"/>
        <w:ind w:right="0"/>
        <w:rPr>
          <w:b/>
        </w:rPr>
      </w:pPr>
      <w:r w:rsidRPr="005A20FA">
        <w:rPr>
          <w:b/>
        </w:rPr>
        <w:t>Acknowledgements</w:t>
      </w:r>
    </w:p>
    <w:p w14:paraId="1F08A88B" w14:textId="2C777AA3" w:rsidR="00D35781" w:rsidRDefault="00D35781" w:rsidP="00974C50">
      <w:pPr>
        <w:pStyle w:val="Acknowledgementtext"/>
        <w:spacing w:before="0"/>
        <w:ind w:right="0"/>
      </w:pPr>
      <w:r>
        <w:t>The research team is grateful to the many community sector managers</w:t>
      </w:r>
      <w:r w:rsidR="00CC222D">
        <w:t xml:space="preserve">, </w:t>
      </w:r>
      <w:r>
        <w:t>workers</w:t>
      </w:r>
      <w:r w:rsidR="00454AD7">
        <w:t xml:space="preserve">, government representatives and other </w:t>
      </w:r>
      <w:r w:rsidR="00CC222D">
        <w:t xml:space="preserve">informants </w:t>
      </w:r>
      <w:r>
        <w:t xml:space="preserve">who </w:t>
      </w:r>
      <w:r w:rsidR="00F14E46">
        <w:t xml:space="preserve">so generously </w:t>
      </w:r>
      <w:r w:rsidR="00CC222D">
        <w:t>provided input</w:t>
      </w:r>
      <w:r w:rsidR="00BD0960">
        <w:t>.</w:t>
      </w:r>
      <w:r>
        <w:t xml:space="preserve"> The </w:t>
      </w:r>
      <w:r w:rsidR="00BD347E" w:rsidRPr="00BD347E">
        <w:t>ACT</w:t>
      </w:r>
      <w:r w:rsidR="00BD347E">
        <w:t xml:space="preserve"> </w:t>
      </w:r>
      <w:r w:rsidR="00BD347E" w:rsidRPr="00BD347E">
        <w:t>Community Services Industry Strategy</w:t>
      </w:r>
      <w:r w:rsidR="00BD347E">
        <w:t xml:space="preserve"> Steering Group (ISSG)</w:t>
      </w:r>
      <w:r>
        <w:t xml:space="preserve"> provided expert guidance</w:t>
      </w:r>
      <w:r w:rsidR="00676035">
        <w:t xml:space="preserve"> and helped facilitate access to information, and the Australian Services Union helped </w:t>
      </w:r>
      <w:r w:rsidR="009F45BA">
        <w:t xml:space="preserve">organise </w:t>
      </w:r>
      <w:r w:rsidR="00676035">
        <w:t>the worker forum</w:t>
      </w:r>
      <w:r>
        <w:t xml:space="preserve">. </w:t>
      </w:r>
      <w:r w:rsidR="00F14E46">
        <w:t>Of course, t</w:t>
      </w:r>
      <w:r w:rsidR="00CC222D">
        <w:t xml:space="preserve">he opinions provided in the report are those of the authors. </w:t>
      </w:r>
    </w:p>
    <w:p w14:paraId="3C431332" w14:textId="77777777" w:rsidR="00354A67" w:rsidRDefault="00354A67" w:rsidP="00905774">
      <w:pPr>
        <w:pStyle w:val="Acknowledgement"/>
        <w:numPr>
          <w:ilvl w:val="0"/>
          <w:numId w:val="10"/>
        </w:numPr>
      </w:pPr>
    </w:p>
    <w:p w14:paraId="7444339C" w14:textId="0367B7CA" w:rsidR="00354A67" w:rsidRDefault="00354A67" w:rsidP="00905774">
      <w:pPr>
        <w:pStyle w:val="Acknowledgement"/>
        <w:numPr>
          <w:ilvl w:val="0"/>
          <w:numId w:val="10"/>
        </w:numPr>
      </w:pPr>
      <w:bookmarkStart w:id="1" w:name="_Ref471977316"/>
      <w:r w:rsidRPr="005A20FA">
        <w:rPr>
          <w:b/>
          <w:sz w:val="22"/>
        </w:rPr>
        <w:t>Research Team</w:t>
      </w:r>
      <w:r>
        <w:br/>
      </w:r>
      <w:bookmarkEnd w:id="1"/>
      <w:r w:rsidR="00EA72CB">
        <w:t xml:space="preserve">Natasha </w:t>
      </w:r>
      <w:proofErr w:type="spellStart"/>
      <w:r w:rsidR="00EA72CB">
        <w:t>Cortis</w:t>
      </w:r>
      <w:proofErr w:type="spellEnd"/>
      <w:r w:rsidR="00EA72CB">
        <w:t xml:space="preserve">, Megan </w:t>
      </w:r>
      <w:proofErr w:type="gramStart"/>
      <w:r w:rsidR="00EA72CB">
        <w:t>Blaxland</w:t>
      </w:r>
      <w:proofErr w:type="gramEnd"/>
      <w:r w:rsidR="00EA72CB">
        <w:t xml:space="preserve"> and Elizabeth Adamson</w:t>
      </w:r>
    </w:p>
    <w:p w14:paraId="777CEEB1" w14:textId="1D3F42AA" w:rsidR="00354A67" w:rsidRDefault="00354A67" w:rsidP="00905774">
      <w:pPr>
        <w:pStyle w:val="Acknowledgementtext"/>
        <w:numPr>
          <w:ilvl w:val="0"/>
          <w:numId w:val="10"/>
        </w:numPr>
        <w:tabs>
          <w:tab w:val="left" w:pos="357"/>
        </w:tabs>
        <w:ind w:right="0"/>
      </w:pPr>
      <w:r>
        <w:t>For further information:</w:t>
      </w:r>
      <w:r>
        <w:br/>
      </w:r>
      <w:r w:rsidR="00EA72CB">
        <w:t xml:space="preserve">Natasha </w:t>
      </w:r>
      <w:proofErr w:type="spellStart"/>
      <w:r w:rsidR="00EA72CB">
        <w:t>Cortis</w:t>
      </w:r>
      <w:proofErr w:type="spellEnd"/>
      <w:r>
        <w:t xml:space="preserve"> +61 2 9385 78</w:t>
      </w:r>
      <w:r w:rsidR="00EA72CB">
        <w:t>33</w:t>
      </w:r>
    </w:p>
    <w:p w14:paraId="0EDDE26E" w14:textId="77777777" w:rsidR="00354A67" w:rsidRDefault="00354A67" w:rsidP="00905774">
      <w:pPr>
        <w:pStyle w:val="AcknowledgementBold"/>
        <w:numPr>
          <w:ilvl w:val="0"/>
          <w:numId w:val="10"/>
        </w:numPr>
        <w:tabs>
          <w:tab w:val="left" w:pos="357"/>
        </w:tabs>
        <w:spacing w:after="0"/>
      </w:pPr>
      <w:r>
        <w:t>Social Policy Research Centre</w:t>
      </w:r>
    </w:p>
    <w:p w14:paraId="71445F9D" w14:textId="77777777" w:rsidR="00354A67" w:rsidRDefault="00354A67" w:rsidP="00974C50">
      <w:pPr>
        <w:pStyle w:val="Acknowledgementtext"/>
        <w:tabs>
          <w:tab w:val="clear" w:pos="360"/>
          <w:tab w:val="left" w:pos="357"/>
        </w:tabs>
        <w:spacing w:before="0" w:after="0"/>
        <w:ind w:right="0"/>
      </w:pPr>
      <w:r>
        <w:t xml:space="preserve">UNSW Sydney NSW 2052 Australia </w:t>
      </w:r>
    </w:p>
    <w:p w14:paraId="6714F914" w14:textId="77777777" w:rsidR="00354A67" w:rsidRDefault="00354A67" w:rsidP="00905774">
      <w:pPr>
        <w:pStyle w:val="Acknowledgementtext"/>
        <w:numPr>
          <w:ilvl w:val="0"/>
          <w:numId w:val="10"/>
        </w:numPr>
        <w:tabs>
          <w:tab w:val="left" w:pos="357"/>
        </w:tabs>
        <w:ind w:right="0"/>
        <w:contextualSpacing/>
      </w:pPr>
      <w:r>
        <w:t xml:space="preserve">T +61 2 9385 7800 </w:t>
      </w:r>
    </w:p>
    <w:p w14:paraId="2AA45599" w14:textId="77777777" w:rsidR="00354A67" w:rsidRDefault="00354A67" w:rsidP="00905774">
      <w:pPr>
        <w:pStyle w:val="Acknowledgementtext"/>
        <w:numPr>
          <w:ilvl w:val="0"/>
          <w:numId w:val="10"/>
        </w:numPr>
        <w:tabs>
          <w:tab w:val="left" w:pos="357"/>
        </w:tabs>
        <w:ind w:right="0"/>
        <w:contextualSpacing/>
      </w:pPr>
      <w:r>
        <w:t xml:space="preserve">F +61 2 9385 7838 </w:t>
      </w:r>
    </w:p>
    <w:p w14:paraId="7D74A68B" w14:textId="77777777" w:rsidR="00354A67" w:rsidRDefault="00354A67" w:rsidP="00905774">
      <w:pPr>
        <w:pStyle w:val="Acknowledgementtext"/>
        <w:numPr>
          <w:ilvl w:val="0"/>
          <w:numId w:val="10"/>
        </w:numPr>
        <w:tabs>
          <w:tab w:val="left" w:pos="357"/>
        </w:tabs>
        <w:ind w:right="0"/>
        <w:contextualSpacing/>
      </w:pPr>
      <w:r>
        <w:t xml:space="preserve">E </w:t>
      </w:r>
      <w:hyperlink r:id="rId18" w:history="1">
        <w:r w:rsidRPr="00397AEE">
          <w:rPr>
            <w:rStyle w:val="Hyperlink"/>
          </w:rPr>
          <w:t>sprc@unsw.edu.au</w:t>
        </w:r>
      </w:hyperlink>
      <w:r>
        <w:t xml:space="preserve"> </w:t>
      </w:r>
    </w:p>
    <w:p w14:paraId="7F262C23" w14:textId="77777777" w:rsidR="00354A67" w:rsidRDefault="00354A67" w:rsidP="00905774">
      <w:pPr>
        <w:pStyle w:val="Acknowledgementtext"/>
        <w:numPr>
          <w:ilvl w:val="0"/>
          <w:numId w:val="10"/>
        </w:numPr>
        <w:tabs>
          <w:tab w:val="left" w:pos="357"/>
        </w:tabs>
        <w:ind w:right="0"/>
      </w:pPr>
      <w:r>
        <w:t xml:space="preserve">W </w:t>
      </w:r>
      <w:hyperlink r:id="rId19" w:history="1">
        <w:r w:rsidR="00553C4E">
          <w:rPr>
            <w:rStyle w:val="Hyperlink"/>
          </w:rPr>
          <w:t>arts.unsw.edu.au/</w:t>
        </w:r>
        <w:proofErr w:type="spellStart"/>
        <w:r w:rsidR="00553C4E">
          <w:rPr>
            <w:rStyle w:val="Hyperlink"/>
          </w:rPr>
          <w:t>sprc</w:t>
        </w:r>
        <w:proofErr w:type="spellEnd"/>
      </w:hyperlink>
    </w:p>
    <w:p w14:paraId="76782E7A" w14:textId="77777777" w:rsidR="00354A67" w:rsidRPr="005A20FA" w:rsidRDefault="00354A67" w:rsidP="00974C50">
      <w:pPr>
        <w:spacing w:before="360"/>
        <w:ind w:right="0"/>
        <w:rPr>
          <w:sz w:val="20"/>
        </w:rPr>
      </w:pPr>
      <w:r>
        <w:rPr>
          <w:sz w:val="20"/>
        </w:rPr>
        <w:t xml:space="preserve">© UNSW </w:t>
      </w:r>
      <w:r w:rsidR="00553C4E">
        <w:rPr>
          <w:sz w:val="20"/>
        </w:rPr>
        <w:t>Sydney</w:t>
      </w:r>
      <w:r>
        <w:rPr>
          <w:sz w:val="20"/>
        </w:rPr>
        <w:t xml:space="preserve"> </w:t>
      </w:r>
      <w:r w:rsidR="00974C50">
        <w:rPr>
          <w:sz w:val="20"/>
        </w:rPr>
        <w:t>202</w:t>
      </w:r>
      <w:r w:rsidR="0018567E">
        <w:rPr>
          <w:sz w:val="20"/>
        </w:rPr>
        <w:t>1</w:t>
      </w:r>
    </w:p>
    <w:p w14:paraId="7B9BF095" w14:textId="706D0E62" w:rsidR="00354A67" w:rsidRDefault="00354A67" w:rsidP="00974C50">
      <w:pPr>
        <w:pStyle w:val="Acknowledgementtext"/>
        <w:ind w:right="0"/>
      </w:pPr>
      <w:r>
        <w:t xml:space="preserve">The Social Policy Research Centre is based in the Faculty of </w:t>
      </w:r>
      <w:r w:rsidR="00151519">
        <w:t>Arts, Design and Architecture</w:t>
      </w:r>
      <w:r>
        <w:t xml:space="preserve"> at UNSW Sydney. This report </w:t>
      </w:r>
      <w:r w:rsidR="00D35781">
        <w:t>was commissioned by the ACT Council of Social Service</w:t>
      </w:r>
      <w:r>
        <w:t>.</w:t>
      </w:r>
    </w:p>
    <w:p w14:paraId="730C425D" w14:textId="77777777" w:rsidR="00062ACD" w:rsidRPr="00676035" w:rsidRDefault="00062ACD" w:rsidP="00974C50">
      <w:pPr>
        <w:suppressAutoHyphens/>
        <w:spacing w:after="0" w:line="288" w:lineRule="auto"/>
        <w:ind w:right="0"/>
        <w:textAlignment w:val="center"/>
        <w:rPr>
          <w:rFonts w:eastAsia="Calibri" w:cstheme="minorHAnsi"/>
          <w:sz w:val="20"/>
          <w:szCs w:val="18"/>
          <w:lang w:val="en-GB" w:eastAsia="en-AU"/>
        </w:rPr>
      </w:pPr>
      <w:r w:rsidRPr="00676035">
        <w:rPr>
          <w:rFonts w:eastAsia="Calibri" w:cstheme="minorHAnsi"/>
          <w:sz w:val="20"/>
          <w:szCs w:val="18"/>
          <w:lang w:val="en-GB" w:eastAsia="en-AU"/>
        </w:rPr>
        <w:t>Suggested citation</w:t>
      </w:r>
      <w:r w:rsidR="00354A67" w:rsidRPr="00676035">
        <w:rPr>
          <w:rFonts w:eastAsia="Calibri" w:cstheme="minorHAnsi"/>
          <w:sz w:val="20"/>
          <w:szCs w:val="18"/>
          <w:lang w:val="en-GB" w:eastAsia="en-AU"/>
        </w:rPr>
        <w:t>:</w:t>
      </w:r>
    </w:p>
    <w:p w14:paraId="385AE844" w14:textId="51D5FF6A" w:rsidR="00062ACD" w:rsidRPr="00D36294" w:rsidRDefault="00676035" w:rsidP="00676035">
      <w:pPr>
        <w:pStyle w:val="BodyText"/>
        <w:rPr>
          <w:sz w:val="20"/>
          <w:szCs w:val="18"/>
        </w:rPr>
      </w:pPr>
      <w:proofErr w:type="spellStart"/>
      <w:r w:rsidRPr="00676035">
        <w:rPr>
          <w:sz w:val="20"/>
          <w:szCs w:val="18"/>
          <w:lang w:val="en-GB" w:eastAsia="en-AU"/>
        </w:rPr>
        <w:t>Cortis</w:t>
      </w:r>
      <w:proofErr w:type="spellEnd"/>
      <w:r w:rsidRPr="00676035">
        <w:rPr>
          <w:sz w:val="20"/>
          <w:szCs w:val="18"/>
          <w:lang w:val="en-GB" w:eastAsia="en-AU"/>
        </w:rPr>
        <w:t xml:space="preserve">, N., Blaxland, M. and Adamson, E. </w:t>
      </w:r>
      <w:r w:rsidR="00062ACD" w:rsidRPr="00676035">
        <w:rPr>
          <w:sz w:val="20"/>
          <w:szCs w:val="18"/>
          <w:lang w:val="en-GB" w:eastAsia="en-AU"/>
        </w:rPr>
        <w:t>(</w:t>
      </w:r>
      <w:r w:rsidR="00974C50" w:rsidRPr="00676035">
        <w:rPr>
          <w:sz w:val="20"/>
          <w:szCs w:val="18"/>
          <w:lang w:val="en-GB" w:eastAsia="en-AU"/>
        </w:rPr>
        <w:t>202</w:t>
      </w:r>
      <w:r w:rsidR="0018567E" w:rsidRPr="00676035">
        <w:rPr>
          <w:sz w:val="20"/>
          <w:szCs w:val="18"/>
          <w:lang w:val="en-GB" w:eastAsia="en-AU"/>
        </w:rPr>
        <w:t>1</w:t>
      </w:r>
      <w:r w:rsidR="00062ACD" w:rsidRPr="00676035">
        <w:rPr>
          <w:sz w:val="20"/>
          <w:szCs w:val="18"/>
          <w:lang w:val="en-GB" w:eastAsia="en-AU"/>
        </w:rPr>
        <w:t xml:space="preserve">). </w:t>
      </w:r>
      <w:r w:rsidRPr="00676035">
        <w:rPr>
          <w:i/>
          <w:sz w:val="20"/>
          <w:szCs w:val="18"/>
          <w:lang w:val="en-GB" w:eastAsia="en-AU"/>
        </w:rPr>
        <w:t xml:space="preserve">Counting the Costs: Sustainable funding for the ACT community services sector. </w:t>
      </w:r>
      <w:r w:rsidR="00062ACD" w:rsidRPr="00676035">
        <w:rPr>
          <w:sz w:val="20"/>
          <w:szCs w:val="18"/>
          <w:lang w:val="en-GB" w:eastAsia="en-AU"/>
        </w:rPr>
        <w:t xml:space="preserve">Sydney: </w:t>
      </w:r>
      <w:r w:rsidR="00294C47" w:rsidRPr="00676035">
        <w:rPr>
          <w:sz w:val="20"/>
          <w:szCs w:val="18"/>
          <w:lang w:val="en-GB" w:eastAsia="en-AU"/>
        </w:rPr>
        <w:t xml:space="preserve">UNSW </w:t>
      </w:r>
      <w:r w:rsidR="00062ACD" w:rsidRPr="00676035">
        <w:rPr>
          <w:sz w:val="20"/>
          <w:szCs w:val="18"/>
          <w:lang w:val="en-GB" w:eastAsia="en-AU"/>
        </w:rPr>
        <w:t>Social Policy Research Centre.</w:t>
      </w:r>
    </w:p>
    <w:p w14:paraId="128D438F" w14:textId="77777777" w:rsidR="0038485C" w:rsidRDefault="0038485C" w:rsidP="005E61EC">
      <w:pPr>
        <w:pStyle w:val="BodyText"/>
        <w:sectPr w:rsidR="0038485C" w:rsidSect="00974C50">
          <w:headerReference w:type="even" r:id="rId20"/>
          <w:footerReference w:type="even" r:id="rId21"/>
          <w:headerReference w:type="first" r:id="rId22"/>
          <w:footerReference w:type="first" r:id="rId23"/>
          <w:type w:val="continuous"/>
          <w:pgSz w:w="11906" w:h="16838"/>
          <w:pgMar w:top="1134" w:right="1134" w:bottom="1418" w:left="1134" w:header="992" w:footer="709" w:gutter="0"/>
          <w:pgNumType w:fmt="lowerRoman" w:start="1"/>
          <w:cols w:space="708"/>
          <w:titlePg/>
          <w:docGrid w:linePitch="360"/>
        </w:sectPr>
      </w:pPr>
    </w:p>
    <w:sdt>
      <w:sdtPr>
        <w:rPr>
          <w:rFonts w:asciiTheme="minorHAnsi" w:hAnsiTheme="minorHAnsi" w:cs="MetaPlusNormal-Roman"/>
          <w:sz w:val="24"/>
          <w:szCs w:val="24"/>
        </w:rPr>
        <w:id w:val="641859973"/>
        <w:docPartObj>
          <w:docPartGallery w:val="Table of Contents"/>
          <w:docPartUnique/>
        </w:docPartObj>
      </w:sdtPr>
      <w:sdtEndPr>
        <w:rPr>
          <w:b/>
          <w:bCs/>
          <w:noProof/>
        </w:rPr>
      </w:sdtEndPr>
      <w:sdtContent>
        <w:p w14:paraId="51C5F4B7" w14:textId="4785F9A0" w:rsidR="00D349D1" w:rsidRDefault="00D349D1">
          <w:pPr>
            <w:pStyle w:val="TOCHeading"/>
          </w:pPr>
          <w:r>
            <w:t>Contents</w:t>
          </w:r>
        </w:p>
        <w:p w14:paraId="0459DF38" w14:textId="441EC994" w:rsidR="007E776C" w:rsidRDefault="00D349D1">
          <w:pPr>
            <w:pStyle w:val="TOC1"/>
            <w:rPr>
              <w:rFonts w:eastAsiaTheme="minorEastAsia" w:cstheme="minorBidi"/>
              <w:color w:val="auto"/>
              <w:sz w:val="22"/>
              <w:szCs w:val="22"/>
              <w:lang w:eastAsia="en-AU"/>
            </w:rPr>
          </w:pPr>
          <w:r>
            <w:fldChar w:fldCharType="begin"/>
          </w:r>
          <w:r>
            <w:instrText xml:space="preserve"> TOC \o "1-3" \h \z \u </w:instrText>
          </w:r>
          <w:r>
            <w:fldChar w:fldCharType="separate"/>
          </w:r>
          <w:hyperlink w:anchor="_Toc90019539" w:history="1">
            <w:r w:rsidR="007E776C" w:rsidRPr="008A5BA0">
              <w:rPr>
                <w:rStyle w:val="Hyperlink"/>
              </w:rPr>
              <w:t>Figures</w:t>
            </w:r>
            <w:r w:rsidR="007E776C">
              <w:rPr>
                <w:webHidden/>
              </w:rPr>
              <w:tab/>
            </w:r>
            <w:r w:rsidR="007E776C">
              <w:rPr>
                <w:webHidden/>
              </w:rPr>
              <w:fldChar w:fldCharType="begin"/>
            </w:r>
            <w:r w:rsidR="007E776C">
              <w:rPr>
                <w:webHidden/>
              </w:rPr>
              <w:instrText xml:space="preserve"> PAGEREF _Toc90019539 \h </w:instrText>
            </w:r>
            <w:r w:rsidR="007E776C">
              <w:rPr>
                <w:webHidden/>
              </w:rPr>
            </w:r>
            <w:r w:rsidR="007E776C">
              <w:rPr>
                <w:webHidden/>
              </w:rPr>
              <w:fldChar w:fldCharType="separate"/>
            </w:r>
            <w:r w:rsidR="00E405AF">
              <w:rPr>
                <w:webHidden/>
              </w:rPr>
              <w:t>ii</w:t>
            </w:r>
            <w:r w:rsidR="007E776C">
              <w:rPr>
                <w:webHidden/>
              </w:rPr>
              <w:fldChar w:fldCharType="end"/>
            </w:r>
          </w:hyperlink>
        </w:p>
        <w:p w14:paraId="06D50A0A" w14:textId="2D6EA524" w:rsidR="007E776C" w:rsidRDefault="00B54793">
          <w:pPr>
            <w:pStyle w:val="TOC1"/>
            <w:rPr>
              <w:rFonts w:eastAsiaTheme="minorEastAsia" w:cstheme="minorBidi"/>
              <w:color w:val="auto"/>
              <w:sz w:val="22"/>
              <w:szCs w:val="22"/>
              <w:lang w:eastAsia="en-AU"/>
            </w:rPr>
          </w:pPr>
          <w:hyperlink w:anchor="_Toc90019540" w:history="1">
            <w:r w:rsidR="007E776C" w:rsidRPr="008A5BA0">
              <w:rPr>
                <w:rStyle w:val="Hyperlink"/>
              </w:rPr>
              <w:t>Tables</w:t>
            </w:r>
            <w:r w:rsidR="007E776C">
              <w:rPr>
                <w:webHidden/>
              </w:rPr>
              <w:tab/>
            </w:r>
            <w:r w:rsidR="007E776C">
              <w:rPr>
                <w:webHidden/>
              </w:rPr>
              <w:fldChar w:fldCharType="begin"/>
            </w:r>
            <w:r w:rsidR="007E776C">
              <w:rPr>
                <w:webHidden/>
              </w:rPr>
              <w:instrText xml:space="preserve"> PAGEREF _Toc90019540 \h </w:instrText>
            </w:r>
            <w:r w:rsidR="007E776C">
              <w:rPr>
                <w:webHidden/>
              </w:rPr>
            </w:r>
            <w:r w:rsidR="007E776C">
              <w:rPr>
                <w:webHidden/>
              </w:rPr>
              <w:fldChar w:fldCharType="separate"/>
            </w:r>
            <w:r w:rsidR="00E405AF">
              <w:rPr>
                <w:webHidden/>
              </w:rPr>
              <w:t>ii</w:t>
            </w:r>
            <w:r w:rsidR="007E776C">
              <w:rPr>
                <w:webHidden/>
              </w:rPr>
              <w:fldChar w:fldCharType="end"/>
            </w:r>
          </w:hyperlink>
        </w:p>
        <w:p w14:paraId="35EED8EE" w14:textId="1CE8D9B8" w:rsidR="007E776C" w:rsidRDefault="00B54793">
          <w:pPr>
            <w:pStyle w:val="TOC1"/>
            <w:rPr>
              <w:rFonts w:eastAsiaTheme="minorEastAsia" w:cstheme="minorBidi"/>
              <w:color w:val="auto"/>
              <w:sz w:val="22"/>
              <w:szCs w:val="22"/>
              <w:lang w:eastAsia="en-AU"/>
            </w:rPr>
          </w:pPr>
          <w:hyperlink w:anchor="_Toc90019541" w:history="1">
            <w:r w:rsidR="007E776C" w:rsidRPr="008A5BA0">
              <w:rPr>
                <w:rStyle w:val="Hyperlink"/>
              </w:rPr>
              <w:t>Glossary</w:t>
            </w:r>
            <w:r w:rsidR="007E776C">
              <w:rPr>
                <w:webHidden/>
              </w:rPr>
              <w:tab/>
            </w:r>
            <w:r w:rsidR="007E776C">
              <w:rPr>
                <w:webHidden/>
              </w:rPr>
              <w:fldChar w:fldCharType="begin"/>
            </w:r>
            <w:r w:rsidR="007E776C">
              <w:rPr>
                <w:webHidden/>
              </w:rPr>
              <w:instrText xml:space="preserve"> PAGEREF _Toc90019541 \h </w:instrText>
            </w:r>
            <w:r w:rsidR="007E776C">
              <w:rPr>
                <w:webHidden/>
              </w:rPr>
            </w:r>
            <w:r w:rsidR="007E776C">
              <w:rPr>
                <w:webHidden/>
              </w:rPr>
              <w:fldChar w:fldCharType="separate"/>
            </w:r>
            <w:r w:rsidR="00E405AF">
              <w:rPr>
                <w:webHidden/>
              </w:rPr>
              <w:t>iv</w:t>
            </w:r>
            <w:r w:rsidR="007E776C">
              <w:rPr>
                <w:webHidden/>
              </w:rPr>
              <w:fldChar w:fldCharType="end"/>
            </w:r>
          </w:hyperlink>
        </w:p>
        <w:p w14:paraId="2704FE40" w14:textId="757666D6" w:rsidR="007E776C" w:rsidRDefault="00B54793">
          <w:pPr>
            <w:pStyle w:val="TOC1"/>
            <w:rPr>
              <w:rFonts w:eastAsiaTheme="minorEastAsia" w:cstheme="minorBidi"/>
              <w:color w:val="auto"/>
              <w:sz w:val="22"/>
              <w:szCs w:val="22"/>
              <w:lang w:eastAsia="en-AU"/>
            </w:rPr>
          </w:pPr>
          <w:hyperlink w:anchor="_Toc90019542" w:history="1">
            <w:r w:rsidR="007E776C" w:rsidRPr="008A5BA0">
              <w:rPr>
                <w:rStyle w:val="Hyperlink"/>
              </w:rPr>
              <w:t>Executive Summary</w:t>
            </w:r>
            <w:r w:rsidR="007E776C">
              <w:rPr>
                <w:webHidden/>
              </w:rPr>
              <w:tab/>
            </w:r>
            <w:r w:rsidR="007E776C">
              <w:rPr>
                <w:webHidden/>
              </w:rPr>
              <w:fldChar w:fldCharType="begin"/>
            </w:r>
            <w:r w:rsidR="007E776C">
              <w:rPr>
                <w:webHidden/>
              </w:rPr>
              <w:instrText xml:space="preserve"> PAGEREF _Toc90019542 \h </w:instrText>
            </w:r>
            <w:r w:rsidR="007E776C">
              <w:rPr>
                <w:webHidden/>
              </w:rPr>
            </w:r>
            <w:r w:rsidR="007E776C">
              <w:rPr>
                <w:webHidden/>
              </w:rPr>
              <w:fldChar w:fldCharType="separate"/>
            </w:r>
            <w:r w:rsidR="00E405AF">
              <w:rPr>
                <w:webHidden/>
              </w:rPr>
              <w:t>1</w:t>
            </w:r>
            <w:r w:rsidR="007E776C">
              <w:rPr>
                <w:webHidden/>
              </w:rPr>
              <w:fldChar w:fldCharType="end"/>
            </w:r>
          </w:hyperlink>
        </w:p>
        <w:p w14:paraId="059AA449" w14:textId="683D99F4" w:rsidR="007E776C" w:rsidRDefault="00B54793">
          <w:pPr>
            <w:pStyle w:val="TOC1"/>
            <w:rPr>
              <w:rFonts w:eastAsiaTheme="minorEastAsia" w:cstheme="minorBidi"/>
              <w:color w:val="auto"/>
              <w:sz w:val="22"/>
              <w:szCs w:val="22"/>
              <w:lang w:eastAsia="en-AU"/>
            </w:rPr>
          </w:pPr>
          <w:hyperlink w:anchor="_Toc90019543" w:history="1">
            <w:r w:rsidR="007E776C" w:rsidRPr="008A5BA0">
              <w:rPr>
                <w:rStyle w:val="Hyperlink"/>
              </w:rPr>
              <w:t>1.</w:t>
            </w:r>
            <w:r w:rsidR="007E776C">
              <w:rPr>
                <w:rFonts w:eastAsiaTheme="minorEastAsia" w:cstheme="minorBidi"/>
                <w:color w:val="auto"/>
                <w:sz w:val="22"/>
                <w:szCs w:val="22"/>
                <w:lang w:eastAsia="en-AU"/>
              </w:rPr>
              <w:tab/>
            </w:r>
            <w:r w:rsidR="007E776C" w:rsidRPr="008A5BA0">
              <w:rPr>
                <w:rStyle w:val="Hyperlink"/>
              </w:rPr>
              <w:t>Introduction</w:t>
            </w:r>
            <w:r w:rsidR="007E776C">
              <w:rPr>
                <w:webHidden/>
              </w:rPr>
              <w:tab/>
            </w:r>
            <w:r w:rsidR="007E776C">
              <w:rPr>
                <w:webHidden/>
              </w:rPr>
              <w:fldChar w:fldCharType="begin"/>
            </w:r>
            <w:r w:rsidR="007E776C">
              <w:rPr>
                <w:webHidden/>
              </w:rPr>
              <w:instrText xml:space="preserve"> PAGEREF _Toc90019543 \h </w:instrText>
            </w:r>
            <w:r w:rsidR="007E776C">
              <w:rPr>
                <w:webHidden/>
              </w:rPr>
            </w:r>
            <w:r w:rsidR="007E776C">
              <w:rPr>
                <w:webHidden/>
              </w:rPr>
              <w:fldChar w:fldCharType="separate"/>
            </w:r>
            <w:r w:rsidR="00E405AF">
              <w:rPr>
                <w:webHidden/>
              </w:rPr>
              <w:t>6</w:t>
            </w:r>
            <w:r w:rsidR="007E776C">
              <w:rPr>
                <w:webHidden/>
              </w:rPr>
              <w:fldChar w:fldCharType="end"/>
            </w:r>
          </w:hyperlink>
        </w:p>
        <w:p w14:paraId="189D3F7E" w14:textId="4C883330" w:rsidR="007E776C" w:rsidRDefault="00B54793">
          <w:pPr>
            <w:pStyle w:val="TOC2"/>
            <w:rPr>
              <w:rFonts w:eastAsiaTheme="minorEastAsia" w:cstheme="minorBidi"/>
              <w:color w:val="auto"/>
              <w:sz w:val="22"/>
              <w:szCs w:val="22"/>
              <w:lang w:eastAsia="en-AU"/>
            </w:rPr>
          </w:pPr>
          <w:hyperlink w:anchor="_Toc90019544" w:history="1">
            <w:r w:rsidR="007E776C" w:rsidRPr="008A5BA0">
              <w:rPr>
                <w:rStyle w:val="Hyperlink"/>
              </w:rPr>
              <w:t>1.1</w:t>
            </w:r>
            <w:r w:rsidR="007E776C">
              <w:rPr>
                <w:rFonts w:eastAsiaTheme="minorEastAsia" w:cstheme="minorBidi"/>
                <w:color w:val="auto"/>
                <w:sz w:val="22"/>
                <w:szCs w:val="22"/>
                <w:lang w:eastAsia="en-AU"/>
              </w:rPr>
              <w:tab/>
            </w:r>
            <w:r w:rsidR="007E776C" w:rsidRPr="008A5BA0">
              <w:rPr>
                <w:rStyle w:val="Hyperlink"/>
              </w:rPr>
              <w:t>Background</w:t>
            </w:r>
            <w:r w:rsidR="007E776C">
              <w:rPr>
                <w:webHidden/>
              </w:rPr>
              <w:tab/>
            </w:r>
            <w:r w:rsidR="007E776C">
              <w:rPr>
                <w:webHidden/>
              </w:rPr>
              <w:fldChar w:fldCharType="begin"/>
            </w:r>
            <w:r w:rsidR="007E776C">
              <w:rPr>
                <w:webHidden/>
              </w:rPr>
              <w:instrText xml:space="preserve"> PAGEREF _Toc90019544 \h </w:instrText>
            </w:r>
            <w:r w:rsidR="007E776C">
              <w:rPr>
                <w:webHidden/>
              </w:rPr>
            </w:r>
            <w:r w:rsidR="007E776C">
              <w:rPr>
                <w:webHidden/>
              </w:rPr>
              <w:fldChar w:fldCharType="separate"/>
            </w:r>
            <w:r w:rsidR="00E405AF">
              <w:rPr>
                <w:webHidden/>
              </w:rPr>
              <w:t>7</w:t>
            </w:r>
            <w:r w:rsidR="007E776C">
              <w:rPr>
                <w:webHidden/>
              </w:rPr>
              <w:fldChar w:fldCharType="end"/>
            </w:r>
          </w:hyperlink>
        </w:p>
        <w:p w14:paraId="63997660" w14:textId="1FD17A5A" w:rsidR="007E776C" w:rsidRDefault="00B54793">
          <w:pPr>
            <w:pStyle w:val="TOC1"/>
            <w:rPr>
              <w:rFonts w:eastAsiaTheme="minorEastAsia" w:cstheme="minorBidi"/>
              <w:color w:val="auto"/>
              <w:sz w:val="22"/>
              <w:szCs w:val="22"/>
              <w:lang w:eastAsia="en-AU"/>
            </w:rPr>
          </w:pPr>
          <w:hyperlink w:anchor="_Toc90019545" w:history="1">
            <w:r w:rsidR="007E776C" w:rsidRPr="008A5BA0">
              <w:rPr>
                <w:rStyle w:val="Hyperlink"/>
              </w:rPr>
              <w:t>2.</w:t>
            </w:r>
            <w:r w:rsidR="007E776C">
              <w:rPr>
                <w:rFonts w:eastAsiaTheme="minorEastAsia" w:cstheme="minorBidi"/>
                <w:color w:val="auto"/>
                <w:sz w:val="22"/>
                <w:szCs w:val="22"/>
                <w:lang w:eastAsia="en-AU"/>
              </w:rPr>
              <w:tab/>
            </w:r>
            <w:r w:rsidR="007E776C" w:rsidRPr="008A5BA0">
              <w:rPr>
                <w:rStyle w:val="Hyperlink"/>
              </w:rPr>
              <w:t>Historical factors impacting on cost expectations</w:t>
            </w:r>
            <w:r w:rsidR="007E776C">
              <w:rPr>
                <w:webHidden/>
              </w:rPr>
              <w:tab/>
            </w:r>
            <w:r w:rsidR="007E776C">
              <w:rPr>
                <w:webHidden/>
              </w:rPr>
              <w:fldChar w:fldCharType="begin"/>
            </w:r>
            <w:r w:rsidR="007E776C">
              <w:rPr>
                <w:webHidden/>
              </w:rPr>
              <w:instrText xml:space="preserve"> PAGEREF _Toc90019545 \h </w:instrText>
            </w:r>
            <w:r w:rsidR="007E776C">
              <w:rPr>
                <w:webHidden/>
              </w:rPr>
            </w:r>
            <w:r w:rsidR="007E776C">
              <w:rPr>
                <w:webHidden/>
              </w:rPr>
              <w:fldChar w:fldCharType="separate"/>
            </w:r>
            <w:r w:rsidR="00E405AF">
              <w:rPr>
                <w:webHidden/>
              </w:rPr>
              <w:t>9</w:t>
            </w:r>
            <w:r w:rsidR="007E776C">
              <w:rPr>
                <w:webHidden/>
              </w:rPr>
              <w:fldChar w:fldCharType="end"/>
            </w:r>
          </w:hyperlink>
        </w:p>
        <w:p w14:paraId="115F2428" w14:textId="002A792F" w:rsidR="007E776C" w:rsidRDefault="00B54793">
          <w:pPr>
            <w:pStyle w:val="TOC2"/>
            <w:rPr>
              <w:rFonts w:eastAsiaTheme="minorEastAsia" w:cstheme="minorBidi"/>
              <w:color w:val="auto"/>
              <w:sz w:val="22"/>
              <w:szCs w:val="22"/>
              <w:lang w:eastAsia="en-AU"/>
            </w:rPr>
          </w:pPr>
          <w:hyperlink w:anchor="_Toc90019546" w:history="1">
            <w:r w:rsidR="007E776C" w:rsidRPr="008A5BA0">
              <w:rPr>
                <w:rStyle w:val="Hyperlink"/>
              </w:rPr>
              <w:t>2.1</w:t>
            </w:r>
            <w:r w:rsidR="007E776C">
              <w:rPr>
                <w:rFonts w:eastAsiaTheme="minorEastAsia" w:cstheme="minorBidi"/>
                <w:color w:val="auto"/>
                <w:sz w:val="22"/>
                <w:szCs w:val="22"/>
                <w:lang w:eastAsia="en-AU"/>
              </w:rPr>
              <w:tab/>
            </w:r>
            <w:r w:rsidR="007E776C" w:rsidRPr="008A5BA0">
              <w:rPr>
                <w:rStyle w:val="Hyperlink"/>
              </w:rPr>
              <w:t>Gender-based undervaluation</w:t>
            </w:r>
            <w:r w:rsidR="007E776C">
              <w:rPr>
                <w:webHidden/>
              </w:rPr>
              <w:tab/>
            </w:r>
            <w:r w:rsidR="007E776C">
              <w:rPr>
                <w:webHidden/>
              </w:rPr>
              <w:fldChar w:fldCharType="begin"/>
            </w:r>
            <w:r w:rsidR="007E776C">
              <w:rPr>
                <w:webHidden/>
              </w:rPr>
              <w:instrText xml:space="preserve"> PAGEREF _Toc90019546 \h </w:instrText>
            </w:r>
            <w:r w:rsidR="007E776C">
              <w:rPr>
                <w:webHidden/>
              </w:rPr>
            </w:r>
            <w:r w:rsidR="007E776C">
              <w:rPr>
                <w:webHidden/>
              </w:rPr>
              <w:fldChar w:fldCharType="separate"/>
            </w:r>
            <w:r w:rsidR="00E405AF">
              <w:rPr>
                <w:webHidden/>
              </w:rPr>
              <w:t>9</w:t>
            </w:r>
            <w:r w:rsidR="007E776C">
              <w:rPr>
                <w:webHidden/>
              </w:rPr>
              <w:fldChar w:fldCharType="end"/>
            </w:r>
          </w:hyperlink>
        </w:p>
        <w:p w14:paraId="09FADFDC" w14:textId="24D686E3" w:rsidR="007E776C" w:rsidRDefault="00B54793">
          <w:pPr>
            <w:pStyle w:val="TOC2"/>
            <w:rPr>
              <w:rFonts w:eastAsiaTheme="minorEastAsia" w:cstheme="minorBidi"/>
              <w:color w:val="auto"/>
              <w:sz w:val="22"/>
              <w:szCs w:val="22"/>
              <w:lang w:eastAsia="en-AU"/>
            </w:rPr>
          </w:pPr>
          <w:hyperlink w:anchor="_Toc90019547" w:history="1">
            <w:r w:rsidR="007E776C" w:rsidRPr="008A5BA0">
              <w:rPr>
                <w:rStyle w:val="Hyperlink"/>
              </w:rPr>
              <w:t>2.2</w:t>
            </w:r>
            <w:r w:rsidR="007E776C">
              <w:rPr>
                <w:rFonts w:eastAsiaTheme="minorEastAsia" w:cstheme="minorBidi"/>
                <w:color w:val="auto"/>
                <w:sz w:val="22"/>
                <w:szCs w:val="22"/>
                <w:lang w:eastAsia="en-AU"/>
              </w:rPr>
              <w:tab/>
            </w:r>
            <w:r w:rsidR="007E776C" w:rsidRPr="008A5BA0">
              <w:rPr>
                <w:rStyle w:val="Hyperlink"/>
              </w:rPr>
              <w:t>Expectations of low overheads</w:t>
            </w:r>
            <w:r w:rsidR="007E776C">
              <w:rPr>
                <w:webHidden/>
              </w:rPr>
              <w:tab/>
            </w:r>
            <w:r w:rsidR="007E776C">
              <w:rPr>
                <w:webHidden/>
              </w:rPr>
              <w:fldChar w:fldCharType="begin"/>
            </w:r>
            <w:r w:rsidR="007E776C">
              <w:rPr>
                <w:webHidden/>
              </w:rPr>
              <w:instrText xml:space="preserve"> PAGEREF _Toc90019547 \h </w:instrText>
            </w:r>
            <w:r w:rsidR="007E776C">
              <w:rPr>
                <w:webHidden/>
              </w:rPr>
            </w:r>
            <w:r w:rsidR="007E776C">
              <w:rPr>
                <w:webHidden/>
              </w:rPr>
              <w:fldChar w:fldCharType="separate"/>
            </w:r>
            <w:r w:rsidR="00E405AF">
              <w:rPr>
                <w:webHidden/>
              </w:rPr>
              <w:t>9</w:t>
            </w:r>
            <w:r w:rsidR="007E776C">
              <w:rPr>
                <w:webHidden/>
              </w:rPr>
              <w:fldChar w:fldCharType="end"/>
            </w:r>
          </w:hyperlink>
        </w:p>
        <w:p w14:paraId="786ABFC7" w14:textId="34FDBA34" w:rsidR="007E776C" w:rsidRDefault="00B54793">
          <w:pPr>
            <w:pStyle w:val="TOC2"/>
            <w:rPr>
              <w:rFonts w:eastAsiaTheme="minorEastAsia" w:cstheme="minorBidi"/>
              <w:color w:val="auto"/>
              <w:sz w:val="22"/>
              <w:szCs w:val="22"/>
              <w:lang w:eastAsia="en-AU"/>
            </w:rPr>
          </w:pPr>
          <w:hyperlink w:anchor="_Toc90019548" w:history="1">
            <w:r w:rsidR="007E776C" w:rsidRPr="008A5BA0">
              <w:rPr>
                <w:rStyle w:val="Hyperlink"/>
              </w:rPr>
              <w:t>2.3</w:t>
            </w:r>
            <w:r w:rsidR="007E776C">
              <w:rPr>
                <w:rFonts w:eastAsiaTheme="minorEastAsia" w:cstheme="minorBidi"/>
                <w:color w:val="auto"/>
                <w:sz w:val="22"/>
                <w:szCs w:val="22"/>
                <w:lang w:eastAsia="en-AU"/>
              </w:rPr>
              <w:tab/>
            </w:r>
            <w:r w:rsidR="007E776C" w:rsidRPr="008A5BA0">
              <w:rPr>
                <w:rStyle w:val="Hyperlink"/>
              </w:rPr>
              <w:t>Competitive funding models</w:t>
            </w:r>
            <w:r w:rsidR="007E776C">
              <w:rPr>
                <w:webHidden/>
              </w:rPr>
              <w:tab/>
            </w:r>
            <w:r w:rsidR="007E776C">
              <w:rPr>
                <w:webHidden/>
              </w:rPr>
              <w:fldChar w:fldCharType="begin"/>
            </w:r>
            <w:r w:rsidR="007E776C">
              <w:rPr>
                <w:webHidden/>
              </w:rPr>
              <w:instrText xml:space="preserve"> PAGEREF _Toc90019548 \h </w:instrText>
            </w:r>
            <w:r w:rsidR="007E776C">
              <w:rPr>
                <w:webHidden/>
              </w:rPr>
            </w:r>
            <w:r w:rsidR="007E776C">
              <w:rPr>
                <w:webHidden/>
              </w:rPr>
              <w:fldChar w:fldCharType="separate"/>
            </w:r>
            <w:r w:rsidR="00E405AF">
              <w:rPr>
                <w:webHidden/>
              </w:rPr>
              <w:t>10</w:t>
            </w:r>
            <w:r w:rsidR="007E776C">
              <w:rPr>
                <w:webHidden/>
              </w:rPr>
              <w:fldChar w:fldCharType="end"/>
            </w:r>
          </w:hyperlink>
        </w:p>
        <w:p w14:paraId="324C32B9" w14:textId="321F9CEC" w:rsidR="007E776C" w:rsidRDefault="00B54793">
          <w:pPr>
            <w:pStyle w:val="TOC2"/>
            <w:rPr>
              <w:rFonts w:eastAsiaTheme="minorEastAsia" w:cstheme="minorBidi"/>
              <w:color w:val="auto"/>
              <w:sz w:val="22"/>
              <w:szCs w:val="22"/>
              <w:lang w:eastAsia="en-AU"/>
            </w:rPr>
          </w:pPr>
          <w:hyperlink w:anchor="_Toc90019549" w:history="1">
            <w:r w:rsidR="007E776C" w:rsidRPr="008A5BA0">
              <w:rPr>
                <w:rStyle w:val="Hyperlink"/>
              </w:rPr>
              <w:t>2.4</w:t>
            </w:r>
            <w:r w:rsidR="007E776C">
              <w:rPr>
                <w:rFonts w:eastAsiaTheme="minorEastAsia" w:cstheme="minorBidi"/>
                <w:color w:val="auto"/>
                <w:sz w:val="22"/>
                <w:szCs w:val="22"/>
                <w:lang w:eastAsia="en-AU"/>
              </w:rPr>
              <w:tab/>
            </w:r>
            <w:r w:rsidR="007E776C" w:rsidRPr="008A5BA0">
              <w:rPr>
                <w:rStyle w:val="Hyperlink"/>
              </w:rPr>
              <w:t>Expectations that non-profits can cross-subsidise</w:t>
            </w:r>
            <w:r w:rsidR="007E776C">
              <w:rPr>
                <w:webHidden/>
              </w:rPr>
              <w:tab/>
            </w:r>
            <w:r w:rsidR="007E776C">
              <w:rPr>
                <w:webHidden/>
              </w:rPr>
              <w:fldChar w:fldCharType="begin"/>
            </w:r>
            <w:r w:rsidR="007E776C">
              <w:rPr>
                <w:webHidden/>
              </w:rPr>
              <w:instrText xml:space="preserve"> PAGEREF _Toc90019549 \h </w:instrText>
            </w:r>
            <w:r w:rsidR="007E776C">
              <w:rPr>
                <w:webHidden/>
              </w:rPr>
            </w:r>
            <w:r w:rsidR="007E776C">
              <w:rPr>
                <w:webHidden/>
              </w:rPr>
              <w:fldChar w:fldCharType="separate"/>
            </w:r>
            <w:r w:rsidR="00E405AF">
              <w:rPr>
                <w:webHidden/>
              </w:rPr>
              <w:t>10</w:t>
            </w:r>
            <w:r w:rsidR="007E776C">
              <w:rPr>
                <w:webHidden/>
              </w:rPr>
              <w:fldChar w:fldCharType="end"/>
            </w:r>
          </w:hyperlink>
        </w:p>
        <w:p w14:paraId="3042BFBF" w14:textId="36C3279D" w:rsidR="007E776C" w:rsidRDefault="00B54793">
          <w:pPr>
            <w:pStyle w:val="TOC1"/>
            <w:rPr>
              <w:rFonts w:eastAsiaTheme="minorEastAsia" w:cstheme="minorBidi"/>
              <w:color w:val="auto"/>
              <w:sz w:val="22"/>
              <w:szCs w:val="22"/>
              <w:lang w:eastAsia="en-AU"/>
            </w:rPr>
          </w:pPr>
          <w:hyperlink w:anchor="_Toc90019550" w:history="1">
            <w:r w:rsidR="007E776C" w:rsidRPr="008A5BA0">
              <w:rPr>
                <w:rStyle w:val="Hyperlink"/>
              </w:rPr>
              <w:t>3.</w:t>
            </w:r>
            <w:r w:rsidR="007E776C">
              <w:rPr>
                <w:rFonts w:eastAsiaTheme="minorEastAsia" w:cstheme="minorBidi"/>
                <w:color w:val="auto"/>
                <w:sz w:val="22"/>
                <w:szCs w:val="22"/>
                <w:lang w:eastAsia="en-AU"/>
              </w:rPr>
              <w:tab/>
            </w:r>
            <w:r w:rsidR="007E776C" w:rsidRPr="008A5BA0">
              <w:rPr>
                <w:rStyle w:val="Hyperlink"/>
              </w:rPr>
              <w:t>Increases in resource pressures since 2016</w:t>
            </w:r>
            <w:r w:rsidR="007E776C">
              <w:rPr>
                <w:webHidden/>
              </w:rPr>
              <w:tab/>
            </w:r>
            <w:r w:rsidR="007E776C">
              <w:rPr>
                <w:webHidden/>
              </w:rPr>
              <w:fldChar w:fldCharType="begin"/>
            </w:r>
            <w:r w:rsidR="007E776C">
              <w:rPr>
                <w:webHidden/>
              </w:rPr>
              <w:instrText xml:space="preserve"> PAGEREF _Toc90019550 \h </w:instrText>
            </w:r>
            <w:r w:rsidR="007E776C">
              <w:rPr>
                <w:webHidden/>
              </w:rPr>
            </w:r>
            <w:r w:rsidR="007E776C">
              <w:rPr>
                <w:webHidden/>
              </w:rPr>
              <w:fldChar w:fldCharType="separate"/>
            </w:r>
            <w:r w:rsidR="00E405AF">
              <w:rPr>
                <w:webHidden/>
              </w:rPr>
              <w:t>11</w:t>
            </w:r>
            <w:r w:rsidR="007E776C">
              <w:rPr>
                <w:webHidden/>
              </w:rPr>
              <w:fldChar w:fldCharType="end"/>
            </w:r>
          </w:hyperlink>
        </w:p>
        <w:p w14:paraId="0BC2C261" w14:textId="07039793" w:rsidR="007E776C" w:rsidRDefault="00B54793">
          <w:pPr>
            <w:pStyle w:val="TOC1"/>
            <w:rPr>
              <w:rFonts w:eastAsiaTheme="minorEastAsia" w:cstheme="minorBidi"/>
              <w:color w:val="auto"/>
              <w:sz w:val="22"/>
              <w:szCs w:val="22"/>
              <w:lang w:eastAsia="en-AU"/>
            </w:rPr>
          </w:pPr>
          <w:hyperlink w:anchor="_Toc90019551" w:history="1">
            <w:r w:rsidR="007E776C" w:rsidRPr="008A5BA0">
              <w:rPr>
                <w:rStyle w:val="Hyperlink"/>
              </w:rPr>
              <w:t>4.</w:t>
            </w:r>
            <w:r w:rsidR="007E776C">
              <w:rPr>
                <w:rFonts w:eastAsiaTheme="minorEastAsia" w:cstheme="minorBidi"/>
                <w:color w:val="auto"/>
                <w:sz w:val="22"/>
                <w:szCs w:val="22"/>
                <w:lang w:eastAsia="en-AU"/>
              </w:rPr>
              <w:tab/>
            </w:r>
            <w:r w:rsidR="007E776C" w:rsidRPr="008A5BA0">
              <w:rPr>
                <w:rStyle w:val="Hyperlink"/>
              </w:rPr>
              <w:t>A closer look at demand pressures in the ACT</w:t>
            </w:r>
            <w:r w:rsidR="007E776C">
              <w:rPr>
                <w:webHidden/>
              </w:rPr>
              <w:tab/>
            </w:r>
            <w:r w:rsidR="007E776C">
              <w:rPr>
                <w:webHidden/>
              </w:rPr>
              <w:fldChar w:fldCharType="begin"/>
            </w:r>
            <w:r w:rsidR="007E776C">
              <w:rPr>
                <w:webHidden/>
              </w:rPr>
              <w:instrText xml:space="preserve"> PAGEREF _Toc90019551 \h </w:instrText>
            </w:r>
            <w:r w:rsidR="007E776C">
              <w:rPr>
                <w:webHidden/>
              </w:rPr>
            </w:r>
            <w:r w:rsidR="007E776C">
              <w:rPr>
                <w:webHidden/>
              </w:rPr>
              <w:fldChar w:fldCharType="separate"/>
            </w:r>
            <w:r w:rsidR="00E405AF">
              <w:rPr>
                <w:webHidden/>
              </w:rPr>
              <w:t>13</w:t>
            </w:r>
            <w:r w:rsidR="007E776C">
              <w:rPr>
                <w:webHidden/>
              </w:rPr>
              <w:fldChar w:fldCharType="end"/>
            </w:r>
          </w:hyperlink>
        </w:p>
        <w:p w14:paraId="49A7BB5C" w14:textId="704FE36D" w:rsidR="007E776C" w:rsidRDefault="00B54793">
          <w:pPr>
            <w:pStyle w:val="TOC2"/>
            <w:rPr>
              <w:rFonts w:eastAsiaTheme="minorEastAsia" w:cstheme="minorBidi"/>
              <w:color w:val="auto"/>
              <w:sz w:val="22"/>
              <w:szCs w:val="22"/>
              <w:lang w:eastAsia="en-AU"/>
            </w:rPr>
          </w:pPr>
          <w:hyperlink w:anchor="_Toc90019552" w:history="1">
            <w:r w:rsidR="007E776C" w:rsidRPr="008A5BA0">
              <w:rPr>
                <w:rStyle w:val="Hyperlink"/>
              </w:rPr>
              <w:t>4.1</w:t>
            </w:r>
            <w:r w:rsidR="007E776C">
              <w:rPr>
                <w:rFonts w:eastAsiaTheme="minorEastAsia" w:cstheme="minorBidi"/>
                <w:color w:val="auto"/>
                <w:sz w:val="22"/>
                <w:szCs w:val="22"/>
                <w:lang w:eastAsia="en-AU"/>
              </w:rPr>
              <w:tab/>
            </w:r>
            <w:r w:rsidR="007E776C" w:rsidRPr="008A5BA0">
              <w:rPr>
                <w:rStyle w:val="Hyperlink"/>
              </w:rPr>
              <w:t>Population growth</w:t>
            </w:r>
            <w:r w:rsidR="007E776C">
              <w:rPr>
                <w:webHidden/>
              </w:rPr>
              <w:tab/>
            </w:r>
            <w:r w:rsidR="007E776C">
              <w:rPr>
                <w:webHidden/>
              </w:rPr>
              <w:fldChar w:fldCharType="begin"/>
            </w:r>
            <w:r w:rsidR="007E776C">
              <w:rPr>
                <w:webHidden/>
              </w:rPr>
              <w:instrText xml:space="preserve"> PAGEREF _Toc90019552 \h </w:instrText>
            </w:r>
            <w:r w:rsidR="007E776C">
              <w:rPr>
                <w:webHidden/>
              </w:rPr>
            </w:r>
            <w:r w:rsidR="007E776C">
              <w:rPr>
                <w:webHidden/>
              </w:rPr>
              <w:fldChar w:fldCharType="separate"/>
            </w:r>
            <w:r w:rsidR="00E405AF">
              <w:rPr>
                <w:webHidden/>
              </w:rPr>
              <w:t>13</w:t>
            </w:r>
            <w:r w:rsidR="007E776C">
              <w:rPr>
                <w:webHidden/>
              </w:rPr>
              <w:fldChar w:fldCharType="end"/>
            </w:r>
          </w:hyperlink>
        </w:p>
        <w:p w14:paraId="42CB9422" w14:textId="5115DC05" w:rsidR="007E776C" w:rsidRDefault="00B54793">
          <w:pPr>
            <w:pStyle w:val="TOC2"/>
            <w:rPr>
              <w:rFonts w:eastAsiaTheme="minorEastAsia" w:cstheme="minorBidi"/>
              <w:color w:val="auto"/>
              <w:sz w:val="22"/>
              <w:szCs w:val="22"/>
              <w:lang w:eastAsia="en-AU"/>
            </w:rPr>
          </w:pPr>
          <w:hyperlink w:anchor="_Toc90019553" w:history="1">
            <w:r w:rsidR="007E776C" w:rsidRPr="008A5BA0">
              <w:rPr>
                <w:rStyle w:val="Hyperlink"/>
              </w:rPr>
              <w:t>4.2</w:t>
            </w:r>
            <w:r w:rsidR="007E776C">
              <w:rPr>
                <w:rFonts w:eastAsiaTheme="minorEastAsia" w:cstheme="minorBidi"/>
                <w:color w:val="auto"/>
                <w:sz w:val="22"/>
                <w:szCs w:val="22"/>
                <w:lang w:eastAsia="en-AU"/>
              </w:rPr>
              <w:tab/>
            </w:r>
            <w:r w:rsidR="007E776C" w:rsidRPr="008A5BA0">
              <w:rPr>
                <w:rStyle w:val="Hyperlink"/>
              </w:rPr>
              <w:t>COVID-19 and increased support needs</w:t>
            </w:r>
            <w:r w:rsidR="007E776C">
              <w:rPr>
                <w:webHidden/>
              </w:rPr>
              <w:tab/>
            </w:r>
            <w:r w:rsidR="007E776C">
              <w:rPr>
                <w:webHidden/>
              </w:rPr>
              <w:fldChar w:fldCharType="begin"/>
            </w:r>
            <w:r w:rsidR="007E776C">
              <w:rPr>
                <w:webHidden/>
              </w:rPr>
              <w:instrText xml:space="preserve"> PAGEREF _Toc90019553 \h </w:instrText>
            </w:r>
            <w:r w:rsidR="007E776C">
              <w:rPr>
                <w:webHidden/>
              </w:rPr>
            </w:r>
            <w:r w:rsidR="007E776C">
              <w:rPr>
                <w:webHidden/>
              </w:rPr>
              <w:fldChar w:fldCharType="separate"/>
            </w:r>
            <w:r w:rsidR="00E405AF">
              <w:rPr>
                <w:webHidden/>
              </w:rPr>
              <w:t>13</w:t>
            </w:r>
            <w:r w:rsidR="007E776C">
              <w:rPr>
                <w:webHidden/>
              </w:rPr>
              <w:fldChar w:fldCharType="end"/>
            </w:r>
          </w:hyperlink>
        </w:p>
        <w:p w14:paraId="16FEC2C8" w14:textId="64907924" w:rsidR="007E776C" w:rsidRDefault="00B54793">
          <w:pPr>
            <w:pStyle w:val="TOC2"/>
            <w:rPr>
              <w:rFonts w:eastAsiaTheme="minorEastAsia" w:cstheme="minorBidi"/>
              <w:color w:val="auto"/>
              <w:sz w:val="22"/>
              <w:szCs w:val="22"/>
              <w:lang w:eastAsia="en-AU"/>
            </w:rPr>
          </w:pPr>
          <w:hyperlink w:anchor="_Toc90019554" w:history="1">
            <w:r w:rsidR="007E776C" w:rsidRPr="008A5BA0">
              <w:rPr>
                <w:rStyle w:val="Hyperlink"/>
              </w:rPr>
              <w:t>4.3</w:t>
            </w:r>
            <w:r w:rsidR="007E776C">
              <w:rPr>
                <w:rFonts w:eastAsiaTheme="minorEastAsia" w:cstheme="minorBidi"/>
                <w:color w:val="auto"/>
                <w:sz w:val="22"/>
                <w:szCs w:val="22"/>
                <w:lang w:eastAsia="en-AU"/>
              </w:rPr>
              <w:tab/>
            </w:r>
            <w:r w:rsidR="007E776C" w:rsidRPr="008A5BA0">
              <w:rPr>
                <w:rStyle w:val="Hyperlink"/>
              </w:rPr>
              <w:t>Rising living costs and financial stress</w:t>
            </w:r>
            <w:r w:rsidR="007E776C">
              <w:rPr>
                <w:webHidden/>
              </w:rPr>
              <w:tab/>
            </w:r>
            <w:r w:rsidR="007E776C">
              <w:rPr>
                <w:webHidden/>
              </w:rPr>
              <w:fldChar w:fldCharType="begin"/>
            </w:r>
            <w:r w:rsidR="007E776C">
              <w:rPr>
                <w:webHidden/>
              </w:rPr>
              <w:instrText xml:space="preserve"> PAGEREF _Toc90019554 \h </w:instrText>
            </w:r>
            <w:r w:rsidR="007E776C">
              <w:rPr>
                <w:webHidden/>
              </w:rPr>
            </w:r>
            <w:r w:rsidR="007E776C">
              <w:rPr>
                <w:webHidden/>
              </w:rPr>
              <w:fldChar w:fldCharType="separate"/>
            </w:r>
            <w:r w:rsidR="00E405AF">
              <w:rPr>
                <w:webHidden/>
              </w:rPr>
              <w:t>14</w:t>
            </w:r>
            <w:r w:rsidR="007E776C">
              <w:rPr>
                <w:webHidden/>
              </w:rPr>
              <w:fldChar w:fldCharType="end"/>
            </w:r>
          </w:hyperlink>
        </w:p>
        <w:p w14:paraId="468331BF" w14:textId="108E3915" w:rsidR="007E776C" w:rsidRDefault="00B54793">
          <w:pPr>
            <w:pStyle w:val="TOC2"/>
            <w:rPr>
              <w:rFonts w:eastAsiaTheme="minorEastAsia" w:cstheme="minorBidi"/>
              <w:color w:val="auto"/>
              <w:sz w:val="22"/>
              <w:szCs w:val="22"/>
              <w:lang w:eastAsia="en-AU"/>
            </w:rPr>
          </w:pPr>
          <w:hyperlink w:anchor="_Toc90019555" w:history="1">
            <w:r w:rsidR="007E776C" w:rsidRPr="008A5BA0">
              <w:rPr>
                <w:rStyle w:val="Hyperlink"/>
              </w:rPr>
              <w:t>4.4</w:t>
            </w:r>
            <w:r w:rsidR="007E776C">
              <w:rPr>
                <w:rFonts w:eastAsiaTheme="minorEastAsia" w:cstheme="minorBidi"/>
                <w:color w:val="auto"/>
                <w:sz w:val="22"/>
                <w:szCs w:val="22"/>
                <w:lang w:eastAsia="en-AU"/>
              </w:rPr>
              <w:tab/>
            </w:r>
            <w:r w:rsidR="007E776C" w:rsidRPr="008A5BA0">
              <w:rPr>
                <w:rStyle w:val="Hyperlink"/>
              </w:rPr>
              <w:t>Housing pressures and unmet need</w:t>
            </w:r>
            <w:r w:rsidR="007E776C">
              <w:rPr>
                <w:webHidden/>
              </w:rPr>
              <w:tab/>
            </w:r>
            <w:r w:rsidR="007E776C">
              <w:rPr>
                <w:webHidden/>
              </w:rPr>
              <w:fldChar w:fldCharType="begin"/>
            </w:r>
            <w:r w:rsidR="007E776C">
              <w:rPr>
                <w:webHidden/>
              </w:rPr>
              <w:instrText xml:space="preserve"> PAGEREF _Toc90019555 \h </w:instrText>
            </w:r>
            <w:r w:rsidR="007E776C">
              <w:rPr>
                <w:webHidden/>
              </w:rPr>
            </w:r>
            <w:r w:rsidR="007E776C">
              <w:rPr>
                <w:webHidden/>
              </w:rPr>
              <w:fldChar w:fldCharType="separate"/>
            </w:r>
            <w:r w:rsidR="00E405AF">
              <w:rPr>
                <w:webHidden/>
              </w:rPr>
              <w:t>14</w:t>
            </w:r>
            <w:r w:rsidR="007E776C">
              <w:rPr>
                <w:webHidden/>
              </w:rPr>
              <w:fldChar w:fldCharType="end"/>
            </w:r>
          </w:hyperlink>
        </w:p>
        <w:p w14:paraId="321843FB" w14:textId="52B3FD5D" w:rsidR="007E776C" w:rsidRDefault="00B54793">
          <w:pPr>
            <w:pStyle w:val="TOC2"/>
            <w:rPr>
              <w:rFonts w:eastAsiaTheme="minorEastAsia" w:cstheme="minorBidi"/>
              <w:color w:val="auto"/>
              <w:sz w:val="22"/>
              <w:szCs w:val="22"/>
              <w:lang w:eastAsia="en-AU"/>
            </w:rPr>
          </w:pPr>
          <w:hyperlink w:anchor="_Toc90019556" w:history="1">
            <w:r w:rsidR="007E776C" w:rsidRPr="008A5BA0">
              <w:rPr>
                <w:rStyle w:val="Hyperlink"/>
              </w:rPr>
              <w:t>4.5</w:t>
            </w:r>
            <w:r w:rsidR="007E776C">
              <w:rPr>
                <w:rFonts w:eastAsiaTheme="minorEastAsia" w:cstheme="minorBidi"/>
                <w:color w:val="auto"/>
                <w:sz w:val="22"/>
                <w:szCs w:val="22"/>
                <w:lang w:eastAsia="en-AU"/>
              </w:rPr>
              <w:tab/>
            </w:r>
            <w:r w:rsidR="007E776C" w:rsidRPr="008A5BA0">
              <w:rPr>
                <w:rStyle w:val="Hyperlink"/>
              </w:rPr>
              <w:t>Growing mental health needs</w:t>
            </w:r>
            <w:r w:rsidR="007E776C">
              <w:rPr>
                <w:webHidden/>
              </w:rPr>
              <w:tab/>
            </w:r>
            <w:r w:rsidR="007E776C">
              <w:rPr>
                <w:webHidden/>
              </w:rPr>
              <w:fldChar w:fldCharType="begin"/>
            </w:r>
            <w:r w:rsidR="007E776C">
              <w:rPr>
                <w:webHidden/>
              </w:rPr>
              <w:instrText xml:space="preserve"> PAGEREF _Toc90019556 \h </w:instrText>
            </w:r>
            <w:r w:rsidR="007E776C">
              <w:rPr>
                <w:webHidden/>
              </w:rPr>
            </w:r>
            <w:r w:rsidR="007E776C">
              <w:rPr>
                <w:webHidden/>
              </w:rPr>
              <w:fldChar w:fldCharType="separate"/>
            </w:r>
            <w:r w:rsidR="00E405AF">
              <w:rPr>
                <w:webHidden/>
              </w:rPr>
              <w:t>15</w:t>
            </w:r>
            <w:r w:rsidR="007E776C">
              <w:rPr>
                <w:webHidden/>
              </w:rPr>
              <w:fldChar w:fldCharType="end"/>
            </w:r>
          </w:hyperlink>
        </w:p>
        <w:p w14:paraId="67F4B49F" w14:textId="055FACCE" w:rsidR="007E776C" w:rsidRDefault="00B54793">
          <w:pPr>
            <w:pStyle w:val="TOC2"/>
            <w:rPr>
              <w:rFonts w:eastAsiaTheme="minorEastAsia" w:cstheme="minorBidi"/>
              <w:color w:val="auto"/>
              <w:sz w:val="22"/>
              <w:szCs w:val="22"/>
              <w:lang w:eastAsia="en-AU"/>
            </w:rPr>
          </w:pPr>
          <w:hyperlink w:anchor="_Toc90019557" w:history="1">
            <w:r w:rsidR="007E776C" w:rsidRPr="008A5BA0">
              <w:rPr>
                <w:rStyle w:val="Hyperlink"/>
              </w:rPr>
              <w:t>4.6</w:t>
            </w:r>
            <w:r w:rsidR="007E776C">
              <w:rPr>
                <w:rFonts w:eastAsiaTheme="minorEastAsia" w:cstheme="minorBidi"/>
                <w:color w:val="auto"/>
                <w:sz w:val="22"/>
                <w:szCs w:val="22"/>
                <w:lang w:eastAsia="en-AU"/>
              </w:rPr>
              <w:tab/>
            </w:r>
            <w:r w:rsidR="007E776C" w:rsidRPr="008A5BA0">
              <w:rPr>
                <w:rStyle w:val="Hyperlink"/>
              </w:rPr>
              <w:t>Complex need among children and families</w:t>
            </w:r>
            <w:r w:rsidR="007E776C">
              <w:rPr>
                <w:webHidden/>
              </w:rPr>
              <w:tab/>
            </w:r>
            <w:r w:rsidR="007E776C">
              <w:rPr>
                <w:webHidden/>
              </w:rPr>
              <w:fldChar w:fldCharType="begin"/>
            </w:r>
            <w:r w:rsidR="007E776C">
              <w:rPr>
                <w:webHidden/>
              </w:rPr>
              <w:instrText xml:space="preserve"> PAGEREF _Toc90019557 \h </w:instrText>
            </w:r>
            <w:r w:rsidR="007E776C">
              <w:rPr>
                <w:webHidden/>
              </w:rPr>
            </w:r>
            <w:r w:rsidR="007E776C">
              <w:rPr>
                <w:webHidden/>
              </w:rPr>
              <w:fldChar w:fldCharType="separate"/>
            </w:r>
            <w:r w:rsidR="00E405AF">
              <w:rPr>
                <w:webHidden/>
              </w:rPr>
              <w:t>16</w:t>
            </w:r>
            <w:r w:rsidR="007E776C">
              <w:rPr>
                <w:webHidden/>
              </w:rPr>
              <w:fldChar w:fldCharType="end"/>
            </w:r>
          </w:hyperlink>
        </w:p>
        <w:p w14:paraId="31C219B2" w14:textId="1F540901" w:rsidR="007E776C" w:rsidRDefault="00B54793">
          <w:pPr>
            <w:pStyle w:val="TOC1"/>
            <w:rPr>
              <w:rFonts w:eastAsiaTheme="minorEastAsia" w:cstheme="minorBidi"/>
              <w:color w:val="auto"/>
              <w:sz w:val="22"/>
              <w:szCs w:val="22"/>
              <w:lang w:eastAsia="en-AU"/>
            </w:rPr>
          </w:pPr>
          <w:hyperlink w:anchor="_Toc90019558" w:history="1">
            <w:r w:rsidR="007E776C" w:rsidRPr="008A5BA0">
              <w:rPr>
                <w:rStyle w:val="Hyperlink"/>
              </w:rPr>
              <w:t>5.</w:t>
            </w:r>
            <w:r w:rsidR="007E776C">
              <w:rPr>
                <w:rFonts w:eastAsiaTheme="minorEastAsia" w:cstheme="minorBidi"/>
                <w:color w:val="auto"/>
                <w:sz w:val="22"/>
                <w:szCs w:val="22"/>
                <w:lang w:eastAsia="en-AU"/>
              </w:rPr>
              <w:tab/>
            </w:r>
            <w:r w:rsidR="007E776C" w:rsidRPr="008A5BA0">
              <w:rPr>
                <w:rStyle w:val="Hyperlink"/>
              </w:rPr>
              <w:t>A closer look at cost pressures in the ACT</w:t>
            </w:r>
            <w:r w:rsidR="007E776C">
              <w:rPr>
                <w:webHidden/>
              </w:rPr>
              <w:tab/>
            </w:r>
            <w:r w:rsidR="007E776C">
              <w:rPr>
                <w:webHidden/>
              </w:rPr>
              <w:fldChar w:fldCharType="begin"/>
            </w:r>
            <w:r w:rsidR="007E776C">
              <w:rPr>
                <w:webHidden/>
              </w:rPr>
              <w:instrText xml:space="preserve"> PAGEREF _Toc90019558 \h </w:instrText>
            </w:r>
            <w:r w:rsidR="007E776C">
              <w:rPr>
                <w:webHidden/>
              </w:rPr>
            </w:r>
            <w:r w:rsidR="007E776C">
              <w:rPr>
                <w:webHidden/>
              </w:rPr>
              <w:fldChar w:fldCharType="separate"/>
            </w:r>
            <w:r w:rsidR="00E405AF">
              <w:rPr>
                <w:webHidden/>
              </w:rPr>
              <w:t>18</w:t>
            </w:r>
            <w:r w:rsidR="007E776C">
              <w:rPr>
                <w:webHidden/>
              </w:rPr>
              <w:fldChar w:fldCharType="end"/>
            </w:r>
          </w:hyperlink>
        </w:p>
        <w:p w14:paraId="7E6084A5" w14:textId="34BEAC79" w:rsidR="007E776C" w:rsidRDefault="00B54793">
          <w:pPr>
            <w:pStyle w:val="TOC2"/>
            <w:rPr>
              <w:rFonts w:eastAsiaTheme="minorEastAsia" w:cstheme="minorBidi"/>
              <w:color w:val="auto"/>
              <w:sz w:val="22"/>
              <w:szCs w:val="22"/>
              <w:lang w:eastAsia="en-AU"/>
            </w:rPr>
          </w:pPr>
          <w:hyperlink w:anchor="_Toc90019559" w:history="1">
            <w:r w:rsidR="007E776C" w:rsidRPr="008A5BA0">
              <w:rPr>
                <w:rStyle w:val="Hyperlink"/>
              </w:rPr>
              <w:t>5.1</w:t>
            </w:r>
            <w:r w:rsidR="007E776C">
              <w:rPr>
                <w:rFonts w:eastAsiaTheme="minorEastAsia" w:cstheme="minorBidi"/>
                <w:color w:val="auto"/>
                <w:sz w:val="22"/>
                <w:szCs w:val="22"/>
                <w:lang w:eastAsia="en-AU"/>
              </w:rPr>
              <w:tab/>
            </w:r>
            <w:r w:rsidR="007E776C" w:rsidRPr="008A5BA0">
              <w:rPr>
                <w:rStyle w:val="Hyperlink"/>
              </w:rPr>
              <w:t>Employment and wages costs</w:t>
            </w:r>
            <w:r w:rsidR="007E776C">
              <w:rPr>
                <w:webHidden/>
              </w:rPr>
              <w:tab/>
            </w:r>
            <w:r w:rsidR="007E776C">
              <w:rPr>
                <w:webHidden/>
              </w:rPr>
              <w:fldChar w:fldCharType="begin"/>
            </w:r>
            <w:r w:rsidR="007E776C">
              <w:rPr>
                <w:webHidden/>
              </w:rPr>
              <w:instrText xml:space="preserve"> PAGEREF _Toc90019559 \h </w:instrText>
            </w:r>
            <w:r w:rsidR="007E776C">
              <w:rPr>
                <w:webHidden/>
              </w:rPr>
            </w:r>
            <w:r w:rsidR="007E776C">
              <w:rPr>
                <w:webHidden/>
              </w:rPr>
              <w:fldChar w:fldCharType="separate"/>
            </w:r>
            <w:r w:rsidR="00E405AF">
              <w:rPr>
                <w:webHidden/>
              </w:rPr>
              <w:t>18</w:t>
            </w:r>
            <w:r w:rsidR="007E776C">
              <w:rPr>
                <w:webHidden/>
              </w:rPr>
              <w:fldChar w:fldCharType="end"/>
            </w:r>
          </w:hyperlink>
        </w:p>
        <w:p w14:paraId="57CDBCFA" w14:textId="0F713507" w:rsidR="007E776C" w:rsidRDefault="00B54793">
          <w:pPr>
            <w:pStyle w:val="TOC2"/>
            <w:rPr>
              <w:rFonts w:eastAsiaTheme="minorEastAsia" w:cstheme="minorBidi"/>
              <w:color w:val="auto"/>
              <w:sz w:val="22"/>
              <w:szCs w:val="22"/>
              <w:lang w:eastAsia="en-AU"/>
            </w:rPr>
          </w:pPr>
          <w:hyperlink w:anchor="_Toc90019560" w:history="1">
            <w:r w:rsidR="007E776C" w:rsidRPr="008A5BA0">
              <w:rPr>
                <w:rStyle w:val="Hyperlink"/>
              </w:rPr>
              <w:t>5.2</w:t>
            </w:r>
            <w:r w:rsidR="007E776C">
              <w:rPr>
                <w:rFonts w:eastAsiaTheme="minorEastAsia" w:cstheme="minorBidi"/>
                <w:color w:val="auto"/>
                <w:sz w:val="22"/>
                <w:szCs w:val="22"/>
                <w:lang w:eastAsia="en-AU"/>
              </w:rPr>
              <w:tab/>
            </w:r>
            <w:r w:rsidR="007E776C" w:rsidRPr="008A5BA0">
              <w:rPr>
                <w:rStyle w:val="Hyperlink"/>
              </w:rPr>
              <w:t>Sector experiences of employment cost pressures</w:t>
            </w:r>
            <w:r w:rsidR="007E776C">
              <w:rPr>
                <w:webHidden/>
              </w:rPr>
              <w:tab/>
            </w:r>
            <w:r w:rsidR="007E776C">
              <w:rPr>
                <w:webHidden/>
              </w:rPr>
              <w:fldChar w:fldCharType="begin"/>
            </w:r>
            <w:r w:rsidR="007E776C">
              <w:rPr>
                <w:webHidden/>
              </w:rPr>
              <w:instrText xml:space="preserve"> PAGEREF _Toc90019560 \h </w:instrText>
            </w:r>
            <w:r w:rsidR="007E776C">
              <w:rPr>
                <w:webHidden/>
              </w:rPr>
            </w:r>
            <w:r w:rsidR="007E776C">
              <w:rPr>
                <w:webHidden/>
              </w:rPr>
              <w:fldChar w:fldCharType="separate"/>
            </w:r>
            <w:r w:rsidR="00E405AF">
              <w:rPr>
                <w:webHidden/>
              </w:rPr>
              <w:t>19</w:t>
            </w:r>
            <w:r w:rsidR="007E776C">
              <w:rPr>
                <w:webHidden/>
              </w:rPr>
              <w:fldChar w:fldCharType="end"/>
            </w:r>
          </w:hyperlink>
        </w:p>
        <w:p w14:paraId="0AD7B996" w14:textId="3B3C0FB6" w:rsidR="007E776C" w:rsidRDefault="00B54793">
          <w:pPr>
            <w:pStyle w:val="TOC2"/>
            <w:rPr>
              <w:rFonts w:eastAsiaTheme="minorEastAsia" w:cstheme="minorBidi"/>
              <w:color w:val="auto"/>
              <w:sz w:val="22"/>
              <w:szCs w:val="22"/>
              <w:lang w:eastAsia="en-AU"/>
            </w:rPr>
          </w:pPr>
          <w:hyperlink w:anchor="_Toc90019561" w:history="1">
            <w:r w:rsidR="007E776C" w:rsidRPr="008A5BA0">
              <w:rPr>
                <w:rStyle w:val="Hyperlink"/>
              </w:rPr>
              <w:t>5.3</w:t>
            </w:r>
            <w:r w:rsidR="007E776C">
              <w:rPr>
                <w:rFonts w:eastAsiaTheme="minorEastAsia" w:cstheme="minorBidi"/>
                <w:color w:val="auto"/>
                <w:sz w:val="22"/>
                <w:szCs w:val="22"/>
                <w:lang w:eastAsia="en-AU"/>
              </w:rPr>
              <w:tab/>
            </w:r>
            <w:r w:rsidR="007E776C" w:rsidRPr="008A5BA0">
              <w:rPr>
                <w:rStyle w:val="Hyperlink"/>
              </w:rPr>
              <w:t>Advocacy, access and engagement costs</w:t>
            </w:r>
            <w:r w:rsidR="007E776C">
              <w:rPr>
                <w:webHidden/>
              </w:rPr>
              <w:tab/>
            </w:r>
            <w:r w:rsidR="007E776C">
              <w:rPr>
                <w:webHidden/>
              </w:rPr>
              <w:fldChar w:fldCharType="begin"/>
            </w:r>
            <w:r w:rsidR="007E776C">
              <w:rPr>
                <w:webHidden/>
              </w:rPr>
              <w:instrText xml:space="preserve"> PAGEREF _Toc90019561 \h </w:instrText>
            </w:r>
            <w:r w:rsidR="007E776C">
              <w:rPr>
                <w:webHidden/>
              </w:rPr>
            </w:r>
            <w:r w:rsidR="007E776C">
              <w:rPr>
                <w:webHidden/>
              </w:rPr>
              <w:fldChar w:fldCharType="separate"/>
            </w:r>
            <w:r w:rsidR="00E405AF">
              <w:rPr>
                <w:webHidden/>
              </w:rPr>
              <w:t>22</w:t>
            </w:r>
            <w:r w:rsidR="007E776C">
              <w:rPr>
                <w:webHidden/>
              </w:rPr>
              <w:fldChar w:fldCharType="end"/>
            </w:r>
          </w:hyperlink>
        </w:p>
        <w:p w14:paraId="10F75F26" w14:textId="7446B8F4" w:rsidR="007E776C" w:rsidRDefault="00B54793">
          <w:pPr>
            <w:pStyle w:val="TOC2"/>
            <w:rPr>
              <w:rFonts w:eastAsiaTheme="minorEastAsia" w:cstheme="minorBidi"/>
              <w:color w:val="auto"/>
              <w:sz w:val="22"/>
              <w:szCs w:val="22"/>
              <w:lang w:eastAsia="en-AU"/>
            </w:rPr>
          </w:pPr>
          <w:hyperlink w:anchor="_Toc90019562" w:history="1">
            <w:r w:rsidR="007E776C" w:rsidRPr="008A5BA0">
              <w:rPr>
                <w:rStyle w:val="Hyperlink"/>
              </w:rPr>
              <w:t>5.4</w:t>
            </w:r>
            <w:r w:rsidR="007E776C">
              <w:rPr>
                <w:rFonts w:eastAsiaTheme="minorEastAsia" w:cstheme="minorBidi"/>
                <w:color w:val="auto"/>
                <w:sz w:val="22"/>
                <w:szCs w:val="22"/>
                <w:lang w:eastAsia="en-AU"/>
              </w:rPr>
              <w:tab/>
            </w:r>
            <w:r w:rsidR="007E776C" w:rsidRPr="008A5BA0">
              <w:rPr>
                <w:rStyle w:val="Hyperlink"/>
              </w:rPr>
              <w:t>Business overheads and infrastructure costs</w:t>
            </w:r>
            <w:r w:rsidR="007E776C">
              <w:rPr>
                <w:webHidden/>
              </w:rPr>
              <w:tab/>
            </w:r>
            <w:r w:rsidR="007E776C">
              <w:rPr>
                <w:webHidden/>
              </w:rPr>
              <w:fldChar w:fldCharType="begin"/>
            </w:r>
            <w:r w:rsidR="007E776C">
              <w:rPr>
                <w:webHidden/>
              </w:rPr>
              <w:instrText xml:space="preserve"> PAGEREF _Toc90019562 \h </w:instrText>
            </w:r>
            <w:r w:rsidR="007E776C">
              <w:rPr>
                <w:webHidden/>
              </w:rPr>
            </w:r>
            <w:r w:rsidR="007E776C">
              <w:rPr>
                <w:webHidden/>
              </w:rPr>
              <w:fldChar w:fldCharType="separate"/>
            </w:r>
            <w:r w:rsidR="00E405AF">
              <w:rPr>
                <w:webHidden/>
              </w:rPr>
              <w:t>24</w:t>
            </w:r>
            <w:r w:rsidR="007E776C">
              <w:rPr>
                <w:webHidden/>
              </w:rPr>
              <w:fldChar w:fldCharType="end"/>
            </w:r>
          </w:hyperlink>
        </w:p>
        <w:p w14:paraId="7D09FC5C" w14:textId="1FB0C672" w:rsidR="007E776C" w:rsidRDefault="00B54793">
          <w:pPr>
            <w:pStyle w:val="TOC2"/>
            <w:rPr>
              <w:rFonts w:eastAsiaTheme="minorEastAsia" w:cstheme="minorBidi"/>
              <w:color w:val="auto"/>
              <w:sz w:val="22"/>
              <w:szCs w:val="22"/>
              <w:lang w:eastAsia="en-AU"/>
            </w:rPr>
          </w:pPr>
          <w:hyperlink w:anchor="_Toc90019563" w:history="1">
            <w:r w:rsidR="007E776C" w:rsidRPr="008A5BA0">
              <w:rPr>
                <w:rStyle w:val="Hyperlink"/>
              </w:rPr>
              <w:t>5.5</w:t>
            </w:r>
            <w:r w:rsidR="007E776C">
              <w:rPr>
                <w:rFonts w:eastAsiaTheme="minorEastAsia" w:cstheme="minorBidi"/>
                <w:color w:val="auto"/>
                <w:sz w:val="22"/>
                <w:szCs w:val="22"/>
                <w:lang w:eastAsia="en-AU"/>
              </w:rPr>
              <w:tab/>
            </w:r>
            <w:r w:rsidR="007E776C" w:rsidRPr="008A5BA0">
              <w:rPr>
                <w:rStyle w:val="Hyperlink"/>
              </w:rPr>
              <w:t>Evaluation, reporting and governance</w:t>
            </w:r>
            <w:r w:rsidR="007E776C">
              <w:rPr>
                <w:webHidden/>
              </w:rPr>
              <w:tab/>
            </w:r>
            <w:r w:rsidR="007E776C">
              <w:rPr>
                <w:webHidden/>
              </w:rPr>
              <w:fldChar w:fldCharType="begin"/>
            </w:r>
            <w:r w:rsidR="007E776C">
              <w:rPr>
                <w:webHidden/>
              </w:rPr>
              <w:instrText xml:space="preserve"> PAGEREF _Toc90019563 \h </w:instrText>
            </w:r>
            <w:r w:rsidR="007E776C">
              <w:rPr>
                <w:webHidden/>
              </w:rPr>
            </w:r>
            <w:r w:rsidR="007E776C">
              <w:rPr>
                <w:webHidden/>
              </w:rPr>
              <w:fldChar w:fldCharType="separate"/>
            </w:r>
            <w:r w:rsidR="00E405AF">
              <w:rPr>
                <w:webHidden/>
              </w:rPr>
              <w:t>27</w:t>
            </w:r>
            <w:r w:rsidR="007E776C">
              <w:rPr>
                <w:webHidden/>
              </w:rPr>
              <w:fldChar w:fldCharType="end"/>
            </w:r>
          </w:hyperlink>
        </w:p>
        <w:p w14:paraId="0323412C" w14:textId="7E95FB67" w:rsidR="007E776C" w:rsidRDefault="00B54793">
          <w:pPr>
            <w:pStyle w:val="TOC2"/>
            <w:rPr>
              <w:rFonts w:eastAsiaTheme="minorEastAsia" w:cstheme="minorBidi"/>
              <w:color w:val="auto"/>
              <w:sz w:val="22"/>
              <w:szCs w:val="22"/>
              <w:lang w:eastAsia="en-AU"/>
            </w:rPr>
          </w:pPr>
          <w:hyperlink w:anchor="_Toc90019564" w:history="1">
            <w:r w:rsidR="007E776C" w:rsidRPr="008A5BA0">
              <w:rPr>
                <w:rStyle w:val="Hyperlink"/>
              </w:rPr>
              <w:t>5.6</w:t>
            </w:r>
            <w:r w:rsidR="007E776C">
              <w:rPr>
                <w:rFonts w:eastAsiaTheme="minorEastAsia" w:cstheme="minorBidi"/>
                <w:color w:val="auto"/>
                <w:sz w:val="22"/>
                <w:szCs w:val="22"/>
                <w:lang w:eastAsia="en-AU"/>
              </w:rPr>
              <w:tab/>
            </w:r>
            <w:r w:rsidR="007E776C" w:rsidRPr="008A5BA0">
              <w:rPr>
                <w:rStyle w:val="Hyperlink"/>
              </w:rPr>
              <w:t>Unquantified activities in funding agreements</w:t>
            </w:r>
            <w:r w:rsidR="007E776C">
              <w:rPr>
                <w:webHidden/>
              </w:rPr>
              <w:tab/>
            </w:r>
            <w:r w:rsidR="007E776C">
              <w:rPr>
                <w:webHidden/>
              </w:rPr>
              <w:fldChar w:fldCharType="begin"/>
            </w:r>
            <w:r w:rsidR="007E776C">
              <w:rPr>
                <w:webHidden/>
              </w:rPr>
              <w:instrText xml:space="preserve"> PAGEREF _Toc90019564 \h </w:instrText>
            </w:r>
            <w:r w:rsidR="007E776C">
              <w:rPr>
                <w:webHidden/>
              </w:rPr>
            </w:r>
            <w:r w:rsidR="007E776C">
              <w:rPr>
                <w:webHidden/>
              </w:rPr>
              <w:fldChar w:fldCharType="separate"/>
            </w:r>
            <w:r w:rsidR="00E405AF">
              <w:rPr>
                <w:webHidden/>
              </w:rPr>
              <w:t>28</w:t>
            </w:r>
            <w:r w:rsidR="007E776C">
              <w:rPr>
                <w:webHidden/>
              </w:rPr>
              <w:fldChar w:fldCharType="end"/>
            </w:r>
          </w:hyperlink>
        </w:p>
        <w:p w14:paraId="7A87F040" w14:textId="0E85BCC9" w:rsidR="007E776C" w:rsidRDefault="00B54793">
          <w:pPr>
            <w:pStyle w:val="TOC1"/>
            <w:rPr>
              <w:rFonts w:eastAsiaTheme="minorEastAsia" w:cstheme="minorBidi"/>
              <w:color w:val="auto"/>
              <w:sz w:val="22"/>
              <w:szCs w:val="22"/>
              <w:lang w:eastAsia="en-AU"/>
            </w:rPr>
          </w:pPr>
          <w:hyperlink w:anchor="_Toc90019565" w:history="1">
            <w:r w:rsidR="007E776C" w:rsidRPr="008A5BA0">
              <w:rPr>
                <w:rStyle w:val="Hyperlink"/>
              </w:rPr>
              <w:t>6.</w:t>
            </w:r>
            <w:r w:rsidR="007E776C">
              <w:rPr>
                <w:rFonts w:eastAsiaTheme="minorEastAsia" w:cstheme="minorBidi"/>
                <w:color w:val="auto"/>
                <w:sz w:val="22"/>
                <w:szCs w:val="22"/>
                <w:lang w:eastAsia="en-AU"/>
              </w:rPr>
              <w:tab/>
            </w:r>
            <w:r w:rsidR="007E776C" w:rsidRPr="008A5BA0">
              <w:rPr>
                <w:rStyle w:val="Hyperlink"/>
              </w:rPr>
              <w:t>Current responses to resource pressures</w:t>
            </w:r>
            <w:r w:rsidR="007E776C">
              <w:rPr>
                <w:webHidden/>
              </w:rPr>
              <w:tab/>
            </w:r>
            <w:r w:rsidR="007E776C">
              <w:rPr>
                <w:webHidden/>
              </w:rPr>
              <w:fldChar w:fldCharType="begin"/>
            </w:r>
            <w:r w:rsidR="007E776C">
              <w:rPr>
                <w:webHidden/>
              </w:rPr>
              <w:instrText xml:space="preserve"> PAGEREF _Toc90019565 \h </w:instrText>
            </w:r>
            <w:r w:rsidR="007E776C">
              <w:rPr>
                <w:webHidden/>
              </w:rPr>
            </w:r>
            <w:r w:rsidR="007E776C">
              <w:rPr>
                <w:webHidden/>
              </w:rPr>
              <w:fldChar w:fldCharType="separate"/>
            </w:r>
            <w:r w:rsidR="00E405AF">
              <w:rPr>
                <w:webHidden/>
              </w:rPr>
              <w:t>29</w:t>
            </w:r>
            <w:r w:rsidR="007E776C">
              <w:rPr>
                <w:webHidden/>
              </w:rPr>
              <w:fldChar w:fldCharType="end"/>
            </w:r>
          </w:hyperlink>
        </w:p>
        <w:p w14:paraId="4C18BB17" w14:textId="3F52B585" w:rsidR="007E776C" w:rsidRDefault="00B54793">
          <w:pPr>
            <w:pStyle w:val="TOC2"/>
            <w:rPr>
              <w:rFonts w:eastAsiaTheme="minorEastAsia" w:cstheme="minorBidi"/>
              <w:color w:val="auto"/>
              <w:sz w:val="22"/>
              <w:szCs w:val="22"/>
              <w:lang w:eastAsia="en-AU"/>
            </w:rPr>
          </w:pPr>
          <w:hyperlink w:anchor="_Toc90019566" w:history="1">
            <w:r w:rsidR="007E776C" w:rsidRPr="008A5BA0">
              <w:rPr>
                <w:rStyle w:val="Hyperlink"/>
              </w:rPr>
              <w:t>6.1</w:t>
            </w:r>
            <w:r w:rsidR="007E776C">
              <w:rPr>
                <w:rFonts w:eastAsiaTheme="minorEastAsia" w:cstheme="minorBidi"/>
                <w:color w:val="auto"/>
                <w:sz w:val="22"/>
                <w:szCs w:val="22"/>
                <w:lang w:eastAsia="en-AU"/>
              </w:rPr>
              <w:tab/>
            </w:r>
            <w:r w:rsidR="007E776C" w:rsidRPr="008A5BA0">
              <w:rPr>
                <w:rStyle w:val="Hyperlink"/>
              </w:rPr>
              <w:t>Indexation</w:t>
            </w:r>
            <w:r w:rsidR="007E776C">
              <w:rPr>
                <w:webHidden/>
              </w:rPr>
              <w:tab/>
            </w:r>
            <w:r w:rsidR="007E776C">
              <w:rPr>
                <w:webHidden/>
              </w:rPr>
              <w:fldChar w:fldCharType="begin"/>
            </w:r>
            <w:r w:rsidR="007E776C">
              <w:rPr>
                <w:webHidden/>
              </w:rPr>
              <w:instrText xml:space="preserve"> PAGEREF _Toc90019566 \h </w:instrText>
            </w:r>
            <w:r w:rsidR="007E776C">
              <w:rPr>
                <w:webHidden/>
              </w:rPr>
            </w:r>
            <w:r w:rsidR="007E776C">
              <w:rPr>
                <w:webHidden/>
              </w:rPr>
              <w:fldChar w:fldCharType="separate"/>
            </w:r>
            <w:r w:rsidR="00E405AF">
              <w:rPr>
                <w:webHidden/>
              </w:rPr>
              <w:t>29</w:t>
            </w:r>
            <w:r w:rsidR="007E776C">
              <w:rPr>
                <w:webHidden/>
              </w:rPr>
              <w:fldChar w:fldCharType="end"/>
            </w:r>
          </w:hyperlink>
        </w:p>
        <w:p w14:paraId="6BCE4B3A" w14:textId="25707E63" w:rsidR="007E776C" w:rsidRDefault="00B54793">
          <w:pPr>
            <w:pStyle w:val="TOC2"/>
            <w:rPr>
              <w:rFonts w:eastAsiaTheme="minorEastAsia" w:cstheme="minorBidi"/>
              <w:color w:val="auto"/>
              <w:sz w:val="22"/>
              <w:szCs w:val="22"/>
              <w:lang w:eastAsia="en-AU"/>
            </w:rPr>
          </w:pPr>
          <w:hyperlink w:anchor="_Toc90019567" w:history="1">
            <w:r w:rsidR="007E776C" w:rsidRPr="008A5BA0">
              <w:rPr>
                <w:rStyle w:val="Hyperlink"/>
              </w:rPr>
              <w:t>6.2</w:t>
            </w:r>
            <w:r w:rsidR="007E776C">
              <w:rPr>
                <w:rFonts w:eastAsiaTheme="minorEastAsia" w:cstheme="minorBidi"/>
                <w:color w:val="auto"/>
                <w:sz w:val="22"/>
                <w:szCs w:val="22"/>
                <w:lang w:eastAsia="en-AU"/>
              </w:rPr>
              <w:tab/>
            </w:r>
            <w:r w:rsidR="007E776C" w:rsidRPr="008A5BA0">
              <w:rPr>
                <w:rStyle w:val="Hyperlink"/>
              </w:rPr>
              <w:t>Sector views on indexation</w:t>
            </w:r>
            <w:r w:rsidR="007E776C">
              <w:rPr>
                <w:webHidden/>
              </w:rPr>
              <w:tab/>
            </w:r>
            <w:r w:rsidR="007E776C">
              <w:rPr>
                <w:webHidden/>
              </w:rPr>
              <w:fldChar w:fldCharType="begin"/>
            </w:r>
            <w:r w:rsidR="007E776C">
              <w:rPr>
                <w:webHidden/>
              </w:rPr>
              <w:instrText xml:space="preserve"> PAGEREF _Toc90019567 \h </w:instrText>
            </w:r>
            <w:r w:rsidR="007E776C">
              <w:rPr>
                <w:webHidden/>
              </w:rPr>
            </w:r>
            <w:r w:rsidR="007E776C">
              <w:rPr>
                <w:webHidden/>
              </w:rPr>
              <w:fldChar w:fldCharType="separate"/>
            </w:r>
            <w:r w:rsidR="00E405AF">
              <w:rPr>
                <w:webHidden/>
              </w:rPr>
              <w:t>30</w:t>
            </w:r>
            <w:r w:rsidR="007E776C">
              <w:rPr>
                <w:webHidden/>
              </w:rPr>
              <w:fldChar w:fldCharType="end"/>
            </w:r>
          </w:hyperlink>
        </w:p>
        <w:p w14:paraId="6428E329" w14:textId="0256EAFD" w:rsidR="007E776C" w:rsidRDefault="00B54793">
          <w:pPr>
            <w:pStyle w:val="TOC2"/>
            <w:rPr>
              <w:rFonts w:eastAsiaTheme="minorEastAsia" w:cstheme="minorBidi"/>
              <w:color w:val="auto"/>
              <w:sz w:val="22"/>
              <w:szCs w:val="22"/>
              <w:lang w:eastAsia="en-AU"/>
            </w:rPr>
          </w:pPr>
          <w:hyperlink w:anchor="_Toc90019568" w:history="1">
            <w:r w:rsidR="007E776C" w:rsidRPr="008A5BA0">
              <w:rPr>
                <w:rStyle w:val="Hyperlink"/>
              </w:rPr>
              <w:t>6.3</w:t>
            </w:r>
            <w:r w:rsidR="007E776C">
              <w:rPr>
                <w:rFonts w:eastAsiaTheme="minorEastAsia" w:cstheme="minorBidi"/>
                <w:color w:val="auto"/>
                <w:sz w:val="22"/>
                <w:szCs w:val="22"/>
                <w:lang w:eastAsia="en-AU"/>
              </w:rPr>
              <w:tab/>
            </w:r>
            <w:r w:rsidR="007E776C" w:rsidRPr="008A5BA0">
              <w:rPr>
                <w:rStyle w:val="Hyperlink"/>
              </w:rPr>
              <w:t>Applying for ACT Government funding</w:t>
            </w:r>
            <w:r w:rsidR="007E776C">
              <w:rPr>
                <w:webHidden/>
              </w:rPr>
              <w:tab/>
            </w:r>
            <w:r w:rsidR="007E776C">
              <w:rPr>
                <w:webHidden/>
              </w:rPr>
              <w:fldChar w:fldCharType="begin"/>
            </w:r>
            <w:r w:rsidR="007E776C">
              <w:rPr>
                <w:webHidden/>
              </w:rPr>
              <w:instrText xml:space="preserve"> PAGEREF _Toc90019568 \h </w:instrText>
            </w:r>
            <w:r w:rsidR="007E776C">
              <w:rPr>
                <w:webHidden/>
              </w:rPr>
            </w:r>
            <w:r w:rsidR="007E776C">
              <w:rPr>
                <w:webHidden/>
              </w:rPr>
              <w:fldChar w:fldCharType="separate"/>
            </w:r>
            <w:r w:rsidR="00E405AF">
              <w:rPr>
                <w:webHidden/>
              </w:rPr>
              <w:t>32</w:t>
            </w:r>
            <w:r w:rsidR="007E776C">
              <w:rPr>
                <w:webHidden/>
              </w:rPr>
              <w:fldChar w:fldCharType="end"/>
            </w:r>
          </w:hyperlink>
        </w:p>
        <w:p w14:paraId="0F9F75BD" w14:textId="17A9C0AF" w:rsidR="007E776C" w:rsidRDefault="00B54793">
          <w:pPr>
            <w:pStyle w:val="TOC2"/>
            <w:rPr>
              <w:rFonts w:eastAsiaTheme="minorEastAsia" w:cstheme="minorBidi"/>
              <w:color w:val="auto"/>
              <w:sz w:val="22"/>
              <w:szCs w:val="22"/>
              <w:lang w:eastAsia="en-AU"/>
            </w:rPr>
          </w:pPr>
          <w:hyperlink w:anchor="_Toc90019569" w:history="1">
            <w:r w:rsidR="007E776C" w:rsidRPr="008A5BA0">
              <w:rPr>
                <w:rStyle w:val="Hyperlink"/>
              </w:rPr>
              <w:t>6.4</w:t>
            </w:r>
            <w:r w:rsidR="007E776C">
              <w:rPr>
                <w:rFonts w:eastAsiaTheme="minorEastAsia" w:cstheme="minorBidi"/>
                <w:color w:val="auto"/>
                <w:sz w:val="22"/>
                <w:szCs w:val="22"/>
                <w:lang w:eastAsia="en-AU"/>
              </w:rPr>
              <w:tab/>
            </w:r>
            <w:r w:rsidR="007E776C" w:rsidRPr="008A5BA0">
              <w:rPr>
                <w:rStyle w:val="Hyperlink"/>
              </w:rPr>
              <w:t>Staffing and service delivery responses</w:t>
            </w:r>
            <w:r w:rsidR="007E776C">
              <w:rPr>
                <w:webHidden/>
              </w:rPr>
              <w:tab/>
            </w:r>
            <w:r w:rsidR="007E776C">
              <w:rPr>
                <w:webHidden/>
              </w:rPr>
              <w:fldChar w:fldCharType="begin"/>
            </w:r>
            <w:r w:rsidR="007E776C">
              <w:rPr>
                <w:webHidden/>
              </w:rPr>
              <w:instrText xml:space="preserve"> PAGEREF _Toc90019569 \h </w:instrText>
            </w:r>
            <w:r w:rsidR="007E776C">
              <w:rPr>
                <w:webHidden/>
              </w:rPr>
            </w:r>
            <w:r w:rsidR="007E776C">
              <w:rPr>
                <w:webHidden/>
              </w:rPr>
              <w:fldChar w:fldCharType="separate"/>
            </w:r>
            <w:r w:rsidR="00E405AF">
              <w:rPr>
                <w:webHidden/>
              </w:rPr>
              <w:t>34</w:t>
            </w:r>
            <w:r w:rsidR="007E776C">
              <w:rPr>
                <w:webHidden/>
              </w:rPr>
              <w:fldChar w:fldCharType="end"/>
            </w:r>
          </w:hyperlink>
        </w:p>
        <w:p w14:paraId="73747EF7" w14:textId="683A4871" w:rsidR="007E776C" w:rsidRDefault="00B54793">
          <w:pPr>
            <w:pStyle w:val="TOC2"/>
            <w:rPr>
              <w:rFonts w:eastAsiaTheme="minorEastAsia" w:cstheme="minorBidi"/>
              <w:color w:val="auto"/>
              <w:sz w:val="22"/>
              <w:szCs w:val="22"/>
              <w:lang w:eastAsia="en-AU"/>
            </w:rPr>
          </w:pPr>
          <w:hyperlink w:anchor="_Toc90019570" w:history="1">
            <w:r w:rsidR="007E776C" w:rsidRPr="008A5BA0">
              <w:rPr>
                <w:rStyle w:val="Hyperlink"/>
              </w:rPr>
              <w:t>6.5</w:t>
            </w:r>
            <w:r w:rsidR="007E776C">
              <w:rPr>
                <w:rFonts w:eastAsiaTheme="minorEastAsia" w:cstheme="minorBidi"/>
                <w:color w:val="auto"/>
                <w:sz w:val="22"/>
                <w:szCs w:val="22"/>
                <w:lang w:eastAsia="en-AU"/>
              </w:rPr>
              <w:tab/>
            </w:r>
            <w:r w:rsidR="007E776C" w:rsidRPr="008A5BA0">
              <w:rPr>
                <w:rStyle w:val="Hyperlink"/>
              </w:rPr>
              <w:t>Financial responses</w:t>
            </w:r>
            <w:r w:rsidR="007E776C">
              <w:rPr>
                <w:webHidden/>
              </w:rPr>
              <w:tab/>
            </w:r>
            <w:r w:rsidR="007E776C">
              <w:rPr>
                <w:webHidden/>
              </w:rPr>
              <w:fldChar w:fldCharType="begin"/>
            </w:r>
            <w:r w:rsidR="007E776C">
              <w:rPr>
                <w:webHidden/>
              </w:rPr>
              <w:instrText xml:space="preserve"> PAGEREF _Toc90019570 \h </w:instrText>
            </w:r>
            <w:r w:rsidR="007E776C">
              <w:rPr>
                <w:webHidden/>
              </w:rPr>
            </w:r>
            <w:r w:rsidR="007E776C">
              <w:rPr>
                <w:webHidden/>
              </w:rPr>
              <w:fldChar w:fldCharType="separate"/>
            </w:r>
            <w:r w:rsidR="00E405AF">
              <w:rPr>
                <w:webHidden/>
              </w:rPr>
              <w:t>36</w:t>
            </w:r>
            <w:r w:rsidR="007E776C">
              <w:rPr>
                <w:webHidden/>
              </w:rPr>
              <w:fldChar w:fldCharType="end"/>
            </w:r>
          </w:hyperlink>
        </w:p>
        <w:p w14:paraId="5737C97B" w14:textId="78F985B3" w:rsidR="007E776C" w:rsidRDefault="00B54793">
          <w:pPr>
            <w:pStyle w:val="TOC1"/>
            <w:rPr>
              <w:rFonts w:eastAsiaTheme="minorEastAsia" w:cstheme="minorBidi"/>
              <w:color w:val="auto"/>
              <w:sz w:val="22"/>
              <w:szCs w:val="22"/>
              <w:lang w:eastAsia="en-AU"/>
            </w:rPr>
          </w:pPr>
          <w:hyperlink w:anchor="_Toc90019571" w:history="1">
            <w:r w:rsidR="007E776C" w:rsidRPr="008A5BA0">
              <w:rPr>
                <w:rStyle w:val="Hyperlink"/>
              </w:rPr>
              <w:t>7.</w:t>
            </w:r>
            <w:r w:rsidR="007E776C">
              <w:rPr>
                <w:rFonts w:eastAsiaTheme="minorEastAsia" w:cstheme="minorBidi"/>
                <w:color w:val="auto"/>
                <w:sz w:val="22"/>
                <w:szCs w:val="22"/>
                <w:lang w:eastAsia="en-AU"/>
              </w:rPr>
              <w:tab/>
            </w:r>
            <w:r w:rsidR="007E776C" w:rsidRPr="008A5BA0">
              <w:rPr>
                <w:rStyle w:val="Hyperlink"/>
              </w:rPr>
              <w:t>Improving funding in the ACT</w:t>
            </w:r>
            <w:r w:rsidR="007E776C">
              <w:rPr>
                <w:webHidden/>
              </w:rPr>
              <w:tab/>
            </w:r>
            <w:r w:rsidR="007E776C">
              <w:rPr>
                <w:webHidden/>
              </w:rPr>
              <w:fldChar w:fldCharType="begin"/>
            </w:r>
            <w:r w:rsidR="007E776C">
              <w:rPr>
                <w:webHidden/>
              </w:rPr>
              <w:instrText xml:space="preserve"> PAGEREF _Toc90019571 \h </w:instrText>
            </w:r>
            <w:r w:rsidR="007E776C">
              <w:rPr>
                <w:webHidden/>
              </w:rPr>
            </w:r>
            <w:r w:rsidR="007E776C">
              <w:rPr>
                <w:webHidden/>
              </w:rPr>
              <w:fldChar w:fldCharType="separate"/>
            </w:r>
            <w:r w:rsidR="00E405AF">
              <w:rPr>
                <w:webHidden/>
              </w:rPr>
              <w:t>37</w:t>
            </w:r>
            <w:r w:rsidR="007E776C">
              <w:rPr>
                <w:webHidden/>
              </w:rPr>
              <w:fldChar w:fldCharType="end"/>
            </w:r>
          </w:hyperlink>
        </w:p>
        <w:p w14:paraId="1239685A" w14:textId="4E9B0CF5" w:rsidR="007E776C" w:rsidRDefault="00B54793">
          <w:pPr>
            <w:pStyle w:val="TOC2"/>
            <w:rPr>
              <w:rFonts w:eastAsiaTheme="minorEastAsia" w:cstheme="minorBidi"/>
              <w:color w:val="auto"/>
              <w:sz w:val="22"/>
              <w:szCs w:val="22"/>
              <w:lang w:eastAsia="en-AU"/>
            </w:rPr>
          </w:pPr>
          <w:hyperlink w:anchor="_Toc90019572" w:history="1">
            <w:r w:rsidR="007E776C" w:rsidRPr="008A5BA0">
              <w:rPr>
                <w:rStyle w:val="Hyperlink"/>
              </w:rPr>
              <w:t>7.1</w:t>
            </w:r>
            <w:r w:rsidR="007E776C">
              <w:rPr>
                <w:rFonts w:eastAsiaTheme="minorEastAsia" w:cstheme="minorBidi"/>
                <w:color w:val="auto"/>
                <w:sz w:val="22"/>
                <w:szCs w:val="22"/>
                <w:lang w:eastAsia="en-AU"/>
              </w:rPr>
              <w:tab/>
            </w:r>
            <w:r w:rsidR="007E776C" w:rsidRPr="008A5BA0">
              <w:rPr>
                <w:rStyle w:val="Hyperlink"/>
              </w:rPr>
              <w:t>The 2022 review of indexation</w:t>
            </w:r>
            <w:r w:rsidR="007E776C">
              <w:rPr>
                <w:webHidden/>
              </w:rPr>
              <w:tab/>
            </w:r>
            <w:r w:rsidR="007E776C">
              <w:rPr>
                <w:webHidden/>
              </w:rPr>
              <w:fldChar w:fldCharType="begin"/>
            </w:r>
            <w:r w:rsidR="007E776C">
              <w:rPr>
                <w:webHidden/>
              </w:rPr>
              <w:instrText xml:space="preserve"> PAGEREF _Toc90019572 \h </w:instrText>
            </w:r>
            <w:r w:rsidR="007E776C">
              <w:rPr>
                <w:webHidden/>
              </w:rPr>
            </w:r>
            <w:r w:rsidR="007E776C">
              <w:rPr>
                <w:webHidden/>
              </w:rPr>
              <w:fldChar w:fldCharType="separate"/>
            </w:r>
            <w:r w:rsidR="00E405AF">
              <w:rPr>
                <w:webHidden/>
              </w:rPr>
              <w:t>37</w:t>
            </w:r>
            <w:r w:rsidR="007E776C">
              <w:rPr>
                <w:webHidden/>
              </w:rPr>
              <w:fldChar w:fldCharType="end"/>
            </w:r>
          </w:hyperlink>
        </w:p>
        <w:p w14:paraId="3F64F10E" w14:textId="7CBC39E7" w:rsidR="007E776C" w:rsidRDefault="00B54793">
          <w:pPr>
            <w:pStyle w:val="TOC2"/>
            <w:rPr>
              <w:rFonts w:eastAsiaTheme="minorEastAsia" w:cstheme="minorBidi"/>
              <w:color w:val="auto"/>
              <w:sz w:val="22"/>
              <w:szCs w:val="22"/>
              <w:lang w:eastAsia="en-AU"/>
            </w:rPr>
          </w:pPr>
          <w:hyperlink w:anchor="_Toc90019573" w:history="1">
            <w:r w:rsidR="007E776C" w:rsidRPr="008A5BA0">
              <w:rPr>
                <w:rStyle w:val="Hyperlink"/>
              </w:rPr>
              <w:t>7.2</w:t>
            </w:r>
            <w:r w:rsidR="007E776C">
              <w:rPr>
                <w:rFonts w:eastAsiaTheme="minorEastAsia" w:cstheme="minorBidi"/>
                <w:color w:val="auto"/>
                <w:sz w:val="22"/>
                <w:szCs w:val="22"/>
                <w:lang w:eastAsia="en-AU"/>
              </w:rPr>
              <w:tab/>
            </w:r>
            <w:r w:rsidR="007E776C" w:rsidRPr="008A5BA0">
              <w:rPr>
                <w:rStyle w:val="Hyperlink"/>
              </w:rPr>
              <w:t>Coverage of full costs</w:t>
            </w:r>
            <w:r w:rsidR="007E776C">
              <w:rPr>
                <w:webHidden/>
              </w:rPr>
              <w:tab/>
            </w:r>
            <w:r w:rsidR="007E776C">
              <w:rPr>
                <w:webHidden/>
              </w:rPr>
              <w:fldChar w:fldCharType="begin"/>
            </w:r>
            <w:r w:rsidR="007E776C">
              <w:rPr>
                <w:webHidden/>
              </w:rPr>
              <w:instrText xml:space="preserve"> PAGEREF _Toc90019573 \h </w:instrText>
            </w:r>
            <w:r w:rsidR="007E776C">
              <w:rPr>
                <w:webHidden/>
              </w:rPr>
            </w:r>
            <w:r w:rsidR="007E776C">
              <w:rPr>
                <w:webHidden/>
              </w:rPr>
              <w:fldChar w:fldCharType="separate"/>
            </w:r>
            <w:r w:rsidR="00E405AF">
              <w:rPr>
                <w:webHidden/>
              </w:rPr>
              <w:t>40</w:t>
            </w:r>
            <w:r w:rsidR="007E776C">
              <w:rPr>
                <w:webHidden/>
              </w:rPr>
              <w:fldChar w:fldCharType="end"/>
            </w:r>
          </w:hyperlink>
        </w:p>
        <w:p w14:paraId="1E806DF2" w14:textId="78C6C88E" w:rsidR="007E776C" w:rsidRDefault="00B54793">
          <w:pPr>
            <w:pStyle w:val="TOC2"/>
            <w:rPr>
              <w:rFonts w:eastAsiaTheme="minorEastAsia" w:cstheme="minorBidi"/>
              <w:color w:val="auto"/>
              <w:sz w:val="22"/>
              <w:szCs w:val="22"/>
              <w:lang w:eastAsia="en-AU"/>
            </w:rPr>
          </w:pPr>
          <w:hyperlink w:anchor="_Toc90019574" w:history="1">
            <w:r w:rsidR="007E776C" w:rsidRPr="008A5BA0">
              <w:rPr>
                <w:rStyle w:val="Hyperlink"/>
              </w:rPr>
              <w:t>7.3</w:t>
            </w:r>
            <w:r w:rsidR="007E776C">
              <w:rPr>
                <w:rFonts w:eastAsiaTheme="minorEastAsia" w:cstheme="minorBidi"/>
                <w:color w:val="auto"/>
                <w:sz w:val="22"/>
                <w:szCs w:val="22"/>
                <w:lang w:eastAsia="en-AU"/>
              </w:rPr>
              <w:tab/>
            </w:r>
            <w:r w:rsidR="007E776C" w:rsidRPr="008A5BA0">
              <w:rPr>
                <w:rStyle w:val="Hyperlink"/>
              </w:rPr>
              <w:t>Cross-subsidisation</w:t>
            </w:r>
            <w:r w:rsidR="007E776C">
              <w:rPr>
                <w:webHidden/>
              </w:rPr>
              <w:tab/>
            </w:r>
            <w:r w:rsidR="007E776C">
              <w:rPr>
                <w:webHidden/>
              </w:rPr>
              <w:fldChar w:fldCharType="begin"/>
            </w:r>
            <w:r w:rsidR="007E776C">
              <w:rPr>
                <w:webHidden/>
              </w:rPr>
              <w:instrText xml:space="preserve"> PAGEREF _Toc90019574 \h </w:instrText>
            </w:r>
            <w:r w:rsidR="007E776C">
              <w:rPr>
                <w:webHidden/>
              </w:rPr>
            </w:r>
            <w:r w:rsidR="007E776C">
              <w:rPr>
                <w:webHidden/>
              </w:rPr>
              <w:fldChar w:fldCharType="separate"/>
            </w:r>
            <w:r w:rsidR="00E405AF">
              <w:rPr>
                <w:webHidden/>
              </w:rPr>
              <w:t>41</w:t>
            </w:r>
            <w:r w:rsidR="007E776C">
              <w:rPr>
                <w:webHidden/>
              </w:rPr>
              <w:fldChar w:fldCharType="end"/>
            </w:r>
          </w:hyperlink>
        </w:p>
        <w:p w14:paraId="400697CF" w14:textId="5B3186B6" w:rsidR="007E776C" w:rsidRDefault="00B54793">
          <w:pPr>
            <w:pStyle w:val="TOC2"/>
            <w:rPr>
              <w:rFonts w:eastAsiaTheme="minorEastAsia" w:cstheme="minorBidi"/>
              <w:color w:val="auto"/>
              <w:sz w:val="22"/>
              <w:szCs w:val="22"/>
              <w:lang w:eastAsia="en-AU"/>
            </w:rPr>
          </w:pPr>
          <w:hyperlink w:anchor="_Toc90019575" w:history="1">
            <w:r w:rsidR="007E776C" w:rsidRPr="008A5BA0">
              <w:rPr>
                <w:rStyle w:val="Hyperlink"/>
              </w:rPr>
              <w:t>7.4</w:t>
            </w:r>
            <w:r w:rsidR="007E776C">
              <w:rPr>
                <w:rFonts w:eastAsiaTheme="minorEastAsia" w:cstheme="minorBidi"/>
                <w:color w:val="auto"/>
                <w:sz w:val="22"/>
                <w:szCs w:val="22"/>
                <w:lang w:eastAsia="en-AU"/>
              </w:rPr>
              <w:tab/>
            </w:r>
            <w:r w:rsidR="007E776C" w:rsidRPr="008A5BA0">
              <w:rPr>
                <w:rStyle w:val="Hyperlink"/>
              </w:rPr>
              <w:t>Finding further cost efficiencies</w:t>
            </w:r>
            <w:r w:rsidR="007E776C">
              <w:rPr>
                <w:webHidden/>
              </w:rPr>
              <w:tab/>
            </w:r>
            <w:r w:rsidR="007E776C">
              <w:rPr>
                <w:webHidden/>
              </w:rPr>
              <w:fldChar w:fldCharType="begin"/>
            </w:r>
            <w:r w:rsidR="007E776C">
              <w:rPr>
                <w:webHidden/>
              </w:rPr>
              <w:instrText xml:space="preserve"> PAGEREF _Toc90019575 \h </w:instrText>
            </w:r>
            <w:r w:rsidR="007E776C">
              <w:rPr>
                <w:webHidden/>
              </w:rPr>
            </w:r>
            <w:r w:rsidR="007E776C">
              <w:rPr>
                <w:webHidden/>
              </w:rPr>
              <w:fldChar w:fldCharType="separate"/>
            </w:r>
            <w:r w:rsidR="00E405AF">
              <w:rPr>
                <w:webHidden/>
              </w:rPr>
              <w:t>42</w:t>
            </w:r>
            <w:r w:rsidR="007E776C">
              <w:rPr>
                <w:webHidden/>
              </w:rPr>
              <w:fldChar w:fldCharType="end"/>
            </w:r>
          </w:hyperlink>
        </w:p>
        <w:p w14:paraId="57FAB132" w14:textId="13C9E3AD" w:rsidR="007E776C" w:rsidRDefault="00B54793">
          <w:pPr>
            <w:pStyle w:val="TOC2"/>
            <w:rPr>
              <w:rFonts w:eastAsiaTheme="minorEastAsia" w:cstheme="minorBidi"/>
              <w:color w:val="auto"/>
              <w:sz w:val="22"/>
              <w:szCs w:val="22"/>
              <w:lang w:eastAsia="en-AU"/>
            </w:rPr>
          </w:pPr>
          <w:hyperlink w:anchor="_Toc90019576" w:history="1">
            <w:r w:rsidR="007E776C" w:rsidRPr="008A5BA0">
              <w:rPr>
                <w:rStyle w:val="Hyperlink"/>
              </w:rPr>
              <w:t>7.5</w:t>
            </w:r>
            <w:r w:rsidR="007E776C">
              <w:rPr>
                <w:rFonts w:eastAsiaTheme="minorEastAsia" w:cstheme="minorBidi"/>
                <w:color w:val="auto"/>
                <w:sz w:val="22"/>
                <w:szCs w:val="22"/>
                <w:lang w:eastAsia="en-AU"/>
              </w:rPr>
              <w:tab/>
            </w:r>
            <w:r w:rsidR="007E776C" w:rsidRPr="008A5BA0">
              <w:rPr>
                <w:rStyle w:val="Hyperlink"/>
              </w:rPr>
              <w:t>Accurate service costing</w:t>
            </w:r>
            <w:r w:rsidR="007E776C">
              <w:rPr>
                <w:webHidden/>
              </w:rPr>
              <w:tab/>
            </w:r>
            <w:r w:rsidR="007E776C">
              <w:rPr>
                <w:webHidden/>
              </w:rPr>
              <w:fldChar w:fldCharType="begin"/>
            </w:r>
            <w:r w:rsidR="007E776C">
              <w:rPr>
                <w:webHidden/>
              </w:rPr>
              <w:instrText xml:space="preserve"> PAGEREF _Toc90019576 \h </w:instrText>
            </w:r>
            <w:r w:rsidR="007E776C">
              <w:rPr>
                <w:webHidden/>
              </w:rPr>
            </w:r>
            <w:r w:rsidR="007E776C">
              <w:rPr>
                <w:webHidden/>
              </w:rPr>
              <w:fldChar w:fldCharType="separate"/>
            </w:r>
            <w:r w:rsidR="00E405AF">
              <w:rPr>
                <w:webHidden/>
              </w:rPr>
              <w:t>43</w:t>
            </w:r>
            <w:r w:rsidR="007E776C">
              <w:rPr>
                <w:webHidden/>
              </w:rPr>
              <w:fldChar w:fldCharType="end"/>
            </w:r>
          </w:hyperlink>
        </w:p>
        <w:p w14:paraId="476CB291" w14:textId="275D586E" w:rsidR="007E776C" w:rsidRDefault="00B54793">
          <w:pPr>
            <w:pStyle w:val="TOC2"/>
            <w:rPr>
              <w:rFonts w:eastAsiaTheme="minorEastAsia" w:cstheme="minorBidi"/>
              <w:color w:val="auto"/>
              <w:sz w:val="22"/>
              <w:szCs w:val="22"/>
              <w:lang w:eastAsia="en-AU"/>
            </w:rPr>
          </w:pPr>
          <w:hyperlink w:anchor="_Toc90019577" w:history="1">
            <w:r w:rsidR="007E776C" w:rsidRPr="008A5BA0">
              <w:rPr>
                <w:rStyle w:val="Hyperlink"/>
              </w:rPr>
              <w:t>7.6</w:t>
            </w:r>
            <w:r w:rsidR="007E776C">
              <w:rPr>
                <w:rFonts w:eastAsiaTheme="minorEastAsia" w:cstheme="minorBidi"/>
                <w:color w:val="auto"/>
                <w:sz w:val="22"/>
                <w:szCs w:val="22"/>
                <w:lang w:eastAsia="en-AU"/>
              </w:rPr>
              <w:tab/>
            </w:r>
            <w:r w:rsidR="007E776C" w:rsidRPr="008A5BA0">
              <w:rPr>
                <w:rStyle w:val="Hyperlink"/>
              </w:rPr>
              <w:t>Resourcing quality early intervention and prevention</w:t>
            </w:r>
            <w:r w:rsidR="007E776C">
              <w:rPr>
                <w:webHidden/>
              </w:rPr>
              <w:tab/>
            </w:r>
            <w:r w:rsidR="007E776C">
              <w:rPr>
                <w:webHidden/>
              </w:rPr>
              <w:fldChar w:fldCharType="begin"/>
            </w:r>
            <w:r w:rsidR="007E776C">
              <w:rPr>
                <w:webHidden/>
              </w:rPr>
              <w:instrText xml:space="preserve"> PAGEREF _Toc90019577 \h </w:instrText>
            </w:r>
            <w:r w:rsidR="007E776C">
              <w:rPr>
                <w:webHidden/>
              </w:rPr>
            </w:r>
            <w:r w:rsidR="007E776C">
              <w:rPr>
                <w:webHidden/>
              </w:rPr>
              <w:fldChar w:fldCharType="separate"/>
            </w:r>
            <w:r w:rsidR="00E405AF">
              <w:rPr>
                <w:webHidden/>
              </w:rPr>
              <w:t>44</w:t>
            </w:r>
            <w:r w:rsidR="007E776C">
              <w:rPr>
                <w:webHidden/>
              </w:rPr>
              <w:fldChar w:fldCharType="end"/>
            </w:r>
          </w:hyperlink>
        </w:p>
        <w:p w14:paraId="300B31A1" w14:textId="45E22F1E" w:rsidR="007E776C" w:rsidRDefault="00B54793">
          <w:pPr>
            <w:pStyle w:val="TOC2"/>
            <w:rPr>
              <w:rFonts w:eastAsiaTheme="minorEastAsia" w:cstheme="minorBidi"/>
              <w:color w:val="auto"/>
              <w:sz w:val="22"/>
              <w:szCs w:val="22"/>
              <w:lang w:eastAsia="en-AU"/>
            </w:rPr>
          </w:pPr>
          <w:hyperlink w:anchor="_Toc90019578" w:history="1">
            <w:r w:rsidR="007E776C" w:rsidRPr="008A5BA0">
              <w:rPr>
                <w:rStyle w:val="Hyperlink"/>
              </w:rPr>
              <w:t>7.7</w:t>
            </w:r>
            <w:r w:rsidR="007E776C">
              <w:rPr>
                <w:rFonts w:eastAsiaTheme="minorEastAsia" w:cstheme="minorBidi"/>
                <w:color w:val="auto"/>
                <w:sz w:val="22"/>
                <w:szCs w:val="22"/>
                <w:lang w:eastAsia="en-AU"/>
              </w:rPr>
              <w:tab/>
            </w:r>
            <w:r w:rsidR="007E776C" w:rsidRPr="008A5BA0">
              <w:rPr>
                <w:rStyle w:val="Hyperlink"/>
              </w:rPr>
              <w:t>Monitoring population needs</w:t>
            </w:r>
            <w:r w:rsidR="007E776C">
              <w:rPr>
                <w:webHidden/>
              </w:rPr>
              <w:tab/>
            </w:r>
            <w:r w:rsidR="007E776C">
              <w:rPr>
                <w:webHidden/>
              </w:rPr>
              <w:fldChar w:fldCharType="begin"/>
            </w:r>
            <w:r w:rsidR="007E776C">
              <w:rPr>
                <w:webHidden/>
              </w:rPr>
              <w:instrText xml:space="preserve"> PAGEREF _Toc90019578 \h </w:instrText>
            </w:r>
            <w:r w:rsidR="007E776C">
              <w:rPr>
                <w:webHidden/>
              </w:rPr>
            </w:r>
            <w:r w:rsidR="007E776C">
              <w:rPr>
                <w:webHidden/>
              </w:rPr>
              <w:fldChar w:fldCharType="separate"/>
            </w:r>
            <w:r w:rsidR="00E405AF">
              <w:rPr>
                <w:webHidden/>
              </w:rPr>
              <w:t>44</w:t>
            </w:r>
            <w:r w:rsidR="007E776C">
              <w:rPr>
                <w:webHidden/>
              </w:rPr>
              <w:fldChar w:fldCharType="end"/>
            </w:r>
          </w:hyperlink>
        </w:p>
        <w:p w14:paraId="387BB5DF" w14:textId="6D0163A9" w:rsidR="007E776C" w:rsidRDefault="00B54793">
          <w:pPr>
            <w:pStyle w:val="TOC1"/>
            <w:rPr>
              <w:rFonts w:eastAsiaTheme="minorEastAsia" w:cstheme="minorBidi"/>
              <w:color w:val="auto"/>
              <w:sz w:val="22"/>
              <w:szCs w:val="22"/>
              <w:lang w:eastAsia="en-AU"/>
            </w:rPr>
          </w:pPr>
          <w:hyperlink w:anchor="_Toc90019579" w:history="1">
            <w:r w:rsidR="007E776C" w:rsidRPr="008A5BA0">
              <w:rPr>
                <w:rStyle w:val="Hyperlink"/>
              </w:rPr>
              <w:t>8.</w:t>
            </w:r>
            <w:r w:rsidR="007E776C">
              <w:rPr>
                <w:rFonts w:eastAsiaTheme="minorEastAsia" w:cstheme="minorBidi"/>
                <w:color w:val="auto"/>
                <w:sz w:val="22"/>
                <w:szCs w:val="22"/>
                <w:lang w:eastAsia="en-AU"/>
              </w:rPr>
              <w:tab/>
            </w:r>
            <w:r w:rsidR="007E776C" w:rsidRPr="008A5BA0">
              <w:rPr>
                <w:rStyle w:val="Hyperlink"/>
              </w:rPr>
              <w:t>Recommendations</w:t>
            </w:r>
            <w:r w:rsidR="007E776C">
              <w:rPr>
                <w:webHidden/>
              </w:rPr>
              <w:tab/>
            </w:r>
            <w:r w:rsidR="007E776C">
              <w:rPr>
                <w:webHidden/>
              </w:rPr>
              <w:fldChar w:fldCharType="begin"/>
            </w:r>
            <w:r w:rsidR="007E776C">
              <w:rPr>
                <w:webHidden/>
              </w:rPr>
              <w:instrText xml:space="preserve"> PAGEREF _Toc90019579 \h </w:instrText>
            </w:r>
            <w:r w:rsidR="007E776C">
              <w:rPr>
                <w:webHidden/>
              </w:rPr>
            </w:r>
            <w:r w:rsidR="007E776C">
              <w:rPr>
                <w:webHidden/>
              </w:rPr>
              <w:fldChar w:fldCharType="separate"/>
            </w:r>
            <w:r w:rsidR="00E405AF">
              <w:rPr>
                <w:webHidden/>
              </w:rPr>
              <w:t>45</w:t>
            </w:r>
            <w:r w:rsidR="007E776C">
              <w:rPr>
                <w:webHidden/>
              </w:rPr>
              <w:fldChar w:fldCharType="end"/>
            </w:r>
          </w:hyperlink>
        </w:p>
        <w:p w14:paraId="7CFCF151" w14:textId="20A9ABAD" w:rsidR="007E776C" w:rsidRDefault="00B54793">
          <w:pPr>
            <w:pStyle w:val="TOC2"/>
            <w:rPr>
              <w:rFonts w:eastAsiaTheme="minorEastAsia" w:cstheme="minorBidi"/>
              <w:color w:val="auto"/>
              <w:sz w:val="22"/>
              <w:szCs w:val="22"/>
              <w:lang w:eastAsia="en-AU"/>
            </w:rPr>
          </w:pPr>
          <w:hyperlink w:anchor="_Toc90019580" w:history="1">
            <w:r w:rsidR="007E776C" w:rsidRPr="008A5BA0">
              <w:rPr>
                <w:rStyle w:val="Hyperlink"/>
              </w:rPr>
              <w:t>8.1</w:t>
            </w:r>
            <w:r w:rsidR="007E776C">
              <w:rPr>
                <w:rFonts w:eastAsiaTheme="minorEastAsia" w:cstheme="minorBidi"/>
                <w:color w:val="auto"/>
                <w:sz w:val="22"/>
                <w:szCs w:val="22"/>
                <w:lang w:eastAsia="en-AU"/>
              </w:rPr>
              <w:tab/>
            </w:r>
            <w:r w:rsidR="007E776C" w:rsidRPr="008A5BA0">
              <w:rPr>
                <w:rStyle w:val="Hyperlink"/>
              </w:rPr>
              <w:t>Adjustments to respond to rising costs</w:t>
            </w:r>
            <w:r w:rsidR="007E776C">
              <w:rPr>
                <w:webHidden/>
              </w:rPr>
              <w:tab/>
            </w:r>
            <w:r w:rsidR="007E776C">
              <w:rPr>
                <w:webHidden/>
              </w:rPr>
              <w:fldChar w:fldCharType="begin"/>
            </w:r>
            <w:r w:rsidR="007E776C">
              <w:rPr>
                <w:webHidden/>
              </w:rPr>
              <w:instrText xml:space="preserve"> PAGEREF _Toc90019580 \h </w:instrText>
            </w:r>
            <w:r w:rsidR="007E776C">
              <w:rPr>
                <w:webHidden/>
              </w:rPr>
            </w:r>
            <w:r w:rsidR="007E776C">
              <w:rPr>
                <w:webHidden/>
              </w:rPr>
              <w:fldChar w:fldCharType="separate"/>
            </w:r>
            <w:r w:rsidR="00E405AF">
              <w:rPr>
                <w:webHidden/>
              </w:rPr>
              <w:t>45</w:t>
            </w:r>
            <w:r w:rsidR="007E776C">
              <w:rPr>
                <w:webHidden/>
              </w:rPr>
              <w:fldChar w:fldCharType="end"/>
            </w:r>
          </w:hyperlink>
        </w:p>
        <w:p w14:paraId="0EC2B14E" w14:textId="35BB9242" w:rsidR="007E776C" w:rsidRDefault="00B54793">
          <w:pPr>
            <w:pStyle w:val="TOC2"/>
            <w:rPr>
              <w:rFonts w:eastAsiaTheme="minorEastAsia" w:cstheme="minorBidi"/>
              <w:color w:val="auto"/>
              <w:sz w:val="22"/>
              <w:szCs w:val="22"/>
              <w:lang w:eastAsia="en-AU"/>
            </w:rPr>
          </w:pPr>
          <w:hyperlink w:anchor="_Toc90019581" w:history="1">
            <w:r w:rsidR="007E776C" w:rsidRPr="008A5BA0">
              <w:rPr>
                <w:rStyle w:val="Hyperlink"/>
              </w:rPr>
              <w:t>8.2</w:t>
            </w:r>
            <w:r w:rsidR="007E776C">
              <w:rPr>
                <w:rFonts w:eastAsiaTheme="minorEastAsia" w:cstheme="minorBidi"/>
                <w:color w:val="auto"/>
                <w:sz w:val="22"/>
                <w:szCs w:val="22"/>
                <w:lang w:eastAsia="en-AU"/>
              </w:rPr>
              <w:tab/>
            </w:r>
            <w:r w:rsidR="007E776C" w:rsidRPr="008A5BA0">
              <w:rPr>
                <w:rStyle w:val="Hyperlink"/>
              </w:rPr>
              <w:t>Adjustments to respond to rising demand and unmet need</w:t>
            </w:r>
            <w:r w:rsidR="007E776C">
              <w:rPr>
                <w:webHidden/>
              </w:rPr>
              <w:tab/>
            </w:r>
            <w:r w:rsidR="007E776C">
              <w:rPr>
                <w:webHidden/>
              </w:rPr>
              <w:fldChar w:fldCharType="begin"/>
            </w:r>
            <w:r w:rsidR="007E776C">
              <w:rPr>
                <w:webHidden/>
              </w:rPr>
              <w:instrText xml:space="preserve"> PAGEREF _Toc90019581 \h </w:instrText>
            </w:r>
            <w:r w:rsidR="007E776C">
              <w:rPr>
                <w:webHidden/>
              </w:rPr>
            </w:r>
            <w:r w:rsidR="007E776C">
              <w:rPr>
                <w:webHidden/>
              </w:rPr>
              <w:fldChar w:fldCharType="separate"/>
            </w:r>
            <w:r w:rsidR="00E405AF">
              <w:rPr>
                <w:webHidden/>
              </w:rPr>
              <w:t>46</w:t>
            </w:r>
            <w:r w:rsidR="007E776C">
              <w:rPr>
                <w:webHidden/>
              </w:rPr>
              <w:fldChar w:fldCharType="end"/>
            </w:r>
          </w:hyperlink>
        </w:p>
        <w:p w14:paraId="5E18C0FF" w14:textId="6B784F80" w:rsidR="007E776C" w:rsidRDefault="00B54793">
          <w:pPr>
            <w:pStyle w:val="TOC2"/>
            <w:rPr>
              <w:rFonts w:eastAsiaTheme="minorEastAsia" w:cstheme="minorBidi"/>
              <w:color w:val="auto"/>
              <w:sz w:val="22"/>
              <w:szCs w:val="22"/>
              <w:lang w:eastAsia="en-AU"/>
            </w:rPr>
          </w:pPr>
          <w:hyperlink w:anchor="_Toc90019582" w:history="1">
            <w:r w:rsidR="007E776C" w:rsidRPr="008A5BA0">
              <w:rPr>
                <w:rStyle w:val="Hyperlink"/>
              </w:rPr>
              <w:t>8.3</w:t>
            </w:r>
            <w:r w:rsidR="007E776C">
              <w:rPr>
                <w:rFonts w:eastAsiaTheme="minorEastAsia" w:cstheme="minorBidi"/>
                <w:color w:val="auto"/>
                <w:sz w:val="22"/>
                <w:szCs w:val="22"/>
                <w:lang w:eastAsia="en-AU"/>
              </w:rPr>
              <w:tab/>
            </w:r>
            <w:r w:rsidR="007E776C" w:rsidRPr="008A5BA0">
              <w:rPr>
                <w:rStyle w:val="Hyperlink"/>
              </w:rPr>
              <w:t>Conclusion</w:t>
            </w:r>
            <w:r w:rsidR="007E776C">
              <w:rPr>
                <w:webHidden/>
              </w:rPr>
              <w:tab/>
            </w:r>
            <w:r w:rsidR="007E776C">
              <w:rPr>
                <w:webHidden/>
              </w:rPr>
              <w:fldChar w:fldCharType="begin"/>
            </w:r>
            <w:r w:rsidR="007E776C">
              <w:rPr>
                <w:webHidden/>
              </w:rPr>
              <w:instrText xml:space="preserve"> PAGEREF _Toc90019582 \h </w:instrText>
            </w:r>
            <w:r w:rsidR="007E776C">
              <w:rPr>
                <w:webHidden/>
              </w:rPr>
            </w:r>
            <w:r w:rsidR="007E776C">
              <w:rPr>
                <w:webHidden/>
              </w:rPr>
              <w:fldChar w:fldCharType="separate"/>
            </w:r>
            <w:r w:rsidR="00E405AF">
              <w:rPr>
                <w:webHidden/>
              </w:rPr>
              <w:t>47</w:t>
            </w:r>
            <w:r w:rsidR="007E776C">
              <w:rPr>
                <w:webHidden/>
              </w:rPr>
              <w:fldChar w:fldCharType="end"/>
            </w:r>
          </w:hyperlink>
        </w:p>
        <w:p w14:paraId="76B0D14C" w14:textId="5FFA1935" w:rsidR="007E776C" w:rsidRDefault="00B54793">
          <w:pPr>
            <w:pStyle w:val="TOC1"/>
            <w:tabs>
              <w:tab w:val="left" w:pos="1540"/>
            </w:tabs>
            <w:rPr>
              <w:rFonts w:eastAsiaTheme="minorEastAsia" w:cstheme="minorBidi"/>
              <w:color w:val="auto"/>
              <w:sz w:val="22"/>
              <w:szCs w:val="22"/>
              <w:lang w:eastAsia="en-AU"/>
            </w:rPr>
          </w:pPr>
          <w:hyperlink w:anchor="_Toc90019583" w:history="1">
            <w:r w:rsidR="007E776C" w:rsidRPr="008A5BA0">
              <w:rPr>
                <w:rStyle w:val="Hyperlink"/>
              </w:rPr>
              <w:t>Appendix A</w:t>
            </w:r>
            <w:r w:rsidR="007E776C">
              <w:rPr>
                <w:rFonts w:eastAsiaTheme="minorEastAsia" w:cstheme="minorBidi"/>
                <w:color w:val="auto"/>
                <w:sz w:val="22"/>
                <w:szCs w:val="22"/>
                <w:lang w:eastAsia="en-AU"/>
              </w:rPr>
              <w:tab/>
            </w:r>
            <w:r w:rsidR="007E776C" w:rsidRPr="008A5BA0">
              <w:rPr>
                <w:rStyle w:val="Hyperlink"/>
              </w:rPr>
              <w:t>Information about methods</w:t>
            </w:r>
            <w:r w:rsidR="007E776C">
              <w:rPr>
                <w:webHidden/>
              </w:rPr>
              <w:tab/>
            </w:r>
            <w:r w:rsidR="007E776C">
              <w:rPr>
                <w:webHidden/>
              </w:rPr>
              <w:fldChar w:fldCharType="begin"/>
            </w:r>
            <w:r w:rsidR="007E776C">
              <w:rPr>
                <w:webHidden/>
              </w:rPr>
              <w:instrText xml:space="preserve"> PAGEREF _Toc90019583 \h </w:instrText>
            </w:r>
            <w:r w:rsidR="007E776C">
              <w:rPr>
                <w:webHidden/>
              </w:rPr>
            </w:r>
            <w:r w:rsidR="007E776C">
              <w:rPr>
                <w:webHidden/>
              </w:rPr>
              <w:fldChar w:fldCharType="separate"/>
            </w:r>
            <w:r w:rsidR="00E405AF">
              <w:rPr>
                <w:webHidden/>
              </w:rPr>
              <w:t>48</w:t>
            </w:r>
            <w:r w:rsidR="007E776C">
              <w:rPr>
                <w:webHidden/>
              </w:rPr>
              <w:fldChar w:fldCharType="end"/>
            </w:r>
          </w:hyperlink>
        </w:p>
        <w:p w14:paraId="785A4891" w14:textId="30955EB5" w:rsidR="007E776C" w:rsidRDefault="00B54793">
          <w:pPr>
            <w:pStyle w:val="TOC1"/>
            <w:tabs>
              <w:tab w:val="left" w:pos="1540"/>
            </w:tabs>
            <w:rPr>
              <w:rFonts w:eastAsiaTheme="minorEastAsia" w:cstheme="minorBidi"/>
              <w:color w:val="auto"/>
              <w:sz w:val="22"/>
              <w:szCs w:val="22"/>
              <w:lang w:eastAsia="en-AU"/>
            </w:rPr>
          </w:pPr>
          <w:hyperlink w:anchor="_Toc90019584" w:history="1">
            <w:r w:rsidR="007E776C" w:rsidRPr="008A5BA0">
              <w:rPr>
                <w:rStyle w:val="Hyperlink"/>
              </w:rPr>
              <w:t>Appendix B</w:t>
            </w:r>
            <w:r w:rsidR="007E776C">
              <w:rPr>
                <w:rFonts w:eastAsiaTheme="minorEastAsia" w:cstheme="minorBidi"/>
                <w:color w:val="auto"/>
                <w:sz w:val="22"/>
                <w:szCs w:val="22"/>
                <w:lang w:eastAsia="en-AU"/>
              </w:rPr>
              <w:tab/>
            </w:r>
            <w:r w:rsidR="007E776C" w:rsidRPr="008A5BA0">
              <w:rPr>
                <w:rStyle w:val="Hyperlink"/>
              </w:rPr>
              <w:t>About participants in the ACT Service Costing Survey</w:t>
            </w:r>
            <w:r w:rsidR="007E776C">
              <w:rPr>
                <w:webHidden/>
              </w:rPr>
              <w:tab/>
            </w:r>
            <w:r w:rsidR="007E776C">
              <w:rPr>
                <w:webHidden/>
              </w:rPr>
              <w:fldChar w:fldCharType="begin"/>
            </w:r>
            <w:r w:rsidR="007E776C">
              <w:rPr>
                <w:webHidden/>
              </w:rPr>
              <w:instrText xml:space="preserve"> PAGEREF _Toc90019584 \h </w:instrText>
            </w:r>
            <w:r w:rsidR="007E776C">
              <w:rPr>
                <w:webHidden/>
              </w:rPr>
            </w:r>
            <w:r w:rsidR="007E776C">
              <w:rPr>
                <w:webHidden/>
              </w:rPr>
              <w:fldChar w:fldCharType="separate"/>
            </w:r>
            <w:r w:rsidR="00E405AF">
              <w:rPr>
                <w:webHidden/>
              </w:rPr>
              <w:t>49</w:t>
            </w:r>
            <w:r w:rsidR="007E776C">
              <w:rPr>
                <w:webHidden/>
              </w:rPr>
              <w:fldChar w:fldCharType="end"/>
            </w:r>
          </w:hyperlink>
        </w:p>
        <w:p w14:paraId="3A9EDB89" w14:textId="72B6B9A2" w:rsidR="007E776C" w:rsidRDefault="00B54793">
          <w:pPr>
            <w:pStyle w:val="TOC1"/>
            <w:tabs>
              <w:tab w:val="left" w:pos="1540"/>
            </w:tabs>
            <w:rPr>
              <w:rFonts w:eastAsiaTheme="minorEastAsia" w:cstheme="minorBidi"/>
              <w:color w:val="auto"/>
              <w:sz w:val="22"/>
              <w:szCs w:val="22"/>
              <w:lang w:eastAsia="en-AU"/>
            </w:rPr>
          </w:pPr>
          <w:hyperlink w:anchor="_Toc90019585" w:history="1">
            <w:r w:rsidR="007E776C" w:rsidRPr="008A5BA0">
              <w:rPr>
                <w:rStyle w:val="Hyperlink"/>
              </w:rPr>
              <w:t>Appendix C</w:t>
            </w:r>
            <w:r w:rsidR="007E776C">
              <w:rPr>
                <w:rFonts w:eastAsiaTheme="minorEastAsia" w:cstheme="minorBidi"/>
                <w:color w:val="auto"/>
                <w:sz w:val="22"/>
                <w:szCs w:val="22"/>
                <w:lang w:eastAsia="en-AU"/>
              </w:rPr>
              <w:tab/>
            </w:r>
            <w:r w:rsidR="007E776C" w:rsidRPr="008A5BA0">
              <w:rPr>
                <w:rStyle w:val="Hyperlink"/>
              </w:rPr>
              <w:t>Supplementary Data</w:t>
            </w:r>
            <w:r w:rsidR="007E776C">
              <w:rPr>
                <w:webHidden/>
              </w:rPr>
              <w:tab/>
            </w:r>
            <w:r w:rsidR="007E776C">
              <w:rPr>
                <w:webHidden/>
              </w:rPr>
              <w:fldChar w:fldCharType="begin"/>
            </w:r>
            <w:r w:rsidR="007E776C">
              <w:rPr>
                <w:webHidden/>
              </w:rPr>
              <w:instrText xml:space="preserve"> PAGEREF _Toc90019585 \h </w:instrText>
            </w:r>
            <w:r w:rsidR="007E776C">
              <w:rPr>
                <w:webHidden/>
              </w:rPr>
            </w:r>
            <w:r w:rsidR="007E776C">
              <w:rPr>
                <w:webHidden/>
              </w:rPr>
              <w:fldChar w:fldCharType="separate"/>
            </w:r>
            <w:r w:rsidR="00E405AF">
              <w:rPr>
                <w:webHidden/>
              </w:rPr>
              <w:t>53</w:t>
            </w:r>
            <w:r w:rsidR="007E776C">
              <w:rPr>
                <w:webHidden/>
              </w:rPr>
              <w:fldChar w:fldCharType="end"/>
            </w:r>
          </w:hyperlink>
        </w:p>
        <w:p w14:paraId="3249E081" w14:textId="7B58F028" w:rsidR="00D349D1" w:rsidRDefault="00D349D1">
          <w:r>
            <w:rPr>
              <w:b/>
              <w:bCs/>
              <w:noProof/>
            </w:rPr>
            <w:fldChar w:fldCharType="end"/>
          </w:r>
        </w:p>
      </w:sdtContent>
    </w:sdt>
    <w:p w14:paraId="651030BC" w14:textId="4AE0284E" w:rsidR="00A20BE0" w:rsidRPr="00A03F81" w:rsidRDefault="00454AD7" w:rsidP="00AF4128">
      <w:pPr>
        <w:pStyle w:val="Heading1"/>
        <w:pageBreakBefore w:val="0"/>
        <w:spacing w:beforeLines="30" w:before="72" w:afterLines="30" w:after="72"/>
      </w:pPr>
      <w:bookmarkStart w:id="2" w:name="_Toc90019539"/>
      <w:r>
        <w:t>Figures</w:t>
      </w:r>
      <w:bookmarkEnd w:id="2"/>
    </w:p>
    <w:p w14:paraId="562B01D0" w14:textId="4495FBDC" w:rsidR="007E776C" w:rsidRDefault="00C054DA">
      <w:pPr>
        <w:pStyle w:val="TableofFigures"/>
        <w:tabs>
          <w:tab w:val="left" w:pos="1320"/>
          <w:tab w:val="right" w:leader="dot" w:pos="9628"/>
        </w:tabs>
        <w:rPr>
          <w:rFonts w:eastAsiaTheme="minorEastAsia" w:cstheme="minorBidi"/>
          <w:noProof/>
          <w:color w:val="auto"/>
          <w:sz w:val="22"/>
          <w:szCs w:val="22"/>
          <w:lang w:eastAsia="en-AU"/>
        </w:rPr>
      </w:pPr>
      <w:r>
        <w:fldChar w:fldCharType="begin"/>
      </w:r>
      <w:r w:rsidR="00A20BE0">
        <w:instrText xml:space="preserve"> TOC \h \z \c "Figure" </w:instrText>
      </w:r>
      <w:r>
        <w:fldChar w:fldCharType="separate"/>
      </w:r>
      <w:hyperlink w:anchor="_Toc90019594" w:history="1">
        <w:r w:rsidR="007E776C" w:rsidRPr="008D4368">
          <w:rPr>
            <w:rStyle w:val="Hyperlink"/>
            <w:noProof/>
          </w:rPr>
          <w:t>Figure 3.1</w:t>
        </w:r>
        <w:r w:rsidR="007E776C">
          <w:rPr>
            <w:rFonts w:eastAsiaTheme="minorEastAsia" w:cstheme="minorBidi"/>
            <w:noProof/>
            <w:color w:val="auto"/>
            <w:sz w:val="22"/>
            <w:szCs w:val="22"/>
            <w:lang w:eastAsia="en-AU"/>
          </w:rPr>
          <w:tab/>
        </w:r>
        <w:r w:rsidR="007E776C" w:rsidRPr="008D4368">
          <w:rPr>
            <w:rStyle w:val="Hyperlink"/>
            <w:noProof/>
          </w:rPr>
          <w:t>Perceptions of ACT funding adequacy, 2016 and 2021</w:t>
        </w:r>
        <w:r w:rsidR="007E776C">
          <w:rPr>
            <w:noProof/>
            <w:webHidden/>
          </w:rPr>
          <w:tab/>
        </w:r>
        <w:r w:rsidR="007E776C">
          <w:rPr>
            <w:noProof/>
            <w:webHidden/>
          </w:rPr>
          <w:fldChar w:fldCharType="begin"/>
        </w:r>
        <w:r w:rsidR="007E776C">
          <w:rPr>
            <w:noProof/>
            <w:webHidden/>
          </w:rPr>
          <w:instrText xml:space="preserve"> PAGEREF _Toc90019594 \h </w:instrText>
        </w:r>
        <w:r w:rsidR="007E776C">
          <w:rPr>
            <w:noProof/>
            <w:webHidden/>
          </w:rPr>
        </w:r>
        <w:r w:rsidR="007E776C">
          <w:rPr>
            <w:noProof/>
            <w:webHidden/>
          </w:rPr>
          <w:fldChar w:fldCharType="separate"/>
        </w:r>
        <w:r w:rsidR="00E405AF">
          <w:rPr>
            <w:noProof/>
            <w:webHidden/>
          </w:rPr>
          <w:t>11</w:t>
        </w:r>
        <w:r w:rsidR="007E776C">
          <w:rPr>
            <w:noProof/>
            <w:webHidden/>
          </w:rPr>
          <w:fldChar w:fldCharType="end"/>
        </w:r>
      </w:hyperlink>
    </w:p>
    <w:p w14:paraId="4AF15D02" w14:textId="23448F3A"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5" w:history="1">
        <w:r w:rsidR="007E776C" w:rsidRPr="008D4368">
          <w:rPr>
            <w:rStyle w:val="Hyperlink"/>
            <w:noProof/>
          </w:rPr>
          <w:t>Figure 5.1</w:t>
        </w:r>
        <w:r w:rsidR="007E776C">
          <w:rPr>
            <w:rFonts w:eastAsiaTheme="minorEastAsia" w:cstheme="minorBidi"/>
            <w:noProof/>
            <w:color w:val="auto"/>
            <w:sz w:val="22"/>
            <w:szCs w:val="22"/>
            <w:lang w:eastAsia="en-AU"/>
          </w:rPr>
          <w:tab/>
        </w:r>
        <w:r w:rsidR="007E776C" w:rsidRPr="008D4368">
          <w:rPr>
            <w:rStyle w:val="Hyperlink"/>
            <w:noProof/>
          </w:rPr>
          <w:t>Perspectives on coverage of employment-related costs</w:t>
        </w:r>
        <w:r w:rsidR="007E776C">
          <w:rPr>
            <w:noProof/>
            <w:webHidden/>
          </w:rPr>
          <w:tab/>
        </w:r>
        <w:r w:rsidR="007E776C">
          <w:rPr>
            <w:noProof/>
            <w:webHidden/>
          </w:rPr>
          <w:fldChar w:fldCharType="begin"/>
        </w:r>
        <w:r w:rsidR="007E776C">
          <w:rPr>
            <w:noProof/>
            <w:webHidden/>
          </w:rPr>
          <w:instrText xml:space="preserve"> PAGEREF _Toc90019595 \h </w:instrText>
        </w:r>
        <w:r w:rsidR="007E776C">
          <w:rPr>
            <w:noProof/>
            <w:webHidden/>
          </w:rPr>
        </w:r>
        <w:r w:rsidR="007E776C">
          <w:rPr>
            <w:noProof/>
            <w:webHidden/>
          </w:rPr>
          <w:fldChar w:fldCharType="separate"/>
        </w:r>
        <w:r w:rsidR="00E405AF">
          <w:rPr>
            <w:noProof/>
            <w:webHidden/>
          </w:rPr>
          <w:t>20</w:t>
        </w:r>
        <w:r w:rsidR="007E776C">
          <w:rPr>
            <w:noProof/>
            <w:webHidden/>
          </w:rPr>
          <w:fldChar w:fldCharType="end"/>
        </w:r>
      </w:hyperlink>
    </w:p>
    <w:p w14:paraId="2889E467" w14:textId="2000B232"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6" w:history="1">
        <w:r w:rsidR="007E776C" w:rsidRPr="008D4368">
          <w:rPr>
            <w:rStyle w:val="Hyperlink"/>
            <w:noProof/>
          </w:rPr>
          <w:t>Figure 5.2</w:t>
        </w:r>
        <w:r w:rsidR="007E776C">
          <w:rPr>
            <w:rFonts w:eastAsiaTheme="minorEastAsia" w:cstheme="minorBidi"/>
            <w:noProof/>
            <w:color w:val="auto"/>
            <w:sz w:val="22"/>
            <w:szCs w:val="22"/>
            <w:lang w:eastAsia="en-AU"/>
          </w:rPr>
          <w:tab/>
        </w:r>
        <w:r w:rsidR="007E776C" w:rsidRPr="008D4368">
          <w:rPr>
            <w:rStyle w:val="Hyperlink"/>
            <w:noProof/>
          </w:rPr>
          <w:t>Perspectives on coverage of advocacy, access and engagement costs</w:t>
        </w:r>
        <w:r w:rsidR="007E776C">
          <w:rPr>
            <w:noProof/>
            <w:webHidden/>
          </w:rPr>
          <w:tab/>
        </w:r>
        <w:r w:rsidR="007E776C">
          <w:rPr>
            <w:noProof/>
            <w:webHidden/>
          </w:rPr>
          <w:fldChar w:fldCharType="begin"/>
        </w:r>
        <w:r w:rsidR="007E776C">
          <w:rPr>
            <w:noProof/>
            <w:webHidden/>
          </w:rPr>
          <w:instrText xml:space="preserve"> PAGEREF _Toc90019596 \h </w:instrText>
        </w:r>
        <w:r w:rsidR="007E776C">
          <w:rPr>
            <w:noProof/>
            <w:webHidden/>
          </w:rPr>
        </w:r>
        <w:r w:rsidR="007E776C">
          <w:rPr>
            <w:noProof/>
            <w:webHidden/>
          </w:rPr>
          <w:fldChar w:fldCharType="separate"/>
        </w:r>
        <w:r w:rsidR="00E405AF">
          <w:rPr>
            <w:noProof/>
            <w:webHidden/>
          </w:rPr>
          <w:t>23</w:t>
        </w:r>
        <w:r w:rsidR="007E776C">
          <w:rPr>
            <w:noProof/>
            <w:webHidden/>
          </w:rPr>
          <w:fldChar w:fldCharType="end"/>
        </w:r>
      </w:hyperlink>
    </w:p>
    <w:p w14:paraId="4D0C129E" w14:textId="643B02CA"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7" w:history="1">
        <w:r w:rsidR="007E776C" w:rsidRPr="008D4368">
          <w:rPr>
            <w:rStyle w:val="Hyperlink"/>
            <w:noProof/>
          </w:rPr>
          <w:t>Figure 6.1</w:t>
        </w:r>
        <w:r w:rsidR="007E776C">
          <w:rPr>
            <w:rFonts w:eastAsiaTheme="minorEastAsia" w:cstheme="minorBidi"/>
            <w:noProof/>
            <w:color w:val="auto"/>
            <w:sz w:val="22"/>
            <w:szCs w:val="22"/>
            <w:lang w:eastAsia="en-AU"/>
          </w:rPr>
          <w:tab/>
        </w:r>
        <w:r w:rsidR="007E776C" w:rsidRPr="008D4368">
          <w:rPr>
            <w:rStyle w:val="Hyperlink"/>
            <w:noProof/>
          </w:rPr>
          <w:t>Indexation rates from 2007-08 to 2021-22 (%)</w:t>
        </w:r>
        <w:r w:rsidR="007E776C">
          <w:rPr>
            <w:noProof/>
            <w:webHidden/>
          </w:rPr>
          <w:tab/>
        </w:r>
        <w:r w:rsidR="007E776C">
          <w:rPr>
            <w:noProof/>
            <w:webHidden/>
          </w:rPr>
          <w:fldChar w:fldCharType="begin"/>
        </w:r>
        <w:r w:rsidR="007E776C">
          <w:rPr>
            <w:noProof/>
            <w:webHidden/>
          </w:rPr>
          <w:instrText xml:space="preserve"> PAGEREF _Toc90019597 \h </w:instrText>
        </w:r>
        <w:r w:rsidR="007E776C">
          <w:rPr>
            <w:noProof/>
            <w:webHidden/>
          </w:rPr>
        </w:r>
        <w:r w:rsidR="007E776C">
          <w:rPr>
            <w:noProof/>
            <w:webHidden/>
          </w:rPr>
          <w:fldChar w:fldCharType="separate"/>
        </w:r>
        <w:r w:rsidR="00E405AF">
          <w:rPr>
            <w:noProof/>
            <w:webHidden/>
          </w:rPr>
          <w:t>30</w:t>
        </w:r>
        <w:r w:rsidR="007E776C">
          <w:rPr>
            <w:noProof/>
            <w:webHidden/>
          </w:rPr>
          <w:fldChar w:fldCharType="end"/>
        </w:r>
      </w:hyperlink>
    </w:p>
    <w:p w14:paraId="63331103" w14:textId="23F3F12E"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8" w:history="1">
        <w:r w:rsidR="007E776C" w:rsidRPr="008D4368">
          <w:rPr>
            <w:rStyle w:val="Hyperlink"/>
            <w:noProof/>
          </w:rPr>
          <w:t>Figure 6.2</w:t>
        </w:r>
        <w:r w:rsidR="007E776C">
          <w:rPr>
            <w:rFonts w:eastAsiaTheme="minorEastAsia" w:cstheme="minorBidi"/>
            <w:noProof/>
            <w:color w:val="auto"/>
            <w:sz w:val="22"/>
            <w:szCs w:val="22"/>
            <w:lang w:eastAsia="en-AU"/>
          </w:rPr>
          <w:tab/>
        </w:r>
        <w:r w:rsidR="007E776C" w:rsidRPr="008D4368">
          <w:rPr>
            <w:rStyle w:val="Hyperlink"/>
            <w:noProof/>
          </w:rPr>
          <w:t>Perspectives on indexation</w:t>
        </w:r>
        <w:r w:rsidR="007E776C">
          <w:rPr>
            <w:noProof/>
            <w:webHidden/>
          </w:rPr>
          <w:tab/>
        </w:r>
        <w:r w:rsidR="007E776C">
          <w:rPr>
            <w:noProof/>
            <w:webHidden/>
          </w:rPr>
          <w:fldChar w:fldCharType="begin"/>
        </w:r>
        <w:r w:rsidR="007E776C">
          <w:rPr>
            <w:noProof/>
            <w:webHidden/>
          </w:rPr>
          <w:instrText xml:space="preserve"> PAGEREF _Toc90019598 \h </w:instrText>
        </w:r>
        <w:r w:rsidR="007E776C">
          <w:rPr>
            <w:noProof/>
            <w:webHidden/>
          </w:rPr>
        </w:r>
        <w:r w:rsidR="007E776C">
          <w:rPr>
            <w:noProof/>
            <w:webHidden/>
          </w:rPr>
          <w:fldChar w:fldCharType="separate"/>
        </w:r>
        <w:r w:rsidR="00E405AF">
          <w:rPr>
            <w:noProof/>
            <w:webHidden/>
          </w:rPr>
          <w:t>31</w:t>
        </w:r>
        <w:r w:rsidR="007E776C">
          <w:rPr>
            <w:noProof/>
            <w:webHidden/>
          </w:rPr>
          <w:fldChar w:fldCharType="end"/>
        </w:r>
      </w:hyperlink>
    </w:p>
    <w:p w14:paraId="39208339" w14:textId="7D990433"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9" w:history="1">
        <w:r w:rsidR="007E776C" w:rsidRPr="008D4368">
          <w:rPr>
            <w:rStyle w:val="Hyperlink"/>
            <w:noProof/>
          </w:rPr>
          <w:t>Figure 6.3</w:t>
        </w:r>
        <w:r w:rsidR="007E776C">
          <w:rPr>
            <w:rFonts w:eastAsiaTheme="minorEastAsia" w:cstheme="minorBidi"/>
            <w:noProof/>
            <w:color w:val="auto"/>
            <w:sz w:val="22"/>
            <w:szCs w:val="22"/>
            <w:lang w:eastAsia="en-AU"/>
          </w:rPr>
          <w:tab/>
        </w:r>
        <w:r w:rsidR="007E776C" w:rsidRPr="008D4368">
          <w:rPr>
            <w:rStyle w:val="Hyperlink"/>
            <w:noProof/>
          </w:rPr>
          <w:t>Decisions about applying for ACT Government funding, in the last 3 years</w:t>
        </w:r>
        <w:r w:rsidR="007E776C">
          <w:rPr>
            <w:noProof/>
            <w:webHidden/>
          </w:rPr>
          <w:tab/>
        </w:r>
        <w:r w:rsidR="007E776C">
          <w:rPr>
            <w:noProof/>
            <w:webHidden/>
          </w:rPr>
          <w:fldChar w:fldCharType="begin"/>
        </w:r>
        <w:r w:rsidR="007E776C">
          <w:rPr>
            <w:noProof/>
            <w:webHidden/>
          </w:rPr>
          <w:instrText xml:space="preserve"> PAGEREF _Toc90019599 \h </w:instrText>
        </w:r>
        <w:r w:rsidR="007E776C">
          <w:rPr>
            <w:noProof/>
            <w:webHidden/>
          </w:rPr>
        </w:r>
        <w:r w:rsidR="007E776C">
          <w:rPr>
            <w:noProof/>
            <w:webHidden/>
          </w:rPr>
          <w:fldChar w:fldCharType="separate"/>
        </w:r>
        <w:r w:rsidR="00E405AF">
          <w:rPr>
            <w:noProof/>
            <w:webHidden/>
          </w:rPr>
          <w:t>33</w:t>
        </w:r>
        <w:r w:rsidR="007E776C">
          <w:rPr>
            <w:noProof/>
            <w:webHidden/>
          </w:rPr>
          <w:fldChar w:fldCharType="end"/>
        </w:r>
      </w:hyperlink>
    </w:p>
    <w:p w14:paraId="5ADA96BF" w14:textId="2F56E119" w:rsidR="00BD347E" w:rsidRDefault="00C054DA" w:rsidP="00AF4128">
      <w:pPr>
        <w:pStyle w:val="BodyText"/>
        <w:tabs>
          <w:tab w:val="left" w:pos="993"/>
          <w:tab w:val="right" w:leader="dot" w:pos="9072"/>
        </w:tabs>
        <w:spacing w:beforeLines="30" w:before="72" w:afterLines="30" w:after="72"/>
        <w:ind w:left="993" w:right="1133" w:hanging="993"/>
      </w:pPr>
      <w:r>
        <w:fldChar w:fldCharType="end"/>
      </w:r>
    </w:p>
    <w:p w14:paraId="4254B3E1" w14:textId="77777777" w:rsidR="00B6356B" w:rsidRPr="00A03F81" w:rsidRDefault="00B6356B" w:rsidP="00B6356B">
      <w:pPr>
        <w:pStyle w:val="Heading1"/>
        <w:pageBreakBefore w:val="0"/>
      </w:pPr>
      <w:bookmarkStart w:id="3" w:name="_Toc88753113"/>
      <w:bookmarkStart w:id="4" w:name="_Toc90019540"/>
      <w:r w:rsidRPr="00A03F81">
        <w:t>Tables</w:t>
      </w:r>
      <w:bookmarkEnd w:id="3"/>
      <w:bookmarkEnd w:id="4"/>
    </w:p>
    <w:p w14:paraId="6DE02883" w14:textId="11CDFE7B" w:rsidR="007E776C" w:rsidRDefault="00B6356B">
      <w:pPr>
        <w:pStyle w:val="TableofFigures"/>
        <w:tabs>
          <w:tab w:val="left" w:pos="1320"/>
          <w:tab w:val="right" w:leader="dot" w:pos="9628"/>
        </w:tabs>
        <w:rPr>
          <w:rFonts w:eastAsiaTheme="minorEastAsia" w:cstheme="minorBidi"/>
          <w:noProof/>
          <w:color w:val="auto"/>
          <w:sz w:val="22"/>
          <w:szCs w:val="22"/>
          <w:lang w:eastAsia="en-AU"/>
        </w:rPr>
      </w:pPr>
      <w:r>
        <w:fldChar w:fldCharType="begin"/>
      </w:r>
      <w:r>
        <w:instrText xml:space="preserve"> TOC \h \z \c "Table" </w:instrText>
      </w:r>
      <w:r>
        <w:fldChar w:fldCharType="separate"/>
      </w:r>
      <w:hyperlink w:anchor="_Toc90019586" w:history="1">
        <w:r w:rsidR="007E776C" w:rsidRPr="009A2F59">
          <w:rPr>
            <w:rStyle w:val="Hyperlink"/>
            <w:noProof/>
          </w:rPr>
          <w:t>Table 5.1</w:t>
        </w:r>
        <w:r w:rsidR="007E776C">
          <w:rPr>
            <w:rFonts w:eastAsiaTheme="minorEastAsia" w:cstheme="minorBidi"/>
            <w:noProof/>
            <w:color w:val="auto"/>
            <w:sz w:val="22"/>
            <w:szCs w:val="22"/>
            <w:lang w:eastAsia="en-AU"/>
          </w:rPr>
          <w:tab/>
        </w:r>
        <w:r w:rsidR="007E776C" w:rsidRPr="009A2F59">
          <w:rPr>
            <w:rStyle w:val="Hyperlink"/>
            <w:noProof/>
          </w:rPr>
          <w:t>Leaders’ comments on employment costs</w:t>
        </w:r>
        <w:r w:rsidR="007E776C">
          <w:rPr>
            <w:noProof/>
            <w:webHidden/>
          </w:rPr>
          <w:tab/>
        </w:r>
        <w:r w:rsidR="007E776C">
          <w:rPr>
            <w:noProof/>
            <w:webHidden/>
          </w:rPr>
          <w:fldChar w:fldCharType="begin"/>
        </w:r>
        <w:r w:rsidR="007E776C">
          <w:rPr>
            <w:noProof/>
            <w:webHidden/>
          </w:rPr>
          <w:instrText xml:space="preserve"> PAGEREF _Toc90019586 \h </w:instrText>
        </w:r>
        <w:r w:rsidR="007E776C">
          <w:rPr>
            <w:noProof/>
            <w:webHidden/>
          </w:rPr>
        </w:r>
        <w:r w:rsidR="007E776C">
          <w:rPr>
            <w:noProof/>
            <w:webHidden/>
          </w:rPr>
          <w:fldChar w:fldCharType="separate"/>
        </w:r>
        <w:r w:rsidR="00E405AF">
          <w:rPr>
            <w:noProof/>
            <w:webHidden/>
          </w:rPr>
          <w:t>21</w:t>
        </w:r>
        <w:r w:rsidR="007E776C">
          <w:rPr>
            <w:noProof/>
            <w:webHidden/>
          </w:rPr>
          <w:fldChar w:fldCharType="end"/>
        </w:r>
      </w:hyperlink>
    </w:p>
    <w:p w14:paraId="4B7F2898" w14:textId="27AAA7CF"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87" w:history="1">
        <w:r w:rsidR="007E776C" w:rsidRPr="009A2F59">
          <w:rPr>
            <w:rStyle w:val="Hyperlink"/>
            <w:noProof/>
          </w:rPr>
          <w:t>Table 5.2</w:t>
        </w:r>
        <w:r w:rsidR="007E776C">
          <w:rPr>
            <w:rFonts w:eastAsiaTheme="minorEastAsia" w:cstheme="minorBidi"/>
            <w:noProof/>
            <w:color w:val="auto"/>
            <w:sz w:val="22"/>
            <w:szCs w:val="22"/>
            <w:lang w:eastAsia="en-AU"/>
          </w:rPr>
          <w:tab/>
        </w:r>
        <w:r w:rsidR="007E776C" w:rsidRPr="009A2F59">
          <w:rPr>
            <w:rStyle w:val="Hyperlink"/>
            <w:noProof/>
          </w:rPr>
          <w:t>Leaders’ comments on costs of advocacy, access and engagement</w:t>
        </w:r>
        <w:r w:rsidR="007E776C">
          <w:rPr>
            <w:noProof/>
            <w:webHidden/>
          </w:rPr>
          <w:tab/>
        </w:r>
        <w:r w:rsidR="007E776C">
          <w:rPr>
            <w:noProof/>
            <w:webHidden/>
          </w:rPr>
          <w:fldChar w:fldCharType="begin"/>
        </w:r>
        <w:r w:rsidR="007E776C">
          <w:rPr>
            <w:noProof/>
            <w:webHidden/>
          </w:rPr>
          <w:instrText xml:space="preserve"> PAGEREF _Toc90019587 \h </w:instrText>
        </w:r>
        <w:r w:rsidR="007E776C">
          <w:rPr>
            <w:noProof/>
            <w:webHidden/>
          </w:rPr>
        </w:r>
        <w:r w:rsidR="007E776C">
          <w:rPr>
            <w:noProof/>
            <w:webHidden/>
          </w:rPr>
          <w:fldChar w:fldCharType="separate"/>
        </w:r>
        <w:r w:rsidR="00E405AF">
          <w:rPr>
            <w:noProof/>
            <w:webHidden/>
          </w:rPr>
          <w:t>23</w:t>
        </w:r>
        <w:r w:rsidR="007E776C">
          <w:rPr>
            <w:noProof/>
            <w:webHidden/>
          </w:rPr>
          <w:fldChar w:fldCharType="end"/>
        </w:r>
      </w:hyperlink>
    </w:p>
    <w:p w14:paraId="6845248F" w14:textId="33197017"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88" w:history="1">
        <w:r w:rsidR="007E776C" w:rsidRPr="009A2F59">
          <w:rPr>
            <w:rStyle w:val="Hyperlink"/>
            <w:noProof/>
          </w:rPr>
          <w:t>Table 5.3</w:t>
        </w:r>
        <w:r w:rsidR="007E776C">
          <w:rPr>
            <w:rFonts w:eastAsiaTheme="minorEastAsia" w:cstheme="minorBidi"/>
            <w:noProof/>
            <w:color w:val="auto"/>
            <w:sz w:val="22"/>
            <w:szCs w:val="22"/>
            <w:lang w:eastAsia="en-AU"/>
          </w:rPr>
          <w:tab/>
        </w:r>
        <w:r w:rsidR="007E776C" w:rsidRPr="009A2F59">
          <w:rPr>
            <w:rStyle w:val="Hyperlink"/>
            <w:noProof/>
          </w:rPr>
          <w:t>Leaders comments on business overhead costs</w:t>
        </w:r>
        <w:r w:rsidR="007E776C">
          <w:rPr>
            <w:noProof/>
            <w:webHidden/>
          </w:rPr>
          <w:tab/>
        </w:r>
        <w:r w:rsidR="007E776C">
          <w:rPr>
            <w:noProof/>
            <w:webHidden/>
          </w:rPr>
          <w:fldChar w:fldCharType="begin"/>
        </w:r>
        <w:r w:rsidR="007E776C">
          <w:rPr>
            <w:noProof/>
            <w:webHidden/>
          </w:rPr>
          <w:instrText xml:space="preserve"> PAGEREF _Toc90019588 \h </w:instrText>
        </w:r>
        <w:r w:rsidR="007E776C">
          <w:rPr>
            <w:noProof/>
            <w:webHidden/>
          </w:rPr>
        </w:r>
        <w:r w:rsidR="007E776C">
          <w:rPr>
            <w:noProof/>
            <w:webHidden/>
          </w:rPr>
          <w:fldChar w:fldCharType="separate"/>
        </w:r>
        <w:r w:rsidR="00E405AF">
          <w:rPr>
            <w:noProof/>
            <w:webHidden/>
          </w:rPr>
          <w:t>26</w:t>
        </w:r>
        <w:r w:rsidR="007E776C">
          <w:rPr>
            <w:noProof/>
            <w:webHidden/>
          </w:rPr>
          <w:fldChar w:fldCharType="end"/>
        </w:r>
      </w:hyperlink>
    </w:p>
    <w:p w14:paraId="3F987DE2" w14:textId="4EEE7E7F"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89" w:history="1">
        <w:r w:rsidR="007E776C" w:rsidRPr="009A2F59">
          <w:rPr>
            <w:rStyle w:val="Hyperlink"/>
            <w:noProof/>
          </w:rPr>
          <w:t>Table 5.4</w:t>
        </w:r>
        <w:r w:rsidR="007E776C">
          <w:rPr>
            <w:rFonts w:eastAsiaTheme="minorEastAsia" w:cstheme="minorBidi"/>
            <w:noProof/>
            <w:color w:val="auto"/>
            <w:sz w:val="22"/>
            <w:szCs w:val="22"/>
            <w:lang w:eastAsia="en-AU"/>
          </w:rPr>
          <w:tab/>
        </w:r>
        <w:r w:rsidR="007E776C" w:rsidRPr="009A2F59">
          <w:rPr>
            <w:rStyle w:val="Hyperlink"/>
            <w:noProof/>
          </w:rPr>
          <w:t>Leaders’ comments on evaluation</w:t>
        </w:r>
        <w:r w:rsidR="007E776C">
          <w:rPr>
            <w:noProof/>
            <w:webHidden/>
          </w:rPr>
          <w:tab/>
        </w:r>
        <w:r w:rsidR="007E776C">
          <w:rPr>
            <w:noProof/>
            <w:webHidden/>
          </w:rPr>
          <w:fldChar w:fldCharType="begin"/>
        </w:r>
        <w:r w:rsidR="007E776C">
          <w:rPr>
            <w:noProof/>
            <w:webHidden/>
          </w:rPr>
          <w:instrText xml:space="preserve"> PAGEREF _Toc90019589 \h </w:instrText>
        </w:r>
        <w:r w:rsidR="007E776C">
          <w:rPr>
            <w:noProof/>
            <w:webHidden/>
          </w:rPr>
        </w:r>
        <w:r w:rsidR="007E776C">
          <w:rPr>
            <w:noProof/>
            <w:webHidden/>
          </w:rPr>
          <w:fldChar w:fldCharType="separate"/>
        </w:r>
        <w:r w:rsidR="00E405AF">
          <w:rPr>
            <w:noProof/>
            <w:webHidden/>
          </w:rPr>
          <w:t>27</w:t>
        </w:r>
        <w:r w:rsidR="007E776C">
          <w:rPr>
            <w:noProof/>
            <w:webHidden/>
          </w:rPr>
          <w:fldChar w:fldCharType="end"/>
        </w:r>
      </w:hyperlink>
    </w:p>
    <w:p w14:paraId="58220B36" w14:textId="3E3201FA"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0" w:history="1">
        <w:r w:rsidR="007E776C" w:rsidRPr="009A2F59">
          <w:rPr>
            <w:rStyle w:val="Hyperlink"/>
            <w:noProof/>
          </w:rPr>
          <w:t>Table 6.1</w:t>
        </w:r>
        <w:r w:rsidR="007E776C">
          <w:rPr>
            <w:rFonts w:eastAsiaTheme="minorEastAsia" w:cstheme="minorBidi"/>
            <w:noProof/>
            <w:color w:val="auto"/>
            <w:sz w:val="22"/>
            <w:szCs w:val="22"/>
            <w:lang w:eastAsia="en-AU"/>
          </w:rPr>
          <w:tab/>
        </w:r>
        <w:r w:rsidR="007E776C" w:rsidRPr="009A2F59">
          <w:rPr>
            <w:rStyle w:val="Hyperlink"/>
            <w:noProof/>
          </w:rPr>
          <w:t>Leaders’ comments on indexation</w:t>
        </w:r>
        <w:r w:rsidR="007E776C">
          <w:rPr>
            <w:noProof/>
            <w:webHidden/>
          </w:rPr>
          <w:tab/>
        </w:r>
        <w:r w:rsidR="007E776C">
          <w:rPr>
            <w:noProof/>
            <w:webHidden/>
          </w:rPr>
          <w:fldChar w:fldCharType="begin"/>
        </w:r>
        <w:r w:rsidR="007E776C">
          <w:rPr>
            <w:noProof/>
            <w:webHidden/>
          </w:rPr>
          <w:instrText xml:space="preserve"> PAGEREF _Toc90019590 \h </w:instrText>
        </w:r>
        <w:r w:rsidR="007E776C">
          <w:rPr>
            <w:noProof/>
            <w:webHidden/>
          </w:rPr>
        </w:r>
        <w:r w:rsidR="007E776C">
          <w:rPr>
            <w:noProof/>
            <w:webHidden/>
          </w:rPr>
          <w:fldChar w:fldCharType="separate"/>
        </w:r>
        <w:r w:rsidR="00E405AF">
          <w:rPr>
            <w:noProof/>
            <w:webHidden/>
          </w:rPr>
          <w:t>31</w:t>
        </w:r>
        <w:r w:rsidR="007E776C">
          <w:rPr>
            <w:noProof/>
            <w:webHidden/>
          </w:rPr>
          <w:fldChar w:fldCharType="end"/>
        </w:r>
      </w:hyperlink>
    </w:p>
    <w:p w14:paraId="2D14F4BB" w14:textId="7369BCC5"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1" w:history="1">
        <w:r w:rsidR="007E776C" w:rsidRPr="009A2F59">
          <w:rPr>
            <w:rStyle w:val="Hyperlink"/>
            <w:noProof/>
          </w:rPr>
          <w:t>Table 6.2</w:t>
        </w:r>
        <w:r w:rsidR="007E776C">
          <w:rPr>
            <w:rFonts w:eastAsiaTheme="minorEastAsia" w:cstheme="minorBidi"/>
            <w:noProof/>
            <w:color w:val="auto"/>
            <w:sz w:val="22"/>
            <w:szCs w:val="22"/>
            <w:lang w:eastAsia="en-AU"/>
          </w:rPr>
          <w:tab/>
        </w:r>
        <w:r w:rsidR="007E776C" w:rsidRPr="009A2F59">
          <w:rPr>
            <w:rStyle w:val="Hyperlink"/>
            <w:noProof/>
          </w:rPr>
          <w:t>Leaders’ comments on consideration when applying for ACT funding</w:t>
        </w:r>
        <w:r w:rsidR="007E776C">
          <w:rPr>
            <w:noProof/>
            <w:webHidden/>
          </w:rPr>
          <w:tab/>
        </w:r>
        <w:r w:rsidR="007E776C">
          <w:rPr>
            <w:noProof/>
            <w:webHidden/>
          </w:rPr>
          <w:fldChar w:fldCharType="begin"/>
        </w:r>
        <w:r w:rsidR="007E776C">
          <w:rPr>
            <w:noProof/>
            <w:webHidden/>
          </w:rPr>
          <w:instrText xml:space="preserve"> PAGEREF _Toc90019591 \h </w:instrText>
        </w:r>
        <w:r w:rsidR="007E776C">
          <w:rPr>
            <w:noProof/>
            <w:webHidden/>
          </w:rPr>
        </w:r>
        <w:r w:rsidR="007E776C">
          <w:rPr>
            <w:noProof/>
            <w:webHidden/>
          </w:rPr>
          <w:fldChar w:fldCharType="separate"/>
        </w:r>
        <w:r w:rsidR="00E405AF">
          <w:rPr>
            <w:noProof/>
            <w:webHidden/>
          </w:rPr>
          <w:t>33</w:t>
        </w:r>
        <w:r w:rsidR="007E776C">
          <w:rPr>
            <w:noProof/>
            <w:webHidden/>
          </w:rPr>
          <w:fldChar w:fldCharType="end"/>
        </w:r>
      </w:hyperlink>
    </w:p>
    <w:p w14:paraId="17FD62CF" w14:textId="3AACCA01" w:rsidR="007E776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19592" w:history="1">
        <w:r w:rsidR="007E776C" w:rsidRPr="009A2F59">
          <w:rPr>
            <w:rStyle w:val="Hyperlink"/>
            <w:noProof/>
          </w:rPr>
          <w:t>Table 7.1</w:t>
        </w:r>
        <w:r w:rsidR="007E776C">
          <w:rPr>
            <w:rFonts w:eastAsiaTheme="minorEastAsia" w:cstheme="minorBidi"/>
            <w:noProof/>
            <w:color w:val="auto"/>
            <w:sz w:val="22"/>
            <w:szCs w:val="22"/>
            <w:lang w:eastAsia="en-AU"/>
          </w:rPr>
          <w:tab/>
        </w:r>
        <w:r w:rsidR="007E776C" w:rsidRPr="009A2F59">
          <w:rPr>
            <w:rStyle w:val="Hyperlink"/>
            <w:noProof/>
          </w:rPr>
          <w:t>Comparison between the Community Sector Funding Rate and the recommended formula</w:t>
        </w:r>
        <w:r w:rsidR="007E776C">
          <w:rPr>
            <w:noProof/>
            <w:webHidden/>
          </w:rPr>
          <w:tab/>
        </w:r>
        <w:r w:rsidR="007E776C">
          <w:rPr>
            <w:noProof/>
            <w:webHidden/>
          </w:rPr>
          <w:fldChar w:fldCharType="begin"/>
        </w:r>
        <w:r w:rsidR="007E776C">
          <w:rPr>
            <w:noProof/>
            <w:webHidden/>
          </w:rPr>
          <w:instrText xml:space="preserve"> PAGEREF _Toc90019592 \h </w:instrText>
        </w:r>
        <w:r w:rsidR="007E776C">
          <w:rPr>
            <w:noProof/>
            <w:webHidden/>
          </w:rPr>
        </w:r>
        <w:r w:rsidR="007E776C">
          <w:rPr>
            <w:noProof/>
            <w:webHidden/>
          </w:rPr>
          <w:fldChar w:fldCharType="separate"/>
        </w:r>
        <w:r w:rsidR="00E405AF">
          <w:rPr>
            <w:noProof/>
            <w:webHidden/>
          </w:rPr>
          <w:t>39</w:t>
        </w:r>
        <w:r w:rsidR="007E776C">
          <w:rPr>
            <w:noProof/>
            <w:webHidden/>
          </w:rPr>
          <w:fldChar w:fldCharType="end"/>
        </w:r>
      </w:hyperlink>
    </w:p>
    <w:p w14:paraId="6EC44D81" w14:textId="3501DD6B"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593" w:history="1">
        <w:r w:rsidR="007E776C" w:rsidRPr="009A2F59">
          <w:rPr>
            <w:rStyle w:val="Hyperlink"/>
            <w:noProof/>
          </w:rPr>
          <w:t>Table 7.2</w:t>
        </w:r>
        <w:r w:rsidR="007E776C">
          <w:rPr>
            <w:rFonts w:eastAsiaTheme="minorEastAsia" w:cstheme="minorBidi"/>
            <w:noProof/>
            <w:color w:val="auto"/>
            <w:sz w:val="22"/>
            <w:szCs w:val="22"/>
            <w:lang w:eastAsia="en-AU"/>
          </w:rPr>
          <w:tab/>
        </w:r>
        <w:r w:rsidR="007E776C" w:rsidRPr="009A2F59">
          <w:rPr>
            <w:rStyle w:val="Hyperlink"/>
            <w:noProof/>
          </w:rPr>
          <w:t>Leaders’ comments on accurate service costings</w:t>
        </w:r>
        <w:r w:rsidR="007E776C">
          <w:rPr>
            <w:noProof/>
            <w:webHidden/>
          </w:rPr>
          <w:tab/>
        </w:r>
        <w:r w:rsidR="007E776C">
          <w:rPr>
            <w:noProof/>
            <w:webHidden/>
          </w:rPr>
          <w:fldChar w:fldCharType="begin"/>
        </w:r>
        <w:r w:rsidR="007E776C">
          <w:rPr>
            <w:noProof/>
            <w:webHidden/>
          </w:rPr>
          <w:instrText xml:space="preserve"> PAGEREF _Toc90019593 \h </w:instrText>
        </w:r>
        <w:r w:rsidR="007E776C">
          <w:rPr>
            <w:noProof/>
            <w:webHidden/>
          </w:rPr>
        </w:r>
        <w:r w:rsidR="007E776C">
          <w:rPr>
            <w:noProof/>
            <w:webHidden/>
          </w:rPr>
          <w:fldChar w:fldCharType="separate"/>
        </w:r>
        <w:r w:rsidR="00E405AF">
          <w:rPr>
            <w:noProof/>
            <w:webHidden/>
          </w:rPr>
          <w:t>43</w:t>
        </w:r>
        <w:r w:rsidR="007E776C">
          <w:rPr>
            <w:noProof/>
            <w:webHidden/>
          </w:rPr>
          <w:fldChar w:fldCharType="end"/>
        </w:r>
      </w:hyperlink>
    </w:p>
    <w:p w14:paraId="086429B8" w14:textId="7BDE3171" w:rsidR="00B6356B" w:rsidRDefault="00B6356B" w:rsidP="00B6356B">
      <w:pPr>
        <w:pStyle w:val="BodyText"/>
        <w:tabs>
          <w:tab w:val="left" w:pos="993"/>
          <w:tab w:val="right" w:leader="dot" w:pos="9072"/>
        </w:tabs>
        <w:spacing w:beforeLines="30" w:before="72" w:afterLines="30" w:after="72"/>
        <w:ind w:left="993" w:right="1133" w:hanging="993"/>
      </w:pPr>
      <w:r>
        <w:fldChar w:fldCharType="end"/>
      </w:r>
    </w:p>
    <w:p w14:paraId="651CB6B1" w14:textId="17A991CC" w:rsidR="00BD347E" w:rsidRDefault="00BD347E">
      <w:pPr>
        <w:autoSpaceDE/>
        <w:autoSpaceDN/>
        <w:adjustRightInd/>
        <w:spacing w:after="200" w:line="276" w:lineRule="auto"/>
        <w:ind w:right="0"/>
        <w:rPr>
          <w:rFonts w:ascii="Arial" w:hAnsi="Arial" w:cs="Arial"/>
          <w:sz w:val="22"/>
          <w:szCs w:val="22"/>
        </w:rPr>
      </w:pPr>
    </w:p>
    <w:p w14:paraId="469AC527" w14:textId="561A226F" w:rsidR="00A907B7" w:rsidRPr="00B6356B" w:rsidRDefault="00B6356B" w:rsidP="00B6356B">
      <w:pPr>
        <w:pStyle w:val="TableofFigures"/>
        <w:tabs>
          <w:tab w:val="left" w:pos="1320"/>
          <w:tab w:val="right" w:leader="dot" w:pos="9628"/>
        </w:tabs>
        <w:rPr>
          <w:b/>
          <w:bCs/>
          <w:sz w:val="40"/>
          <w:szCs w:val="40"/>
        </w:rPr>
      </w:pPr>
      <w:r w:rsidRPr="00B6356B">
        <w:rPr>
          <w:b/>
          <w:bCs/>
          <w:sz w:val="40"/>
          <w:szCs w:val="40"/>
        </w:rPr>
        <w:t>Data in Appendix B</w:t>
      </w:r>
    </w:p>
    <w:p w14:paraId="2D40E8CF" w14:textId="7020336C" w:rsidR="00B6356B" w:rsidRDefault="00B6356B" w:rsidP="00974C50">
      <w:pPr>
        <w:pStyle w:val="BodyText"/>
        <w:tabs>
          <w:tab w:val="left" w:pos="993"/>
          <w:tab w:val="right" w:leader="dot" w:pos="9072"/>
        </w:tabs>
        <w:spacing w:after="120"/>
        <w:ind w:left="993" w:right="1133" w:hanging="993"/>
      </w:pPr>
    </w:p>
    <w:p w14:paraId="1E61B2D8" w14:textId="5CF4CD7A" w:rsidR="00B6356B" w:rsidRDefault="00454AD7" w:rsidP="00B6356B">
      <w:pPr>
        <w:pStyle w:val="TableofFigures"/>
        <w:tabs>
          <w:tab w:val="left" w:pos="1320"/>
          <w:tab w:val="right" w:leader="dot" w:pos="9628"/>
        </w:tabs>
        <w:rPr>
          <w:b/>
          <w:bCs/>
          <w:sz w:val="28"/>
          <w:szCs w:val="28"/>
        </w:rPr>
      </w:pPr>
      <w:r>
        <w:rPr>
          <w:b/>
          <w:bCs/>
          <w:sz w:val="28"/>
          <w:szCs w:val="28"/>
        </w:rPr>
        <w:t>Figures</w:t>
      </w:r>
    </w:p>
    <w:p w14:paraId="7F0038A7" w14:textId="1DFD2BDF" w:rsidR="007E776C" w:rsidRDefault="00B6356B">
      <w:pPr>
        <w:pStyle w:val="TableofFigures"/>
        <w:tabs>
          <w:tab w:val="left" w:pos="1320"/>
          <w:tab w:val="right" w:leader="dot" w:pos="9628"/>
        </w:tabs>
        <w:rPr>
          <w:rFonts w:eastAsiaTheme="minorEastAsia" w:cstheme="minorBidi"/>
          <w:noProof/>
          <w:color w:val="auto"/>
          <w:sz w:val="22"/>
          <w:szCs w:val="22"/>
          <w:lang w:eastAsia="en-AU"/>
        </w:rPr>
      </w:pPr>
      <w:r>
        <w:fldChar w:fldCharType="begin"/>
      </w:r>
      <w:r>
        <w:instrText xml:space="preserve"> TOC \h \z \c "Figure B." </w:instrText>
      </w:r>
      <w:r>
        <w:fldChar w:fldCharType="separate"/>
      </w:r>
      <w:hyperlink w:anchor="_Toc90019600" w:history="1">
        <w:r w:rsidR="007E776C" w:rsidRPr="00C67265">
          <w:rPr>
            <w:rStyle w:val="Hyperlink"/>
            <w:noProof/>
          </w:rPr>
          <w:t>Figure B. 1</w:t>
        </w:r>
        <w:r w:rsidR="007E776C">
          <w:rPr>
            <w:rFonts w:eastAsiaTheme="minorEastAsia" w:cstheme="minorBidi"/>
            <w:noProof/>
            <w:color w:val="auto"/>
            <w:sz w:val="22"/>
            <w:szCs w:val="22"/>
            <w:lang w:eastAsia="en-AU"/>
          </w:rPr>
          <w:tab/>
        </w:r>
        <w:r w:rsidR="007E776C" w:rsidRPr="00C67265">
          <w:rPr>
            <w:rStyle w:val="Hyperlink"/>
            <w:noProof/>
          </w:rPr>
          <w:t>Size of participating organisations (annual income), n=88</w:t>
        </w:r>
        <w:r w:rsidR="007E776C">
          <w:rPr>
            <w:noProof/>
            <w:webHidden/>
          </w:rPr>
          <w:tab/>
        </w:r>
        <w:r w:rsidR="007E776C">
          <w:rPr>
            <w:noProof/>
            <w:webHidden/>
          </w:rPr>
          <w:fldChar w:fldCharType="begin"/>
        </w:r>
        <w:r w:rsidR="007E776C">
          <w:rPr>
            <w:noProof/>
            <w:webHidden/>
          </w:rPr>
          <w:instrText xml:space="preserve"> PAGEREF _Toc90019600 \h </w:instrText>
        </w:r>
        <w:r w:rsidR="007E776C">
          <w:rPr>
            <w:noProof/>
            <w:webHidden/>
          </w:rPr>
        </w:r>
        <w:r w:rsidR="007E776C">
          <w:rPr>
            <w:noProof/>
            <w:webHidden/>
          </w:rPr>
          <w:fldChar w:fldCharType="separate"/>
        </w:r>
        <w:r w:rsidR="00E405AF">
          <w:rPr>
            <w:noProof/>
            <w:webHidden/>
          </w:rPr>
          <w:t>49</w:t>
        </w:r>
        <w:r w:rsidR="007E776C">
          <w:rPr>
            <w:noProof/>
            <w:webHidden/>
          </w:rPr>
          <w:fldChar w:fldCharType="end"/>
        </w:r>
      </w:hyperlink>
    </w:p>
    <w:p w14:paraId="468A605E" w14:textId="5FB7351A"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601" w:history="1">
        <w:r w:rsidR="007E776C" w:rsidRPr="00C67265">
          <w:rPr>
            <w:rStyle w:val="Hyperlink"/>
            <w:noProof/>
          </w:rPr>
          <w:t>Figure B. 2</w:t>
        </w:r>
        <w:r w:rsidR="007E776C">
          <w:rPr>
            <w:rFonts w:eastAsiaTheme="minorEastAsia" w:cstheme="minorBidi"/>
            <w:noProof/>
            <w:color w:val="auto"/>
            <w:sz w:val="22"/>
            <w:szCs w:val="22"/>
            <w:lang w:eastAsia="en-AU"/>
          </w:rPr>
          <w:tab/>
        </w:r>
        <w:r w:rsidR="007E776C" w:rsidRPr="00C67265">
          <w:rPr>
            <w:rStyle w:val="Hyperlink"/>
            <w:noProof/>
          </w:rPr>
          <w:t>Number of ACT Directorates organisations received funds from, n=88</w:t>
        </w:r>
        <w:r w:rsidR="007E776C">
          <w:rPr>
            <w:noProof/>
            <w:webHidden/>
          </w:rPr>
          <w:tab/>
        </w:r>
        <w:r w:rsidR="007E776C">
          <w:rPr>
            <w:noProof/>
            <w:webHidden/>
          </w:rPr>
          <w:fldChar w:fldCharType="begin"/>
        </w:r>
        <w:r w:rsidR="007E776C">
          <w:rPr>
            <w:noProof/>
            <w:webHidden/>
          </w:rPr>
          <w:instrText xml:space="preserve"> PAGEREF _Toc90019601 \h </w:instrText>
        </w:r>
        <w:r w:rsidR="007E776C">
          <w:rPr>
            <w:noProof/>
            <w:webHidden/>
          </w:rPr>
        </w:r>
        <w:r w:rsidR="007E776C">
          <w:rPr>
            <w:noProof/>
            <w:webHidden/>
          </w:rPr>
          <w:fldChar w:fldCharType="separate"/>
        </w:r>
        <w:r w:rsidR="00E405AF">
          <w:rPr>
            <w:noProof/>
            <w:webHidden/>
          </w:rPr>
          <w:t>49</w:t>
        </w:r>
        <w:r w:rsidR="007E776C">
          <w:rPr>
            <w:noProof/>
            <w:webHidden/>
          </w:rPr>
          <w:fldChar w:fldCharType="end"/>
        </w:r>
      </w:hyperlink>
    </w:p>
    <w:p w14:paraId="459FE02C" w14:textId="63ED7ABF"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602" w:history="1">
        <w:r w:rsidR="007E776C" w:rsidRPr="00C67265">
          <w:rPr>
            <w:rStyle w:val="Hyperlink"/>
            <w:noProof/>
          </w:rPr>
          <w:t>Figure B. 3</w:t>
        </w:r>
        <w:r w:rsidR="007E776C">
          <w:rPr>
            <w:rFonts w:eastAsiaTheme="minorEastAsia" w:cstheme="minorBidi"/>
            <w:noProof/>
            <w:color w:val="auto"/>
            <w:sz w:val="22"/>
            <w:szCs w:val="22"/>
            <w:lang w:eastAsia="en-AU"/>
          </w:rPr>
          <w:tab/>
        </w:r>
        <w:r w:rsidR="007E776C" w:rsidRPr="00C67265">
          <w:rPr>
            <w:rStyle w:val="Hyperlink"/>
            <w:noProof/>
          </w:rPr>
          <w:t>Number of Directorates from which core funding was received, n=88</w:t>
        </w:r>
        <w:r w:rsidR="007E776C">
          <w:rPr>
            <w:noProof/>
            <w:webHidden/>
          </w:rPr>
          <w:tab/>
        </w:r>
        <w:r w:rsidR="007E776C">
          <w:rPr>
            <w:noProof/>
            <w:webHidden/>
          </w:rPr>
          <w:fldChar w:fldCharType="begin"/>
        </w:r>
        <w:r w:rsidR="007E776C">
          <w:rPr>
            <w:noProof/>
            <w:webHidden/>
          </w:rPr>
          <w:instrText xml:space="preserve"> PAGEREF _Toc90019602 \h </w:instrText>
        </w:r>
        <w:r w:rsidR="007E776C">
          <w:rPr>
            <w:noProof/>
            <w:webHidden/>
          </w:rPr>
        </w:r>
        <w:r w:rsidR="007E776C">
          <w:rPr>
            <w:noProof/>
            <w:webHidden/>
          </w:rPr>
          <w:fldChar w:fldCharType="separate"/>
        </w:r>
        <w:r w:rsidR="00E405AF">
          <w:rPr>
            <w:noProof/>
            <w:webHidden/>
          </w:rPr>
          <w:t>51</w:t>
        </w:r>
        <w:r w:rsidR="007E776C">
          <w:rPr>
            <w:noProof/>
            <w:webHidden/>
          </w:rPr>
          <w:fldChar w:fldCharType="end"/>
        </w:r>
      </w:hyperlink>
    </w:p>
    <w:p w14:paraId="2167D2A6" w14:textId="70EDD2DE"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603" w:history="1">
        <w:r w:rsidR="007E776C" w:rsidRPr="00C67265">
          <w:rPr>
            <w:rStyle w:val="Hyperlink"/>
            <w:noProof/>
          </w:rPr>
          <w:t>Figure B. 4</w:t>
        </w:r>
        <w:r w:rsidR="007E776C">
          <w:rPr>
            <w:rFonts w:eastAsiaTheme="minorEastAsia" w:cstheme="minorBidi"/>
            <w:noProof/>
            <w:color w:val="auto"/>
            <w:sz w:val="22"/>
            <w:szCs w:val="22"/>
            <w:lang w:eastAsia="en-AU"/>
          </w:rPr>
          <w:tab/>
        </w:r>
        <w:r w:rsidR="007E776C" w:rsidRPr="00C67265">
          <w:rPr>
            <w:rStyle w:val="Hyperlink"/>
            <w:noProof/>
          </w:rPr>
          <w:t>Number of Directorates from which project funding was received, n=88</w:t>
        </w:r>
        <w:r w:rsidR="007E776C">
          <w:rPr>
            <w:noProof/>
            <w:webHidden/>
          </w:rPr>
          <w:tab/>
        </w:r>
        <w:r w:rsidR="007E776C">
          <w:rPr>
            <w:noProof/>
            <w:webHidden/>
          </w:rPr>
          <w:fldChar w:fldCharType="begin"/>
        </w:r>
        <w:r w:rsidR="007E776C">
          <w:rPr>
            <w:noProof/>
            <w:webHidden/>
          </w:rPr>
          <w:instrText xml:space="preserve"> PAGEREF _Toc90019603 \h </w:instrText>
        </w:r>
        <w:r w:rsidR="007E776C">
          <w:rPr>
            <w:noProof/>
            <w:webHidden/>
          </w:rPr>
        </w:r>
        <w:r w:rsidR="007E776C">
          <w:rPr>
            <w:noProof/>
            <w:webHidden/>
          </w:rPr>
          <w:fldChar w:fldCharType="separate"/>
        </w:r>
        <w:r w:rsidR="00E405AF">
          <w:rPr>
            <w:noProof/>
            <w:webHidden/>
          </w:rPr>
          <w:t>51</w:t>
        </w:r>
        <w:r w:rsidR="007E776C">
          <w:rPr>
            <w:noProof/>
            <w:webHidden/>
          </w:rPr>
          <w:fldChar w:fldCharType="end"/>
        </w:r>
      </w:hyperlink>
    </w:p>
    <w:p w14:paraId="12740CB6" w14:textId="2708FBE7" w:rsidR="00B6356B" w:rsidRDefault="00B6356B" w:rsidP="00974C50">
      <w:pPr>
        <w:pStyle w:val="BodyText"/>
        <w:tabs>
          <w:tab w:val="left" w:pos="993"/>
          <w:tab w:val="right" w:leader="dot" w:pos="9072"/>
        </w:tabs>
        <w:spacing w:after="120"/>
        <w:ind w:left="993" w:right="1133" w:hanging="993"/>
      </w:pPr>
      <w:r>
        <w:fldChar w:fldCharType="end"/>
      </w:r>
    </w:p>
    <w:p w14:paraId="176C128D" w14:textId="75B48FC0" w:rsidR="00B6356B" w:rsidRDefault="00B6356B" w:rsidP="00B6356B">
      <w:pPr>
        <w:pStyle w:val="TableofFigures"/>
        <w:tabs>
          <w:tab w:val="left" w:pos="1320"/>
          <w:tab w:val="right" w:leader="dot" w:pos="9628"/>
        </w:tabs>
        <w:rPr>
          <w:b/>
          <w:bCs/>
          <w:sz w:val="28"/>
          <w:szCs w:val="28"/>
        </w:rPr>
      </w:pPr>
      <w:r w:rsidRPr="00B6356B">
        <w:rPr>
          <w:b/>
          <w:bCs/>
          <w:sz w:val="28"/>
          <w:szCs w:val="28"/>
        </w:rPr>
        <w:t>Tables</w:t>
      </w:r>
    </w:p>
    <w:p w14:paraId="39CE95FB" w14:textId="43BE8B0D" w:rsidR="007E776C" w:rsidRDefault="00B6356B"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r>
        <w:fldChar w:fldCharType="begin"/>
      </w:r>
      <w:r>
        <w:instrText xml:space="preserve"> TOC \h \z \c "Table B." </w:instrText>
      </w:r>
      <w:r>
        <w:fldChar w:fldCharType="separate"/>
      </w:r>
      <w:hyperlink w:anchor="_Toc90019604" w:history="1">
        <w:r w:rsidR="007E776C" w:rsidRPr="00061B14">
          <w:rPr>
            <w:rStyle w:val="Hyperlink"/>
            <w:noProof/>
          </w:rPr>
          <w:t>Table B. 1</w:t>
        </w:r>
        <w:r w:rsidR="007E776C">
          <w:rPr>
            <w:rFonts w:eastAsiaTheme="minorEastAsia" w:cstheme="minorBidi"/>
            <w:noProof/>
            <w:color w:val="auto"/>
            <w:sz w:val="22"/>
            <w:szCs w:val="22"/>
            <w:lang w:eastAsia="en-AU"/>
          </w:rPr>
          <w:tab/>
        </w:r>
        <w:r w:rsidR="007E776C" w:rsidRPr="00061B14">
          <w:rPr>
            <w:rStyle w:val="Hyperlink"/>
            <w:noProof/>
          </w:rPr>
          <w:t>Number of participating organisations who received core and project funding from each Directorate, n=88</w:t>
        </w:r>
        <w:r w:rsidR="007E776C">
          <w:rPr>
            <w:noProof/>
            <w:webHidden/>
          </w:rPr>
          <w:tab/>
        </w:r>
        <w:r w:rsidR="007E776C">
          <w:rPr>
            <w:noProof/>
            <w:webHidden/>
          </w:rPr>
          <w:fldChar w:fldCharType="begin"/>
        </w:r>
        <w:r w:rsidR="007E776C">
          <w:rPr>
            <w:noProof/>
            <w:webHidden/>
          </w:rPr>
          <w:instrText xml:space="preserve"> PAGEREF _Toc90019604 \h </w:instrText>
        </w:r>
        <w:r w:rsidR="007E776C">
          <w:rPr>
            <w:noProof/>
            <w:webHidden/>
          </w:rPr>
        </w:r>
        <w:r w:rsidR="007E776C">
          <w:rPr>
            <w:noProof/>
            <w:webHidden/>
          </w:rPr>
          <w:fldChar w:fldCharType="separate"/>
        </w:r>
        <w:r w:rsidR="00E405AF">
          <w:rPr>
            <w:noProof/>
            <w:webHidden/>
          </w:rPr>
          <w:t>50</w:t>
        </w:r>
        <w:r w:rsidR="007E776C">
          <w:rPr>
            <w:noProof/>
            <w:webHidden/>
          </w:rPr>
          <w:fldChar w:fldCharType="end"/>
        </w:r>
      </w:hyperlink>
    </w:p>
    <w:p w14:paraId="455C8C69" w14:textId="34779FD0" w:rsidR="007E776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19605" w:history="1">
        <w:r w:rsidR="007E776C" w:rsidRPr="00061B14">
          <w:rPr>
            <w:rStyle w:val="Hyperlink"/>
            <w:noProof/>
          </w:rPr>
          <w:t>Table B. 2</w:t>
        </w:r>
        <w:r w:rsidR="007E776C">
          <w:rPr>
            <w:rFonts w:eastAsiaTheme="minorEastAsia" w:cstheme="minorBidi"/>
            <w:noProof/>
            <w:color w:val="auto"/>
            <w:sz w:val="22"/>
            <w:szCs w:val="22"/>
            <w:lang w:eastAsia="en-AU"/>
          </w:rPr>
          <w:tab/>
        </w:r>
        <w:r w:rsidR="007E776C" w:rsidRPr="00061B14">
          <w:rPr>
            <w:rStyle w:val="Hyperlink"/>
            <w:noProof/>
          </w:rPr>
          <w:t>Number of ACT Directorates that organisations received funding from, by size of organisation (annual revenue)</w:t>
        </w:r>
        <w:r w:rsidR="007E776C">
          <w:rPr>
            <w:noProof/>
            <w:webHidden/>
          </w:rPr>
          <w:tab/>
        </w:r>
        <w:r w:rsidR="007E776C">
          <w:rPr>
            <w:noProof/>
            <w:webHidden/>
          </w:rPr>
          <w:fldChar w:fldCharType="begin"/>
        </w:r>
        <w:r w:rsidR="007E776C">
          <w:rPr>
            <w:noProof/>
            <w:webHidden/>
          </w:rPr>
          <w:instrText xml:space="preserve"> PAGEREF _Toc90019605 \h </w:instrText>
        </w:r>
        <w:r w:rsidR="007E776C">
          <w:rPr>
            <w:noProof/>
            <w:webHidden/>
          </w:rPr>
        </w:r>
        <w:r w:rsidR="007E776C">
          <w:rPr>
            <w:noProof/>
            <w:webHidden/>
          </w:rPr>
          <w:fldChar w:fldCharType="separate"/>
        </w:r>
        <w:r w:rsidR="00E405AF">
          <w:rPr>
            <w:noProof/>
            <w:webHidden/>
          </w:rPr>
          <w:t>50</w:t>
        </w:r>
        <w:r w:rsidR="007E776C">
          <w:rPr>
            <w:noProof/>
            <w:webHidden/>
          </w:rPr>
          <w:fldChar w:fldCharType="end"/>
        </w:r>
      </w:hyperlink>
    </w:p>
    <w:p w14:paraId="0A8363E7" w14:textId="24667D44"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606" w:history="1">
        <w:r w:rsidR="007E776C" w:rsidRPr="00061B14">
          <w:rPr>
            <w:rStyle w:val="Hyperlink"/>
            <w:noProof/>
          </w:rPr>
          <w:t>Table B. 3</w:t>
        </w:r>
        <w:r w:rsidR="007E776C">
          <w:rPr>
            <w:rFonts w:eastAsiaTheme="minorEastAsia" w:cstheme="minorBidi"/>
            <w:noProof/>
            <w:color w:val="auto"/>
            <w:sz w:val="22"/>
            <w:szCs w:val="22"/>
            <w:lang w:eastAsia="en-AU"/>
          </w:rPr>
          <w:tab/>
        </w:r>
        <w:r w:rsidR="007E776C" w:rsidRPr="00061B14">
          <w:rPr>
            <w:rStyle w:val="Hyperlink"/>
            <w:noProof/>
          </w:rPr>
          <w:t>Participants who answered questions about funding stream</w:t>
        </w:r>
        <w:r w:rsidR="007E776C">
          <w:rPr>
            <w:noProof/>
            <w:webHidden/>
          </w:rPr>
          <w:tab/>
        </w:r>
        <w:r w:rsidR="007E776C">
          <w:rPr>
            <w:noProof/>
            <w:webHidden/>
          </w:rPr>
          <w:fldChar w:fldCharType="begin"/>
        </w:r>
        <w:r w:rsidR="007E776C">
          <w:rPr>
            <w:noProof/>
            <w:webHidden/>
          </w:rPr>
          <w:instrText xml:space="preserve"> PAGEREF _Toc90019606 \h </w:instrText>
        </w:r>
        <w:r w:rsidR="007E776C">
          <w:rPr>
            <w:noProof/>
            <w:webHidden/>
          </w:rPr>
        </w:r>
        <w:r w:rsidR="007E776C">
          <w:rPr>
            <w:noProof/>
            <w:webHidden/>
          </w:rPr>
          <w:fldChar w:fldCharType="separate"/>
        </w:r>
        <w:r w:rsidR="00E405AF">
          <w:rPr>
            <w:noProof/>
            <w:webHidden/>
          </w:rPr>
          <w:t>52</w:t>
        </w:r>
        <w:r w:rsidR="007E776C">
          <w:rPr>
            <w:noProof/>
            <w:webHidden/>
          </w:rPr>
          <w:fldChar w:fldCharType="end"/>
        </w:r>
      </w:hyperlink>
    </w:p>
    <w:p w14:paraId="55EE26C5" w14:textId="6D9C3A88" w:rsidR="00B6356B" w:rsidRDefault="00B6356B" w:rsidP="00974C50">
      <w:pPr>
        <w:pStyle w:val="BodyText"/>
        <w:tabs>
          <w:tab w:val="left" w:pos="993"/>
          <w:tab w:val="right" w:leader="dot" w:pos="9072"/>
        </w:tabs>
        <w:spacing w:after="120"/>
        <w:ind w:left="993" w:right="1133" w:hanging="993"/>
      </w:pPr>
      <w:r>
        <w:lastRenderedPageBreak/>
        <w:fldChar w:fldCharType="end"/>
      </w:r>
    </w:p>
    <w:p w14:paraId="08E017AF" w14:textId="77777777" w:rsidR="00B6356B" w:rsidRDefault="00B6356B" w:rsidP="00974C50">
      <w:pPr>
        <w:pStyle w:val="BodyText"/>
        <w:tabs>
          <w:tab w:val="left" w:pos="993"/>
          <w:tab w:val="right" w:leader="dot" w:pos="9072"/>
        </w:tabs>
        <w:spacing w:after="120"/>
        <w:ind w:left="993" w:right="1133" w:hanging="993"/>
      </w:pPr>
    </w:p>
    <w:p w14:paraId="453772AD" w14:textId="23ECEE97" w:rsidR="00A907B7" w:rsidRPr="00B6356B" w:rsidRDefault="00A907B7" w:rsidP="00B6356B">
      <w:pPr>
        <w:pStyle w:val="TableofFigures"/>
        <w:tabs>
          <w:tab w:val="left" w:pos="1320"/>
          <w:tab w:val="right" w:leader="dot" w:pos="9628"/>
        </w:tabs>
        <w:rPr>
          <w:b/>
          <w:bCs/>
          <w:sz w:val="40"/>
          <w:szCs w:val="40"/>
        </w:rPr>
      </w:pPr>
      <w:bookmarkStart w:id="5" w:name="_Toc88753115"/>
      <w:r w:rsidRPr="00B6356B">
        <w:rPr>
          <w:b/>
          <w:bCs/>
          <w:sz w:val="40"/>
          <w:szCs w:val="40"/>
        </w:rPr>
        <w:t>Data in Appendix</w:t>
      </w:r>
      <w:bookmarkEnd w:id="5"/>
      <w:r w:rsidR="00B6356B" w:rsidRPr="00B6356B">
        <w:rPr>
          <w:b/>
          <w:bCs/>
          <w:sz w:val="40"/>
          <w:szCs w:val="40"/>
        </w:rPr>
        <w:t xml:space="preserve"> </w:t>
      </w:r>
      <w:r w:rsidR="00524CD9">
        <w:rPr>
          <w:b/>
          <w:bCs/>
          <w:sz w:val="40"/>
          <w:szCs w:val="40"/>
        </w:rPr>
        <w:t>C</w:t>
      </w:r>
    </w:p>
    <w:p w14:paraId="5804511E" w14:textId="77777777" w:rsidR="00B6356B" w:rsidRDefault="00B6356B">
      <w:pPr>
        <w:pStyle w:val="TableofFigures"/>
        <w:tabs>
          <w:tab w:val="left" w:pos="1320"/>
          <w:tab w:val="right" w:leader="dot" w:pos="9628"/>
        </w:tabs>
        <w:rPr>
          <w:b/>
          <w:bCs/>
          <w:sz w:val="28"/>
          <w:szCs w:val="28"/>
        </w:rPr>
      </w:pPr>
    </w:p>
    <w:p w14:paraId="57C38196" w14:textId="5A08448E" w:rsidR="00B6356B" w:rsidRPr="00B6356B" w:rsidRDefault="00454AD7">
      <w:pPr>
        <w:pStyle w:val="TableofFigures"/>
        <w:tabs>
          <w:tab w:val="left" w:pos="1320"/>
          <w:tab w:val="right" w:leader="dot" w:pos="9628"/>
        </w:tabs>
        <w:rPr>
          <w:b/>
          <w:bCs/>
          <w:sz w:val="28"/>
          <w:szCs w:val="28"/>
        </w:rPr>
      </w:pPr>
      <w:r>
        <w:rPr>
          <w:b/>
          <w:bCs/>
          <w:sz w:val="28"/>
          <w:szCs w:val="28"/>
        </w:rPr>
        <w:t>Figures</w:t>
      </w:r>
    </w:p>
    <w:p w14:paraId="1B48D7CD" w14:textId="5E4D7DB8" w:rsidR="007E776C" w:rsidRDefault="00B6356B"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r>
        <w:fldChar w:fldCharType="begin"/>
      </w:r>
      <w:r>
        <w:instrText xml:space="preserve"> TOC \h \z \c "Figure D." </w:instrText>
      </w:r>
      <w:r>
        <w:fldChar w:fldCharType="separate"/>
      </w:r>
      <w:hyperlink w:anchor="_Toc90019607" w:history="1">
        <w:r w:rsidR="007E776C" w:rsidRPr="00A47848">
          <w:rPr>
            <w:rStyle w:val="Hyperlink"/>
            <w:noProof/>
          </w:rPr>
          <w:t>Figure C. 1</w:t>
        </w:r>
        <w:r w:rsidR="007E776C">
          <w:rPr>
            <w:rFonts w:eastAsiaTheme="minorEastAsia" w:cstheme="minorBidi"/>
            <w:noProof/>
            <w:color w:val="auto"/>
            <w:sz w:val="22"/>
            <w:szCs w:val="22"/>
            <w:lang w:eastAsia="en-AU"/>
          </w:rPr>
          <w:tab/>
        </w:r>
        <w:r w:rsidR="007E776C" w:rsidRPr="00A47848">
          <w:rPr>
            <w:rStyle w:val="Hyperlink"/>
            <w:noProof/>
          </w:rPr>
          <w:t>People receiving Jobseeker, Parenting Payment and Youth Allowance in the ACT, June 2016 to June 2021</w:t>
        </w:r>
        <w:r w:rsidR="007E776C">
          <w:rPr>
            <w:noProof/>
            <w:webHidden/>
          </w:rPr>
          <w:tab/>
        </w:r>
        <w:r w:rsidR="007E776C">
          <w:rPr>
            <w:noProof/>
            <w:webHidden/>
          </w:rPr>
          <w:fldChar w:fldCharType="begin"/>
        </w:r>
        <w:r w:rsidR="007E776C">
          <w:rPr>
            <w:noProof/>
            <w:webHidden/>
          </w:rPr>
          <w:instrText xml:space="preserve"> PAGEREF _Toc90019607 \h </w:instrText>
        </w:r>
        <w:r w:rsidR="007E776C">
          <w:rPr>
            <w:noProof/>
            <w:webHidden/>
          </w:rPr>
        </w:r>
        <w:r w:rsidR="007E776C">
          <w:rPr>
            <w:noProof/>
            <w:webHidden/>
          </w:rPr>
          <w:fldChar w:fldCharType="separate"/>
        </w:r>
        <w:r w:rsidR="00E405AF">
          <w:rPr>
            <w:noProof/>
            <w:webHidden/>
          </w:rPr>
          <w:t>53</w:t>
        </w:r>
        <w:r w:rsidR="007E776C">
          <w:rPr>
            <w:noProof/>
            <w:webHidden/>
          </w:rPr>
          <w:fldChar w:fldCharType="end"/>
        </w:r>
      </w:hyperlink>
    </w:p>
    <w:p w14:paraId="548B8F31" w14:textId="003CFB5D" w:rsidR="007E776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19608" w:history="1">
        <w:r w:rsidR="007E776C" w:rsidRPr="00A47848">
          <w:rPr>
            <w:rStyle w:val="Hyperlink"/>
            <w:noProof/>
          </w:rPr>
          <w:t>Figure C. 2</w:t>
        </w:r>
        <w:r w:rsidR="007E776C">
          <w:rPr>
            <w:rFonts w:eastAsiaTheme="minorEastAsia" w:cstheme="minorBidi"/>
            <w:noProof/>
            <w:color w:val="auto"/>
            <w:sz w:val="22"/>
            <w:szCs w:val="22"/>
            <w:lang w:eastAsia="en-AU"/>
          </w:rPr>
          <w:tab/>
        </w:r>
        <w:r w:rsidR="007E776C" w:rsidRPr="00A47848">
          <w:rPr>
            <w:rStyle w:val="Hyperlink"/>
            <w:noProof/>
          </w:rPr>
          <w:t>ACT expenditure on specialised mental health services ($m, 2018-19 dollars), and % of spending to NGOs</w:t>
        </w:r>
        <w:r w:rsidR="007E776C">
          <w:rPr>
            <w:noProof/>
            <w:webHidden/>
          </w:rPr>
          <w:tab/>
        </w:r>
        <w:r w:rsidR="007E776C">
          <w:rPr>
            <w:noProof/>
            <w:webHidden/>
          </w:rPr>
          <w:fldChar w:fldCharType="begin"/>
        </w:r>
        <w:r w:rsidR="007E776C">
          <w:rPr>
            <w:noProof/>
            <w:webHidden/>
          </w:rPr>
          <w:instrText xml:space="preserve"> PAGEREF _Toc90019608 \h </w:instrText>
        </w:r>
        <w:r w:rsidR="007E776C">
          <w:rPr>
            <w:noProof/>
            <w:webHidden/>
          </w:rPr>
        </w:r>
        <w:r w:rsidR="007E776C">
          <w:rPr>
            <w:noProof/>
            <w:webHidden/>
          </w:rPr>
          <w:fldChar w:fldCharType="separate"/>
        </w:r>
        <w:r w:rsidR="00E405AF">
          <w:rPr>
            <w:noProof/>
            <w:webHidden/>
          </w:rPr>
          <w:t>53</w:t>
        </w:r>
        <w:r w:rsidR="007E776C">
          <w:rPr>
            <w:noProof/>
            <w:webHidden/>
          </w:rPr>
          <w:fldChar w:fldCharType="end"/>
        </w:r>
      </w:hyperlink>
    </w:p>
    <w:p w14:paraId="09011BBA" w14:textId="64598CAA"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609" w:history="1">
        <w:r w:rsidR="007E776C" w:rsidRPr="00A47848">
          <w:rPr>
            <w:rStyle w:val="Hyperlink"/>
            <w:noProof/>
          </w:rPr>
          <w:t>Figure C. 3</w:t>
        </w:r>
        <w:r w:rsidR="007E776C">
          <w:rPr>
            <w:rFonts w:eastAsiaTheme="minorEastAsia" w:cstheme="minorBidi"/>
            <w:noProof/>
            <w:color w:val="auto"/>
            <w:sz w:val="22"/>
            <w:szCs w:val="22"/>
            <w:lang w:eastAsia="en-AU"/>
          </w:rPr>
          <w:tab/>
        </w:r>
        <w:r w:rsidR="007E776C" w:rsidRPr="00A47848">
          <w:rPr>
            <w:rStyle w:val="Hyperlink"/>
            <w:noProof/>
          </w:rPr>
          <w:t>Proportion of children developmentally vulnerable, 2015 and 2018</w:t>
        </w:r>
        <w:r w:rsidR="007E776C">
          <w:rPr>
            <w:noProof/>
            <w:webHidden/>
          </w:rPr>
          <w:tab/>
        </w:r>
        <w:r w:rsidR="007E776C">
          <w:rPr>
            <w:noProof/>
            <w:webHidden/>
          </w:rPr>
          <w:fldChar w:fldCharType="begin"/>
        </w:r>
        <w:r w:rsidR="007E776C">
          <w:rPr>
            <w:noProof/>
            <w:webHidden/>
          </w:rPr>
          <w:instrText xml:space="preserve"> PAGEREF _Toc90019609 \h </w:instrText>
        </w:r>
        <w:r w:rsidR="007E776C">
          <w:rPr>
            <w:noProof/>
            <w:webHidden/>
          </w:rPr>
        </w:r>
        <w:r w:rsidR="007E776C">
          <w:rPr>
            <w:noProof/>
            <w:webHidden/>
          </w:rPr>
          <w:fldChar w:fldCharType="separate"/>
        </w:r>
        <w:r w:rsidR="00E405AF">
          <w:rPr>
            <w:noProof/>
            <w:webHidden/>
          </w:rPr>
          <w:t>54</w:t>
        </w:r>
        <w:r w:rsidR="007E776C">
          <w:rPr>
            <w:noProof/>
            <w:webHidden/>
          </w:rPr>
          <w:fldChar w:fldCharType="end"/>
        </w:r>
      </w:hyperlink>
    </w:p>
    <w:p w14:paraId="0A9168A5" w14:textId="04D2FDD3" w:rsidR="007E776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19610" w:history="1">
        <w:r w:rsidR="007E776C" w:rsidRPr="00A47848">
          <w:rPr>
            <w:rStyle w:val="Hyperlink"/>
            <w:noProof/>
          </w:rPr>
          <w:t>Figure C. 4</w:t>
        </w:r>
        <w:r w:rsidR="007E776C">
          <w:rPr>
            <w:rFonts w:eastAsiaTheme="minorEastAsia" w:cstheme="minorBidi"/>
            <w:noProof/>
            <w:color w:val="auto"/>
            <w:sz w:val="22"/>
            <w:szCs w:val="22"/>
            <w:lang w:eastAsia="en-AU"/>
          </w:rPr>
          <w:tab/>
        </w:r>
        <w:r w:rsidR="007E776C" w:rsidRPr="00A47848">
          <w:rPr>
            <w:rStyle w:val="Hyperlink"/>
            <w:noProof/>
          </w:rPr>
          <w:t>Change in hourly rates, Social and Community Services Employees, full and part time (ACT), 2014-2021</w:t>
        </w:r>
        <w:r w:rsidR="007E776C">
          <w:rPr>
            <w:noProof/>
            <w:webHidden/>
          </w:rPr>
          <w:tab/>
        </w:r>
        <w:r w:rsidR="007E776C">
          <w:rPr>
            <w:noProof/>
            <w:webHidden/>
          </w:rPr>
          <w:fldChar w:fldCharType="begin"/>
        </w:r>
        <w:r w:rsidR="007E776C">
          <w:rPr>
            <w:noProof/>
            <w:webHidden/>
          </w:rPr>
          <w:instrText xml:space="preserve"> PAGEREF _Toc90019610 \h </w:instrText>
        </w:r>
        <w:r w:rsidR="007E776C">
          <w:rPr>
            <w:noProof/>
            <w:webHidden/>
          </w:rPr>
        </w:r>
        <w:r w:rsidR="007E776C">
          <w:rPr>
            <w:noProof/>
            <w:webHidden/>
          </w:rPr>
          <w:fldChar w:fldCharType="separate"/>
        </w:r>
        <w:r w:rsidR="00E405AF">
          <w:rPr>
            <w:noProof/>
            <w:webHidden/>
          </w:rPr>
          <w:t>54</w:t>
        </w:r>
        <w:r w:rsidR="007E776C">
          <w:rPr>
            <w:noProof/>
            <w:webHidden/>
          </w:rPr>
          <w:fldChar w:fldCharType="end"/>
        </w:r>
      </w:hyperlink>
    </w:p>
    <w:p w14:paraId="07682CA8" w14:textId="5FE031A0" w:rsidR="007E776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19611" w:history="1">
        <w:r w:rsidR="007E776C" w:rsidRPr="00A47848">
          <w:rPr>
            <w:rStyle w:val="Hyperlink"/>
            <w:noProof/>
          </w:rPr>
          <w:t>Figure C. 5</w:t>
        </w:r>
        <w:r w:rsidR="007E776C">
          <w:rPr>
            <w:rFonts w:eastAsiaTheme="minorEastAsia" w:cstheme="minorBidi"/>
            <w:noProof/>
            <w:color w:val="auto"/>
            <w:sz w:val="22"/>
            <w:szCs w:val="22"/>
            <w:lang w:eastAsia="en-AU"/>
          </w:rPr>
          <w:tab/>
        </w:r>
        <w:r w:rsidR="007E776C" w:rsidRPr="00A47848">
          <w:rPr>
            <w:rStyle w:val="Hyperlink"/>
            <w:noProof/>
          </w:rPr>
          <w:t>Regional Internet Vacancy Index information for community service occupations in the ACT</w:t>
        </w:r>
        <w:r w:rsidR="007E776C">
          <w:rPr>
            <w:noProof/>
            <w:webHidden/>
          </w:rPr>
          <w:tab/>
        </w:r>
        <w:r w:rsidR="007E776C">
          <w:rPr>
            <w:noProof/>
            <w:webHidden/>
          </w:rPr>
          <w:fldChar w:fldCharType="begin"/>
        </w:r>
        <w:r w:rsidR="007E776C">
          <w:rPr>
            <w:noProof/>
            <w:webHidden/>
          </w:rPr>
          <w:instrText xml:space="preserve"> PAGEREF _Toc90019611 \h </w:instrText>
        </w:r>
        <w:r w:rsidR="007E776C">
          <w:rPr>
            <w:noProof/>
            <w:webHidden/>
          </w:rPr>
        </w:r>
        <w:r w:rsidR="007E776C">
          <w:rPr>
            <w:noProof/>
            <w:webHidden/>
          </w:rPr>
          <w:fldChar w:fldCharType="separate"/>
        </w:r>
        <w:r w:rsidR="00E405AF">
          <w:rPr>
            <w:noProof/>
            <w:webHidden/>
          </w:rPr>
          <w:t>55</w:t>
        </w:r>
        <w:r w:rsidR="007E776C">
          <w:rPr>
            <w:noProof/>
            <w:webHidden/>
          </w:rPr>
          <w:fldChar w:fldCharType="end"/>
        </w:r>
      </w:hyperlink>
    </w:p>
    <w:p w14:paraId="4285CAAD" w14:textId="49D5ACDE"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612" w:history="1">
        <w:r w:rsidR="007E776C" w:rsidRPr="00A47848">
          <w:rPr>
            <w:rStyle w:val="Hyperlink"/>
            <w:noProof/>
          </w:rPr>
          <w:t>Figure C. 6</w:t>
        </w:r>
        <w:r w:rsidR="007E776C">
          <w:rPr>
            <w:rFonts w:eastAsiaTheme="minorEastAsia" w:cstheme="minorBidi"/>
            <w:noProof/>
            <w:color w:val="auto"/>
            <w:sz w:val="22"/>
            <w:szCs w:val="22"/>
            <w:lang w:eastAsia="en-AU"/>
          </w:rPr>
          <w:tab/>
        </w:r>
        <w:r w:rsidR="007E776C" w:rsidRPr="00A47848">
          <w:rPr>
            <w:rStyle w:val="Hyperlink"/>
            <w:noProof/>
          </w:rPr>
          <w:t>Perspectives on coverage of infrastructure costs</w:t>
        </w:r>
        <w:r w:rsidR="007E776C">
          <w:rPr>
            <w:noProof/>
            <w:webHidden/>
          </w:rPr>
          <w:tab/>
        </w:r>
        <w:r w:rsidR="007E776C">
          <w:rPr>
            <w:noProof/>
            <w:webHidden/>
          </w:rPr>
          <w:fldChar w:fldCharType="begin"/>
        </w:r>
        <w:r w:rsidR="007E776C">
          <w:rPr>
            <w:noProof/>
            <w:webHidden/>
          </w:rPr>
          <w:instrText xml:space="preserve"> PAGEREF _Toc90019612 \h </w:instrText>
        </w:r>
        <w:r w:rsidR="007E776C">
          <w:rPr>
            <w:noProof/>
            <w:webHidden/>
          </w:rPr>
        </w:r>
        <w:r w:rsidR="007E776C">
          <w:rPr>
            <w:noProof/>
            <w:webHidden/>
          </w:rPr>
          <w:fldChar w:fldCharType="separate"/>
        </w:r>
        <w:r w:rsidR="00E405AF">
          <w:rPr>
            <w:noProof/>
            <w:webHidden/>
          </w:rPr>
          <w:t>55</w:t>
        </w:r>
        <w:r w:rsidR="007E776C">
          <w:rPr>
            <w:noProof/>
            <w:webHidden/>
          </w:rPr>
          <w:fldChar w:fldCharType="end"/>
        </w:r>
      </w:hyperlink>
    </w:p>
    <w:p w14:paraId="21BD17AE" w14:textId="5F7F05CE" w:rsidR="007E776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19613" w:history="1">
        <w:r w:rsidR="007E776C" w:rsidRPr="00A47848">
          <w:rPr>
            <w:rStyle w:val="Hyperlink"/>
            <w:noProof/>
          </w:rPr>
          <w:t>Figure C. 7</w:t>
        </w:r>
        <w:r w:rsidR="007E776C">
          <w:rPr>
            <w:rFonts w:eastAsiaTheme="minorEastAsia" w:cstheme="minorBidi"/>
            <w:noProof/>
            <w:color w:val="auto"/>
            <w:sz w:val="22"/>
            <w:szCs w:val="22"/>
            <w:lang w:eastAsia="en-AU"/>
          </w:rPr>
          <w:tab/>
        </w:r>
        <w:r w:rsidR="007E776C" w:rsidRPr="00A47848">
          <w:rPr>
            <w:rStyle w:val="Hyperlink"/>
            <w:noProof/>
          </w:rPr>
          <w:t>Perspectives on coverage of evaluation, reporting and governance related costs</w:t>
        </w:r>
        <w:r w:rsidR="007E776C">
          <w:rPr>
            <w:noProof/>
            <w:webHidden/>
          </w:rPr>
          <w:tab/>
        </w:r>
        <w:r w:rsidR="007E776C">
          <w:rPr>
            <w:noProof/>
            <w:webHidden/>
          </w:rPr>
          <w:fldChar w:fldCharType="begin"/>
        </w:r>
        <w:r w:rsidR="007E776C">
          <w:rPr>
            <w:noProof/>
            <w:webHidden/>
          </w:rPr>
          <w:instrText xml:space="preserve"> PAGEREF _Toc90019613 \h </w:instrText>
        </w:r>
        <w:r w:rsidR="007E776C">
          <w:rPr>
            <w:noProof/>
            <w:webHidden/>
          </w:rPr>
        </w:r>
        <w:r w:rsidR="007E776C">
          <w:rPr>
            <w:noProof/>
            <w:webHidden/>
          </w:rPr>
          <w:fldChar w:fldCharType="separate"/>
        </w:r>
        <w:r w:rsidR="00E405AF">
          <w:rPr>
            <w:noProof/>
            <w:webHidden/>
          </w:rPr>
          <w:t>56</w:t>
        </w:r>
        <w:r w:rsidR="007E776C">
          <w:rPr>
            <w:noProof/>
            <w:webHidden/>
          </w:rPr>
          <w:fldChar w:fldCharType="end"/>
        </w:r>
      </w:hyperlink>
    </w:p>
    <w:p w14:paraId="6E4236F7" w14:textId="77119D7F" w:rsidR="007E776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19614" w:history="1">
        <w:r w:rsidR="007E776C" w:rsidRPr="00A47848">
          <w:rPr>
            <w:rStyle w:val="Hyperlink"/>
            <w:noProof/>
          </w:rPr>
          <w:t>Figure C. 8</w:t>
        </w:r>
        <w:r w:rsidR="007E776C">
          <w:rPr>
            <w:rFonts w:eastAsiaTheme="minorEastAsia" w:cstheme="minorBidi"/>
            <w:noProof/>
            <w:color w:val="auto"/>
            <w:sz w:val="22"/>
            <w:szCs w:val="22"/>
            <w:lang w:eastAsia="en-AU"/>
          </w:rPr>
          <w:tab/>
        </w:r>
        <w:r w:rsidR="007E776C" w:rsidRPr="00A47848">
          <w:rPr>
            <w:rStyle w:val="Hyperlink"/>
            <w:noProof/>
          </w:rPr>
          <w:t>Percentage increase in SCHADS award rates resulting from Annual Wage Review, and Community Sector Funding Rate, 2014-15 to 2020-21</w:t>
        </w:r>
        <w:r w:rsidR="007E776C">
          <w:rPr>
            <w:noProof/>
            <w:webHidden/>
          </w:rPr>
          <w:tab/>
        </w:r>
        <w:r w:rsidR="007E776C">
          <w:rPr>
            <w:noProof/>
            <w:webHidden/>
          </w:rPr>
          <w:fldChar w:fldCharType="begin"/>
        </w:r>
        <w:r w:rsidR="007E776C">
          <w:rPr>
            <w:noProof/>
            <w:webHidden/>
          </w:rPr>
          <w:instrText xml:space="preserve"> PAGEREF _Toc90019614 \h </w:instrText>
        </w:r>
        <w:r w:rsidR="007E776C">
          <w:rPr>
            <w:noProof/>
            <w:webHidden/>
          </w:rPr>
        </w:r>
        <w:r w:rsidR="007E776C">
          <w:rPr>
            <w:noProof/>
            <w:webHidden/>
          </w:rPr>
          <w:fldChar w:fldCharType="separate"/>
        </w:r>
        <w:r w:rsidR="00E405AF">
          <w:rPr>
            <w:noProof/>
            <w:webHidden/>
          </w:rPr>
          <w:t>56</w:t>
        </w:r>
        <w:r w:rsidR="007E776C">
          <w:rPr>
            <w:noProof/>
            <w:webHidden/>
          </w:rPr>
          <w:fldChar w:fldCharType="end"/>
        </w:r>
      </w:hyperlink>
    </w:p>
    <w:p w14:paraId="7D4389E1" w14:textId="54402FAB" w:rsidR="007E776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19615" w:history="1">
        <w:r w:rsidR="007E776C" w:rsidRPr="00A47848">
          <w:rPr>
            <w:rStyle w:val="Hyperlink"/>
            <w:noProof/>
          </w:rPr>
          <w:t>Figure C. 9</w:t>
        </w:r>
        <w:r w:rsidR="007E776C">
          <w:rPr>
            <w:rFonts w:eastAsiaTheme="minorEastAsia" w:cstheme="minorBidi"/>
            <w:noProof/>
            <w:color w:val="auto"/>
            <w:sz w:val="22"/>
            <w:szCs w:val="22"/>
            <w:lang w:eastAsia="en-AU"/>
          </w:rPr>
          <w:tab/>
        </w:r>
        <w:r w:rsidR="007E776C" w:rsidRPr="00A47848">
          <w:rPr>
            <w:rStyle w:val="Hyperlink"/>
            <w:noProof/>
          </w:rPr>
          <w:t>Main considerations when applying for ACT Government funding</w:t>
        </w:r>
        <w:r w:rsidR="007E776C">
          <w:rPr>
            <w:noProof/>
            <w:webHidden/>
          </w:rPr>
          <w:tab/>
        </w:r>
        <w:r w:rsidR="007E776C">
          <w:rPr>
            <w:noProof/>
            <w:webHidden/>
          </w:rPr>
          <w:fldChar w:fldCharType="begin"/>
        </w:r>
        <w:r w:rsidR="007E776C">
          <w:rPr>
            <w:noProof/>
            <w:webHidden/>
          </w:rPr>
          <w:instrText xml:space="preserve"> PAGEREF _Toc90019615 \h </w:instrText>
        </w:r>
        <w:r w:rsidR="007E776C">
          <w:rPr>
            <w:noProof/>
            <w:webHidden/>
          </w:rPr>
        </w:r>
        <w:r w:rsidR="007E776C">
          <w:rPr>
            <w:noProof/>
            <w:webHidden/>
          </w:rPr>
          <w:fldChar w:fldCharType="separate"/>
        </w:r>
        <w:r w:rsidR="00E405AF">
          <w:rPr>
            <w:noProof/>
            <w:webHidden/>
          </w:rPr>
          <w:t>57</w:t>
        </w:r>
        <w:r w:rsidR="007E776C">
          <w:rPr>
            <w:noProof/>
            <w:webHidden/>
          </w:rPr>
          <w:fldChar w:fldCharType="end"/>
        </w:r>
      </w:hyperlink>
    </w:p>
    <w:p w14:paraId="230D6929" w14:textId="473C966B" w:rsidR="007E776C" w:rsidRDefault="00B54793" w:rsidP="0007123F">
      <w:pPr>
        <w:pStyle w:val="TableofFigures"/>
        <w:tabs>
          <w:tab w:val="left" w:pos="1540"/>
          <w:tab w:val="right" w:leader="dot" w:pos="9628"/>
        </w:tabs>
        <w:ind w:left="1440" w:hanging="1440"/>
        <w:rPr>
          <w:rFonts w:eastAsiaTheme="minorEastAsia" w:cstheme="minorBidi"/>
          <w:noProof/>
          <w:color w:val="auto"/>
          <w:sz w:val="22"/>
          <w:szCs w:val="22"/>
          <w:lang w:eastAsia="en-AU"/>
        </w:rPr>
      </w:pPr>
      <w:hyperlink w:anchor="_Toc90019616" w:history="1">
        <w:r w:rsidR="007E776C" w:rsidRPr="00A47848">
          <w:rPr>
            <w:rStyle w:val="Hyperlink"/>
            <w:noProof/>
          </w:rPr>
          <w:t>Figure C. 10</w:t>
        </w:r>
        <w:r w:rsidR="007E776C">
          <w:rPr>
            <w:rFonts w:eastAsiaTheme="minorEastAsia" w:cstheme="minorBidi"/>
            <w:noProof/>
            <w:color w:val="auto"/>
            <w:sz w:val="22"/>
            <w:szCs w:val="22"/>
            <w:lang w:eastAsia="en-AU"/>
          </w:rPr>
          <w:tab/>
        </w:r>
        <w:r w:rsidR="007E776C" w:rsidRPr="00A47848">
          <w:rPr>
            <w:rStyle w:val="Hyperlink"/>
            <w:noProof/>
          </w:rPr>
          <w:t>In the last three years, which of these staffing and service delivery strategies have been used by your service to help manage your ACT government funding?</w:t>
        </w:r>
        <w:r w:rsidR="007E776C">
          <w:rPr>
            <w:noProof/>
            <w:webHidden/>
          </w:rPr>
          <w:tab/>
        </w:r>
        <w:r w:rsidR="007E776C">
          <w:rPr>
            <w:noProof/>
            <w:webHidden/>
          </w:rPr>
          <w:fldChar w:fldCharType="begin"/>
        </w:r>
        <w:r w:rsidR="007E776C">
          <w:rPr>
            <w:noProof/>
            <w:webHidden/>
          </w:rPr>
          <w:instrText xml:space="preserve"> PAGEREF _Toc90019616 \h </w:instrText>
        </w:r>
        <w:r w:rsidR="007E776C">
          <w:rPr>
            <w:noProof/>
            <w:webHidden/>
          </w:rPr>
        </w:r>
        <w:r w:rsidR="007E776C">
          <w:rPr>
            <w:noProof/>
            <w:webHidden/>
          </w:rPr>
          <w:fldChar w:fldCharType="separate"/>
        </w:r>
        <w:r w:rsidR="00E405AF">
          <w:rPr>
            <w:noProof/>
            <w:webHidden/>
          </w:rPr>
          <w:t>57</w:t>
        </w:r>
        <w:r w:rsidR="007E776C">
          <w:rPr>
            <w:noProof/>
            <w:webHidden/>
          </w:rPr>
          <w:fldChar w:fldCharType="end"/>
        </w:r>
      </w:hyperlink>
    </w:p>
    <w:p w14:paraId="54881D70" w14:textId="540B9A8F" w:rsidR="007E776C" w:rsidRDefault="00B54793" w:rsidP="0007123F">
      <w:pPr>
        <w:pStyle w:val="TableofFigures"/>
        <w:tabs>
          <w:tab w:val="left" w:pos="1540"/>
          <w:tab w:val="right" w:leader="dot" w:pos="9628"/>
        </w:tabs>
        <w:ind w:left="1440" w:hanging="1440"/>
        <w:rPr>
          <w:rFonts w:eastAsiaTheme="minorEastAsia" w:cstheme="minorBidi"/>
          <w:noProof/>
          <w:color w:val="auto"/>
          <w:sz w:val="22"/>
          <w:szCs w:val="22"/>
          <w:lang w:eastAsia="en-AU"/>
        </w:rPr>
      </w:pPr>
      <w:hyperlink w:anchor="_Toc90019617" w:history="1">
        <w:r w:rsidR="007E776C" w:rsidRPr="00A47848">
          <w:rPr>
            <w:rStyle w:val="Hyperlink"/>
            <w:noProof/>
          </w:rPr>
          <w:t>Figure C. 11</w:t>
        </w:r>
        <w:r w:rsidR="007E776C">
          <w:rPr>
            <w:rFonts w:eastAsiaTheme="minorEastAsia" w:cstheme="minorBidi"/>
            <w:noProof/>
            <w:color w:val="auto"/>
            <w:sz w:val="22"/>
            <w:szCs w:val="22"/>
            <w:lang w:eastAsia="en-AU"/>
          </w:rPr>
          <w:tab/>
        </w:r>
        <w:r w:rsidR="007E776C" w:rsidRPr="00A47848">
          <w:rPr>
            <w:rStyle w:val="Hyperlink"/>
            <w:noProof/>
          </w:rPr>
          <w:t>In the last three years, which of these financial strategies have been used by your service to help manage your ACT government funding?</w:t>
        </w:r>
        <w:r w:rsidR="007E776C">
          <w:rPr>
            <w:noProof/>
            <w:webHidden/>
          </w:rPr>
          <w:tab/>
        </w:r>
        <w:r w:rsidR="007E776C">
          <w:rPr>
            <w:noProof/>
            <w:webHidden/>
          </w:rPr>
          <w:fldChar w:fldCharType="begin"/>
        </w:r>
        <w:r w:rsidR="007E776C">
          <w:rPr>
            <w:noProof/>
            <w:webHidden/>
          </w:rPr>
          <w:instrText xml:space="preserve"> PAGEREF _Toc90019617 \h </w:instrText>
        </w:r>
        <w:r w:rsidR="007E776C">
          <w:rPr>
            <w:noProof/>
            <w:webHidden/>
          </w:rPr>
        </w:r>
        <w:r w:rsidR="007E776C">
          <w:rPr>
            <w:noProof/>
            <w:webHidden/>
          </w:rPr>
          <w:fldChar w:fldCharType="separate"/>
        </w:r>
        <w:r w:rsidR="00E405AF">
          <w:rPr>
            <w:noProof/>
            <w:webHidden/>
          </w:rPr>
          <w:t>58</w:t>
        </w:r>
        <w:r w:rsidR="007E776C">
          <w:rPr>
            <w:noProof/>
            <w:webHidden/>
          </w:rPr>
          <w:fldChar w:fldCharType="end"/>
        </w:r>
      </w:hyperlink>
    </w:p>
    <w:p w14:paraId="5F21DD4A" w14:textId="04DE3FD6" w:rsidR="00B6356B" w:rsidRDefault="00B6356B" w:rsidP="00AF4128">
      <w:pPr>
        <w:pStyle w:val="BodyText"/>
        <w:tabs>
          <w:tab w:val="left" w:pos="993"/>
          <w:tab w:val="right" w:leader="dot" w:pos="9072"/>
        </w:tabs>
        <w:spacing w:before="120" w:after="120"/>
        <w:ind w:left="993" w:right="1133" w:hanging="993"/>
      </w:pPr>
      <w:r>
        <w:fldChar w:fldCharType="end"/>
      </w:r>
    </w:p>
    <w:p w14:paraId="03646ABE" w14:textId="575C458A" w:rsidR="00B6356B" w:rsidRDefault="00B6356B" w:rsidP="00AF4128">
      <w:pPr>
        <w:pStyle w:val="BodyText"/>
        <w:tabs>
          <w:tab w:val="left" w:pos="993"/>
          <w:tab w:val="right" w:leader="dot" w:pos="9072"/>
        </w:tabs>
        <w:spacing w:before="120" w:after="120"/>
        <w:ind w:left="993" w:right="1133" w:hanging="993"/>
        <w:rPr>
          <w:b/>
          <w:bCs/>
          <w:sz w:val="28"/>
          <w:szCs w:val="28"/>
        </w:rPr>
      </w:pPr>
      <w:r w:rsidRPr="00B6356B">
        <w:rPr>
          <w:b/>
          <w:bCs/>
          <w:sz w:val="28"/>
          <w:szCs w:val="28"/>
        </w:rPr>
        <w:t>Tables</w:t>
      </w:r>
    </w:p>
    <w:p w14:paraId="7773FF66" w14:textId="050D1CFC" w:rsidR="0061428C" w:rsidRDefault="00B6356B"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r>
        <w:fldChar w:fldCharType="begin"/>
      </w:r>
      <w:r>
        <w:instrText xml:space="preserve"> TOC \h \z \c "Table D." </w:instrText>
      </w:r>
      <w:r>
        <w:fldChar w:fldCharType="separate"/>
      </w:r>
      <w:hyperlink w:anchor="_Toc90020073" w:history="1">
        <w:r w:rsidR="0061428C" w:rsidRPr="00695A0D">
          <w:rPr>
            <w:rStyle w:val="Hyperlink"/>
            <w:noProof/>
          </w:rPr>
          <w:t>Table C. 1</w:t>
        </w:r>
        <w:r w:rsidR="0061428C">
          <w:rPr>
            <w:rFonts w:eastAsiaTheme="minorEastAsia" w:cstheme="minorBidi"/>
            <w:noProof/>
            <w:color w:val="auto"/>
            <w:sz w:val="22"/>
            <w:szCs w:val="22"/>
            <w:lang w:eastAsia="en-AU"/>
          </w:rPr>
          <w:tab/>
        </w:r>
        <w:r w:rsidR="0061428C" w:rsidRPr="00695A0D">
          <w:rPr>
            <w:rStyle w:val="Hyperlink"/>
            <w:noProof/>
          </w:rPr>
          <w:t>Approximate proportion of organisations’ total annual income which came from each source in 2020-2021, mean and median, by main ACT funding source</w:t>
        </w:r>
        <w:r w:rsidR="0061428C">
          <w:rPr>
            <w:noProof/>
            <w:webHidden/>
          </w:rPr>
          <w:tab/>
        </w:r>
        <w:r w:rsidR="0061428C">
          <w:rPr>
            <w:noProof/>
            <w:webHidden/>
          </w:rPr>
          <w:fldChar w:fldCharType="begin"/>
        </w:r>
        <w:r w:rsidR="0061428C">
          <w:rPr>
            <w:noProof/>
            <w:webHidden/>
          </w:rPr>
          <w:instrText xml:space="preserve"> PAGEREF _Toc90020073 \h </w:instrText>
        </w:r>
        <w:r w:rsidR="0061428C">
          <w:rPr>
            <w:noProof/>
            <w:webHidden/>
          </w:rPr>
        </w:r>
        <w:r w:rsidR="0061428C">
          <w:rPr>
            <w:noProof/>
            <w:webHidden/>
          </w:rPr>
          <w:fldChar w:fldCharType="separate"/>
        </w:r>
        <w:r w:rsidR="00E405AF">
          <w:rPr>
            <w:noProof/>
            <w:webHidden/>
          </w:rPr>
          <w:t>58</w:t>
        </w:r>
        <w:r w:rsidR="0061428C">
          <w:rPr>
            <w:noProof/>
            <w:webHidden/>
          </w:rPr>
          <w:fldChar w:fldCharType="end"/>
        </w:r>
      </w:hyperlink>
    </w:p>
    <w:p w14:paraId="3819ED62" w14:textId="025D365B" w:rsidR="0061428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20074" w:history="1">
        <w:r w:rsidR="0061428C" w:rsidRPr="00695A0D">
          <w:rPr>
            <w:rStyle w:val="Hyperlink"/>
            <w:noProof/>
          </w:rPr>
          <w:t>Table C. 2</w:t>
        </w:r>
        <w:r w:rsidR="0061428C">
          <w:rPr>
            <w:rFonts w:eastAsiaTheme="minorEastAsia" w:cstheme="minorBidi"/>
            <w:noProof/>
            <w:color w:val="auto"/>
            <w:sz w:val="22"/>
            <w:szCs w:val="22"/>
            <w:lang w:eastAsia="en-AU"/>
          </w:rPr>
          <w:tab/>
        </w:r>
        <w:r w:rsidR="0061428C" w:rsidRPr="00695A0D">
          <w:rPr>
            <w:rStyle w:val="Hyperlink"/>
            <w:noProof/>
          </w:rPr>
          <w:t>Community Services Directorate Spending on Grants and Purchased Services, 2015-16 to 2019-20.</w:t>
        </w:r>
        <w:r w:rsidR="0061428C">
          <w:rPr>
            <w:noProof/>
            <w:webHidden/>
          </w:rPr>
          <w:tab/>
        </w:r>
        <w:r w:rsidR="0061428C">
          <w:rPr>
            <w:noProof/>
            <w:webHidden/>
          </w:rPr>
          <w:fldChar w:fldCharType="begin"/>
        </w:r>
        <w:r w:rsidR="0061428C">
          <w:rPr>
            <w:noProof/>
            <w:webHidden/>
          </w:rPr>
          <w:instrText xml:space="preserve"> PAGEREF _Toc90020074 \h </w:instrText>
        </w:r>
        <w:r w:rsidR="0061428C">
          <w:rPr>
            <w:noProof/>
            <w:webHidden/>
          </w:rPr>
        </w:r>
        <w:r w:rsidR="0061428C">
          <w:rPr>
            <w:noProof/>
            <w:webHidden/>
          </w:rPr>
          <w:fldChar w:fldCharType="separate"/>
        </w:r>
        <w:r w:rsidR="00E405AF">
          <w:rPr>
            <w:noProof/>
            <w:webHidden/>
          </w:rPr>
          <w:t>59</w:t>
        </w:r>
        <w:r w:rsidR="0061428C">
          <w:rPr>
            <w:noProof/>
            <w:webHidden/>
          </w:rPr>
          <w:fldChar w:fldCharType="end"/>
        </w:r>
      </w:hyperlink>
    </w:p>
    <w:p w14:paraId="55B48FDB" w14:textId="53C5EEF5" w:rsidR="0061428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20075" w:history="1">
        <w:r w:rsidR="0061428C" w:rsidRPr="00695A0D">
          <w:rPr>
            <w:rStyle w:val="Hyperlink"/>
            <w:noProof/>
          </w:rPr>
          <w:t>Table C. 3</w:t>
        </w:r>
        <w:r w:rsidR="0061428C">
          <w:rPr>
            <w:rFonts w:eastAsiaTheme="minorEastAsia" w:cstheme="minorBidi"/>
            <w:noProof/>
            <w:color w:val="auto"/>
            <w:sz w:val="22"/>
            <w:szCs w:val="22"/>
            <w:lang w:eastAsia="en-AU"/>
          </w:rPr>
          <w:tab/>
        </w:r>
        <w:r w:rsidR="0061428C" w:rsidRPr="00695A0D">
          <w:rPr>
            <w:rStyle w:val="Hyperlink"/>
            <w:noProof/>
            <w:lang w:eastAsia="en-AU"/>
          </w:rPr>
          <w:t>Change in employment expenses as a proportion of total expenses from 2015 to 2019, community service charities based in the ACT</w:t>
        </w:r>
        <w:r w:rsidR="0061428C">
          <w:rPr>
            <w:noProof/>
            <w:webHidden/>
          </w:rPr>
          <w:tab/>
        </w:r>
        <w:r w:rsidR="0061428C">
          <w:rPr>
            <w:noProof/>
            <w:webHidden/>
          </w:rPr>
          <w:fldChar w:fldCharType="begin"/>
        </w:r>
        <w:r w:rsidR="0061428C">
          <w:rPr>
            <w:noProof/>
            <w:webHidden/>
          </w:rPr>
          <w:instrText xml:space="preserve"> PAGEREF _Toc90020075 \h </w:instrText>
        </w:r>
        <w:r w:rsidR="0061428C">
          <w:rPr>
            <w:noProof/>
            <w:webHidden/>
          </w:rPr>
        </w:r>
        <w:r w:rsidR="0061428C">
          <w:rPr>
            <w:noProof/>
            <w:webHidden/>
          </w:rPr>
          <w:fldChar w:fldCharType="separate"/>
        </w:r>
        <w:r w:rsidR="00E405AF">
          <w:rPr>
            <w:noProof/>
            <w:webHidden/>
          </w:rPr>
          <w:t>59</w:t>
        </w:r>
        <w:r w:rsidR="0061428C">
          <w:rPr>
            <w:noProof/>
            <w:webHidden/>
          </w:rPr>
          <w:fldChar w:fldCharType="end"/>
        </w:r>
      </w:hyperlink>
    </w:p>
    <w:p w14:paraId="0AFFBACD" w14:textId="53DF9948" w:rsidR="0061428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20076" w:history="1">
        <w:r w:rsidR="0061428C" w:rsidRPr="00695A0D">
          <w:rPr>
            <w:rStyle w:val="Hyperlink"/>
            <w:noProof/>
          </w:rPr>
          <w:t>Table C. 4</w:t>
        </w:r>
        <w:r w:rsidR="0061428C">
          <w:rPr>
            <w:rFonts w:eastAsiaTheme="minorEastAsia" w:cstheme="minorBidi"/>
            <w:noProof/>
            <w:color w:val="auto"/>
            <w:sz w:val="22"/>
            <w:szCs w:val="22"/>
            <w:lang w:eastAsia="en-AU"/>
          </w:rPr>
          <w:tab/>
        </w:r>
        <w:r w:rsidR="0061428C" w:rsidRPr="00695A0D">
          <w:rPr>
            <w:rStyle w:val="Hyperlink"/>
            <w:noProof/>
          </w:rPr>
          <w:t>Indexation rates for community services funding by jurisdiction, 2020-21</w:t>
        </w:r>
        <w:r w:rsidR="0061428C">
          <w:rPr>
            <w:noProof/>
            <w:webHidden/>
          </w:rPr>
          <w:tab/>
        </w:r>
        <w:r w:rsidR="0061428C">
          <w:rPr>
            <w:noProof/>
            <w:webHidden/>
          </w:rPr>
          <w:fldChar w:fldCharType="begin"/>
        </w:r>
        <w:r w:rsidR="0061428C">
          <w:rPr>
            <w:noProof/>
            <w:webHidden/>
          </w:rPr>
          <w:instrText xml:space="preserve"> PAGEREF _Toc90020076 \h </w:instrText>
        </w:r>
        <w:r w:rsidR="0061428C">
          <w:rPr>
            <w:noProof/>
            <w:webHidden/>
          </w:rPr>
        </w:r>
        <w:r w:rsidR="0061428C">
          <w:rPr>
            <w:noProof/>
            <w:webHidden/>
          </w:rPr>
          <w:fldChar w:fldCharType="separate"/>
        </w:r>
        <w:r w:rsidR="00E405AF">
          <w:rPr>
            <w:noProof/>
            <w:webHidden/>
          </w:rPr>
          <w:t>59</w:t>
        </w:r>
        <w:r w:rsidR="0061428C">
          <w:rPr>
            <w:noProof/>
            <w:webHidden/>
          </w:rPr>
          <w:fldChar w:fldCharType="end"/>
        </w:r>
      </w:hyperlink>
    </w:p>
    <w:p w14:paraId="0FADEFB7" w14:textId="0CA7477B" w:rsidR="0061428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20077" w:history="1">
        <w:r w:rsidR="0061428C" w:rsidRPr="00695A0D">
          <w:rPr>
            <w:rStyle w:val="Hyperlink"/>
            <w:noProof/>
          </w:rPr>
          <w:t>Table C. 5</w:t>
        </w:r>
        <w:r w:rsidR="0061428C">
          <w:rPr>
            <w:rFonts w:eastAsiaTheme="minorEastAsia" w:cstheme="minorBidi"/>
            <w:noProof/>
            <w:color w:val="auto"/>
            <w:sz w:val="22"/>
            <w:szCs w:val="22"/>
            <w:lang w:eastAsia="en-AU"/>
          </w:rPr>
          <w:tab/>
        </w:r>
        <w:r w:rsidR="0061428C" w:rsidRPr="00695A0D">
          <w:rPr>
            <w:rStyle w:val="Hyperlink"/>
            <w:noProof/>
          </w:rPr>
          <w:t>Perceptions of whether or not funds were indexed each year</w:t>
        </w:r>
        <w:r w:rsidR="0061428C">
          <w:rPr>
            <w:noProof/>
            <w:webHidden/>
          </w:rPr>
          <w:tab/>
        </w:r>
        <w:r w:rsidR="0061428C">
          <w:rPr>
            <w:noProof/>
            <w:webHidden/>
          </w:rPr>
          <w:fldChar w:fldCharType="begin"/>
        </w:r>
        <w:r w:rsidR="0061428C">
          <w:rPr>
            <w:noProof/>
            <w:webHidden/>
          </w:rPr>
          <w:instrText xml:space="preserve"> PAGEREF _Toc90020077 \h </w:instrText>
        </w:r>
        <w:r w:rsidR="0061428C">
          <w:rPr>
            <w:noProof/>
            <w:webHidden/>
          </w:rPr>
        </w:r>
        <w:r w:rsidR="0061428C">
          <w:rPr>
            <w:noProof/>
            <w:webHidden/>
          </w:rPr>
          <w:fldChar w:fldCharType="separate"/>
        </w:r>
        <w:r w:rsidR="00E405AF">
          <w:rPr>
            <w:noProof/>
            <w:webHidden/>
          </w:rPr>
          <w:t>60</w:t>
        </w:r>
        <w:r w:rsidR="0061428C">
          <w:rPr>
            <w:noProof/>
            <w:webHidden/>
          </w:rPr>
          <w:fldChar w:fldCharType="end"/>
        </w:r>
      </w:hyperlink>
    </w:p>
    <w:p w14:paraId="1ED1FD86" w14:textId="7E46B782" w:rsidR="0061428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20078" w:history="1">
        <w:r w:rsidR="0061428C" w:rsidRPr="00695A0D">
          <w:rPr>
            <w:rStyle w:val="Hyperlink"/>
            <w:noProof/>
          </w:rPr>
          <w:t>Table C. 6</w:t>
        </w:r>
        <w:r w:rsidR="0061428C">
          <w:rPr>
            <w:rFonts w:eastAsiaTheme="minorEastAsia" w:cstheme="minorBidi"/>
            <w:noProof/>
            <w:color w:val="auto"/>
            <w:sz w:val="22"/>
            <w:szCs w:val="22"/>
            <w:lang w:eastAsia="en-AU"/>
          </w:rPr>
          <w:tab/>
        </w:r>
        <w:r w:rsidR="0061428C" w:rsidRPr="00695A0D">
          <w:rPr>
            <w:rStyle w:val="Hyperlink"/>
            <w:noProof/>
          </w:rPr>
          <w:t>Perspectives on coverage of employment-related costs, funding received from Community Services Directorate</w:t>
        </w:r>
        <w:r w:rsidR="0061428C">
          <w:rPr>
            <w:noProof/>
            <w:webHidden/>
          </w:rPr>
          <w:tab/>
        </w:r>
        <w:r w:rsidR="0061428C">
          <w:rPr>
            <w:noProof/>
            <w:webHidden/>
          </w:rPr>
          <w:fldChar w:fldCharType="begin"/>
        </w:r>
        <w:r w:rsidR="0061428C">
          <w:rPr>
            <w:noProof/>
            <w:webHidden/>
          </w:rPr>
          <w:instrText xml:space="preserve"> PAGEREF _Toc90020078 \h </w:instrText>
        </w:r>
        <w:r w:rsidR="0061428C">
          <w:rPr>
            <w:noProof/>
            <w:webHidden/>
          </w:rPr>
        </w:r>
        <w:r w:rsidR="0061428C">
          <w:rPr>
            <w:noProof/>
            <w:webHidden/>
          </w:rPr>
          <w:fldChar w:fldCharType="separate"/>
        </w:r>
        <w:r w:rsidR="00E405AF">
          <w:rPr>
            <w:noProof/>
            <w:webHidden/>
          </w:rPr>
          <w:t>60</w:t>
        </w:r>
        <w:r w:rsidR="0061428C">
          <w:rPr>
            <w:noProof/>
            <w:webHidden/>
          </w:rPr>
          <w:fldChar w:fldCharType="end"/>
        </w:r>
      </w:hyperlink>
    </w:p>
    <w:p w14:paraId="78F7C070" w14:textId="2BD82B31" w:rsidR="0061428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20079" w:history="1">
        <w:r w:rsidR="0061428C" w:rsidRPr="00695A0D">
          <w:rPr>
            <w:rStyle w:val="Hyperlink"/>
            <w:noProof/>
          </w:rPr>
          <w:t>Table C. 7</w:t>
        </w:r>
        <w:r w:rsidR="0061428C">
          <w:rPr>
            <w:rFonts w:eastAsiaTheme="minorEastAsia" w:cstheme="minorBidi"/>
            <w:noProof/>
            <w:color w:val="auto"/>
            <w:sz w:val="22"/>
            <w:szCs w:val="22"/>
            <w:lang w:eastAsia="en-AU"/>
          </w:rPr>
          <w:tab/>
        </w:r>
        <w:r w:rsidR="0061428C" w:rsidRPr="00695A0D">
          <w:rPr>
            <w:rStyle w:val="Hyperlink"/>
            <w:noProof/>
          </w:rPr>
          <w:t>Perspectives on coverage of employment-related costs, funding received from ACT Health Directorate</w:t>
        </w:r>
        <w:r w:rsidR="0061428C">
          <w:rPr>
            <w:noProof/>
            <w:webHidden/>
          </w:rPr>
          <w:tab/>
        </w:r>
        <w:r w:rsidR="0061428C">
          <w:rPr>
            <w:noProof/>
            <w:webHidden/>
          </w:rPr>
          <w:fldChar w:fldCharType="begin"/>
        </w:r>
        <w:r w:rsidR="0061428C">
          <w:rPr>
            <w:noProof/>
            <w:webHidden/>
          </w:rPr>
          <w:instrText xml:space="preserve"> PAGEREF _Toc90020079 \h </w:instrText>
        </w:r>
        <w:r w:rsidR="0061428C">
          <w:rPr>
            <w:noProof/>
            <w:webHidden/>
          </w:rPr>
        </w:r>
        <w:r w:rsidR="0061428C">
          <w:rPr>
            <w:noProof/>
            <w:webHidden/>
          </w:rPr>
          <w:fldChar w:fldCharType="separate"/>
        </w:r>
        <w:r w:rsidR="00E405AF">
          <w:rPr>
            <w:noProof/>
            <w:webHidden/>
          </w:rPr>
          <w:t>61</w:t>
        </w:r>
        <w:r w:rsidR="0061428C">
          <w:rPr>
            <w:noProof/>
            <w:webHidden/>
          </w:rPr>
          <w:fldChar w:fldCharType="end"/>
        </w:r>
      </w:hyperlink>
    </w:p>
    <w:p w14:paraId="539E82D2" w14:textId="08BE8653" w:rsidR="0061428C" w:rsidRDefault="00B54793">
      <w:pPr>
        <w:pStyle w:val="TableofFigures"/>
        <w:tabs>
          <w:tab w:val="left" w:pos="1320"/>
          <w:tab w:val="right" w:leader="dot" w:pos="9628"/>
        </w:tabs>
        <w:rPr>
          <w:rFonts w:eastAsiaTheme="minorEastAsia" w:cstheme="minorBidi"/>
          <w:noProof/>
          <w:color w:val="auto"/>
          <w:sz w:val="22"/>
          <w:szCs w:val="22"/>
          <w:lang w:eastAsia="en-AU"/>
        </w:rPr>
      </w:pPr>
      <w:hyperlink w:anchor="_Toc90020080" w:history="1">
        <w:r w:rsidR="0061428C" w:rsidRPr="00695A0D">
          <w:rPr>
            <w:rStyle w:val="Hyperlink"/>
            <w:noProof/>
          </w:rPr>
          <w:t>Table C. 8</w:t>
        </w:r>
        <w:r w:rsidR="0061428C">
          <w:rPr>
            <w:rFonts w:eastAsiaTheme="minorEastAsia" w:cstheme="minorBidi"/>
            <w:noProof/>
            <w:color w:val="auto"/>
            <w:sz w:val="22"/>
            <w:szCs w:val="22"/>
            <w:lang w:eastAsia="en-AU"/>
          </w:rPr>
          <w:tab/>
        </w:r>
        <w:r w:rsidR="0061428C" w:rsidRPr="00695A0D">
          <w:rPr>
            <w:rStyle w:val="Hyperlink"/>
            <w:noProof/>
          </w:rPr>
          <w:t>Leaders’ perspectives on their capacity to cost services, by annual income</w:t>
        </w:r>
        <w:r w:rsidR="0061428C">
          <w:rPr>
            <w:noProof/>
            <w:webHidden/>
          </w:rPr>
          <w:tab/>
        </w:r>
        <w:r w:rsidR="0061428C">
          <w:rPr>
            <w:noProof/>
            <w:webHidden/>
          </w:rPr>
          <w:fldChar w:fldCharType="begin"/>
        </w:r>
        <w:r w:rsidR="0061428C">
          <w:rPr>
            <w:noProof/>
            <w:webHidden/>
          </w:rPr>
          <w:instrText xml:space="preserve"> PAGEREF _Toc90020080 \h </w:instrText>
        </w:r>
        <w:r w:rsidR="0061428C">
          <w:rPr>
            <w:noProof/>
            <w:webHidden/>
          </w:rPr>
        </w:r>
        <w:r w:rsidR="0061428C">
          <w:rPr>
            <w:noProof/>
            <w:webHidden/>
          </w:rPr>
          <w:fldChar w:fldCharType="separate"/>
        </w:r>
        <w:r w:rsidR="00E405AF">
          <w:rPr>
            <w:noProof/>
            <w:webHidden/>
          </w:rPr>
          <w:t>61</w:t>
        </w:r>
        <w:r w:rsidR="0061428C">
          <w:rPr>
            <w:noProof/>
            <w:webHidden/>
          </w:rPr>
          <w:fldChar w:fldCharType="end"/>
        </w:r>
      </w:hyperlink>
    </w:p>
    <w:p w14:paraId="030D8F21" w14:textId="2FF5140A" w:rsidR="0061428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20081" w:history="1">
        <w:r w:rsidR="0061428C" w:rsidRPr="00695A0D">
          <w:rPr>
            <w:rStyle w:val="Hyperlink"/>
            <w:noProof/>
          </w:rPr>
          <w:t>Table C. 9</w:t>
        </w:r>
        <w:r w:rsidR="0061428C">
          <w:rPr>
            <w:rFonts w:eastAsiaTheme="minorEastAsia" w:cstheme="minorBidi"/>
            <w:noProof/>
            <w:color w:val="auto"/>
            <w:sz w:val="22"/>
            <w:szCs w:val="22"/>
            <w:lang w:eastAsia="en-AU"/>
          </w:rPr>
          <w:tab/>
        </w:r>
        <w:r w:rsidR="0061428C" w:rsidRPr="00695A0D">
          <w:rPr>
            <w:rStyle w:val="Hyperlink"/>
            <w:noProof/>
          </w:rPr>
          <w:t>Staffing and service delivery strategies used in the last three years to help manage ACT Government funding, by main ACT funder</w:t>
        </w:r>
        <w:r w:rsidR="0061428C">
          <w:rPr>
            <w:noProof/>
            <w:webHidden/>
          </w:rPr>
          <w:tab/>
        </w:r>
        <w:r w:rsidR="0061428C">
          <w:rPr>
            <w:noProof/>
            <w:webHidden/>
          </w:rPr>
          <w:fldChar w:fldCharType="begin"/>
        </w:r>
        <w:r w:rsidR="0061428C">
          <w:rPr>
            <w:noProof/>
            <w:webHidden/>
          </w:rPr>
          <w:instrText xml:space="preserve"> PAGEREF _Toc90020081 \h </w:instrText>
        </w:r>
        <w:r w:rsidR="0061428C">
          <w:rPr>
            <w:noProof/>
            <w:webHidden/>
          </w:rPr>
        </w:r>
        <w:r w:rsidR="0061428C">
          <w:rPr>
            <w:noProof/>
            <w:webHidden/>
          </w:rPr>
          <w:fldChar w:fldCharType="separate"/>
        </w:r>
        <w:r w:rsidR="00E405AF">
          <w:rPr>
            <w:noProof/>
            <w:webHidden/>
          </w:rPr>
          <w:t>62</w:t>
        </w:r>
        <w:r w:rsidR="0061428C">
          <w:rPr>
            <w:noProof/>
            <w:webHidden/>
          </w:rPr>
          <w:fldChar w:fldCharType="end"/>
        </w:r>
      </w:hyperlink>
    </w:p>
    <w:p w14:paraId="3A389A7D" w14:textId="124C0D30" w:rsidR="0061428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20082" w:history="1">
        <w:r w:rsidR="0061428C" w:rsidRPr="00695A0D">
          <w:rPr>
            <w:rStyle w:val="Hyperlink"/>
            <w:noProof/>
          </w:rPr>
          <w:t>Table C. 10</w:t>
        </w:r>
        <w:r w:rsidR="0061428C">
          <w:rPr>
            <w:rFonts w:eastAsiaTheme="minorEastAsia" w:cstheme="minorBidi"/>
            <w:noProof/>
            <w:color w:val="auto"/>
            <w:sz w:val="22"/>
            <w:szCs w:val="22"/>
            <w:lang w:eastAsia="en-AU"/>
          </w:rPr>
          <w:tab/>
        </w:r>
        <w:r w:rsidR="0061428C" w:rsidRPr="00695A0D">
          <w:rPr>
            <w:rStyle w:val="Hyperlink"/>
            <w:noProof/>
          </w:rPr>
          <w:t>Financial strategies used in the last three years to help manage ACT Government funding, by main ACT funder</w:t>
        </w:r>
        <w:r w:rsidR="0061428C">
          <w:rPr>
            <w:noProof/>
            <w:webHidden/>
          </w:rPr>
          <w:tab/>
        </w:r>
        <w:r w:rsidR="0061428C">
          <w:rPr>
            <w:noProof/>
            <w:webHidden/>
          </w:rPr>
          <w:fldChar w:fldCharType="begin"/>
        </w:r>
        <w:r w:rsidR="0061428C">
          <w:rPr>
            <w:noProof/>
            <w:webHidden/>
          </w:rPr>
          <w:instrText xml:space="preserve"> PAGEREF _Toc90020082 \h </w:instrText>
        </w:r>
        <w:r w:rsidR="0061428C">
          <w:rPr>
            <w:noProof/>
            <w:webHidden/>
          </w:rPr>
        </w:r>
        <w:r w:rsidR="0061428C">
          <w:rPr>
            <w:noProof/>
            <w:webHidden/>
          </w:rPr>
          <w:fldChar w:fldCharType="separate"/>
        </w:r>
        <w:r w:rsidR="00E405AF">
          <w:rPr>
            <w:noProof/>
            <w:webHidden/>
          </w:rPr>
          <w:t>62</w:t>
        </w:r>
        <w:r w:rsidR="0061428C">
          <w:rPr>
            <w:noProof/>
            <w:webHidden/>
          </w:rPr>
          <w:fldChar w:fldCharType="end"/>
        </w:r>
      </w:hyperlink>
    </w:p>
    <w:p w14:paraId="288B7B6A" w14:textId="1A0FBD03" w:rsidR="0061428C" w:rsidRDefault="00B54793" w:rsidP="0007123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anchor="_Toc90020083" w:history="1">
        <w:r w:rsidR="0061428C" w:rsidRPr="00695A0D">
          <w:rPr>
            <w:rStyle w:val="Hyperlink"/>
            <w:noProof/>
          </w:rPr>
          <w:t>Table C. 11</w:t>
        </w:r>
        <w:r w:rsidR="0061428C">
          <w:rPr>
            <w:rFonts w:eastAsiaTheme="minorEastAsia" w:cstheme="minorBidi"/>
            <w:noProof/>
            <w:color w:val="auto"/>
            <w:sz w:val="22"/>
            <w:szCs w:val="22"/>
            <w:lang w:eastAsia="en-AU"/>
          </w:rPr>
          <w:tab/>
        </w:r>
        <w:r w:rsidR="0061428C" w:rsidRPr="00695A0D">
          <w:rPr>
            <w:rStyle w:val="Hyperlink"/>
            <w:noProof/>
          </w:rPr>
          <w:t>Proportion of organisations taking particular actions when applying for ACT Government funds</w:t>
        </w:r>
        <w:r w:rsidR="0061428C">
          <w:rPr>
            <w:noProof/>
            <w:webHidden/>
          </w:rPr>
          <w:tab/>
        </w:r>
        <w:r w:rsidR="0061428C">
          <w:rPr>
            <w:noProof/>
            <w:webHidden/>
          </w:rPr>
          <w:fldChar w:fldCharType="begin"/>
        </w:r>
        <w:r w:rsidR="0061428C">
          <w:rPr>
            <w:noProof/>
            <w:webHidden/>
          </w:rPr>
          <w:instrText xml:space="preserve"> PAGEREF _Toc90020083 \h </w:instrText>
        </w:r>
        <w:r w:rsidR="0061428C">
          <w:rPr>
            <w:noProof/>
            <w:webHidden/>
          </w:rPr>
        </w:r>
        <w:r w:rsidR="0061428C">
          <w:rPr>
            <w:noProof/>
            <w:webHidden/>
          </w:rPr>
          <w:fldChar w:fldCharType="separate"/>
        </w:r>
        <w:r w:rsidR="00E405AF">
          <w:rPr>
            <w:noProof/>
            <w:webHidden/>
          </w:rPr>
          <w:t>63</w:t>
        </w:r>
        <w:r w:rsidR="0061428C">
          <w:rPr>
            <w:noProof/>
            <w:webHidden/>
          </w:rPr>
          <w:fldChar w:fldCharType="end"/>
        </w:r>
      </w:hyperlink>
    </w:p>
    <w:p w14:paraId="592B5558" w14:textId="0A0A5F5D" w:rsidR="00D77DD7" w:rsidRDefault="00B6356B" w:rsidP="00AF4128">
      <w:pPr>
        <w:pStyle w:val="BodyText"/>
        <w:tabs>
          <w:tab w:val="left" w:pos="993"/>
          <w:tab w:val="right" w:leader="dot" w:pos="9072"/>
        </w:tabs>
        <w:spacing w:before="120" w:after="120"/>
        <w:ind w:left="993" w:right="1133" w:hanging="993"/>
      </w:pPr>
      <w:r>
        <w:fldChar w:fldCharType="end"/>
      </w:r>
      <w:r w:rsidR="00D77DD7">
        <w:br w:type="page"/>
      </w:r>
    </w:p>
    <w:p w14:paraId="6E75EAF5" w14:textId="77777777" w:rsidR="002A549A" w:rsidRPr="00A03F81" w:rsidRDefault="002A549A" w:rsidP="008C430E">
      <w:pPr>
        <w:pStyle w:val="Heading1"/>
      </w:pPr>
      <w:bookmarkStart w:id="6" w:name="_Toc88753116"/>
      <w:bookmarkStart w:id="7" w:name="_Toc90019541"/>
      <w:r w:rsidRPr="00A03F81">
        <w:lastRenderedPageBreak/>
        <w:t>Glossary</w:t>
      </w:r>
      <w:bookmarkEnd w:id="6"/>
      <w:bookmarkEnd w:id="7"/>
    </w:p>
    <w:p w14:paraId="19FC4725" w14:textId="23180B20" w:rsidR="00911B8B" w:rsidRDefault="00911B8B" w:rsidP="00894EC4">
      <w:pPr>
        <w:tabs>
          <w:tab w:val="left" w:pos="2552"/>
        </w:tabs>
        <w:ind w:left="2552" w:hanging="2552"/>
        <w:rPr>
          <w:rFonts w:cstheme="minorHAnsi"/>
          <w:sz w:val="22"/>
        </w:rPr>
      </w:pPr>
      <w:r>
        <w:rPr>
          <w:rFonts w:cstheme="minorHAnsi"/>
          <w:sz w:val="22"/>
        </w:rPr>
        <w:t>ABS</w:t>
      </w:r>
      <w:r>
        <w:rPr>
          <w:rFonts w:cstheme="minorHAnsi"/>
          <w:sz w:val="22"/>
        </w:rPr>
        <w:tab/>
        <w:t>Australian Bureau of Statistics</w:t>
      </w:r>
    </w:p>
    <w:p w14:paraId="2C53B2A4" w14:textId="6CE92E6D" w:rsidR="00005085" w:rsidRDefault="00005085" w:rsidP="00894EC4">
      <w:pPr>
        <w:tabs>
          <w:tab w:val="left" w:pos="2552"/>
        </w:tabs>
        <w:ind w:left="2552" w:hanging="2552"/>
        <w:rPr>
          <w:rFonts w:cstheme="minorHAnsi"/>
          <w:sz w:val="22"/>
        </w:rPr>
      </w:pPr>
      <w:r>
        <w:rPr>
          <w:rFonts w:cstheme="minorHAnsi"/>
          <w:sz w:val="22"/>
        </w:rPr>
        <w:t>ACNC</w:t>
      </w:r>
      <w:r>
        <w:rPr>
          <w:rFonts w:cstheme="minorHAnsi"/>
          <w:sz w:val="22"/>
        </w:rPr>
        <w:tab/>
        <w:t>Australian Charities and Not-for-profits Commission</w:t>
      </w:r>
    </w:p>
    <w:p w14:paraId="5A15FE96" w14:textId="67AB2913" w:rsidR="00E306A6" w:rsidRDefault="00E306A6" w:rsidP="00894EC4">
      <w:pPr>
        <w:tabs>
          <w:tab w:val="left" w:pos="2552"/>
        </w:tabs>
        <w:ind w:left="2552" w:hanging="2552"/>
        <w:rPr>
          <w:rFonts w:cstheme="minorHAnsi"/>
          <w:sz w:val="22"/>
        </w:rPr>
      </w:pPr>
      <w:r>
        <w:rPr>
          <w:rFonts w:cstheme="minorHAnsi"/>
          <w:sz w:val="22"/>
        </w:rPr>
        <w:t>ACT</w:t>
      </w:r>
      <w:r>
        <w:rPr>
          <w:rFonts w:cstheme="minorHAnsi"/>
          <w:sz w:val="22"/>
        </w:rPr>
        <w:tab/>
        <w:t>Australian Capital Territory</w:t>
      </w:r>
    </w:p>
    <w:p w14:paraId="3CC3989D" w14:textId="525676BC" w:rsidR="00CD2872" w:rsidRDefault="00E306A6" w:rsidP="00894EC4">
      <w:pPr>
        <w:tabs>
          <w:tab w:val="left" w:pos="2552"/>
        </w:tabs>
        <w:ind w:left="2552" w:hanging="2552"/>
        <w:rPr>
          <w:rFonts w:cstheme="minorHAnsi"/>
          <w:sz w:val="22"/>
        </w:rPr>
      </w:pPr>
      <w:r>
        <w:rPr>
          <w:rFonts w:cstheme="minorHAnsi"/>
          <w:sz w:val="22"/>
        </w:rPr>
        <w:t>ACTCOSS</w:t>
      </w:r>
      <w:r>
        <w:rPr>
          <w:rFonts w:cstheme="minorHAnsi"/>
          <w:sz w:val="22"/>
        </w:rPr>
        <w:tab/>
        <w:t>Australian Capital Territory Council of Social Service</w:t>
      </w:r>
    </w:p>
    <w:p w14:paraId="3FA1A0F7" w14:textId="6D813DF2" w:rsidR="00D40DD7" w:rsidRDefault="00D40DD7" w:rsidP="00894EC4">
      <w:pPr>
        <w:tabs>
          <w:tab w:val="left" w:pos="2552"/>
        </w:tabs>
        <w:ind w:left="2552" w:hanging="2552"/>
        <w:rPr>
          <w:rFonts w:cstheme="minorHAnsi"/>
          <w:sz w:val="22"/>
        </w:rPr>
      </w:pPr>
      <w:r w:rsidRPr="00D40DD7">
        <w:rPr>
          <w:rFonts w:cstheme="minorHAnsi"/>
          <w:sz w:val="22"/>
        </w:rPr>
        <w:t>ACTHD</w:t>
      </w:r>
      <w:r w:rsidRPr="00D40DD7">
        <w:rPr>
          <w:rFonts w:cstheme="minorHAnsi"/>
          <w:sz w:val="22"/>
        </w:rPr>
        <w:tab/>
        <w:t>ACT Health Directorate</w:t>
      </w:r>
    </w:p>
    <w:p w14:paraId="45EDCA44" w14:textId="096A5505" w:rsidR="000725D0" w:rsidRDefault="000725D0" w:rsidP="00894EC4">
      <w:pPr>
        <w:tabs>
          <w:tab w:val="left" w:pos="2552"/>
        </w:tabs>
        <w:ind w:left="2552" w:hanging="2552"/>
        <w:rPr>
          <w:rFonts w:cstheme="minorHAnsi"/>
          <w:sz w:val="22"/>
        </w:rPr>
      </w:pPr>
      <w:r>
        <w:rPr>
          <w:rFonts w:cstheme="minorHAnsi"/>
          <w:sz w:val="22"/>
        </w:rPr>
        <w:t>AEDC</w:t>
      </w:r>
      <w:r>
        <w:rPr>
          <w:rFonts w:cstheme="minorHAnsi"/>
          <w:sz w:val="22"/>
        </w:rPr>
        <w:tab/>
      </w:r>
      <w:r w:rsidRPr="000725D0">
        <w:rPr>
          <w:rFonts w:cstheme="minorHAnsi"/>
          <w:sz w:val="22"/>
        </w:rPr>
        <w:t>Australian Early Development Census</w:t>
      </w:r>
    </w:p>
    <w:p w14:paraId="0C21294A" w14:textId="33E07B7A" w:rsidR="00911B8B" w:rsidRDefault="00911B8B" w:rsidP="00894EC4">
      <w:pPr>
        <w:tabs>
          <w:tab w:val="left" w:pos="2552"/>
        </w:tabs>
        <w:ind w:left="2552" w:hanging="2552"/>
        <w:rPr>
          <w:rFonts w:cstheme="minorHAnsi"/>
          <w:sz w:val="22"/>
        </w:rPr>
      </w:pPr>
      <w:r>
        <w:rPr>
          <w:rFonts w:cstheme="minorHAnsi"/>
          <w:sz w:val="22"/>
        </w:rPr>
        <w:t>AIHW</w:t>
      </w:r>
      <w:r>
        <w:rPr>
          <w:rFonts w:cstheme="minorHAnsi"/>
          <w:sz w:val="22"/>
        </w:rPr>
        <w:tab/>
        <w:t>Australian Institute of Health and Welfare</w:t>
      </w:r>
    </w:p>
    <w:p w14:paraId="0F6BBD01" w14:textId="09934460" w:rsidR="002A67E3" w:rsidRDefault="002A67E3" w:rsidP="00894EC4">
      <w:pPr>
        <w:tabs>
          <w:tab w:val="left" w:pos="2552"/>
        </w:tabs>
        <w:ind w:left="2552" w:hanging="2552"/>
        <w:rPr>
          <w:rFonts w:cstheme="minorHAnsi"/>
          <w:sz w:val="22"/>
        </w:rPr>
      </w:pPr>
      <w:r>
        <w:rPr>
          <w:rFonts w:cstheme="minorHAnsi"/>
          <w:sz w:val="22"/>
        </w:rPr>
        <w:t>CPI</w:t>
      </w:r>
      <w:r>
        <w:rPr>
          <w:rFonts w:cstheme="minorHAnsi"/>
          <w:sz w:val="22"/>
        </w:rPr>
        <w:tab/>
        <w:t>Consumer Price Index</w:t>
      </w:r>
    </w:p>
    <w:p w14:paraId="5C0D2A3A" w14:textId="21C2724F" w:rsidR="00E306A6" w:rsidRDefault="00E306A6" w:rsidP="00894EC4">
      <w:pPr>
        <w:tabs>
          <w:tab w:val="left" w:pos="2552"/>
        </w:tabs>
        <w:ind w:left="2552" w:hanging="2552"/>
        <w:rPr>
          <w:rFonts w:cstheme="minorHAnsi"/>
          <w:sz w:val="22"/>
        </w:rPr>
      </w:pPr>
      <w:r>
        <w:rPr>
          <w:rFonts w:cstheme="minorHAnsi"/>
          <w:sz w:val="22"/>
        </w:rPr>
        <w:t>CSD</w:t>
      </w:r>
      <w:r>
        <w:rPr>
          <w:rFonts w:cstheme="minorHAnsi"/>
          <w:sz w:val="22"/>
        </w:rPr>
        <w:tab/>
        <w:t xml:space="preserve">Community Services Directorate </w:t>
      </w:r>
    </w:p>
    <w:p w14:paraId="2C9AAF84" w14:textId="679BBFEB" w:rsidR="00137AB8" w:rsidRDefault="00137AB8" w:rsidP="00894EC4">
      <w:pPr>
        <w:tabs>
          <w:tab w:val="left" w:pos="2552"/>
        </w:tabs>
        <w:ind w:left="2552" w:hanging="2552"/>
        <w:rPr>
          <w:rFonts w:cstheme="minorHAnsi"/>
          <w:sz w:val="22"/>
        </w:rPr>
      </w:pPr>
      <w:r>
        <w:rPr>
          <w:rFonts w:cstheme="minorHAnsi"/>
          <w:sz w:val="22"/>
        </w:rPr>
        <w:t>ERO</w:t>
      </w:r>
      <w:r>
        <w:rPr>
          <w:rFonts w:cstheme="minorHAnsi"/>
          <w:sz w:val="22"/>
        </w:rPr>
        <w:tab/>
        <w:t>Equal Remuneration Order</w:t>
      </w:r>
    </w:p>
    <w:p w14:paraId="4EE8BAF1" w14:textId="2AA8E660" w:rsidR="00911B8B" w:rsidRPr="00911B8B" w:rsidRDefault="00911B8B" w:rsidP="00894EC4">
      <w:pPr>
        <w:tabs>
          <w:tab w:val="left" w:pos="2552"/>
        </w:tabs>
        <w:ind w:left="2552" w:hanging="2552"/>
        <w:rPr>
          <w:rFonts w:cstheme="minorHAnsi"/>
          <w:sz w:val="22"/>
        </w:rPr>
      </w:pPr>
      <w:r w:rsidRPr="00911B8B">
        <w:rPr>
          <w:rFonts w:cstheme="minorHAnsi"/>
          <w:sz w:val="22"/>
        </w:rPr>
        <w:t>ISSG</w:t>
      </w:r>
      <w:r w:rsidRPr="00911B8B">
        <w:rPr>
          <w:rFonts w:cstheme="minorHAnsi"/>
          <w:sz w:val="22"/>
        </w:rPr>
        <w:tab/>
        <w:t>Industry Strategy Steering Group</w:t>
      </w:r>
    </w:p>
    <w:p w14:paraId="5408AC53" w14:textId="70E9A092" w:rsidR="00911B8B" w:rsidRPr="00911B8B" w:rsidRDefault="00911B8B" w:rsidP="00894EC4">
      <w:pPr>
        <w:tabs>
          <w:tab w:val="left" w:pos="2552"/>
        </w:tabs>
        <w:ind w:left="2552" w:hanging="2552"/>
        <w:rPr>
          <w:rFonts w:cstheme="minorHAnsi"/>
          <w:sz w:val="22"/>
        </w:rPr>
      </w:pPr>
      <w:r w:rsidRPr="00911B8B">
        <w:rPr>
          <w:rFonts w:cstheme="minorHAnsi"/>
          <w:sz w:val="22"/>
        </w:rPr>
        <w:t>JCGRG</w:t>
      </w:r>
      <w:r w:rsidRPr="00911B8B">
        <w:rPr>
          <w:rFonts w:cstheme="minorHAnsi"/>
          <w:sz w:val="22"/>
        </w:rPr>
        <w:tab/>
        <w:t>Joint Community Government Reference Group</w:t>
      </w:r>
    </w:p>
    <w:p w14:paraId="4DC1EB23" w14:textId="62A77EA3" w:rsidR="00911B8B" w:rsidRPr="00911B8B" w:rsidRDefault="00911B8B" w:rsidP="00894EC4">
      <w:pPr>
        <w:tabs>
          <w:tab w:val="left" w:pos="2552"/>
        </w:tabs>
        <w:ind w:left="2552" w:hanging="2552"/>
        <w:rPr>
          <w:rFonts w:cstheme="minorHAnsi"/>
          <w:sz w:val="22"/>
        </w:rPr>
      </w:pPr>
      <w:r w:rsidRPr="00911B8B">
        <w:rPr>
          <w:rFonts w:cstheme="minorHAnsi"/>
          <w:sz w:val="22"/>
        </w:rPr>
        <w:t>PC</w:t>
      </w:r>
      <w:r w:rsidRPr="00911B8B">
        <w:rPr>
          <w:rFonts w:cstheme="minorHAnsi"/>
          <w:sz w:val="22"/>
        </w:rPr>
        <w:tab/>
        <w:t>Productivity Commission</w:t>
      </w:r>
    </w:p>
    <w:p w14:paraId="675A42CB" w14:textId="12C78D98" w:rsidR="00137AB8" w:rsidRDefault="00137AB8" w:rsidP="00894EC4">
      <w:pPr>
        <w:tabs>
          <w:tab w:val="left" w:pos="2552"/>
        </w:tabs>
        <w:ind w:left="2552" w:hanging="2552"/>
        <w:rPr>
          <w:rFonts w:cstheme="minorHAnsi"/>
          <w:sz w:val="22"/>
        </w:rPr>
      </w:pPr>
      <w:r>
        <w:rPr>
          <w:rFonts w:cstheme="minorHAnsi"/>
          <w:sz w:val="22"/>
        </w:rPr>
        <w:t>SCHADS</w:t>
      </w:r>
      <w:r>
        <w:rPr>
          <w:rFonts w:cstheme="minorHAnsi"/>
          <w:sz w:val="22"/>
        </w:rPr>
        <w:tab/>
      </w:r>
      <w:r w:rsidRPr="00137AB8">
        <w:rPr>
          <w:rFonts w:cstheme="minorHAnsi"/>
          <w:sz w:val="22"/>
        </w:rPr>
        <w:t>Social, Community, Home Care and Disability Services Industry Award</w:t>
      </w:r>
    </w:p>
    <w:p w14:paraId="2C2FEF72" w14:textId="14DC6D50" w:rsidR="00911B8B" w:rsidRPr="00911B8B" w:rsidRDefault="00911B8B" w:rsidP="00894EC4">
      <w:pPr>
        <w:tabs>
          <w:tab w:val="left" w:pos="2552"/>
        </w:tabs>
        <w:ind w:left="2552" w:hanging="2552"/>
        <w:rPr>
          <w:rFonts w:cstheme="minorHAnsi"/>
          <w:sz w:val="22"/>
        </w:rPr>
      </w:pPr>
      <w:r w:rsidRPr="00911B8B">
        <w:rPr>
          <w:rFonts w:cstheme="minorHAnsi"/>
          <w:sz w:val="22"/>
        </w:rPr>
        <w:t>SPRC</w:t>
      </w:r>
      <w:r w:rsidRPr="00911B8B">
        <w:rPr>
          <w:rFonts w:cstheme="minorHAnsi"/>
          <w:sz w:val="22"/>
        </w:rPr>
        <w:tab/>
        <w:t>Social Policy Research Centre</w:t>
      </w:r>
    </w:p>
    <w:p w14:paraId="50902122" w14:textId="43BA66AC" w:rsidR="00911B8B" w:rsidRDefault="00911B8B" w:rsidP="00894EC4">
      <w:pPr>
        <w:tabs>
          <w:tab w:val="left" w:pos="2552"/>
        </w:tabs>
        <w:ind w:left="2552" w:hanging="2552"/>
        <w:rPr>
          <w:rFonts w:cstheme="minorHAnsi"/>
          <w:sz w:val="22"/>
        </w:rPr>
      </w:pPr>
      <w:r w:rsidRPr="00911B8B">
        <w:rPr>
          <w:rFonts w:cstheme="minorHAnsi"/>
          <w:sz w:val="22"/>
        </w:rPr>
        <w:t>UNSW</w:t>
      </w:r>
      <w:r w:rsidRPr="00911B8B">
        <w:rPr>
          <w:rFonts w:cstheme="minorHAnsi"/>
          <w:sz w:val="22"/>
        </w:rPr>
        <w:tab/>
        <w:t>University of New South Wales</w:t>
      </w:r>
    </w:p>
    <w:p w14:paraId="78A8E5D9" w14:textId="2B39D0E4" w:rsidR="00E306A6" w:rsidRDefault="002A67E3" w:rsidP="00894EC4">
      <w:pPr>
        <w:tabs>
          <w:tab w:val="left" w:pos="2552"/>
        </w:tabs>
        <w:ind w:left="2552" w:hanging="2552"/>
        <w:rPr>
          <w:rFonts w:cstheme="minorHAnsi"/>
          <w:sz w:val="22"/>
        </w:rPr>
      </w:pPr>
      <w:r>
        <w:rPr>
          <w:rFonts w:cstheme="minorHAnsi"/>
          <w:sz w:val="22"/>
        </w:rPr>
        <w:t>WPI</w:t>
      </w:r>
      <w:r>
        <w:rPr>
          <w:rFonts w:cstheme="minorHAnsi"/>
          <w:sz w:val="22"/>
        </w:rPr>
        <w:tab/>
        <w:t>Wage Price Index</w:t>
      </w:r>
    </w:p>
    <w:p w14:paraId="021F97F8" w14:textId="77777777" w:rsidR="00E306A6" w:rsidRPr="003E3DEC" w:rsidRDefault="00E306A6" w:rsidP="00894EC4">
      <w:pPr>
        <w:tabs>
          <w:tab w:val="left" w:pos="2552"/>
        </w:tabs>
        <w:ind w:left="2552" w:hanging="2552"/>
        <w:rPr>
          <w:rFonts w:cstheme="minorHAnsi"/>
        </w:rPr>
      </w:pPr>
    </w:p>
    <w:p w14:paraId="36C2902F" w14:textId="77777777" w:rsidR="00CD2872" w:rsidRDefault="00CD2872" w:rsidP="00C502C0">
      <w:pPr>
        <w:tabs>
          <w:tab w:val="left" w:pos="2939"/>
        </w:tabs>
        <w:rPr>
          <w:rFonts w:cstheme="minorHAnsi"/>
        </w:rPr>
        <w:sectPr w:rsidR="00CD2872" w:rsidSect="00974C50">
          <w:footerReference w:type="default" r:id="rId24"/>
          <w:headerReference w:type="first" r:id="rId25"/>
          <w:pgSz w:w="11906" w:h="16838"/>
          <w:pgMar w:top="1134" w:right="1134" w:bottom="1418" w:left="1134" w:header="992" w:footer="567" w:gutter="0"/>
          <w:pgNumType w:fmt="lowerRoman" w:start="1"/>
          <w:cols w:space="708"/>
          <w:docGrid w:linePitch="360"/>
        </w:sectPr>
      </w:pPr>
    </w:p>
    <w:p w14:paraId="61222A0C" w14:textId="5FAF9C90" w:rsidR="00BC4D49" w:rsidRDefault="00F25301" w:rsidP="006C070E">
      <w:pPr>
        <w:pStyle w:val="Heading1"/>
      </w:pPr>
      <w:bookmarkStart w:id="8" w:name="_Toc88753117"/>
      <w:bookmarkStart w:id="9" w:name="_Toc90019542"/>
      <w:bookmarkStart w:id="10" w:name="_Hlk83977358"/>
      <w:r>
        <w:lastRenderedPageBreak/>
        <w:t>Executive Summary</w:t>
      </w:r>
      <w:bookmarkEnd w:id="8"/>
      <w:bookmarkEnd w:id="9"/>
    </w:p>
    <w:bookmarkEnd w:id="10"/>
    <w:p w14:paraId="75C6804C" w14:textId="571F0124" w:rsidR="00035635" w:rsidRDefault="00035635" w:rsidP="00035635">
      <w:pPr>
        <w:pStyle w:val="BodyText"/>
      </w:pPr>
      <w:r>
        <w:t>Th</w:t>
      </w:r>
      <w:r w:rsidR="00ED78EE">
        <w:t>is</w:t>
      </w:r>
      <w:r>
        <w:t xml:space="preserve"> report </w:t>
      </w:r>
      <w:r w:rsidR="00ED78EE">
        <w:t xml:space="preserve">informs development of more </w:t>
      </w:r>
      <w:r>
        <w:t xml:space="preserve">sustainable models of resourcing for the ACT community services sector. It </w:t>
      </w:r>
      <w:r w:rsidR="007B0849">
        <w:t xml:space="preserve">presents </w:t>
      </w:r>
      <w:r>
        <w:t xml:space="preserve">a comprehensive </w:t>
      </w:r>
      <w:r w:rsidR="007B0849">
        <w:t xml:space="preserve">picture </w:t>
      </w:r>
      <w:r>
        <w:t>of the costs involved in delivering community services</w:t>
      </w:r>
      <w:r w:rsidR="00402D94">
        <w:t xml:space="preserve">, </w:t>
      </w:r>
      <w:r w:rsidR="00B42C7F">
        <w:t xml:space="preserve">the </w:t>
      </w:r>
      <w:r w:rsidR="00402D94">
        <w:t xml:space="preserve">cost pressures experienced by community organisations in the ACT, and </w:t>
      </w:r>
      <w:r>
        <w:t>ways to ensure funding is sustainable and at levels that meet community needs.  It was commissioned by ACTCOSS on behalf of the ACT’s Community Services Industry Strategy Steering Group (ISSG)</w:t>
      </w:r>
      <w:r w:rsidR="00C45AF8">
        <w:t xml:space="preserve"> and the ACT Government</w:t>
      </w:r>
      <w:r>
        <w:t>.</w:t>
      </w:r>
    </w:p>
    <w:p w14:paraId="5B34D221" w14:textId="77777777" w:rsidR="00035635" w:rsidRPr="00ED78EE" w:rsidRDefault="00035635" w:rsidP="00ED78EE">
      <w:pPr>
        <w:pStyle w:val="BodyText"/>
      </w:pPr>
      <w:r w:rsidRPr="00ED78EE">
        <w:t xml:space="preserve">Historically, the full costs of community service provision have been hidden. </w:t>
      </w:r>
    </w:p>
    <w:p w14:paraId="146E12D5" w14:textId="7869A5E5" w:rsidR="00035635" w:rsidRPr="00035635" w:rsidRDefault="00035635" w:rsidP="00B23F54">
      <w:pPr>
        <w:pStyle w:val="BodyText"/>
      </w:pPr>
      <w:r w:rsidRPr="00035635">
        <w:t xml:space="preserve">Over decades, expectations about how much community services should cost </w:t>
      </w:r>
      <w:r w:rsidR="00C45AF8">
        <w:t xml:space="preserve">to deliver </w:t>
      </w:r>
      <w:r w:rsidRPr="00035635">
        <w:t>have been lowered by:</w:t>
      </w:r>
    </w:p>
    <w:p w14:paraId="5DD53CDC" w14:textId="77777777" w:rsidR="00035635" w:rsidRPr="00035635" w:rsidRDefault="00035635" w:rsidP="00035635">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gender-based </w:t>
      </w:r>
      <w:proofErr w:type="gramStart"/>
      <w:r w:rsidRPr="00035635">
        <w:rPr>
          <w:sz w:val="22"/>
          <w:szCs w:val="22"/>
        </w:rPr>
        <w:t>undervaluation;</w:t>
      </w:r>
      <w:proofErr w:type="gramEnd"/>
    </w:p>
    <w:p w14:paraId="588CA8B3" w14:textId="77777777" w:rsidR="00035635" w:rsidRPr="00035635" w:rsidRDefault="00035635" w:rsidP="00035635">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misunderstandings about the importance of </w:t>
      </w:r>
      <w:proofErr w:type="gramStart"/>
      <w:r w:rsidRPr="00035635">
        <w:rPr>
          <w:sz w:val="22"/>
          <w:szCs w:val="22"/>
        </w:rPr>
        <w:t>overheads;</w:t>
      </w:r>
      <w:proofErr w:type="gramEnd"/>
    </w:p>
    <w:p w14:paraId="2730C0A2" w14:textId="77777777" w:rsidR="00035635" w:rsidRPr="00035635" w:rsidRDefault="00035635" w:rsidP="00035635">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competitive funding models; and </w:t>
      </w:r>
    </w:p>
    <w:p w14:paraId="145AC605" w14:textId="7CED6D84" w:rsidR="00035635" w:rsidRPr="00035635" w:rsidRDefault="00035635" w:rsidP="00035635">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expectations that non-profits will supplement shortfalls in government </w:t>
      </w:r>
      <w:r w:rsidR="00C45AF8">
        <w:rPr>
          <w:sz w:val="22"/>
          <w:szCs w:val="22"/>
        </w:rPr>
        <w:t>funding</w:t>
      </w:r>
      <w:r w:rsidRPr="00035635">
        <w:rPr>
          <w:sz w:val="22"/>
          <w:szCs w:val="22"/>
        </w:rPr>
        <w:t>.</w:t>
      </w:r>
    </w:p>
    <w:p w14:paraId="796B6602" w14:textId="50AB2395" w:rsidR="00035635" w:rsidRPr="00ED78EE" w:rsidRDefault="00035635" w:rsidP="00B23F54">
      <w:pPr>
        <w:pStyle w:val="BodyText"/>
      </w:pPr>
      <w:r w:rsidRPr="00ED78EE">
        <w:t>C</w:t>
      </w:r>
      <w:r w:rsidR="00ED78EE">
        <w:t xml:space="preserve">urrently however, community sector </w:t>
      </w:r>
      <w:r w:rsidRPr="00ED78EE">
        <w:t xml:space="preserve">organisations </w:t>
      </w:r>
      <w:r w:rsidR="00ED78EE">
        <w:t xml:space="preserve">in the ACT are facing </w:t>
      </w:r>
      <w:r w:rsidRPr="00ED78EE">
        <w:t xml:space="preserve">pressures of </w:t>
      </w:r>
      <w:r w:rsidR="00DF2A16">
        <w:t xml:space="preserve">rising </w:t>
      </w:r>
      <w:r w:rsidRPr="00ED78EE">
        <w:t>demand and rising costs</w:t>
      </w:r>
      <w:r w:rsidR="00ED78EE">
        <w:t>.</w:t>
      </w:r>
      <w:r w:rsidR="006A0462">
        <w:t xml:space="preserve"> </w:t>
      </w:r>
    </w:p>
    <w:p w14:paraId="283563C6" w14:textId="2B5D0A26" w:rsidR="00035635" w:rsidRPr="00035635" w:rsidRDefault="00DF2A16" w:rsidP="00035635">
      <w:pPr>
        <w:pStyle w:val="BodyText"/>
      </w:pPr>
      <w:r>
        <w:t>Increasingly, ACT community sector o</w:t>
      </w:r>
      <w:r w:rsidR="002A4569">
        <w:t xml:space="preserve">rganisations </w:t>
      </w:r>
      <w:r>
        <w:t xml:space="preserve">report </w:t>
      </w:r>
      <w:r w:rsidR="00434C46">
        <w:t xml:space="preserve">that ACT </w:t>
      </w:r>
      <w:r>
        <w:t xml:space="preserve">Government </w:t>
      </w:r>
      <w:r w:rsidR="00434C46">
        <w:t xml:space="preserve">funding is </w:t>
      </w:r>
      <w:r w:rsidR="002A4569">
        <w:t xml:space="preserve">too low. In 2021, compared to </w:t>
      </w:r>
      <w:r w:rsidR="00035635" w:rsidRPr="00035635">
        <w:t>2016</w:t>
      </w:r>
      <w:r w:rsidR="00E80AA8">
        <w:t xml:space="preserve"> (when information was last collected)</w:t>
      </w:r>
      <w:r w:rsidR="00035635" w:rsidRPr="00035635">
        <w:t xml:space="preserve">, </w:t>
      </w:r>
      <w:r w:rsidR="002A4569">
        <w:t>smaller proportion</w:t>
      </w:r>
      <w:r w:rsidR="00704400">
        <w:t>s</w:t>
      </w:r>
      <w:r w:rsidR="002A4569">
        <w:t xml:space="preserve"> of </w:t>
      </w:r>
      <w:r w:rsidR="00035635" w:rsidRPr="00035635">
        <w:t xml:space="preserve">organisations </w:t>
      </w:r>
      <w:r w:rsidR="00704400">
        <w:t>report</w:t>
      </w:r>
      <w:r w:rsidR="002A4569">
        <w:t xml:space="preserve"> </w:t>
      </w:r>
      <w:r w:rsidR="00035635" w:rsidRPr="00035635">
        <w:t>that funding from the ACT Government covers the true costs of delivering ACT programs; that funding levels enable organisation</w:t>
      </w:r>
      <w:r w:rsidR="009269F8">
        <w:t>s</w:t>
      </w:r>
      <w:r w:rsidR="00035635" w:rsidRPr="00035635">
        <w:t xml:space="preserve"> to meet demand; and that </w:t>
      </w:r>
      <w:r w:rsidR="005D2326">
        <w:t xml:space="preserve">funding </w:t>
      </w:r>
      <w:r w:rsidR="00035635" w:rsidRPr="00035635">
        <w:t>enable</w:t>
      </w:r>
      <w:r w:rsidR="005D2326">
        <w:t>s</w:t>
      </w:r>
      <w:r w:rsidR="00035635" w:rsidRPr="00035635">
        <w:t xml:space="preserve"> staff to be appropriately paid for their skills. </w:t>
      </w:r>
    </w:p>
    <w:p w14:paraId="23415EF3" w14:textId="616E2931" w:rsidR="00035635" w:rsidRPr="00035635" w:rsidRDefault="00035635" w:rsidP="00035635">
      <w:pPr>
        <w:pStyle w:val="BodyText"/>
      </w:pPr>
      <w:r w:rsidRPr="00035635">
        <w:t xml:space="preserve">Data attests to population changes and </w:t>
      </w:r>
      <w:r w:rsidR="00B56B31">
        <w:t>increased</w:t>
      </w:r>
      <w:r w:rsidRPr="00035635">
        <w:t xml:space="preserve"> complexity of need in Canberra which have compounded pressure on community services</w:t>
      </w:r>
      <w:r w:rsidR="00ED78EE">
        <w:t xml:space="preserve"> in recent years</w:t>
      </w:r>
      <w:r w:rsidRPr="00035635">
        <w:t xml:space="preserve">, </w:t>
      </w:r>
      <w:r w:rsidR="006477DD">
        <w:t xml:space="preserve">including </w:t>
      </w:r>
      <w:r w:rsidR="00ED78EE">
        <w:t xml:space="preserve">rising housing and living costs </w:t>
      </w:r>
      <w:r w:rsidRPr="00035635">
        <w:t>and</w:t>
      </w:r>
      <w:r w:rsidR="006477DD">
        <w:t xml:space="preserve"> the</w:t>
      </w:r>
      <w:r w:rsidRPr="00035635">
        <w:t xml:space="preserve"> </w:t>
      </w:r>
      <w:r w:rsidR="00ED78EE">
        <w:t xml:space="preserve">mental health and economic impacts of </w:t>
      </w:r>
      <w:r w:rsidRPr="00035635">
        <w:t xml:space="preserve">the COVID-19 pandemic. </w:t>
      </w:r>
      <w:r w:rsidR="00ED78EE">
        <w:t>In addition, e</w:t>
      </w:r>
      <w:r w:rsidRPr="00035635">
        <w:t xml:space="preserve">mployment pressures and </w:t>
      </w:r>
      <w:r w:rsidR="005D2326">
        <w:t>employment costs</w:t>
      </w:r>
      <w:r w:rsidR="00ED78EE">
        <w:t xml:space="preserve"> </w:t>
      </w:r>
      <w:r w:rsidRPr="00035635">
        <w:t xml:space="preserve">have grown. </w:t>
      </w:r>
    </w:p>
    <w:p w14:paraId="1DE456B6" w14:textId="631EA9DD" w:rsidR="00035635" w:rsidRPr="006D6450" w:rsidRDefault="00ED78EE" w:rsidP="007E776C">
      <w:pPr>
        <w:rPr>
          <w:b/>
          <w:bCs/>
        </w:rPr>
      </w:pPr>
      <w:r w:rsidRPr="006D6450">
        <w:rPr>
          <w:b/>
          <w:bCs/>
        </w:rPr>
        <w:t xml:space="preserve">Organisations report gaps in </w:t>
      </w:r>
      <w:r w:rsidR="00035635" w:rsidRPr="006D6450">
        <w:rPr>
          <w:b/>
          <w:bCs/>
        </w:rPr>
        <w:t>support for employment costs</w:t>
      </w:r>
      <w:r w:rsidRPr="006D6450">
        <w:rPr>
          <w:b/>
          <w:bCs/>
        </w:rPr>
        <w:t>.</w:t>
      </w:r>
    </w:p>
    <w:p w14:paraId="5BDF5410" w14:textId="6B40CD7D" w:rsidR="00035635" w:rsidRPr="00035635" w:rsidRDefault="00035635" w:rsidP="00B23F54">
      <w:pPr>
        <w:pStyle w:val="BodyText"/>
      </w:pPr>
      <w:r w:rsidRPr="00035635">
        <w:t xml:space="preserve">The Service Costing Survey, completed by leaders of 88 organisations, </w:t>
      </w:r>
      <w:r w:rsidR="00ED78EE">
        <w:t xml:space="preserve">showed that </w:t>
      </w:r>
      <w:r w:rsidRPr="00035635">
        <w:t xml:space="preserve">major streams of ACT funding </w:t>
      </w:r>
      <w:r w:rsidR="00ED78EE">
        <w:t xml:space="preserve">are leaving </w:t>
      </w:r>
      <w:r w:rsidRPr="00035635">
        <w:t>essential employment costs</w:t>
      </w:r>
      <w:r w:rsidR="00ED78EE">
        <w:t xml:space="preserve"> unfunded</w:t>
      </w:r>
      <w:r w:rsidRPr="00035635">
        <w:t xml:space="preserve">. </w:t>
      </w:r>
      <w:r w:rsidR="00ED78EE">
        <w:t>In the survey</w:t>
      </w:r>
      <w:r w:rsidRPr="00035635">
        <w:t>:</w:t>
      </w:r>
    </w:p>
    <w:p w14:paraId="21A8E2C0" w14:textId="6E3A3CA1" w:rsidR="00035635" w:rsidRPr="00035635" w:rsidRDefault="00035635" w:rsidP="00035635">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only 12% </w:t>
      </w:r>
      <w:r w:rsidR="00ED78EE">
        <w:rPr>
          <w:sz w:val="22"/>
          <w:szCs w:val="22"/>
        </w:rPr>
        <w:t xml:space="preserve">of organisational leaders said </w:t>
      </w:r>
      <w:r w:rsidRPr="00035635">
        <w:rPr>
          <w:sz w:val="22"/>
          <w:szCs w:val="22"/>
        </w:rPr>
        <w:t>their funding stream adequately cover</w:t>
      </w:r>
      <w:r w:rsidR="00ED78EE">
        <w:rPr>
          <w:sz w:val="22"/>
          <w:szCs w:val="22"/>
        </w:rPr>
        <w:t>s</w:t>
      </w:r>
      <w:r w:rsidRPr="00035635">
        <w:rPr>
          <w:sz w:val="22"/>
          <w:szCs w:val="22"/>
        </w:rPr>
        <w:t xml:space="preserve"> backfilling, </w:t>
      </w:r>
      <w:r w:rsidR="00ED78EE">
        <w:rPr>
          <w:sz w:val="22"/>
          <w:szCs w:val="22"/>
        </w:rPr>
        <w:t xml:space="preserve">which </w:t>
      </w:r>
      <w:r w:rsidRPr="00035635">
        <w:rPr>
          <w:sz w:val="22"/>
          <w:szCs w:val="22"/>
        </w:rPr>
        <w:t>ensure</w:t>
      </w:r>
      <w:r w:rsidR="00ED78EE">
        <w:rPr>
          <w:sz w:val="22"/>
          <w:szCs w:val="22"/>
        </w:rPr>
        <w:t>s</w:t>
      </w:r>
      <w:r w:rsidRPr="00035635">
        <w:rPr>
          <w:sz w:val="22"/>
          <w:szCs w:val="22"/>
        </w:rPr>
        <w:t xml:space="preserve"> service continuity when a staff is </w:t>
      </w:r>
      <w:proofErr w:type="gramStart"/>
      <w:r w:rsidRPr="00035635">
        <w:rPr>
          <w:sz w:val="22"/>
          <w:szCs w:val="22"/>
        </w:rPr>
        <w:t>absent;</w:t>
      </w:r>
      <w:proofErr w:type="gramEnd"/>
    </w:p>
    <w:p w14:paraId="670F99AB" w14:textId="10D7CF51" w:rsidR="00035635" w:rsidRPr="00035635" w:rsidRDefault="00035635" w:rsidP="00035635">
      <w:pPr>
        <w:pStyle w:val="ListParagraph"/>
        <w:numPr>
          <w:ilvl w:val="0"/>
          <w:numId w:val="29"/>
        </w:numPr>
        <w:autoSpaceDE/>
        <w:autoSpaceDN/>
        <w:adjustRightInd/>
        <w:spacing w:after="160" w:line="259" w:lineRule="auto"/>
        <w:ind w:right="0"/>
        <w:rPr>
          <w:sz w:val="22"/>
          <w:szCs w:val="22"/>
        </w:rPr>
      </w:pPr>
      <w:r w:rsidRPr="00035635">
        <w:rPr>
          <w:sz w:val="22"/>
          <w:szCs w:val="22"/>
        </w:rPr>
        <w:t>only 17% said they were adequately funded to</w:t>
      </w:r>
      <w:r w:rsidR="00ED78EE">
        <w:rPr>
          <w:sz w:val="22"/>
          <w:szCs w:val="22"/>
        </w:rPr>
        <w:t xml:space="preserve"> cover costs of staff </w:t>
      </w:r>
      <w:proofErr w:type="gramStart"/>
      <w:r w:rsidR="00ED78EE">
        <w:rPr>
          <w:sz w:val="22"/>
          <w:szCs w:val="22"/>
        </w:rPr>
        <w:t>supervision</w:t>
      </w:r>
      <w:r w:rsidRPr="00035635">
        <w:rPr>
          <w:sz w:val="22"/>
          <w:szCs w:val="22"/>
        </w:rPr>
        <w:t>;</w:t>
      </w:r>
      <w:proofErr w:type="gramEnd"/>
    </w:p>
    <w:p w14:paraId="5C871E9E" w14:textId="30182900" w:rsidR="00035635" w:rsidRPr="00035635" w:rsidRDefault="007B0849" w:rsidP="00035635">
      <w:pPr>
        <w:pStyle w:val="ListParagraph"/>
        <w:numPr>
          <w:ilvl w:val="0"/>
          <w:numId w:val="29"/>
        </w:numPr>
        <w:autoSpaceDE/>
        <w:autoSpaceDN/>
        <w:adjustRightInd/>
        <w:spacing w:after="160" w:line="259" w:lineRule="auto"/>
        <w:ind w:right="0"/>
        <w:rPr>
          <w:sz w:val="22"/>
          <w:szCs w:val="22"/>
        </w:rPr>
      </w:pPr>
      <w:r>
        <w:rPr>
          <w:sz w:val="22"/>
          <w:szCs w:val="22"/>
        </w:rPr>
        <w:t>o</w:t>
      </w:r>
      <w:r w:rsidRPr="00035635">
        <w:rPr>
          <w:sz w:val="22"/>
          <w:szCs w:val="22"/>
        </w:rPr>
        <w:t xml:space="preserve">nly </w:t>
      </w:r>
      <w:r w:rsidR="00035635" w:rsidRPr="00035635">
        <w:rPr>
          <w:sz w:val="22"/>
          <w:szCs w:val="22"/>
        </w:rPr>
        <w:t>22% said they were adequately funded to employ enough staff; and</w:t>
      </w:r>
    </w:p>
    <w:p w14:paraId="46AE8A03" w14:textId="29E9B0C1" w:rsidR="00035635" w:rsidRPr="00035635" w:rsidRDefault="007B0849" w:rsidP="00035635">
      <w:pPr>
        <w:pStyle w:val="ListParagraph"/>
        <w:numPr>
          <w:ilvl w:val="0"/>
          <w:numId w:val="29"/>
        </w:numPr>
        <w:autoSpaceDE/>
        <w:autoSpaceDN/>
        <w:adjustRightInd/>
        <w:spacing w:after="160" w:line="259" w:lineRule="auto"/>
        <w:ind w:right="0"/>
        <w:rPr>
          <w:sz w:val="22"/>
          <w:szCs w:val="22"/>
        </w:rPr>
      </w:pPr>
      <w:r>
        <w:rPr>
          <w:sz w:val="22"/>
          <w:szCs w:val="22"/>
        </w:rPr>
        <w:t>o</w:t>
      </w:r>
      <w:r w:rsidRPr="00035635">
        <w:rPr>
          <w:sz w:val="22"/>
          <w:szCs w:val="22"/>
        </w:rPr>
        <w:t xml:space="preserve">nly </w:t>
      </w:r>
      <w:r w:rsidR="00035635" w:rsidRPr="00035635">
        <w:rPr>
          <w:sz w:val="22"/>
          <w:szCs w:val="22"/>
        </w:rPr>
        <w:t xml:space="preserve">25% were adequately funded to manage volunteers. </w:t>
      </w:r>
    </w:p>
    <w:p w14:paraId="30F15D2C" w14:textId="1E69784E" w:rsidR="00035635" w:rsidRPr="00035635" w:rsidRDefault="00035635" w:rsidP="00B23F54">
      <w:pPr>
        <w:pStyle w:val="BodyText"/>
      </w:pPr>
      <w:r w:rsidRPr="00035635">
        <w:t xml:space="preserve">Inadequate resources </w:t>
      </w:r>
      <w:r w:rsidR="006477DD">
        <w:t>to employ and support staff</w:t>
      </w:r>
      <w:r w:rsidRPr="00035635">
        <w:t xml:space="preserve"> reduces organisational capacity</w:t>
      </w:r>
      <w:r w:rsidR="00D92E86">
        <w:t xml:space="preserve"> and causes some services to </w:t>
      </w:r>
      <w:r w:rsidRPr="00035635">
        <w:t xml:space="preserve">‘cut </w:t>
      </w:r>
      <w:proofErr w:type="gramStart"/>
      <w:r w:rsidRPr="00035635">
        <w:t>corners’</w:t>
      </w:r>
      <w:proofErr w:type="gramEnd"/>
      <w:r w:rsidR="00D92E86">
        <w:t xml:space="preserve">. </w:t>
      </w:r>
      <w:r w:rsidR="006477DD" w:rsidRPr="00035635">
        <w:t xml:space="preserve">Underfunding has </w:t>
      </w:r>
      <w:r w:rsidR="005D2326">
        <w:t>contributed to</w:t>
      </w:r>
      <w:r w:rsidR="006477DD">
        <w:t xml:space="preserve"> </w:t>
      </w:r>
      <w:r w:rsidR="006477DD" w:rsidRPr="00035635">
        <w:t>unpaid and underpaid work</w:t>
      </w:r>
      <w:r w:rsidR="006477DD">
        <w:t xml:space="preserve"> in the ACT community sector</w:t>
      </w:r>
      <w:r w:rsidR="006477DD" w:rsidRPr="00035635">
        <w:t>; loss of staff, especially to the public sector; and over-reliance on volunteers.</w:t>
      </w:r>
      <w:r w:rsidR="006477DD">
        <w:t xml:space="preserve"> As well as affecting the workforce, this </w:t>
      </w:r>
      <w:r w:rsidR="00D92E86">
        <w:t xml:space="preserve">affects </w:t>
      </w:r>
      <w:r w:rsidRPr="00035635">
        <w:t xml:space="preserve">quality </w:t>
      </w:r>
      <w:r w:rsidR="00D92E86">
        <w:t>and outcomes for clients and communities</w:t>
      </w:r>
      <w:r w:rsidRPr="00035635">
        <w:t xml:space="preserve">. </w:t>
      </w:r>
    </w:p>
    <w:p w14:paraId="369030C9" w14:textId="218C0F57" w:rsidR="00035635" w:rsidRPr="007E776C" w:rsidRDefault="00D92E86" w:rsidP="00035635">
      <w:pPr>
        <w:rPr>
          <w:b/>
          <w:bCs/>
        </w:rPr>
      </w:pPr>
      <w:r w:rsidRPr="007E776C">
        <w:rPr>
          <w:b/>
          <w:bCs/>
        </w:rPr>
        <w:lastRenderedPageBreak/>
        <w:t xml:space="preserve">The sector reports </w:t>
      </w:r>
      <w:r w:rsidR="00035635" w:rsidRPr="007E776C">
        <w:rPr>
          <w:b/>
          <w:bCs/>
        </w:rPr>
        <w:t xml:space="preserve">gaps in support for </w:t>
      </w:r>
      <w:r w:rsidRPr="007E776C">
        <w:rPr>
          <w:b/>
          <w:bCs/>
        </w:rPr>
        <w:t xml:space="preserve">some </w:t>
      </w:r>
      <w:r w:rsidR="00035635" w:rsidRPr="007E776C">
        <w:rPr>
          <w:b/>
          <w:bCs/>
        </w:rPr>
        <w:t>essential activit</w:t>
      </w:r>
      <w:r w:rsidRPr="007E776C">
        <w:rPr>
          <w:b/>
          <w:bCs/>
        </w:rPr>
        <w:t xml:space="preserve">ies. </w:t>
      </w:r>
    </w:p>
    <w:p w14:paraId="134A9121" w14:textId="38E1EAF6" w:rsidR="00DE4067" w:rsidRPr="00B23F54" w:rsidRDefault="00035635" w:rsidP="00035635">
      <w:pPr>
        <w:pStyle w:val="BodyText"/>
      </w:pPr>
      <w:r w:rsidRPr="00DE4067">
        <w:rPr>
          <w:rFonts w:asciiTheme="minorHAnsi" w:hAnsiTheme="minorHAnsi" w:cs="MetaPlusNormal-Roman"/>
        </w:rPr>
        <w:t xml:space="preserve">Resource gaps are evident for </w:t>
      </w:r>
      <w:r w:rsidR="00D92E86" w:rsidRPr="00DE4067">
        <w:rPr>
          <w:rFonts w:asciiTheme="minorHAnsi" w:hAnsiTheme="minorHAnsi" w:cs="MetaPlusNormal-Roman"/>
        </w:rPr>
        <w:t xml:space="preserve">some essential activities which are expected by government and </w:t>
      </w:r>
      <w:r w:rsidR="006477DD" w:rsidRPr="00DE4067">
        <w:rPr>
          <w:rFonts w:asciiTheme="minorHAnsi" w:hAnsiTheme="minorHAnsi" w:cs="MetaPlusNormal-Roman"/>
        </w:rPr>
        <w:t xml:space="preserve">which </w:t>
      </w:r>
      <w:r w:rsidR="00D92E86" w:rsidRPr="00DE4067">
        <w:rPr>
          <w:rFonts w:asciiTheme="minorHAnsi" w:hAnsiTheme="minorHAnsi" w:cs="MetaPlusNormal-Roman"/>
        </w:rPr>
        <w:t xml:space="preserve">support government capacity, such as: </w:t>
      </w:r>
      <w:r w:rsidRPr="00DE4067">
        <w:rPr>
          <w:rFonts w:asciiTheme="minorHAnsi" w:hAnsiTheme="minorHAnsi" w:cs="MetaPlusNormal-Roman"/>
        </w:rPr>
        <w:t xml:space="preserve">consulting with and providing input to government; participating in policy reform processes; and involving service users with lived experience in service </w:t>
      </w:r>
      <w:r w:rsidRPr="00B23F54">
        <w:t xml:space="preserve">development. These activities are impractical for organisations to sustain without sufficient </w:t>
      </w:r>
      <w:proofErr w:type="gramStart"/>
      <w:r w:rsidRPr="00B23F54">
        <w:t>support</w:t>
      </w:r>
      <w:r w:rsidR="005D2326" w:rsidRPr="00B23F54">
        <w:t>, and</w:t>
      </w:r>
      <w:proofErr w:type="gramEnd"/>
      <w:r w:rsidR="005D2326" w:rsidRPr="00B23F54">
        <w:t xml:space="preserve"> are integral </w:t>
      </w:r>
      <w:r w:rsidR="00DE4067" w:rsidRPr="00B23F54">
        <w:t>capabilities for a collaborative commissioning approach</w:t>
      </w:r>
      <w:r w:rsidRPr="00B23F54">
        <w:t xml:space="preserve">. </w:t>
      </w:r>
      <w:r w:rsidR="00E80AA8" w:rsidRPr="00B23F54">
        <w:t xml:space="preserve">They should be explicitly recognised in contracts and funded. </w:t>
      </w:r>
    </w:p>
    <w:p w14:paraId="72121631" w14:textId="70FEAD53" w:rsidR="00035635" w:rsidRPr="00035635" w:rsidRDefault="00035635" w:rsidP="00035635">
      <w:pPr>
        <w:pStyle w:val="BodyText"/>
      </w:pPr>
      <w:r w:rsidRPr="00B23F54">
        <w:t xml:space="preserve">A particular concern for community organisations is the lack of funds to support </w:t>
      </w:r>
      <w:r w:rsidR="00C45AF8" w:rsidRPr="00B23F54">
        <w:t xml:space="preserve">monitoring and </w:t>
      </w:r>
      <w:r w:rsidRPr="00B23F54">
        <w:t>evaluation</w:t>
      </w:r>
      <w:r w:rsidR="00C45AF8" w:rsidRPr="00B23F54">
        <w:t xml:space="preserve"> of programs</w:t>
      </w:r>
      <w:r w:rsidRPr="00B23F54">
        <w:t>. While some organisations can fund evaluation from private sources, only 13% said that the funding received from the ACT gov</w:t>
      </w:r>
      <w:r w:rsidRPr="00035635">
        <w:t>ernment adequately cover</w:t>
      </w:r>
      <w:r w:rsidR="00D92E86">
        <w:t xml:space="preserve">s </w:t>
      </w:r>
      <w:r w:rsidR="006477DD">
        <w:t>evaluation</w:t>
      </w:r>
      <w:r w:rsidR="00D92E86">
        <w:t>. This</w:t>
      </w:r>
      <w:r w:rsidR="00B20DBD">
        <w:t> </w:t>
      </w:r>
      <w:r w:rsidR="00D92E86">
        <w:t xml:space="preserve">results in </w:t>
      </w:r>
      <w:r w:rsidRPr="00035635">
        <w:t xml:space="preserve">sub-optimal information to understand how interventions </w:t>
      </w:r>
      <w:r w:rsidR="00D92E86">
        <w:t xml:space="preserve">are </w:t>
      </w:r>
      <w:proofErr w:type="gramStart"/>
      <w:r w:rsidRPr="00035635">
        <w:t>working, and</w:t>
      </w:r>
      <w:proofErr w:type="gramEnd"/>
      <w:r w:rsidRPr="00035635">
        <w:t xml:space="preserve"> </w:t>
      </w:r>
      <w:r w:rsidR="006477DD">
        <w:t xml:space="preserve">reduces </w:t>
      </w:r>
      <w:r w:rsidR="00D92E86">
        <w:t xml:space="preserve">capacity for </w:t>
      </w:r>
      <w:r w:rsidRPr="00035635">
        <w:t>service improvement.</w:t>
      </w:r>
    </w:p>
    <w:p w14:paraId="3AEA3E8D" w14:textId="15AF6668" w:rsidR="00035635" w:rsidRPr="00035635" w:rsidRDefault="00035635" w:rsidP="00035635">
      <w:pPr>
        <w:pStyle w:val="BodyText"/>
      </w:pPr>
      <w:r w:rsidRPr="00035635">
        <w:t>Other essential infrastructure or overhead costs are</w:t>
      </w:r>
      <w:r w:rsidR="00D92E86">
        <w:t xml:space="preserve"> widely considered</w:t>
      </w:r>
      <w:r w:rsidRPr="00035635">
        <w:t xml:space="preserve"> unfunded or underfunded</w:t>
      </w:r>
      <w:r w:rsidR="007B19A5">
        <w:t xml:space="preserve">, including </w:t>
      </w:r>
      <w:r w:rsidR="00A06E52">
        <w:t xml:space="preserve">legal support, </w:t>
      </w:r>
      <w:r w:rsidR="00CB4899">
        <w:t>regulatory compliance</w:t>
      </w:r>
      <w:r w:rsidR="00A06E52">
        <w:t xml:space="preserve">, technology, </w:t>
      </w:r>
      <w:proofErr w:type="gramStart"/>
      <w:r w:rsidR="00A06E52">
        <w:t>security</w:t>
      </w:r>
      <w:proofErr w:type="gramEnd"/>
      <w:r w:rsidR="00A06E52">
        <w:t xml:space="preserve"> and</w:t>
      </w:r>
      <w:r w:rsidR="00CB4899" w:rsidRPr="00CB4899">
        <w:t xml:space="preserve"> </w:t>
      </w:r>
      <w:r w:rsidR="00CB4899">
        <w:t>vehicles</w:t>
      </w:r>
      <w:r w:rsidRPr="00035635">
        <w:t>. Some</w:t>
      </w:r>
      <w:r w:rsidR="006477DD">
        <w:t xml:space="preserve"> organis</w:t>
      </w:r>
      <w:r w:rsidR="00AD7A86">
        <w:t>a</w:t>
      </w:r>
      <w:r w:rsidR="006477DD">
        <w:t>tions</w:t>
      </w:r>
      <w:r w:rsidRPr="00035635">
        <w:t xml:space="preserve"> charge administrative fees to cover </w:t>
      </w:r>
      <w:r w:rsidR="00C154A3">
        <w:t xml:space="preserve">these </w:t>
      </w:r>
      <w:r w:rsidRPr="00035635">
        <w:t xml:space="preserve">functions, while others </w:t>
      </w:r>
      <w:r w:rsidR="00A06E52">
        <w:t>draw on</w:t>
      </w:r>
      <w:r w:rsidRPr="00035635">
        <w:t xml:space="preserve"> other organisational sources, or pool small amounts of funds across programs. However, cross-subsidisation is not an option for all. </w:t>
      </w:r>
      <w:r w:rsidR="00C154A3">
        <w:t xml:space="preserve">Further, leaders </w:t>
      </w:r>
      <w:r w:rsidRPr="00035635">
        <w:t xml:space="preserve">noted that some costs, including accommodation, insurance, </w:t>
      </w:r>
      <w:proofErr w:type="gramStart"/>
      <w:r w:rsidRPr="00035635">
        <w:t>technology</w:t>
      </w:r>
      <w:proofErr w:type="gramEnd"/>
      <w:r w:rsidRPr="00035635">
        <w:t xml:space="preserve"> and data systems, are rising.</w:t>
      </w:r>
    </w:p>
    <w:p w14:paraId="476E7EAA" w14:textId="5E00D77F" w:rsidR="00035635" w:rsidRPr="007F4C09" w:rsidRDefault="00035635" w:rsidP="00035635">
      <w:pPr>
        <w:rPr>
          <w:b/>
          <w:bCs/>
        </w:rPr>
      </w:pPr>
      <w:r w:rsidRPr="007F4C09">
        <w:rPr>
          <w:b/>
          <w:bCs/>
        </w:rPr>
        <w:t xml:space="preserve">Strategies for </w:t>
      </w:r>
      <w:r>
        <w:rPr>
          <w:b/>
          <w:bCs/>
        </w:rPr>
        <w:t>addressing</w:t>
      </w:r>
      <w:r w:rsidRPr="007F4C09">
        <w:rPr>
          <w:b/>
          <w:bCs/>
        </w:rPr>
        <w:t xml:space="preserve"> rising demand and rising costs are not working</w:t>
      </w:r>
    </w:p>
    <w:p w14:paraId="02E85435" w14:textId="0723425D" w:rsidR="0052144F" w:rsidRDefault="00035635" w:rsidP="00035635">
      <w:pPr>
        <w:pStyle w:val="BodyText"/>
      </w:pPr>
      <w:r w:rsidRPr="00035635">
        <w:t xml:space="preserve">The ACT Government and community organisations use a wide range of strategies to manage and respond to pressures of rising demand and rising costs. Indexation of multi-year grants by government is a key strategy </w:t>
      </w:r>
      <w:r w:rsidR="00C154A3">
        <w:t xml:space="preserve">for </w:t>
      </w:r>
      <w:r w:rsidRPr="00035635">
        <w:t>maintaining the sector’s purchasing power over time. However,</w:t>
      </w:r>
      <w:r w:rsidR="00B20DBD">
        <w:t> </w:t>
      </w:r>
      <w:r w:rsidRPr="00035635">
        <w:t>the</w:t>
      </w:r>
      <w:r w:rsidR="00C154A3">
        <w:t xml:space="preserve"> indexation formula (known as the</w:t>
      </w:r>
      <w:r w:rsidRPr="00035635">
        <w:t xml:space="preserve"> Community Sector Funding Rate</w:t>
      </w:r>
      <w:r w:rsidR="00C154A3">
        <w:t xml:space="preserve"> and</w:t>
      </w:r>
      <w:r w:rsidRPr="00035635">
        <w:t xml:space="preserve"> announced each year in the ACT Budget</w:t>
      </w:r>
      <w:r w:rsidR="00C154A3">
        <w:t>)</w:t>
      </w:r>
      <w:r w:rsidRPr="00035635">
        <w:t xml:space="preserve"> has resulted in falling indexation for ACT funded services for at least 15 years</w:t>
      </w:r>
      <w:r w:rsidR="006A0462">
        <w:t>.</w:t>
      </w:r>
      <w:r w:rsidR="009269F8">
        <w:t xml:space="preserve"> Indexation has not enabled community sector organisations to cover increased minimum wage costs. </w:t>
      </w:r>
      <w:r w:rsidR="00C154A3">
        <w:t>I</w:t>
      </w:r>
      <w:r w:rsidRPr="00035635">
        <w:t xml:space="preserve">ndexation has </w:t>
      </w:r>
      <w:r w:rsidR="00C154A3">
        <w:t xml:space="preserve">also </w:t>
      </w:r>
      <w:r w:rsidRPr="00035635">
        <w:t xml:space="preserve">left gaps in support, as not all ACT funding streams are indexed. </w:t>
      </w:r>
    </w:p>
    <w:p w14:paraId="530375EF" w14:textId="75A981E0" w:rsidR="00035635" w:rsidRPr="00035635" w:rsidRDefault="00035635" w:rsidP="00035635">
      <w:pPr>
        <w:pStyle w:val="BodyText"/>
      </w:pPr>
      <w:r w:rsidRPr="00035635">
        <w:t xml:space="preserve">In the Service Costing Survey, only 12% of leaders agreed with the statement ‘Overall, indexation is adequate’. Very few (6%) said they can have input into how their contracts are indexed. Organisational leaders were concerned about how the indexation formula accounts for </w:t>
      </w:r>
      <w:r w:rsidR="00C154A3">
        <w:t xml:space="preserve">their </w:t>
      </w:r>
      <w:r w:rsidRPr="00035635">
        <w:t>rising costs. They highlighted the need for closer dialogue with government over indexation arrangements.</w:t>
      </w:r>
    </w:p>
    <w:p w14:paraId="46D03A80" w14:textId="3AE72488" w:rsidR="00035635" w:rsidRPr="00035635" w:rsidRDefault="00C154A3" w:rsidP="00035635">
      <w:pPr>
        <w:pStyle w:val="BodyText"/>
        <w:rPr>
          <w:rFonts w:cstheme="minorHAnsi"/>
        </w:rPr>
      </w:pPr>
      <w:r w:rsidRPr="00B23F54">
        <w:t>Despite the</w:t>
      </w:r>
      <w:r w:rsidR="00772DE7" w:rsidRPr="00B23F54">
        <w:t>ir</w:t>
      </w:r>
      <w:r w:rsidRPr="00B23F54">
        <w:t xml:space="preserve"> best efforts to ensure </w:t>
      </w:r>
      <w:r w:rsidR="00035635" w:rsidRPr="00035635">
        <w:t xml:space="preserve">clients and communities are not affected </w:t>
      </w:r>
      <w:r w:rsidR="00772DE7">
        <w:t>by limited funds</w:t>
      </w:r>
      <w:r>
        <w:t xml:space="preserve">, some responses to </w:t>
      </w:r>
      <w:r w:rsidR="00035635" w:rsidRPr="00B23F54">
        <w:t xml:space="preserve">under-resourcing are impacting on clients, staff, </w:t>
      </w:r>
      <w:proofErr w:type="gramStart"/>
      <w:r w:rsidR="00035635" w:rsidRPr="00B23F54">
        <w:t>organisations</w:t>
      </w:r>
      <w:proofErr w:type="gramEnd"/>
      <w:r w:rsidR="00035635" w:rsidRPr="00B23F54">
        <w:t xml:space="preserve"> and the quality of government programs</w:t>
      </w:r>
      <w:r w:rsidR="00035635" w:rsidRPr="00035635">
        <w:rPr>
          <w:rFonts w:cstheme="minorHAnsi"/>
        </w:rPr>
        <w:t>:</w:t>
      </w:r>
    </w:p>
    <w:p w14:paraId="3D6110D3" w14:textId="2F906C4D" w:rsidR="00035635" w:rsidRPr="00035635" w:rsidRDefault="00035635" w:rsidP="00035635">
      <w:pPr>
        <w:pStyle w:val="BodyText"/>
        <w:numPr>
          <w:ilvl w:val="0"/>
          <w:numId w:val="30"/>
        </w:numPr>
        <w:rPr>
          <w:rFonts w:asciiTheme="minorHAnsi" w:hAnsiTheme="minorHAnsi" w:cstheme="minorHAnsi"/>
        </w:rPr>
      </w:pPr>
      <w:r w:rsidRPr="00035635">
        <w:rPr>
          <w:rFonts w:asciiTheme="minorHAnsi" w:hAnsiTheme="minorHAnsi" w:cstheme="minorHAnsi"/>
        </w:rPr>
        <w:t xml:space="preserve">Around half of leaders (51%) said their organisation used casual or </w:t>
      </w:r>
      <w:r w:rsidR="00DF2A16" w:rsidRPr="00035635">
        <w:rPr>
          <w:rFonts w:asciiTheme="minorHAnsi" w:hAnsiTheme="minorHAnsi" w:cstheme="minorHAnsi"/>
        </w:rPr>
        <w:t>short-term</w:t>
      </w:r>
      <w:r w:rsidRPr="00035635">
        <w:rPr>
          <w:rFonts w:asciiTheme="minorHAnsi" w:hAnsiTheme="minorHAnsi" w:cstheme="minorHAnsi"/>
        </w:rPr>
        <w:t xml:space="preserve"> staff, due to resource </w:t>
      </w:r>
      <w:proofErr w:type="gramStart"/>
      <w:r w:rsidRPr="00035635">
        <w:rPr>
          <w:rFonts w:asciiTheme="minorHAnsi" w:hAnsiTheme="minorHAnsi" w:cstheme="minorHAnsi"/>
        </w:rPr>
        <w:t>pressures;</w:t>
      </w:r>
      <w:proofErr w:type="gramEnd"/>
    </w:p>
    <w:p w14:paraId="4FCF3DB3" w14:textId="77777777" w:rsidR="00035635" w:rsidRPr="00035635" w:rsidRDefault="00035635" w:rsidP="00035635">
      <w:pPr>
        <w:pStyle w:val="BodyText"/>
        <w:numPr>
          <w:ilvl w:val="0"/>
          <w:numId w:val="30"/>
        </w:numPr>
        <w:rPr>
          <w:rFonts w:asciiTheme="minorHAnsi" w:hAnsiTheme="minorHAnsi" w:cstheme="minorHAnsi"/>
        </w:rPr>
      </w:pPr>
      <w:r w:rsidRPr="00035635">
        <w:rPr>
          <w:rFonts w:asciiTheme="minorHAnsi" w:hAnsiTheme="minorHAnsi" w:cstheme="minorHAnsi"/>
        </w:rPr>
        <w:t>Almost two in five organisations required workers to perform tasks above their classification, due to lack of funds (39%)</w:t>
      </w:r>
    </w:p>
    <w:p w14:paraId="5C7EEE11" w14:textId="77777777" w:rsidR="00035635" w:rsidRPr="00035635" w:rsidRDefault="00035635" w:rsidP="00035635">
      <w:pPr>
        <w:pStyle w:val="BodyText"/>
        <w:numPr>
          <w:ilvl w:val="0"/>
          <w:numId w:val="30"/>
        </w:numPr>
        <w:rPr>
          <w:rFonts w:asciiTheme="minorHAnsi" w:hAnsiTheme="minorHAnsi" w:cstheme="minorHAnsi"/>
        </w:rPr>
      </w:pPr>
      <w:r w:rsidRPr="00035635">
        <w:rPr>
          <w:rFonts w:asciiTheme="minorHAnsi" w:hAnsiTheme="minorHAnsi" w:cstheme="minorHAnsi"/>
        </w:rPr>
        <w:t xml:space="preserve">A third (34%) said they targeted specific groups of clients, due to limited funds or staffing constraints. </w:t>
      </w:r>
    </w:p>
    <w:p w14:paraId="0C7FED8D" w14:textId="77777777" w:rsidR="00035635" w:rsidRPr="00035635" w:rsidRDefault="00035635" w:rsidP="00035635">
      <w:pPr>
        <w:pStyle w:val="BodyText"/>
        <w:numPr>
          <w:ilvl w:val="0"/>
          <w:numId w:val="30"/>
        </w:numPr>
        <w:rPr>
          <w:rFonts w:asciiTheme="minorHAnsi" w:hAnsiTheme="minorHAnsi" w:cstheme="minorHAnsi"/>
        </w:rPr>
      </w:pPr>
      <w:r w:rsidRPr="00035635">
        <w:rPr>
          <w:rFonts w:asciiTheme="minorHAnsi" w:hAnsiTheme="minorHAnsi" w:cstheme="minorHAnsi"/>
        </w:rPr>
        <w:lastRenderedPageBreak/>
        <w:t xml:space="preserve">47% of leaders said their organisation had incurred a loss on programs delivered for the ACT government. </w:t>
      </w:r>
    </w:p>
    <w:p w14:paraId="22C8F8DD" w14:textId="795B7BE2" w:rsidR="00035635" w:rsidRPr="00035635" w:rsidRDefault="00035635" w:rsidP="00B23F54">
      <w:pPr>
        <w:pStyle w:val="BodyText"/>
      </w:pPr>
      <w:r w:rsidRPr="00035635">
        <w:t xml:space="preserve">Poor cost coverage </w:t>
      </w:r>
      <w:r w:rsidR="00C154A3">
        <w:t xml:space="preserve">deters </w:t>
      </w:r>
      <w:r w:rsidRPr="00035635">
        <w:t xml:space="preserve">organisations from engaging with government.  </w:t>
      </w:r>
    </w:p>
    <w:p w14:paraId="13000A6F" w14:textId="5814E691" w:rsidR="00035635" w:rsidRPr="00035635" w:rsidRDefault="00035635" w:rsidP="00035635">
      <w:pPr>
        <w:pStyle w:val="BodyText"/>
        <w:numPr>
          <w:ilvl w:val="0"/>
          <w:numId w:val="30"/>
        </w:numPr>
        <w:rPr>
          <w:rFonts w:asciiTheme="minorHAnsi" w:hAnsiTheme="minorHAnsi" w:cstheme="minorHAnsi"/>
        </w:rPr>
      </w:pPr>
      <w:r w:rsidRPr="00035635">
        <w:rPr>
          <w:rFonts w:asciiTheme="minorHAnsi" w:hAnsiTheme="minorHAnsi" w:cstheme="minorHAnsi"/>
        </w:rPr>
        <w:t xml:space="preserve">61% of leaders said their organisations had decided not to apply for ACT funds </w:t>
      </w:r>
      <w:r w:rsidR="00C45AF8">
        <w:rPr>
          <w:rFonts w:asciiTheme="minorHAnsi" w:hAnsiTheme="minorHAnsi" w:cstheme="minorHAnsi"/>
        </w:rPr>
        <w:t xml:space="preserve">in the last three years </w:t>
      </w:r>
      <w:r w:rsidRPr="00035635">
        <w:rPr>
          <w:rFonts w:asciiTheme="minorHAnsi" w:hAnsiTheme="minorHAnsi" w:cstheme="minorHAnsi"/>
        </w:rPr>
        <w:t xml:space="preserve">because of poor cost coverage, and </w:t>
      </w:r>
    </w:p>
    <w:p w14:paraId="039CF721" w14:textId="77777777" w:rsidR="00035635" w:rsidRPr="00035635" w:rsidRDefault="00035635" w:rsidP="00035635">
      <w:pPr>
        <w:pStyle w:val="BodyText"/>
        <w:numPr>
          <w:ilvl w:val="0"/>
          <w:numId w:val="30"/>
        </w:numPr>
        <w:rPr>
          <w:rFonts w:asciiTheme="minorHAnsi" w:hAnsiTheme="minorHAnsi" w:cstheme="minorHAnsi"/>
        </w:rPr>
      </w:pPr>
      <w:r w:rsidRPr="00035635">
        <w:rPr>
          <w:rFonts w:asciiTheme="minorHAnsi" w:hAnsiTheme="minorHAnsi" w:cstheme="minorHAnsi"/>
        </w:rPr>
        <w:t xml:space="preserve">56% had applied even though funding arrangements required the organisation to cross-subsidise. </w:t>
      </w:r>
    </w:p>
    <w:p w14:paraId="6010696E" w14:textId="57A6B40B" w:rsidR="00D20038" w:rsidRDefault="00035635" w:rsidP="00035635">
      <w:pPr>
        <w:pStyle w:val="BodyText"/>
      </w:pPr>
      <w:r w:rsidRPr="00035635">
        <w:t>Problematic practices are entrenched and complex</w:t>
      </w:r>
      <w:r w:rsidR="00C154A3">
        <w:t>.</w:t>
      </w:r>
      <w:r w:rsidRPr="00035635">
        <w:t xml:space="preserve"> CEOs recognise </w:t>
      </w:r>
      <w:r w:rsidR="00C154A3">
        <w:t xml:space="preserve">their own organisations’ practices </w:t>
      </w:r>
      <w:r w:rsidRPr="00035635">
        <w:t>can compound</w:t>
      </w:r>
      <w:r w:rsidR="00C154A3">
        <w:t xml:space="preserve"> cost pressures</w:t>
      </w:r>
      <w:r w:rsidRPr="00035635">
        <w:t xml:space="preserve">. Some CEOs report </w:t>
      </w:r>
      <w:r w:rsidR="00D20038">
        <w:t xml:space="preserve">pressure </w:t>
      </w:r>
      <w:r w:rsidR="003452E1">
        <w:t>to lower costs come</w:t>
      </w:r>
      <w:r w:rsidR="00AD7A86">
        <w:t xml:space="preserve">s </w:t>
      </w:r>
      <w:r w:rsidR="00D20038">
        <w:t xml:space="preserve">from </w:t>
      </w:r>
      <w:r w:rsidRPr="00035635">
        <w:t xml:space="preserve">Boards, and </w:t>
      </w:r>
      <w:r w:rsidR="00D20038">
        <w:t xml:space="preserve">some </w:t>
      </w:r>
      <w:r w:rsidRPr="00035635">
        <w:t>organisations offer services below their true costs to ensure competitiveness</w:t>
      </w:r>
      <w:r w:rsidR="003452E1">
        <w:t>.</w:t>
      </w:r>
    </w:p>
    <w:p w14:paraId="0339740A" w14:textId="77777777" w:rsidR="00D20038" w:rsidRPr="00035635" w:rsidRDefault="00D20038" w:rsidP="00D20038">
      <w:pPr>
        <w:pStyle w:val="BodyText"/>
        <w:numPr>
          <w:ilvl w:val="0"/>
          <w:numId w:val="30"/>
        </w:numPr>
        <w:rPr>
          <w:rFonts w:asciiTheme="minorHAnsi" w:hAnsiTheme="minorHAnsi" w:cstheme="minorHAnsi"/>
        </w:rPr>
      </w:pPr>
      <w:r w:rsidRPr="00035635">
        <w:rPr>
          <w:rFonts w:asciiTheme="minorHAnsi" w:hAnsiTheme="minorHAnsi" w:cstheme="minorHAnsi"/>
        </w:rPr>
        <w:t xml:space="preserve">25% of leaders said their organisation had decided to offer services at below-cost to ensure they were competitive. </w:t>
      </w:r>
    </w:p>
    <w:p w14:paraId="37C1664F" w14:textId="46357472" w:rsidR="00035635" w:rsidRPr="00035635" w:rsidRDefault="00D20038" w:rsidP="00D20038">
      <w:pPr>
        <w:pStyle w:val="BodyText"/>
      </w:pPr>
      <w:r>
        <w:t xml:space="preserve">This sends </w:t>
      </w:r>
      <w:r w:rsidR="00035635" w:rsidRPr="00035635">
        <w:t>misleading signals to government about costs</w:t>
      </w:r>
      <w:r>
        <w:t>.</w:t>
      </w:r>
    </w:p>
    <w:p w14:paraId="461E68C7" w14:textId="28F1ED24" w:rsidR="00035635" w:rsidRPr="00035635" w:rsidRDefault="00035635" w:rsidP="00035635">
      <w:pPr>
        <w:pStyle w:val="BodyText"/>
      </w:pPr>
      <w:r w:rsidRPr="00035635">
        <w:t xml:space="preserve">Sometimes, organisations may choose to cross-subsidise. However, fundraising to cover shortfalls </w:t>
      </w:r>
      <w:r w:rsidR="00D20038">
        <w:t>can distract from a focus</w:t>
      </w:r>
      <w:r w:rsidR="00AD7A86">
        <w:t xml:space="preserve"> on outcomes</w:t>
      </w:r>
      <w:r w:rsidRPr="00035635">
        <w:t xml:space="preserve">. </w:t>
      </w:r>
      <w:r w:rsidR="00D20038">
        <w:t xml:space="preserve">Philanthropy can be </w:t>
      </w:r>
      <w:r w:rsidRPr="00035635">
        <w:t xml:space="preserve">volatile and </w:t>
      </w:r>
      <w:r w:rsidR="00D20038">
        <w:t xml:space="preserve">is </w:t>
      </w:r>
      <w:r w:rsidRPr="00035635">
        <w:t xml:space="preserve">not an option for all organisations. Indeed, the median amount of income ACT organisations receive from philanthropy or commercial sources is zero, indicating at least half do not have private income streams with which to supplement government programs. </w:t>
      </w:r>
    </w:p>
    <w:p w14:paraId="6A658FA1" w14:textId="77777777" w:rsidR="00035635" w:rsidRPr="00B2520C" w:rsidRDefault="00035635" w:rsidP="00035635">
      <w:pPr>
        <w:rPr>
          <w:b/>
          <w:bCs/>
        </w:rPr>
      </w:pPr>
      <w:r w:rsidRPr="00B2520C">
        <w:rPr>
          <w:b/>
          <w:bCs/>
        </w:rPr>
        <w:t>Adjustments are needed to respond to rising costs</w:t>
      </w:r>
    </w:p>
    <w:p w14:paraId="554409E0" w14:textId="77777777" w:rsidR="00035635" w:rsidRPr="00035635" w:rsidRDefault="00035635" w:rsidP="00035635">
      <w:pPr>
        <w:pStyle w:val="BodyText"/>
      </w:pPr>
      <w:r w:rsidRPr="00035635">
        <w:t xml:space="preserve">In its 2021-22 Budget, the ACT government announced it will review the Community Sector Funding Rate that will apply in future years. This sets an important platform for change. </w:t>
      </w:r>
    </w:p>
    <w:p w14:paraId="2E3BAFEA" w14:textId="3D654102" w:rsidR="00035635" w:rsidRPr="00035635" w:rsidRDefault="00035635" w:rsidP="00035635">
      <w:pPr>
        <w:pStyle w:val="ListParagraph"/>
        <w:numPr>
          <w:ilvl w:val="0"/>
          <w:numId w:val="32"/>
        </w:numPr>
        <w:autoSpaceDE/>
        <w:autoSpaceDN/>
        <w:adjustRightInd/>
        <w:spacing w:after="160" w:line="259" w:lineRule="auto"/>
        <w:ind w:right="0"/>
        <w:rPr>
          <w:i/>
          <w:iCs/>
        </w:rPr>
      </w:pPr>
      <w:r w:rsidRPr="00035635">
        <w:rPr>
          <w:i/>
          <w:iCs/>
        </w:rPr>
        <w:t xml:space="preserve">Recommendation 1: </w:t>
      </w:r>
      <w:r w:rsidR="003452E1">
        <w:rPr>
          <w:i/>
          <w:iCs/>
        </w:rPr>
        <w:t xml:space="preserve">Adopt a revised </w:t>
      </w:r>
      <w:r w:rsidRPr="00035635">
        <w:rPr>
          <w:i/>
          <w:iCs/>
        </w:rPr>
        <w:t>approach to indexation</w:t>
      </w:r>
    </w:p>
    <w:p w14:paraId="42D8802B" w14:textId="01BBAF00" w:rsidR="00035635" w:rsidRPr="00035635" w:rsidRDefault="000637EB" w:rsidP="00035635">
      <w:pPr>
        <w:pStyle w:val="BodyText"/>
      </w:pPr>
      <w:r>
        <w:t>T</w:t>
      </w:r>
      <w:r w:rsidR="00D20038">
        <w:t xml:space="preserve">he Community Sector Funding Rate </w:t>
      </w:r>
      <w:r>
        <w:t xml:space="preserve">should be replaced </w:t>
      </w:r>
      <w:r w:rsidR="00D20038">
        <w:t>with a</w:t>
      </w:r>
      <w:r w:rsidR="00035635" w:rsidRPr="00035635">
        <w:t xml:space="preserve"> simpler approach, which gives a stronger assurance to the community sector that purchasing power will be maintained</w:t>
      </w:r>
      <w:r w:rsidR="00D20038">
        <w:t xml:space="preserve">. We recommend </w:t>
      </w:r>
      <w:r w:rsidR="00035635" w:rsidRPr="00035635">
        <w:t>providing regular, six-monthly increases</w:t>
      </w:r>
      <w:r w:rsidR="009269F8">
        <w:t>. These should be</w:t>
      </w:r>
      <w:r w:rsidR="00035635" w:rsidRPr="00035635">
        <w:t xml:space="preserve"> in line with </w:t>
      </w:r>
      <w:r w:rsidR="009269F8">
        <w:t>the higher of the consumer price index (</w:t>
      </w:r>
      <w:r w:rsidR="00035635" w:rsidRPr="00035635">
        <w:t>CPI</w:t>
      </w:r>
      <w:r w:rsidR="009269F8">
        <w:t>)</w:t>
      </w:r>
      <w:r w:rsidR="004D3DAC">
        <w:t xml:space="preserve"> or</w:t>
      </w:r>
      <w:r w:rsidR="009269F8">
        <w:t xml:space="preserve"> wage price index</w:t>
      </w:r>
      <w:r w:rsidR="00035635" w:rsidRPr="00035635">
        <w:t xml:space="preserve"> </w:t>
      </w:r>
      <w:r w:rsidR="009269F8">
        <w:t>(</w:t>
      </w:r>
      <w:r w:rsidR="00035635" w:rsidRPr="00035635">
        <w:t>WPI</w:t>
      </w:r>
      <w:r w:rsidR="009269F8">
        <w:t xml:space="preserve">) </w:t>
      </w:r>
      <w:r w:rsidR="007B3510">
        <w:t>for the ACT</w:t>
      </w:r>
      <w:r w:rsidR="00035635" w:rsidRPr="00035635">
        <w:t xml:space="preserve">, </w:t>
      </w:r>
      <w:r w:rsidR="009269F8">
        <w:t>or</w:t>
      </w:r>
      <w:r w:rsidR="004D3DAC">
        <w:t xml:space="preserve"> the</w:t>
      </w:r>
      <w:r w:rsidR="009269F8">
        <w:t xml:space="preserve"> </w:t>
      </w:r>
      <w:r w:rsidR="004D3DAC">
        <w:t xml:space="preserve">percentage </w:t>
      </w:r>
      <w:r w:rsidR="009269F8">
        <w:t xml:space="preserve">increase in wage rates applying to the </w:t>
      </w:r>
      <w:r w:rsidR="009269F8" w:rsidRPr="00137AB8">
        <w:rPr>
          <w:rFonts w:cstheme="minorHAnsi"/>
        </w:rPr>
        <w:t>Social, Community, Home Care and Disability Services Industry</w:t>
      </w:r>
      <w:r w:rsidR="00AD6310">
        <w:rPr>
          <w:rFonts w:cstheme="minorHAnsi"/>
        </w:rPr>
        <w:t xml:space="preserve"> (SCHADS)</w:t>
      </w:r>
      <w:r w:rsidR="009269F8" w:rsidRPr="00137AB8">
        <w:rPr>
          <w:rFonts w:cstheme="minorHAnsi"/>
        </w:rPr>
        <w:t xml:space="preserve"> Award</w:t>
      </w:r>
      <w:r w:rsidR="00035635" w:rsidRPr="00035635">
        <w:t xml:space="preserve">. </w:t>
      </w:r>
      <w:r w:rsidR="00C45AF8">
        <w:t xml:space="preserve">All project or </w:t>
      </w:r>
      <w:proofErr w:type="gramStart"/>
      <w:r w:rsidR="00C45AF8">
        <w:t>short term</w:t>
      </w:r>
      <w:proofErr w:type="gramEnd"/>
      <w:r w:rsidR="00C45AF8">
        <w:t xml:space="preserve"> contracts should also </w:t>
      </w:r>
      <w:r w:rsidR="004D3DAC">
        <w:t xml:space="preserve">be indexed, </w:t>
      </w:r>
      <w:r w:rsidR="00C45AF8">
        <w:t>if renewed.</w:t>
      </w:r>
      <w:r w:rsidR="004D3DAC">
        <w:t xml:space="preserve"> Indexation should be regularly reviewed to ensure </w:t>
      </w:r>
      <w:r w:rsidR="00960F29">
        <w:t xml:space="preserve">it is fit for purpose, and that </w:t>
      </w:r>
      <w:r w:rsidR="004D3DAC">
        <w:t xml:space="preserve">ad-hoc cost increases, such as increased superannuation payments, can be covered. </w:t>
      </w:r>
    </w:p>
    <w:p w14:paraId="06B9DB80" w14:textId="77777777" w:rsidR="00035635" w:rsidRPr="00035635" w:rsidRDefault="00035635" w:rsidP="00035635">
      <w:pPr>
        <w:pStyle w:val="ListParagraph"/>
        <w:numPr>
          <w:ilvl w:val="0"/>
          <w:numId w:val="32"/>
        </w:numPr>
        <w:autoSpaceDE/>
        <w:autoSpaceDN/>
        <w:adjustRightInd/>
        <w:spacing w:after="160" w:line="259" w:lineRule="auto"/>
        <w:ind w:right="0"/>
        <w:rPr>
          <w:i/>
          <w:iCs/>
        </w:rPr>
      </w:pPr>
      <w:r w:rsidRPr="00035635">
        <w:rPr>
          <w:i/>
          <w:iCs/>
        </w:rPr>
        <w:t>Recommendation 2: Review ACT funding streams to ensure full cost coverage</w:t>
      </w:r>
    </w:p>
    <w:p w14:paraId="3F9E29AE" w14:textId="18353C83" w:rsidR="008A34AC" w:rsidRDefault="00772DE7" w:rsidP="00035635">
      <w:pPr>
        <w:pStyle w:val="BodyText"/>
      </w:pPr>
      <w:r>
        <w:t>A</w:t>
      </w:r>
      <w:r w:rsidR="00035635" w:rsidRPr="00035635">
        <w:t>djusting the indexation formula will not rectify the gaps which are ‘baked in</w:t>
      </w:r>
      <w:r w:rsidR="00045AB5">
        <w:t>to</w:t>
      </w:r>
      <w:r w:rsidR="00035635" w:rsidRPr="00035635">
        <w:t>’ existing funding levels. Without boosting funding levels, under-resourc</w:t>
      </w:r>
      <w:r w:rsidR="008A34AC">
        <w:t xml:space="preserve">ing will be </w:t>
      </w:r>
      <w:r w:rsidR="00035635" w:rsidRPr="00035635">
        <w:t>perpetuated. Funding and contract duration should be sufficient to</w:t>
      </w:r>
      <w:r w:rsidR="008A34AC">
        <w:t xml:space="preserve"> cover costs of:</w:t>
      </w:r>
    </w:p>
    <w:p w14:paraId="177B0620" w14:textId="711A0308" w:rsidR="008A34AC" w:rsidRDefault="00035635" w:rsidP="008A34AC">
      <w:pPr>
        <w:pStyle w:val="ListBullet"/>
      </w:pPr>
      <w:r w:rsidRPr="00035635">
        <w:t>qualified staff recruited and retained at classification levels suited to job tasks</w:t>
      </w:r>
    </w:p>
    <w:p w14:paraId="4D2C9168" w14:textId="370FDF72" w:rsidR="008A34AC" w:rsidRDefault="00035635" w:rsidP="008A34AC">
      <w:pPr>
        <w:pStyle w:val="ListBullet"/>
      </w:pPr>
      <w:r w:rsidRPr="00035635">
        <w:t>professional development, supervision and other supports</w:t>
      </w:r>
      <w:r w:rsidR="00D20038">
        <w:t xml:space="preserve"> which develop quality and enable </w:t>
      </w:r>
      <w:r w:rsidRPr="00035635">
        <w:t>career progression</w:t>
      </w:r>
    </w:p>
    <w:p w14:paraId="30771D81" w14:textId="58D4090B" w:rsidR="008A34AC" w:rsidRDefault="00035635" w:rsidP="008A34AC">
      <w:pPr>
        <w:pStyle w:val="ListBullet"/>
      </w:pPr>
      <w:r w:rsidRPr="00035635">
        <w:lastRenderedPageBreak/>
        <w:t>reporting; administration; technology; innovation, planning and service improvement; auditing, legal and other necessary business activities</w:t>
      </w:r>
      <w:r w:rsidR="00772DE7">
        <w:t xml:space="preserve"> and </w:t>
      </w:r>
      <w:proofErr w:type="gramStart"/>
      <w:r w:rsidR="00772DE7">
        <w:t>infrastructure</w:t>
      </w:r>
      <w:r w:rsidRPr="00035635">
        <w:t>;</w:t>
      </w:r>
      <w:proofErr w:type="gramEnd"/>
      <w:r w:rsidRPr="00035635">
        <w:t xml:space="preserve"> </w:t>
      </w:r>
    </w:p>
    <w:p w14:paraId="1B441F36" w14:textId="77777777" w:rsidR="008A34AC" w:rsidRDefault="00035635" w:rsidP="008A34AC">
      <w:pPr>
        <w:pStyle w:val="ListBullet"/>
      </w:pPr>
      <w:r w:rsidRPr="00035635">
        <w:t xml:space="preserve">co-design and involving people with lived </w:t>
      </w:r>
      <w:proofErr w:type="gramStart"/>
      <w:r w:rsidRPr="00035635">
        <w:t>experience;</w:t>
      </w:r>
      <w:proofErr w:type="gramEnd"/>
      <w:r w:rsidRPr="00035635">
        <w:t xml:space="preserve"> </w:t>
      </w:r>
    </w:p>
    <w:p w14:paraId="011BC556" w14:textId="1454722F" w:rsidR="008A34AC" w:rsidRDefault="008A34AC" w:rsidP="008A34AC">
      <w:pPr>
        <w:pStyle w:val="ListBullet"/>
      </w:pPr>
      <w:r w:rsidRPr="00035635">
        <w:t>advocacy</w:t>
      </w:r>
      <w:r>
        <w:t>,</w:t>
      </w:r>
      <w:r w:rsidRPr="00035635">
        <w:t xml:space="preserve"> </w:t>
      </w:r>
      <w:proofErr w:type="gramStart"/>
      <w:r w:rsidR="00035635" w:rsidRPr="00035635">
        <w:t>consultation</w:t>
      </w:r>
      <w:proofErr w:type="gramEnd"/>
      <w:r w:rsidR="00035635" w:rsidRPr="00035635">
        <w:t xml:space="preserve"> and policy input; and </w:t>
      </w:r>
    </w:p>
    <w:p w14:paraId="6A5A7986" w14:textId="77777777" w:rsidR="008A34AC" w:rsidRDefault="00035635" w:rsidP="008A34AC">
      <w:pPr>
        <w:pStyle w:val="ListBullet"/>
      </w:pPr>
      <w:r w:rsidRPr="00035635">
        <w:t xml:space="preserve">evaluation. </w:t>
      </w:r>
    </w:p>
    <w:p w14:paraId="232663DE" w14:textId="548AC2A8" w:rsidR="00035635" w:rsidRPr="00035635" w:rsidRDefault="00035635" w:rsidP="00035635">
      <w:pPr>
        <w:pStyle w:val="BodyText"/>
      </w:pPr>
      <w:r w:rsidRPr="00035635">
        <w:t xml:space="preserve">The shift to a commissioning approach </w:t>
      </w:r>
      <w:r w:rsidR="002D42F6">
        <w:t xml:space="preserve">in the ACT </w:t>
      </w:r>
      <w:r w:rsidRPr="00035635">
        <w:t xml:space="preserve">is an important development and the full costs of adjusting to and participating in this new approach should be </w:t>
      </w:r>
      <w:r w:rsidR="00D20038">
        <w:t xml:space="preserve">anticipated and </w:t>
      </w:r>
      <w:r w:rsidRPr="00035635">
        <w:t xml:space="preserve">covered.  </w:t>
      </w:r>
    </w:p>
    <w:p w14:paraId="12D1EF21" w14:textId="77777777" w:rsidR="00035635" w:rsidRPr="00035635" w:rsidRDefault="00035635" w:rsidP="00035635">
      <w:pPr>
        <w:pStyle w:val="ListParagraph"/>
        <w:numPr>
          <w:ilvl w:val="0"/>
          <w:numId w:val="32"/>
        </w:numPr>
        <w:autoSpaceDE/>
        <w:autoSpaceDN/>
        <w:adjustRightInd/>
        <w:spacing w:after="160" w:line="259" w:lineRule="auto"/>
        <w:ind w:right="0"/>
        <w:rPr>
          <w:i/>
          <w:iCs/>
        </w:rPr>
      </w:pPr>
      <w:r w:rsidRPr="00035635">
        <w:rPr>
          <w:i/>
          <w:iCs/>
        </w:rPr>
        <w:t>Recommendation 3: Continue to encourage efficiencies, to reduce cost pressures</w:t>
      </w:r>
    </w:p>
    <w:p w14:paraId="1ACF704D" w14:textId="337488EC" w:rsidR="00035635" w:rsidRPr="00035635" w:rsidRDefault="00035635" w:rsidP="00035635">
      <w:pPr>
        <w:pStyle w:val="BodyText"/>
      </w:pPr>
      <w:r w:rsidRPr="00035635">
        <w:t xml:space="preserve">The sector has faced significant pressure to find efficiencies </w:t>
      </w:r>
      <w:r w:rsidR="00772DE7">
        <w:t>whilst experiencing long-</w:t>
      </w:r>
      <w:r w:rsidR="008A34AC">
        <w:t xml:space="preserve">term </w:t>
      </w:r>
      <w:r w:rsidRPr="00035635">
        <w:t>underfunding</w:t>
      </w:r>
      <w:r w:rsidR="00D20038">
        <w:t xml:space="preserve">. </w:t>
      </w:r>
      <w:r w:rsidR="00351BCA">
        <w:t>Capacity for</w:t>
      </w:r>
      <w:r w:rsidRPr="00035635">
        <w:t xml:space="preserve"> further efficiencies appears limited. Strategies to stretch funds can only go so far; initiatives to address underlying issues </w:t>
      </w:r>
      <w:r w:rsidR="00D572EC">
        <w:t>and early intervention</w:t>
      </w:r>
      <w:r w:rsidR="003452E1">
        <w:t xml:space="preserve"> </w:t>
      </w:r>
      <w:r w:rsidR="00D572EC">
        <w:t xml:space="preserve">would </w:t>
      </w:r>
      <w:r w:rsidRPr="00035635">
        <w:t xml:space="preserve">be more effective. However, where efficiencies are possible, they may help relieve some cost pressures. Examples may include </w:t>
      </w:r>
      <w:r w:rsidR="00E61E7C">
        <w:t xml:space="preserve">collectively negotiating </w:t>
      </w:r>
      <w:r w:rsidRPr="00035635">
        <w:t>discounted rates for services</w:t>
      </w:r>
      <w:r w:rsidR="00E61E7C">
        <w:t xml:space="preserve"> (</w:t>
      </w:r>
      <w:proofErr w:type="gramStart"/>
      <w:r w:rsidR="00E61E7C">
        <w:t>e.g.</w:t>
      </w:r>
      <w:proofErr w:type="gramEnd"/>
      <w:r w:rsidR="00E61E7C">
        <w:t xml:space="preserve"> insurance);</w:t>
      </w:r>
      <w:r w:rsidRPr="00035635">
        <w:t xml:space="preserve"> longer contracts that reduce costs of retendering</w:t>
      </w:r>
      <w:r w:rsidR="00E61E7C">
        <w:t>;</w:t>
      </w:r>
      <w:r w:rsidRPr="00035635">
        <w:t xml:space="preserve"> and removing unnecessary red-tape or reporting requirements. </w:t>
      </w:r>
    </w:p>
    <w:p w14:paraId="2313ED00" w14:textId="77777777" w:rsidR="00035635" w:rsidRPr="00035635" w:rsidRDefault="00035635" w:rsidP="00035635">
      <w:pPr>
        <w:pStyle w:val="ListParagraph"/>
        <w:numPr>
          <w:ilvl w:val="0"/>
          <w:numId w:val="32"/>
        </w:numPr>
        <w:autoSpaceDE/>
        <w:autoSpaceDN/>
        <w:adjustRightInd/>
        <w:spacing w:after="160" w:line="259" w:lineRule="auto"/>
        <w:ind w:right="0"/>
        <w:rPr>
          <w:i/>
          <w:iCs/>
        </w:rPr>
      </w:pPr>
      <w:r w:rsidRPr="00035635">
        <w:rPr>
          <w:i/>
          <w:iCs/>
        </w:rPr>
        <w:t>Recommendation 4: Build sector capacity to accurately cost services</w:t>
      </w:r>
    </w:p>
    <w:p w14:paraId="4E77E739" w14:textId="2404ECDA" w:rsidR="00035635" w:rsidRPr="00035635" w:rsidRDefault="00035635" w:rsidP="00035635">
      <w:pPr>
        <w:pStyle w:val="BodyText"/>
      </w:pPr>
      <w:r w:rsidRPr="00035635">
        <w:t xml:space="preserve">Building capacity to accurately cost services will help ensure </w:t>
      </w:r>
      <w:r w:rsidR="00E61E7C">
        <w:t xml:space="preserve">any </w:t>
      </w:r>
      <w:r w:rsidRPr="00035635">
        <w:t xml:space="preserve">unfunded expenses are identified and accounted for. Smaller organisations </w:t>
      </w:r>
      <w:r w:rsidR="00772DE7">
        <w:t xml:space="preserve">are </w:t>
      </w:r>
      <w:r w:rsidRPr="00035635">
        <w:t xml:space="preserve">particularly likely to benefit from access to expertise to support accurate costings, and from sharing skills, </w:t>
      </w:r>
      <w:proofErr w:type="gramStart"/>
      <w:r w:rsidRPr="00035635">
        <w:t>processes</w:t>
      </w:r>
      <w:proofErr w:type="gramEnd"/>
      <w:r w:rsidRPr="00035635">
        <w:t xml:space="preserve"> and systems for costing services. </w:t>
      </w:r>
      <w:r w:rsidR="00E61E7C">
        <w:t>Importantly, o</w:t>
      </w:r>
      <w:r w:rsidRPr="00035635">
        <w:t>rganisations need to signal the true costs of service delivery</w:t>
      </w:r>
      <w:r w:rsidR="00E61E7C">
        <w:t xml:space="preserve"> to government</w:t>
      </w:r>
      <w:r w:rsidRPr="00035635">
        <w:t>, including their overhead costs, and ensure these are reflected in funding applications.</w:t>
      </w:r>
    </w:p>
    <w:p w14:paraId="1D11D5A2" w14:textId="77777777" w:rsidR="00035635" w:rsidRPr="00B2520C" w:rsidRDefault="00035635" w:rsidP="00035635">
      <w:pPr>
        <w:rPr>
          <w:b/>
          <w:bCs/>
        </w:rPr>
      </w:pPr>
      <w:r w:rsidRPr="00B2520C">
        <w:rPr>
          <w:b/>
          <w:bCs/>
        </w:rPr>
        <w:t>Adjustments are needed to respond to rising demand</w:t>
      </w:r>
    </w:p>
    <w:p w14:paraId="503D625F" w14:textId="6C49E967" w:rsidR="00035635" w:rsidRPr="00035635" w:rsidRDefault="00035635" w:rsidP="00035635">
      <w:pPr>
        <w:pStyle w:val="ListParagraph"/>
        <w:numPr>
          <w:ilvl w:val="0"/>
          <w:numId w:val="32"/>
        </w:numPr>
        <w:autoSpaceDE/>
        <w:autoSpaceDN/>
        <w:adjustRightInd/>
        <w:spacing w:after="160" w:line="259" w:lineRule="auto"/>
        <w:ind w:right="0"/>
        <w:rPr>
          <w:i/>
          <w:iCs/>
        </w:rPr>
      </w:pPr>
      <w:r w:rsidRPr="00035635">
        <w:rPr>
          <w:i/>
          <w:iCs/>
        </w:rPr>
        <w:t xml:space="preserve">Recommendation 5: Boost funding for </w:t>
      </w:r>
      <w:r w:rsidR="007B6F4C">
        <w:rPr>
          <w:i/>
          <w:iCs/>
        </w:rPr>
        <w:t>areas of unmet need</w:t>
      </w:r>
    </w:p>
    <w:p w14:paraId="5DF3AB08" w14:textId="0BD0A678" w:rsidR="00035635" w:rsidRPr="00035635" w:rsidRDefault="00035635" w:rsidP="00035635">
      <w:pPr>
        <w:pStyle w:val="BodyText"/>
      </w:pPr>
      <w:r w:rsidRPr="00035635">
        <w:t>Improving indexation, cost coverage, and costing capacity will have gradual impacts, but these do not address increased demand</w:t>
      </w:r>
      <w:r w:rsidR="00E61E7C">
        <w:t xml:space="preserve"> and increased complexity of service user cohorts</w:t>
      </w:r>
      <w:r w:rsidRPr="00035635">
        <w:t xml:space="preserve">.  Funding boosts </w:t>
      </w:r>
      <w:r w:rsidR="00E61E7C">
        <w:t xml:space="preserve">are needed to </w:t>
      </w:r>
      <w:r w:rsidRPr="00035635">
        <w:t>continue to</w:t>
      </w:r>
      <w:r w:rsidR="00E61E7C">
        <w:t>:</w:t>
      </w:r>
      <w:r w:rsidRPr="00035635">
        <w:t xml:space="preserve"> </w:t>
      </w:r>
      <w:r w:rsidR="00E61E7C">
        <w:t xml:space="preserve">increase </w:t>
      </w:r>
      <w:r w:rsidRPr="00035635">
        <w:t>the scale of provision and address unmet need; restore intervention fidelity (</w:t>
      </w:r>
      <w:proofErr w:type="gramStart"/>
      <w:r w:rsidRPr="00035635">
        <w:t>e.g.</w:t>
      </w:r>
      <w:proofErr w:type="gramEnd"/>
      <w:r w:rsidRPr="00035635">
        <w:t xml:space="preserve"> where programs have been </w:t>
      </w:r>
      <w:r w:rsidR="00523A8B">
        <w:t>downscaled or delivered with reduced ‘dosage’ or</w:t>
      </w:r>
      <w:r w:rsidR="00703710">
        <w:t xml:space="preserve"> fewer</w:t>
      </w:r>
      <w:r w:rsidR="00523A8B">
        <w:t xml:space="preserve"> </w:t>
      </w:r>
      <w:r w:rsidR="00F35094">
        <w:t xml:space="preserve">staff </w:t>
      </w:r>
      <w:r w:rsidRPr="00035635">
        <w:t>due to funding issues); and reduce waiting lists. Funding boosts could be directed to priority sub-sectors, or to specific organisations facing demand pressures. These should be based on close monitoring of changes in the community</w:t>
      </w:r>
      <w:r w:rsidR="00E61E7C">
        <w:t>,</w:t>
      </w:r>
      <w:r w:rsidRPr="00035635">
        <w:t xml:space="preserve"> and evidence of unmet need. </w:t>
      </w:r>
    </w:p>
    <w:p w14:paraId="67F5278C" w14:textId="77777777" w:rsidR="00035635" w:rsidRPr="00035635" w:rsidRDefault="00035635" w:rsidP="00035635">
      <w:pPr>
        <w:pStyle w:val="ListParagraph"/>
        <w:numPr>
          <w:ilvl w:val="0"/>
          <w:numId w:val="32"/>
        </w:numPr>
        <w:autoSpaceDE/>
        <w:autoSpaceDN/>
        <w:adjustRightInd/>
        <w:spacing w:after="160" w:line="259" w:lineRule="auto"/>
        <w:ind w:right="0"/>
        <w:rPr>
          <w:i/>
          <w:iCs/>
        </w:rPr>
      </w:pPr>
      <w:r w:rsidRPr="00035635">
        <w:rPr>
          <w:i/>
          <w:iCs/>
        </w:rPr>
        <w:t>Recommendation 6: Prioritise early intervention and prevention</w:t>
      </w:r>
    </w:p>
    <w:p w14:paraId="42FB174D" w14:textId="08406960" w:rsidR="00035635" w:rsidRPr="00035635" w:rsidRDefault="00035635" w:rsidP="00035635">
      <w:pPr>
        <w:pStyle w:val="BodyText"/>
      </w:pPr>
      <w:r w:rsidRPr="00035635">
        <w:t>The ACT should continue to prioritise early intervention and preventative models, recognising that respond</w:t>
      </w:r>
      <w:r w:rsidR="00E61E7C">
        <w:t>ing</w:t>
      </w:r>
      <w:r w:rsidRPr="00035635">
        <w:t xml:space="preserve"> to risks early reduces subsequent resource requirements and pressures.</w:t>
      </w:r>
    </w:p>
    <w:p w14:paraId="31DFC2FA" w14:textId="77777777" w:rsidR="00035635" w:rsidRPr="006B1988" w:rsidRDefault="00035635" w:rsidP="00035635">
      <w:pPr>
        <w:rPr>
          <w:b/>
          <w:bCs/>
        </w:rPr>
      </w:pPr>
      <w:r w:rsidRPr="006B1988">
        <w:rPr>
          <w:b/>
          <w:bCs/>
        </w:rPr>
        <w:t>Conclusion</w:t>
      </w:r>
    </w:p>
    <w:p w14:paraId="7047C1F7" w14:textId="4C5BB60D" w:rsidR="00035635" w:rsidRPr="00035635" w:rsidRDefault="00035635" w:rsidP="00035635">
      <w:pPr>
        <w:pStyle w:val="BodyText"/>
      </w:pPr>
      <w:r w:rsidRPr="00035635">
        <w:t xml:space="preserve">The report attests to the commitment of the ACT Government and the community sector to work in fair partnerships to ensure clients and communities receive good quality services. However, too often, funds </w:t>
      </w:r>
      <w:r w:rsidR="00E61E7C">
        <w:t xml:space="preserve">have </w:t>
      </w:r>
      <w:r w:rsidRPr="00035635">
        <w:t>not fully cover</w:t>
      </w:r>
      <w:r w:rsidR="00E61E7C">
        <w:t>ed</w:t>
      </w:r>
      <w:r w:rsidRPr="00035635">
        <w:t xml:space="preserve"> all that is </w:t>
      </w:r>
      <w:r w:rsidR="00703710">
        <w:t>required</w:t>
      </w:r>
      <w:r w:rsidRPr="00035635">
        <w:t xml:space="preserve"> to meet needs. Financial pressures have accumulated, and organisations now juggle too many competing needs</w:t>
      </w:r>
      <w:r w:rsidR="00E61E7C">
        <w:t>,</w:t>
      </w:r>
      <w:r w:rsidRPr="00035635">
        <w:t xml:space="preserve"> and make too many compromises. </w:t>
      </w:r>
    </w:p>
    <w:p w14:paraId="0BE91612" w14:textId="77777777" w:rsidR="00035635" w:rsidRPr="00035635" w:rsidRDefault="00035635" w:rsidP="00035635">
      <w:pPr>
        <w:pStyle w:val="BodyText"/>
      </w:pPr>
      <w:r w:rsidRPr="00035635">
        <w:lastRenderedPageBreak/>
        <w:t xml:space="preserve">These challenges have impacted on how organisations do their work, and for some, their willingness to partner with the ACT Government. </w:t>
      </w:r>
    </w:p>
    <w:p w14:paraId="79B4A665" w14:textId="28C67BE6" w:rsidR="00467AD1" w:rsidRPr="00467AD1" w:rsidRDefault="00AC73EC" w:rsidP="00F25301">
      <w:pPr>
        <w:pStyle w:val="BodyText"/>
      </w:pPr>
      <w:r>
        <w:t>R</w:t>
      </w:r>
      <w:r w:rsidR="00E61E7C">
        <w:t>es</w:t>
      </w:r>
      <w:r w:rsidR="00F35094">
        <w:t xml:space="preserve">ponding to the factors </w:t>
      </w:r>
      <w:r w:rsidR="00703710">
        <w:t>placing</w:t>
      </w:r>
      <w:r>
        <w:t xml:space="preserve"> Canberra’s service system under strain is an urgent priority</w:t>
      </w:r>
      <w:r w:rsidR="00035635" w:rsidRPr="00035635">
        <w:t xml:space="preserve">. The sector has </w:t>
      </w:r>
      <w:r w:rsidR="00D572EC">
        <w:t xml:space="preserve">displayed commitment and creativity in supporting the Canberran community, and </w:t>
      </w:r>
      <w:r w:rsidR="00035635" w:rsidRPr="00035635">
        <w:t>a desire to co-operate and work with government to ensure that services can be delivered efficiently</w:t>
      </w:r>
      <w:r w:rsidR="007F71E6">
        <w:t>,</w:t>
      </w:r>
      <w:r w:rsidR="00035635" w:rsidRPr="00035635">
        <w:t xml:space="preserve"> </w:t>
      </w:r>
      <w:proofErr w:type="gramStart"/>
      <w:r w:rsidR="00035635" w:rsidRPr="00035635">
        <w:t>effectively</w:t>
      </w:r>
      <w:proofErr w:type="gramEnd"/>
      <w:r w:rsidR="007F71E6">
        <w:t xml:space="preserve"> and fairly</w:t>
      </w:r>
      <w:r w:rsidR="00035635" w:rsidRPr="00035635">
        <w:t xml:space="preserve">. </w:t>
      </w:r>
      <w:r w:rsidR="00C45AF8">
        <w:t>By partnering with the ISSG to fund this report and committing to commissioning and procurement reform, t</w:t>
      </w:r>
      <w:r w:rsidR="00C45AF8" w:rsidRPr="00035635">
        <w:t xml:space="preserve">he </w:t>
      </w:r>
      <w:r w:rsidR="00035635" w:rsidRPr="00035635">
        <w:t xml:space="preserve">ACT Government has demonstrated impressive initiative to </w:t>
      </w:r>
      <w:r w:rsidR="006A0462">
        <w:t xml:space="preserve">understand and </w:t>
      </w:r>
      <w:r w:rsidR="00035635" w:rsidRPr="00035635">
        <w:t>address these issues, recognising that decent funding arrangements and appropriate indexation are essential for addressing need in the ACT.</w:t>
      </w:r>
    </w:p>
    <w:p w14:paraId="75527893" w14:textId="08EFEC9A" w:rsidR="00F25301" w:rsidRDefault="00B316BA" w:rsidP="00FE01CA">
      <w:pPr>
        <w:pStyle w:val="Heading1"/>
        <w:numPr>
          <w:ilvl w:val="0"/>
          <w:numId w:val="22"/>
        </w:numPr>
        <w:ind w:left="425" w:hanging="425"/>
      </w:pPr>
      <w:bookmarkStart w:id="11" w:name="_Toc90019543"/>
      <w:r>
        <w:lastRenderedPageBreak/>
        <w:t>Introduction</w:t>
      </w:r>
      <w:bookmarkEnd w:id="11"/>
    </w:p>
    <w:p w14:paraId="72963803" w14:textId="5E59EE6B" w:rsidR="00925170" w:rsidRDefault="00EA72CB" w:rsidP="00106ADC">
      <w:pPr>
        <w:pStyle w:val="BodyText"/>
      </w:pPr>
      <w:r>
        <w:t xml:space="preserve">The </w:t>
      </w:r>
      <w:r w:rsidR="000F14C2">
        <w:t xml:space="preserve">community services sector in the </w:t>
      </w:r>
      <w:r>
        <w:t xml:space="preserve">Australian Capital Territory (ACT) </w:t>
      </w:r>
      <w:r w:rsidR="000F14C2">
        <w:t>works in</w:t>
      </w:r>
      <w:r w:rsidR="00F94579">
        <w:t xml:space="preserve"> </w:t>
      </w:r>
      <w:r w:rsidR="000F14C2">
        <w:t>partnership with</w:t>
      </w:r>
      <w:r w:rsidR="00F5078A">
        <w:t xml:space="preserve"> government and </w:t>
      </w:r>
      <w:r w:rsidR="000F14C2">
        <w:t>community members</w:t>
      </w:r>
      <w:r w:rsidR="00744117">
        <w:t xml:space="preserve"> </w:t>
      </w:r>
      <w:r w:rsidR="000F14C2">
        <w:t>to</w:t>
      </w:r>
      <w:r w:rsidR="00744117">
        <w:t xml:space="preserve"> </w:t>
      </w:r>
      <w:r w:rsidR="00C45AF8">
        <w:t xml:space="preserve">improve </w:t>
      </w:r>
      <w:r w:rsidR="007F581D">
        <w:t>health and social outcomes</w:t>
      </w:r>
      <w:r w:rsidR="00BE0778">
        <w:t xml:space="preserve">, and to </w:t>
      </w:r>
      <w:r w:rsidR="00744117">
        <w:t>advocat</w:t>
      </w:r>
      <w:r w:rsidR="00BE0778">
        <w:t>e</w:t>
      </w:r>
      <w:r w:rsidR="00744117">
        <w:t xml:space="preserve"> for</w:t>
      </w:r>
      <w:r w:rsidR="00145D39">
        <w:t>,</w:t>
      </w:r>
      <w:r w:rsidR="00744117">
        <w:t xml:space="preserve"> </w:t>
      </w:r>
      <w:r w:rsidR="001A01F1">
        <w:t>and meet the needs of</w:t>
      </w:r>
      <w:r w:rsidR="00145D39">
        <w:t>,</w:t>
      </w:r>
      <w:r w:rsidR="001A01F1">
        <w:t xml:space="preserve"> </w:t>
      </w:r>
      <w:r w:rsidR="00744117">
        <w:t>people experiencing disadvantage</w:t>
      </w:r>
      <w:r w:rsidR="001A01F1">
        <w:t xml:space="preserve">. </w:t>
      </w:r>
      <w:r w:rsidR="00D40DD7">
        <w:t xml:space="preserve">The main ACT Government agencies which </w:t>
      </w:r>
      <w:r w:rsidR="00D20BB2">
        <w:t xml:space="preserve">support </w:t>
      </w:r>
      <w:r w:rsidR="00D40DD7">
        <w:t>the sector, the Community Services Directorate (CSD) and ACT Health Directorate (ACTHD)</w:t>
      </w:r>
      <w:r w:rsidR="00D20BB2">
        <w:t>,</w:t>
      </w:r>
      <w:r w:rsidR="00D40DD7">
        <w:t xml:space="preserve"> together </w:t>
      </w:r>
      <w:r w:rsidR="00432245">
        <w:t xml:space="preserve">fund </w:t>
      </w:r>
      <w:r w:rsidR="00D40DD7">
        <w:t>over 250 services, delivered by over 100 organisations</w:t>
      </w:r>
      <w:r w:rsidR="009005F6">
        <w:t xml:space="preserve">, </w:t>
      </w:r>
      <w:r w:rsidR="000F7A17">
        <w:t>while</w:t>
      </w:r>
      <w:r w:rsidR="009005F6">
        <w:t xml:space="preserve"> other Directorates also </w:t>
      </w:r>
      <w:r w:rsidR="00F5078A">
        <w:t xml:space="preserve">partner with community organisations and provide practical and financial </w:t>
      </w:r>
      <w:r w:rsidR="009005F6">
        <w:t>support</w:t>
      </w:r>
      <w:r w:rsidR="00D40DD7">
        <w:t>.</w:t>
      </w:r>
      <w:r w:rsidR="00D40DD7">
        <w:rPr>
          <w:rStyle w:val="FootnoteReference"/>
        </w:rPr>
        <w:footnoteReference w:id="2"/>
      </w:r>
      <w:r w:rsidR="00D40DD7">
        <w:t xml:space="preserve"> </w:t>
      </w:r>
      <w:r w:rsidR="00925170">
        <w:t>The</w:t>
      </w:r>
      <w:r w:rsidR="009005F6">
        <w:t xml:space="preserve"> community sector</w:t>
      </w:r>
      <w:r w:rsidR="00925170">
        <w:t xml:space="preserve"> organisations </w:t>
      </w:r>
      <w:r w:rsidR="00B56B31">
        <w:t xml:space="preserve">engaged in the ACT are </w:t>
      </w:r>
      <w:r w:rsidR="00432245">
        <w:t xml:space="preserve">highly </w:t>
      </w:r>
      <w:r w:rsidR="00925170">
        <w:t>valued by government for delivering</w:t>
      </w:r>
      <w:r w:rsidR="00F5078A">
        <w:t xml:space="preserve"> core</w:t>
      </w:r>
      <w:r w:rsidR="00925170">
        <w:t xml:space="preserve"> government services</w:t>
      </w:r>
      <w:r w:rsidR="00925170">
        <w:rPr>
          <w:rStyle w:val="FootnoteReference"/>
        </w:rPr>
        <w:footnoteReference w:id="3"/>
      </w:r>
      <w:r w:rsidR="00005085">
        <w:t>, and for the social</w:t>
      </w:r>
      <w:r w:rsidR="00352189">
        <w:t xml:space="preserve"> and</w:t>
      </w:r>
      <w:r w:rsidR="00005085">
        <w:t xml:space="preserve"> economic contributions</w:t>
      </w:r>
      <w:r w:rsidR="00432245">
        <w:t xml:space="preserve"> they make</w:t>
      </w:r>
      <w:r w:rsidR="00005085">
        <w:t>.</w:t>
      </w:r>
      <w:r w:rsidR="00005085">
        <w:rPr>
          <w:rStyle w:val="FootnoteReference"/>
        </w:rPr>
        <w:footnoteReference w:id="4"/>
      </w:r>
      <w:r w:rsidR="00005085">
        <w:t xml:space="preserve"> </w:t>
      </w:r>
    </w:p>
    <w:p w14:paraId="195AF8AA" w14:textId="253E4CAE" w:rsidR="002E4E58" w:rsidRDefault="009005F6" w:rsidP="00F5078A">
      <w:pPr>
        <w:pStyle w:val="BodyText"/>
      </w:pPr>
      <w:r>
        <w:t>In early 2021, t</w:t>
      </w:r>
      <w:r w:rsidR="00425CCD">
        <w:t>he ACT’s Community Services Industry Strategy Steering Group (ISSG), a sub</w:t>
      </w:r>
      <w:r w:rsidR="00E86C63">
        <w:noBreakHyphen/>
      </w:r>
      <w:r w:rsidR="00425CCD">
        <w:t xml:space="preserve">group of the Joint Community Government Reference Group (JCGRG), engaged the Social Policy Research Centre at UNSW Sydney to conduct research to help understand the true costs involved in delivering community services in the ACT, and to build evidence to ensure funding levels and arrangements are sufficient to fully respond to community needs. </w:t>
      </w:r>
      <w:r w:rsidR="002E4E58">
        <w:t xml:space="preserve">The ACT Government and community services sector </w:t>
      </w:r>
      <w:r w:rsidR="00D51D9B">
        <w:t xml:space="preserve">have </w:t>
      </w:r>
      <w:r w:rsidR="002E4E58">
        <w:t>unique opportunities to address the issues</w:t>
      </w:r>
      <w:r w:rsidR="00D51D9B">
        <w:t xml:space="preserve"> raised</w:t>
      </w:r>
      <w:r w:rsidR="002E4E58">
        <w:t xml:space="preserve">, </w:t>
      </w:r>
      <w:r w:rsidR="00D51D9B">
        <w:t>including</w:t>
      </w:r>
      <w:r w:rsidR="002E4E58">
        <w:t xml:space="preserve"> </w:t>
      </w:r>
      <w:r w:rsidR="00B56B31">
        <w:t xml:space="preserve">by addressing </w:t>
      </w:r>
      <w:r w:rsidR="00D51D9B">
        <w:t xml:space="preserve">additional funding needs, </w:t>
      </w:r>
      <w:r w:rsidR="002E4E58">
        <w:t>review</w:t>
      </w:r>
      <w:r w:rsidR="00B56B31">
        <w:t>ing</w:t>
      </w:r>
      <w:r w:rsidR="002E4E58">
        <w:t xml:space="preserve"> the Community Sector Funding Rate</w:t>
      </w:r>
      <w:r w:rsidR="00BC0F16">
        <w:t xml:space="preserve">, and </w:t>
      </w:r>
      <w:r w:rsidR="00D51D9B">
        <w:t xml:space="preserve">through </w:t>
      </w:r>
      <w:r w:rsidR="00B56B31">
        <w:t xml:space="preserve">a longer-term program of </w:t>
      </w:r>
      <w:r w:rsidR="00BC0F16">
        <w:t xml:space="preserve">progressive reform centred on collaborative commissioning and </w:t>
      </w:r>
      <w:r w:rsidR="00B56B31">
        <w:t xml:space="preserve">monitoring </w:t>
      </w:r>
      <w:r w:rsidR="00BC0F16">
        <w:t>wellbeing</w:t>
      </w:r>
      <w:r w:rsidR="00BC0F16">
        <w:rPr>
          <w:rStyle w:val="FootnoteReference"/>
        </w:rPr>
        <w:footnoteReference w:id="5"/>
      </w:r>
      <w:r w:rsidR="002E4E58">
        <w:t>.</w:t>
      </w:r>
    </w:p>
    <w:p w14:paraId="21368C9C" w14:textId="1C1DF614" w:rsidR="00B316BA" w:rsidRDefault="00663659" w:rsidP="00F5078A">
      <w:pPr>
        <w:pStyle w:val="BodyText"/>
      </w:pPr>
      <w:r>
        <w:t xml:space="preserve">Inevitably, assessing </w:t>
      </w:r>
      <w:r w:rsidR="00811710">
        <w:t xml:space="preserve">the </w:t>
      </w:r>
      <w:r w:rsidR="00F5078A">
        <w:t xml:space="preserve">adequacy </w:t>
      </w:r>
      <w:r w:rsidR="00811710">
        <w:t xml:space="preserve">of funding </w:t>
      </w:r>
      <w:r>
        <w:t xml:space="preserve">involves </w:t>
      </w:r>
      <w:r w:rsidR="00F5078A">
        <w:t>political judgment</w:t>
      </w:r>
      <w:r w:rsidR="006618EA">
        <w:t>s</w:t>
      </w:r>
      <w:r w:rsidR="00F5078A">
        <w:t xml:space="preserve">, about </w:t>
      </w:r>
      <w:r w:rsidR="009005F6">
        <w:t>appropriate standard</w:t>
      </w:r>
      <w:r w:rsidR="00F5078A">
        <w:t>s</w:t>
      </w:r>
      <w:r w:rsidR="009005F6">
        <w:t xml:space="preserve"> </w:t>
      </w:r>
      <w:r w:rsidR="009005F6" w:rsidRPr="0072513F">
        <w:t>of support</w:t>
      </w:r>
      <w:r w:rsidR="00F5078A" w:rsidRPr="0072513F">
        <w:t xml:space="preserve"> </w:t>
      </w:r>
      <w:r w:rsidR="009005F6" w:rsidRPr="0072513F">
        <w:t xml:space="preserve">and levels of unmet need </w:t>
      </w:r>
      <w:r w:rsidR="00811710" w:rsidRPr="0072513F">
        <w:t xml:space="preserve">that government, and the </w:t>
      </w:r>
      <w:r w:rsidR="006618EA" w:rsidRPr="0072513F">
        <w:t>community</w:t>
      </w:r>
      <w:r w:rsidR="00811710" w:rsidRPr="0072513F">
        <w:t>,</w:t>
      </w:r>
      <w:r w:rsidR="009005F6" w:rsidRPr="0072513F">
        <w:t xml:space="preserve"> will </w:t>
      </w:r>
      <w:r w:rsidR="006618EA" w:rsidRPr="0072513F">
        <w:t>accept</w:t>
      </w:r>
      <w:r w:rsidR="009005F6" w:rsidRPr="0072513F">
        <w:t xml:space="preserve">. </w:t>
      </w:r>
      <w:r w:rsidR="002E4E58" w:rsidRPr="0072513F">
        <w:t xml:space="preserve">These </w:t>
      </w:r>
      <w:r w:rsidR="00762C24" w:rsidRPr="0072513F">
        <w:t>judgments</w:t>
      </w:r>
      <w:r w:rsidR="002E4E58" w:rsidRPr="0072513F">
        <w:t xml:space="preserve"> </w:t>
      </w:r>
      <w:r w:rsidRPr="0072513F">
        <w:t xml:space="preserve">are </w:t>
      </w:r>
      <w:r w:rsidR="00811710" w:rsidRPr="0072513F">
        <w:t xml:space="preserve">best </w:t>
      </w:r>
      <w:r w:rsidR="006618EA" w:rsidRPr="0072513F">
        <w:t xml:space="preserve">informed by </w:t>
      </w:r>
      <w:r w:rsidR="00FB4253" w:rsidRPr="0072513F">
        <w:t>analysis of</w:t>
      </w:r>
      <w:r w:rsidR="00F5078A" w:rsidRPr="0072513F">
        <w:t xml:space="preserve"> </w:t>
      </w:r>
      <w:r w:rsidR="00811710" w:rsidRPr="0072513F">
        <w:t xml:space="preserve">changes in levels of </w:t>
      </w:r>
      <w:r w:rsidR="004738B9" w:rsidRPr="0072513F">
        <w:t>demand and expectations of services;</w:t>
      </w:r>
      <w:r w:rsidR="00F5078A" w:rsidRPr="0072513F">
        <w:t xml:space="preserve"> </w:t>
      </w:r>
      <w:r w:rsidR="00811710" w:rsidRPr="0072513F">
        <w:t>how well organisations can cover</w:t>
      </w:r>
      <w:r w:rsidR="00FB4253" w:rsidRPr="0072513F">
        <w:t xml:space="preserve"> essential</w:t>
      </w:r>
      <w:r w:rsidR="00811710" w:rsidRPr="0072513F">
        <w:t xml:space="preserve"> costs in the current operating environment</w:t>
      </w:r>
      <w:r w:rsidRPr="0072513F">
        <w:t>;</w:t>
      </w:r>
      <w:r w:rsidR="00F5078A" w:rsidRPr="0072513F">
        <w:t xml:space="preserve"> and the impacts </w:t>
      </w:r>
      <w:r w:rsidR="006618EA" w:rsidRPr="0072513F">
        <w:t xml:space="preserve">felt by communities and organisations </w:t>
      </w:r>
      <w:r w:rsidR="00F5078A" w:rsidRPr="0072513F">
        <w:t>where funding arrangements f</w:t>
      </w:r>
      <w:r w:rsidR="00B316BA" w:rsidRPr="0072513F">
        <w:t>ail to meet the full co</w:t>
      </w:r>
      <w:r w:rsidR="00B316BA">
        <w:t xml:space="preserve">sts of service delivery. </w:t>
      </w:r>
      <w:r w:rsidR="00811710">
        <w:t xml:space="preserve">Indeed, </w:t>
      </w:r>
      <w:r w:rsidR="002E4E58">
        <w:t xml:space="preserve">evidence presented in this report suggests that, </w:t>
      </w:r>
      <w:r w:rsidR="00811710">
        <w:t>w</w:t>
      </w:r>
      <w:r w:rsidR="00F5078A">
        <w:t xml:space="preserve">here </w:t>
      </w:r>
      <w:r>
        <w:t xml:space="preserve">funding does not </w:t>
      </w:r>
      <w:r w:rsidR="00F5078A">
        <w:t xml:space="preserve">recognise true costs, </w:t>
      </w:r>
      <w:r w:rsidR="006618EA">
        <w:t xml:space="preserve">there are </w:t>
      </w:r>
      <w:r w:rsidR="00F5078A">
        <w:t xml:space="preserve">risks </w:t>
      </w:r>
      <w:r w:rsidR="006618EA">
        <w:t>for</w:t>
      </w:r>
      <w:r w:rsidR="00B316BA">
        <w:t>:</w:t>
      </w:r>
    </w:p>
    <w:p w14:paraId="44BCF552" w14:textId="597539B1" w:rsidR="00B316BA" w:rsidRDefault="00B316BA" w:rsidP="00905774">
      <w:pPr>
        <w:pStyle w:val="BodyText"/>
        <w:numPr>
          <w:ilvl w:val="0"/>
          <w:numId w:val="11"/>
        </w:numPr>
      </w:pPr>
      <w:r>
        <w:rPr>
          <w:i/>
          <w:iCs/>
        </w:rPr>
        <w:t>service users and communities</w:t>
      </w:r>
      <w:r>
        <w:t xml:space="preserve">: </w:t>
      </w:r>
      <w:r w:rsidR="006618EA">
        <w:t xml:space="preserve">such as </w:t>
      </w:r>
      <w:r>
        <w:t>unmet need, unstable service provision, suboptimal standards of quality and safety</w:t>
      </w:r>
      <w:r w:rsidR="00C8778B">
        <w:t xml:space="preserve">, and reduced </w:t>
      </w:r>
      <w:proofErr w:type="gramStart"/>
      <w:r w:rsidR="00C8778B">
        <w:t>wellbeing</w:t>
      </w:r>
      <w:r>
        <w:t>;</w:t>
      </w:r>
      <w:proofErr w:type="gramEnd"/>
    </w:p>
    <w:p w14:paraId="201C218F" w14:textId="1759D8A9" w:rsidR="00B316BA" w:rsidRDefault="00B316BA" w:rsidP="00905774">
      <w:pPr>
        <w:pStyle w:val="BodyText"/>
        <w:numPr>
          <w:ilvl w:val="0"/>
          <w:numId w:val="11"/>
        </w:numPr>
      </w:pPr>
      <w:r>
        <w:rPr>
          <w:i/>
          <w:iCs/>
        </w:rPr>
        <w:t>community service workers</w:t>
      </w:r>
      <w:r>
        <w:t xml:space="preserve">: who </w:t>
      </w:r>
      <w:r w:rsidR="006618EA">
        <w:t xml:space="preserve">may </w:t>
      </w:r>
      <w:r>
        <w:t xml:space="preserve">face truncated career paths, poor job security, inadequate pay, </w:t>
      </w:r>
      <w:r w:rsidR="006015CD">
        <w:t xml:space="preserve">unsafe work practices, </w:t>
      </w:r>
      <w:r>
        <w:t xml:space="preserve">and limited access to professional </w:t>
      </w:r>
      <w:proofErr w:type="gramStart"/>
      <w:r>
        <w:t>development;</w:t>
      </w:r>
      <w:proofErr w:type="gramEnd"/>
    </w:p>
    <w:p w14:paraId="72402B76" w14:textId="67EA9DC0" w:rsidR="00B316BA" w:rsidRDefault="00B316BA" w:rsidP="00905774">
      <w:pPr>
        <w:pStyle w:val="BodyText"/>
        <w:numPr>
          <w:ilvl w:val="0"/>
          <w:numId w:val="11"/>
        </w:numPr>
      </w:pPr>
      <w:r>
        <w:rPr>
          <w:i/>
          <w:iCs/>
        </w:rPr>
        <w:lastRenderedPageBreak/>
        <w:t>community sector organisations</w:t>
      </w:r>
      <w:r>
        <w:t>: who incur financial losses</w:t>
      </w:r>
      <w:r w:rsidR="00DE1C29">
        <w:t xml:space="preserve"> or stresses</w:t>
      </w:r>
      <w:r>
        <w:t xml:space="preserve">, operate with low financial reserves, </w:t>
      </w:r>
      <w:r w:rsidR="00C5381C">
        <w:t>find it difficult to meet industrial obligations</w:t>
      </w:r>
      <w:r w:rsidR="00C8778B">
        <w:t xml:space="preserve"> and recruit skilled, qualified staff</w:t>
      </w:r>
      <w:r w:rsidR="00C5381C">
        <w:t xml:space="preserve">, </w:t>
      </w:r>
      <w:r>
        <w:t>and need to find ways to cross-subsidise underfunded services; and</w:t>
      </w:r>
    </w:p>
    <w:p w14:paraId="6ADF2C21" w14:textId="4B0BCBFD" w:rsidR="00B316BA" w:rsidRPr="00B316BA" w:rsidRDefault="00B316BA" w:rsidP="00905774">
      <w:pPr>
        <w:pStyle w:val="BodyText"/>
        <w:numPr>
          <w:ilvl w:val="0"/>
          <w:numId w:val="11"/>
        </w:numPr>
        <w:tabs>
          <w:tab w:val="left" w:pos="1701"/>
        </w:tabs>
      </w:pPr>
      <w:r>
        <w:rPr>
          <w:i/>
          <w:iCs/>
        </w:rPr>
        <w:t>government agencies</w:t>
      </w:r>
      <w:r>
        <w:t xml:space="preserve">: </w:t>
      </w:r>
      <w:r w:rsidR="004F4DA4">
        <w:t xml:space="preserve">who are impacted </w:t>
      </w:r>
      <w:r>
        <w:t xml:space="preserve">through </w:t>
      </w:r>
      <w:r w:rsidR="004F4DA4">
        <w:t xml:space="preserve">suboptimal service delivery, </w:t>
      </w:r>
      <w:r>
        <w:t>strained partnerships</w:t>
      </w:r>
      <w:r w:rsidR="006618EA">
        <w:t>, reduced</w:t>
      </w:r>
      <w:r w:rsidR="006015CD">
        <w:t xml:space="preserve"> access to sector expertise</w:t>
      </w:r>
      <w:r>
        <w:t xml:space="preserve">, weak public confidence, </w:t>
      </w:r>
      <w:r w:rsidR="002C1E3A">
        <w:t xml:space="preserve">and </w:t>
      </w:r>
      <w:r w:rsidR="0011400A">
        <w:t>increased pressure on more expensive tertiary systems (</w:t>
      </w:r>
      <w:proofErr w:type="gramStart"/>
      <w:r w:rsidR="0011400A">
        <w:t>e.g.</w:t>
      </w:r>
      <w:proofErr w:type="gramEnd"/>
      <w:r w:rsidR="0011400A">
        <w:t xml:space="preserve"> hospitals, child protection) </w:t>
      </w:r>
      <w:r>
        <w:t>when preventative efforts fail</w:t>
      </w:r>
      <w:r w:rsidR="002C1E3A">
        <w:t>.</w:t>
      </w:r>
    </w:p>
    <w:p w14:paraId="43DE1EFD" w14:textId="7F32539D" w:rsidR="007F573E" w:rsidRDefault="002B33C9" w:rsidP="005C3B5F">
      <w:pPr>
        <w:pStyle w:val="BodyText"/>
      </w:pPr>
      <w:r>
        <w:t xml:space="preserve">This </w:t>
      </w:r>
      <w:r w:rsidR="006618EA">
        <w:t xml:space="preserve">report aims to </w:t>
      </w:r>
      <w:r w:rsidR="004F3D2D">
        <w:t xml:space="preserve">provide evidence on </w:t>
      </w:r>
      <w:r w:rsidR="000819C3">
        <w:t xml:space="preserve">strategies </w:t>
      </w:r>
      <w:r w:rsidR="004F3D2D">
        <w:t xml:space="preserve">to </w:t>
      </w:r>
      <w:r>
        <w:t xml:space="preserve">avert </w:t>
      </w:r>
      <w:r w:rsidR="00467AD1">
        <w:t xml:space="preserve">and address </w:t>
      </w:r>
      <w:r>
        <w:t xml:space="preserve">these risks, and to </w:t>
      </w:r>
      <w:r w:rsidR="005C3B5F">
        <w:t xml:space="preserve">help ensure that </w:t>
      </w:r>
      <w:r w:rsidR="006618EA">
        <w:t xml:space="preserve">the contributions made by the ACT community sector are recognised, </w:t>
      </w:r>
      <w:proofErr w:type="gramStart"/>
      <w:r w:rsidR="006618EA">
        <w:t>valued</w:t>
      </w:r>
      <w:proofErr w:type="gramEnd"/>
      <w:r w:rsidR="006618EA">
        <w:t xml:space="preserve"> and sustained, and that the ACT </w:t>
      </w:r>
      <w:r w:rsidR="005C3B5F">
        <w:t xml:space="preserve">government </w:t>
      </w:r>
      <w:r w:rsidR="006618EA">
        <w:t xml:space="preserve">receives </w:t>
      </w:r>
      <w:r w:rsidR="005C3B5F">
        <w:t>value for money</w:t>
      </w:r>
      <w:r w:rsidR="006618EA">
        <w:t xml:space="preserve">. </w:t>
      </w:r>
      <w:r w:rsidR="00525651">
        <w:t>Appendix</w:t>
      </w:r>
      <w:r w:rsidR="00C474F6">
        <w:t xml:space="preserve"> A</w:t>
      </w:r>
      <w:r w:rsidR="00525651">
        <w:t xml:space="preserve"> </w:t>
      </w:r>
      <w:r w:rsidR="00C474F6">
        <w:t>provides information about methods, but briefly, t</w:t>
      </w:r>
      <w:r w:rsidR="00525651">
        <w:t xml:space="preserve">he </w:t>
      </w:r>
      <w:r w:rsidR="00C474F6">
        <w:t xml:space="preserve">report draws on </w:t>
      </w:r>
      <w:r w:rsidR="00525651">
        <w:t>evidence from</w:t>
      </w:r>
      <w:r w:rsidR="00C474F6">
        <w:t xml:space="preserve"> multiple sources including</w:t>
      </w:r>
      <w:r w:rsidR="00525651">
        <w:t>:</w:t>
      </w:r>
    </w:p>
    <w:p w14:paraId="2CBB755D" w14:textId="2552CD2A" w:rsidR="00525651" w:rsidRDefault="00E32A78" w:rsidP="00EA6EED">
      <w:pPr>
        <w:pStyle w:val="BodyText"/>
        <w:numPr>
          <w:ilvl w:val="0"/>
          <w:numId w:val="25"/>
        </w:numPr>
      </w:pPr>
      <w:r>
        <w:t xml:space="preserve">the </w:t>
      </w:r>
      <w:r w:rsidR="00525651">
        <w:t>Service Costing Survey</w:t>
      </w:r>
      <w:r>
        <w:t xml:space="preserve">, completed by leaders of </w:t>
      </w:r>
      <w:r w:rsidR="00C474F6">
        <w:t xml:space="preserve">88 </w:t>
      </w:r>
      <w:r w:rsidR="00525651">
        <w:t xml:space="preserve">community service organisations in the </w:t>
      </w:r>
      <w:r w:rsidR="00C474F6">
        <w:t xml:space="preserve">ACT </w:t>
      </w:r>
      <w:r w:rsidR="00525651">
        <w:t xml:space="preserve">(see Appendix </w:t>
      </w:r>
      <w:r w:rsidR="00C474F6">
        <w:t>B for a description of research participants)</w:t>
      </w:r>
    </w:p>
    <w:p w14:paraId="63BABE8E" w14:textId="670DAC94" w:rsidR="0088173A" w:rsidRPr="0088173A" w:rsidRDefault="0088173A" w:rsidP="0088173A">
      <w:pPr>
        <w:pStyle w:val="ListParagraph"/>
        <w:numPr>
          <w:ilvl w:val="0"/>
          <w:numId w:val="25"/>
        </w:numPr>
        <w:rPr>
          <w:rFonts w:ascii="Arial" w:hAnsi="Arial" w:cs="Arial"/>
          <w:sz w:val="22"/>
          <w:szCs w:val="22"/>
        </w:rPr>
      </w:pPr>
      <w:r w:rsidRPr="0088173A">
        <w:t xml:space="preserve"> </w:t>
      </w:r>
      <w:r w:rsidRPr="0088173A">
        <w:rPr>
          <w:rFonts w:ascii="Arial" w:hAnsi="Arial" w:cs="Arial"/>
          <w:sz w:val="22"/>
          <w:szCs w:val="22"/>
        </w:rPr>
        <w:t>Initial sector interviews with three community organisations, to understand key issues and constraints and to inform the development of the survey of leaders</w:t>
      </w:r>
    </w:p>
    <w:p w14:paraId="4EEE1ED9" w14:textId="3678A7A8" w:rsidR="00C474F6" w:rsidRDefault="00C474F6" w:rsidP="00EA6EED">
      <w:pPr>
        <w:pStyle w:val="BodyText"/>
        <w:numPr>
          <w:ilvl w:val="0"/>
          <w:numId w:val="25"/>
        </w:numPr>
      </w:pPr>
      <w:r>
        <w:t>Analysis of demographic and workforce changes in the ACT</w:t>
      </w:r>
    </w:p>
    <w:p w14:paraId="49BFF909" w14:textId="77777777" w:rsidR="005104DE" w:rsidRDefault="005104DE" w:rsidP="00EA6EED">
      <w:pPr>
        <w:pStyle w:val="BodyText"/>
        <w:numPr>
          <w:ilvl w:val="0"/>
          <w:numId w:val="25"/>
        </w:numPr>
      </w:pPr>
      <w:r>
        <w:t>Analysis of relevant ACT Government spending, ACNC data, annual and financial reports, and community sector employment data for the ACT</w:t>
      </w:r>
    </w:p>
    <w:p w14:paraId="4DC4A073" w14:textId="6F659B35" w:rsidR="00C474F6" w:rsidRDefault="00C474F6" w:rsidP="00EA6EED">
      <w:pPr>
        <w:pStyle w:val="BodyText"/>
        <w:numPr>
          <w:ilvl w:val="0"/>
          <w:numId w:val="25"/>
        </w:numPr>
      </w:pPr>
      <w:r>
        <w:t>Consultations with key stakeholders</w:t>
      </w:r>
    </w:p>
    <w:p w14:paraId="28002D6D" w14:textId="24DF553F" w:rsidR="00724FAE" w:rsidRDefault="00724FAE" w:rsidP="00EA6EED">
      <w:pPr>
        <w:pStyle w:val="BodyText"/>
        <w:numPr>
          <w:ilvl w:val="0"/>
          <w:numId w:val="25"/>
        </w:numPr>
      </w:pPr>
      <w:r>
        <w:t xml:space="preserve">Analysis of evidence-based research and </w:t>
      </w:r>
      <w:r w:rsidR="00873ED8">
        <w:t>policy documents</w:t>
      </w:r>
    </w:p>
    <w:p w14:paraId="3EB90014" w14:textId="1AED5ABA" w:rsidR="00C474F6" w:rsidRPr="00C474F6" w:rsidRDefault="00C474F6" w:rsidP="00EA6EED">
      <w:pPr>
        <w:pStyle w:val="ListParagraph"/>
        <w:numPr>
          <w:ilvl w:val="0"/>
          <w:numId w:val="25"/>
        </w:numPr>
        <w:autoSpaceDE/>
        <w:autoSpaceDN/>
        <w:adjustRightInd/>
        <w:spacing w:line="288" w:lineRule="auto"/>
        <w:ind w:right="0"/>
        <w:rPr>
          <w:rFonts w:ascii="Arial" w:hAnsi="Arial" w:cs="Arial"/>
          <w:sz w:val="22"/>
          <w:szCs w:val="22"/>
        </w:rPr>
      </w:pPr>
      <w:r w:rsidRPr="00C474F6">
        <w:rPr>
          <w:rFonts w:ascii="Arial" w:hAnsi="Arial" w:cs="Arial"/>
          <w:sz w:val="22"/>
          <w:szCs w:val="22"/>
        </w:rPr>
        <w:t>Analysis of contract templates and funding policies provided by the ACT government</w:t>
      </w:r>
      <w:r w:rsidR="006922A0">
        <w:rPr>
          <w:rFonts w:ascii="Arial" w:hAnsi="Arial" w:cs="Arial"/>
          <w:sz w:val="22"/>
          <w:szCs w:val="22"/>
        </w:rPr>
        <w:t>.</w:t>
      </w:r>
    </w:p>
    <w:p w14:paraId="496CCBF0" w14:textId="12A29F7B" w:rsidR="005104DE" w:rsidRDefault="005104DE" w:rsidP="005104DE">
      <w:pPr>
        <w:pStyle w:val="BodyText"/>
      </w:pPr>
      <w:r>
        <w:t xml:space="preserve">Supplementary data is in Appendix </w:t>
      </w:r>
      <w:r w:rsidR="00702029">
        <w:t>C</w:t>
      </w:r>
      <w:r>
        <w:t>.</w:t>
      </w:r>
    </w:p>
    <w:p w14:paraId="12DA6D1C" w14:textId="2FCD5EE0" w:rsidR="007F573E" w:rsidRPr="009D10C7" w:rsidRDefault="00B34107" w:rsidP="006E6C6C">
      <w:pPr>
        <w:pStyle w:val="Heading2"/>
      </w:pPr>
      <w:r>
        <w:tab/>
      </w:r>
      <w:bookmarkStart w:id="12" w:name="_Toc88753118"/>
      <w:bookmarkStart w:id="13" w:name="_Toc90019544"/>
      <w:r w:rsidR="007F573E" w:rsidRPr="009D10C7">
        <w:t>Background</w:t>
      </w:r>
      <w:bookmarkEnd w:id="12"/>
      <w:bookmarkEnd w:id="13"/>
    </w:p>
    <w:p w14:paraId="6098828B" w14:textId="7D83D71B" w:rsidR="007F573E" w:rsidRDefault="006922A0" w:rsidP="007F573E">
      <w:pPr>
        <w:pStyle w:val="BodyText"/>
      </w:pPr>
      <w:r>
        <w:t>The project contends with problems of underfunding</w:t>
      </w:r>
      <w:r w:rsidR="00762C24">
        <w:t>,</w:t>
      </w:r>
      <w:r>
        <w:t xml:space="preserve"> which are</w:t>
      </w:r>
      <w:r w:rsidR="00762C24">
        <w:t xml:space="preserve"> complex</w:t>
      </w:r>
      <w:r w:rsidR="00C5381C">
        <w:t>,</w:t>
      </w:r>
      <w:r>
        <w:t xml:space="preserve"> </w:t>
      </w:r>
      <w:r w:rsidR="007F573E">
        <w:t>long-standing concern</w:t>
      </w:r>
      <w:r>
        <w:t>s</w:t>
      </w:r>
      <w:r w:rsidR="007F573E">
        <w:t>, evident within and beyond the ACT. Concerns about coverage of staffing, administration and infrastructure costs have arisen repeatedly in studies of Australia’s community sector.</w:t>
      </w:r>
      <w:r w:rsidR="007F573E">
        <w:rPr>
          <w:rStyle w:val="FootnoteReference"/>
        </w:rPr>
        <w:footnoteReference w:id="6"/>
      </w:r>
      <w:r w:rsidR="007F573E">
        <w:t xml:space="preserve">  The Industry Commission’s 1995 Inquiry into charitable organisations</w:t>
      </w:r>
      <w:r w:rsidR="007F573E">
        <w:rPr>
          <w:rStyle w:val="FootnoteReference"/>
        </w:rPr>
        <w:footnoteReference w:id="7"/>
      </w:r>
      <w:r w:rsidR="007F573E">
        <w:t xml:space="preserve"> recommended that government price setting for contracted services should </w:t>
      </w:r>
      <w:proofErr w:type="gramStart"/>
      <w:r w:rsidR="007F573E">
        <w:t>take into account</w:t>
      </w:r>
      <w:proofErr w:type="gramEnd"/>
      <w:r w:rsidR="007F573E">
        <w:t xml:space="preserve"> all cost components and overheads, including evaluation.  In 2010, the Productivity Commission’s landmark national report on the Contribution of the Not-for-Profit Sector</w:t>
      </w:r>
      <w:r w:rsidR="007F573E">
        <w:rPr>
          <w:rStyle w:val="FootnoteReference"/>
        </w:rPr>
        <w:footnoteReference w:id="8"/>
      </w:r>
      <w:r w:rsidR="007F573E">
        <w:t xml:space="preserve"> noted persistent underfunding. It found that providers </w:t>
      </w:r>
      <w:r w:rsidR="007F573E">
        <w:lastRenderedPageBreak/>
        <w:t xml:space="preserve">routinely reported that the costs of delivering contracted services were not fully covered by the governments contracting them. </w:t>
      </w:r>
    </w:p>
    <w:p w14:paraId="55D4F140" w14:textId="0120BCE3" w:rsidR="007F573E" w:rsidRDefault="007F573E" w:rsidP="007F573E">
      <w:pPr>
        <w:pStyle w:val="BodyText"/>
      </w:pPr>
      <w:r>
        <w:t>Further, the Productivity Commission found that three quarters of government agencies admitted</w:t>
      </w:r>
      <w:r w:rsidR="002D42F6">
        <w:t xml:space="preserve"> that</w:t>
      </w:r>
      <w:r>
        <w:t xml:space="preserve"> </w:t>
      </w:r>
      <w:r w:rsidR="000819C3">
        <w:t xml:space="preserve">in some funding programs they </w:t>
      </w:r>
      <w:r>
        <w:t>sought to</w:t>
      </w:r>
      <w:r w:rsidRPr="002D42F6">
        <w:rPr>
          <w:i/>
          <w:iCs/>
        </w:rPr>
        <w:t xml:space="preserve"> contribute</w:t>
      </w:r>
      <w:r>
        <w:t xml:space="preserve"> to organisations’ costs, rather than fully cover them. The Productivity Commission noted negative attitudes </w:t>
      </w:r>
      <w:r w:rsidR="00D068EC">
        <w:t xml:space="preserve">in funding agencies </w:t>
      </w:r>
      <w:r>
        <w:t>towards spending on administration or overheads, and that these attitudes contributed both to poor understandings of costs, and to shortfalls in funding which accumulated over time. Overall, the Productivity Commission saw inadequate cost coverage to be holding the not-for-profit sector back, and recommended that cost estimates be “consistent, appropriate and comprehensive over all direct and indirect costs of the funded service or activity”</w:t>
      </w:r>
      <w:r w:rsidR="000F7A17">
        <w:t>.</w:t>
      </w:r>
      <w:r>
        <w:rPr>
          <w:rStyle w:val="FootnoteReference"/>
        </w:rPr>
        <w:footnoteReference w:id="9"/>
      </w:r>
      <w:r>
        <w:t xml:space="preserve"> Importantly, the Commission recognised costs are likely to vary across organisations, settings, and time</w:t>
      </w:r>
      <w:r w:rsidR="000819C3">
        <w:t xml:space="preserve">. Plus, it noted that </w:t>
      </w:r>
      <w:r>
        <w:t xml:space="preserve">financial difficulties could </w:t>
      </w:r>
      <w:r w:rsidR="000819C3">
        <w:t xml:space="preserve">compound over time, due to the accumulation of </w:t>
      </w:r>
      <w:r w:rsidR="006922A0">
        <w:t xml:space="preserve">several </w:t>
      </w:r>
      <w:r>
        <w:t xml:space="preserve">minor instances of under-costing and underfunding, inadequate indexation, </w:t>
      </w:r>
      <w:r w:rsidR="006922A0">
        <w:t>expanding</w:t>
      </w:r>
      <w:r>
        <w:t xml:space="preserve"> requirements, </w:t>
      </w:r>
      <w:r w:rsidR="006922A0">
        <w:t xml:space="preserve">and gradually </w:t>
      </w:r>
      <w:r>
        <w:t>increas</w:t>
      </w:r>
      <w:r w:rsidR="006922A0">
        <w:t>ing</w:t>
      </w:r>
      <w:r>
        <w:t xml:space="preserve"> service standards. </w:t>
      </w:r>
    </w:p>
    <w:p w14:paraId="65380D86" w14:textId="77777777" w:rsidR="007F573E" w:rsidRDefault="007F573E" w:rsidP="007F573E">
      <w:pPr>
        <w:pStyle w:val="BodyText"/>
      </w:pPr>
      <w:r>
        <w:t>In the ACT, cost coverage has been a longstanding concern for the community sector. In 2016, the State of the Community Service Sector in the ACT report</w:t>
      </w:r>
      <w:r>
        <w:rPr>
          <w:rStyle w:val="FootnoteReference"/>
        </w:rPr>
        <w:footnoteReference w:id="10"/>
      </w:r>
      <w:r>
        <w:t xml:space="preserve"> found that among 166 organisational leaders, most were concerned about the adequacy of the government funding that their organisation received. Two thirds of organisational leaders (64%) reported that the ACT Government funding they received did not cover the true cost of delivering services, and 62% said funding levels did not enable the sector to meet levels of demand. More than half (54%) also expressed concerns that funding did not enable organisations to maintain suitable facilities or to purchase necessary capital, including vehicles and equipment.  Half disagreed that funding enabled the organisation to pay staff at rates appropriate to their skills (50%) and many said inadequate funding caused difficulties recruiting, retaining, and developing staff. </w:t>
      </w:r>
    </w:p>
    <w:p w14:paraId="326BAF63" w14:textId="179CA9E1" w:rsidR="007F573E" w:rsidRDefault="00077B3F" w:rsidP="007F573E">
      <w:pPr>
        <w:pStyle w:val="BodyText"/>
      </w:pPr>
      <w:r>
        <w:t xml:space="preserve">These </w:t>
      </w:r>
      <w:r w:rsidR="007F573E">
        <w:t xml:space="preserve">pressures </w:t>
      </w:r>
      <w:r>
        <w:t>have intensified</w:t>
      </w:r>
      <w:r w:rsidR="006922A0">
        <w:t>. O</w:t>
      </w:r>
      <w:r>
        <w:t xml:space="preserve">rganisations have </w:t>
      </w:r>
      <w:r w:rsidR="007F573E">
        <w:t xml:space="preserve">responded </w:t>
      </w:r>
      <w:r>
        <w:t>in ways that place pressure on the workforce and volunteers</w:t>
      </w:r>
      <w:r w:rsidR="00C5381C">
        <w:t xml:space="preserve">. They have also incurred </w:t>
      </w:r>
      <w:r>
        <w:t>losses on ACT programs, and</w:t>
      </w:r>
      <w:r w:rsidR="006922A0">
        <w:t xml:space="preserve"> sometimes,</w:t>
      </w:r>
      <w:r>
        <w:t xml:space="preserve"> </w:t>
      </w:r>
      <w:r w:rsidR="00C5381C">
        <w:t xml:space="preserve">have withdrawn </w:t>
      </w:r>
      <w:r>
        <w:t>from tendering for ACT programs</w:t>
      </w:r>
      <w:r w:rsidR="007F573E">
        <w:t>.  Addressing these pressures is an urgent priority. Doing so requires difficult, sensitive conversations between the sector and the ACT Government. As one leader of an ACT community sector organisation stated:</w:t>
      </w:r>
    </w:p>
    <w:p w14:paraId="68343D68" w14:textId="77777777" w:rsidR="007F573E" w:rsidRDefault="007F573E" w:rsidP="007F573E">
      <w:pPr>
        <w:pStyle w:val="Quote"/>
      </w:pPr>
      <w:r w:rsidRPr="0048553C">
        <w:t xml:space="preserve">We </w:t>
      </w:r>
      <w:proofErr w:type="gramStart"/>
      <w:r w:rsidRPr="0048553C">
        <w:t>have to</w:t>
      </w:r>
      <w:proofErr w:type="gramEnd"/>
      <w:r w:rsidRPr="0048553C">
        <w:t xml:space="preserve"> have a safe place to talk about this. It </w:t>
      </w:r>
      <w:r>
        <w:t>is</w:t>
      </w:r>
      <w:r w:rsidRPr="0048553C">
        <w:t xml:space="preserve"> difficult to ask the hand that’s feeding you</w:t>
      </w:r>
      <w:r>
        <w:t>,</w:t>
      </w:r>
      <w:r w:rsidRPr="0048553C">
        <w:t xml:space="preserve"> </w:t>
      </w:r>
      <w:r>
        <w:t xml:space="preserve">without being </w:t>
      </w:r>
      <w:r w:rsidRPr="0048553C">
        <w:t>formally given the opportunity to do so.</w:t>
      </w:r>
    </w:p>
    <w:p w14:paraId="7DB6EB05" w14:textId="77777777" w:rsidR="007F573E" w:rsidRDefault="007F573E" w:rsidP="007F573E">
      <w:pPr>
        <w:pStyle w:val="BodyText"/>
        <w:rPr>
          <w:color w:val="202124"/>
          <w:shd w:val="clear" w:color="auto" w:fill="FFFFFF"/>
        </w:rPr>
      </w:pPr>
      <w:r>
        <w:t xml:space="preserve">This report is part of the process of providing a safe space for dialogue and adding evidence to help promote more adequate funding for community services in the ACT. </w:t>
      </w:r>
    </w:p>
    <w:p w14:paraId="3AB5D1B0" w14:textId="70ADABA5" w:rsidR="00CA3FB5" w:rsidRPr="00A03F81" w:rsidRDefault="00CA3FB5" w:rsidP="00FE01CA">
      <w:pPr>
        <w:pStyle w:val="Heading1"/>
        <w:numPr>
          <w:ilvl w:val="0"/>
          <w:numId w:val="22"/>
        </w:numPr>
        <w:ind w:left="425" w:hanging="425"/>
      </w:pPr>
      <w:bookmarkStart w:id="14" w:name="_Ref87953979"/>
      <w:bookmarkStart w:id="15" w:name="_Toc90019545"/>
      <w:r>
        <w:lastRenderedPageBreak/>
        <w:t xml:space="preserve">Historical factors </w:t>
      </w:r>
      <w:bookmarkEnd w:id="14"/>
      <w:r>
        <w:t>impacting on cost expectations</w:t>
      </w:r>
      <w:bookmarkEnd w:id="15"/>
    </w:p>
    <w:p w14:paraId="6AA437FD" w14:textId="349D96D9" w:rsidR="002B1612" w:rsidRDefault="006922A0" w:rsidP="009F69C2">
      <w:pPr>
        <w:pStyle w:val="BodyText"/>
      </w:pPr>
      <w:r>
        <w:rPr>
          <w:color w:val="202124"/>
          <w:shd w:val="clear" w:color="auto" w:fill="FFFFFF"/>
        </w:rPr>
        <w:t xml:space="preserve">Historical factors have </w:t>
      </w:r>
      <w:r w:rsidR="0055108C">
        <w:rPr>
          <w:color w:val="202124"/>
          <w:shd w:val="clear" w:color="auto" w:fill="FFFFFF"/>
        </w:rPr>
        <w:t xml:space="preserve">lowered </w:t>
      </w:r>
      <w:r>
        <w:rPr>
          <w:color w:val="202124"/>
          <w:shd w:val="clear" w:color="auto" w:fill="FFFFFF"/>
        </w:rPr>
        <w:t xml:space="preserve">community </w:t>
      </w:r>
      <w:r w:rsidR="0055108C">
        <w:rPr>
          <w:color w:val="202124"/>
          <w:shd w:val="clear" w:color="auto" w:fill="FFFFFF"/>
        </w:rPr>
        <w:t>expectations about how much community services should cost</w:t>
      </w:r>
      <w:r w:rsidR="00C5381C">
        <w:rPr>
          <w:color w:val="202124"/>
          <w:shd w:val="clear" w:color="auto" w:fill="FFFFFF"/>
        </w:rPr>
        <w:t xml:space="preserve"> to deliver</w:t>
      </w:r>
      <w:r>
        <w:rPr>
          <w:color w:val="202124"/>
          <w:shd w:val="clear" w:color="auto" w:fill="FFFFFF"/>
        </w:rPr>
        <w:t>, and how much governments should pay</w:t>
      </w:r>
      <w:r w:rsidR="009F69C2">
        <w:rPr>
          <w:color w:val="202124"/>
          <w:shd w:val="clear" w:color="auto" w:fill="FFFFFF"/>
        </w:rPr>
        <w:t xml:space="preserve">. These </w:t>
      </w:r>
      <w:r>
        <w:rPr>
          <w:color w:val="202124"/>
          <w:shd w:val="clear" w:color="auto" w:fill="FFFFFF"/>
        </w:rPr>
        <w:t xml:space="preserve">factors </w:t>
      </w:r>
      <w:r w:rsidR="00455D5C">
        <w:t>include</w:t>
      </w:r>
      <w:r w:rsidR="00832975">
        <w:t xml:space="preserve"> </w:t>
      </w:r>
      <w:r w:rsidR="00B625CF">
        <w:t xml:space="preserve">gender-based </w:t>
      </w:r>
      <w:r w:rsidR="00832975">
        <w:t xml:space="preserve">undervaluation of </w:t>
      </w:r>
      <w:r w:rsidR="00C03DAF">
        <w:t xml:space="preserve">community services </w:t>
      </w:r>
      <w:r w:rsidR="00832975">
        <w:t xml:space="preserve">work; </w:t>
      </w:r>
      <w:r w:rsidR="00B625CF">
        <w:t xml:space="preserve">under-appreciation of the </w:t>
      </w:r>
      <w:r w:rsidR="00950B72">
        <w:t xml:space="preserve">need for </w:t>
      </w:r>
      <w:r w:rsidR="00832975">
        <w:t xml:space="preserve">overheads; </w:t>
      </w:r>
      <w:r w:rsidR="00C03DAF">
        <w:t>competitive funding</w:t>
      </w:r>
      <w:r w:rsidR="00B625CF">
        <w:t xml:space="preserve"> models</w:t>
      </w:r>
      <w:r w:rsidR="00C03DAF">
        <w:t>;</w:t>
      </w:r>
      <w:r w:rsidR="00832975">
        <w:t xml:space="preserve"> and </w:t>
      </w:r>
      <w:r w:rsidR="00B625CF">
        <w:t xml:space="preserve">assumptions </w:t>
      </w:r>
      <w:r w:rsidR="00832975">
        <w:t xml:space="preserve">that community organisations </w:t>
      </w:r>
      <w:r w:rsidR="00B625CF">
        <w:t>can</w:t>
      </w:r>
      <w:r w:rsidR="00C03DAF">
        <w:t xml:space="preserve"> </w:t>
      </w:r>
      <w:r w:rsidR="00832975">
        <w:t xml:space="preserve">supplement </w:t>
      </w:r>
      <w:r w:rsidR="00C03DAF">
        <w:t>government funding</w:t>
      </w:r>
      <w:r w:rsidR="00832975">
        <w:t xml:space="preserve">. </w:t>
      </w:r>
    </w:p>
    <w:p w14:paraId="17E03308" w14:textId="22152D5E" w:rsidR="004048AB" w:rsidRPr="00CA3FB5" w:rsidRDefault="00950B72" w:rsidP="006E6C6C">
      <w:pPr>
        <w:pStyle w:val="Heading2"/>
      </w:pPr>
      <w:bookmarkStart w:id="16" w:name="_Toc88753120"/>
      <w:bookmarkStart w:id="17" w:name="_Toc90019546"/>
      <w:r w:rsidRPr="00CA3FB5">
        <w:t>Gender-based u</w:t>
      </w:r>
      <w:r w:rsidR="004048AB" w:rsidRPr="00CA3FB5">
        <w:t>ndervaluation</w:t>
      </w:r>
      <w:bookmarkEnd w:id="16"/>
      <w:bookmarkEnd w:id="17"/>
    </w:p>
    <w:p w14:paraId="21FE29FC" w14:textId="6CE06AE8" w:rsidR="004048AB" w:rsidRDefault="004048AB" w:rsidP="004048AB">
      <w:pPr>
        <w:pStyle w:val="BodyText"/>
      </w:pPr>
      <w:r>
        <w:t xml:space="preserve">Expectations that community services </w:t>
      </w:r>
      <w:r w:rsidR="00950B72">
        <w:t xml:space="preserve">have low </w:t>
      </w:r>
      <w:r>
        <w:t>cost</w:t>
      </w:r>
      <w:r w:rsidR="00950B72">
        <w:t>s</w:t>
      </w:r>
      <w:r>
        <w:t xml:space="preserve"> arise from the historical undervaluation of the care and support work traditionally performed by women. Gendered assumptions about skill continue to undermine </w:t>
      </w:r>
      <w:r w:rsidR="00B625CF">
        <w:t xml:space="preserve">recognition </w:t>
      </w:r>
      <w:r>
        <w:t xml:space="preserve">of </w:t>
      </w:r>
      <w:r w:rsidR="0055108C">
        <w:t xml:space="preserve">community sector </w:t>
      </w:r>
      <w:r>
        <w:t>work</w:t>
      </w:r>
      <w:r>
        <w:rPr>
          <w:rStyle w:val="FootnoteReference"/>
        </w:rPr>
        <w:footnoteReference w:id="11"/>
      </w:r>
      <w:r>
        <w:t xml:space="preserve">. The 2010-12 Equal Remuneration Case for social and community services successfully demonstrated that </w:t>
      </w:r>
      <w:r w:rsidR="00B625CF">
        <w:t xml:space="preserve">gender-based </w:t>
      </w:r>
      <w:r>
        <w:t>undervaluation</w:t>
      </w:r>
      <w:r w:rsidR="00B625CF">
        <w:t xml:space="preserve"> of work involving nurturing and care </w:t>
      </w:r>
      <w:r w:rsidR="00C03DAF">
        <w:t>continue</w:t>
      </w:r>
      <w:r w:rsidR="00B625CF">
        <w:t>s</w:t>
      </w:r>
      <w:r w:rsidR="00C03DAF">
        <w:t xml:space="preserve"> to be </w:t>
      </w:r>
      <w:r>
        <w:t xml:space="preserve">reflected in award wages. </w:t>
      </w:r>
      <w:r w:rsidR="00C03DAF">
        <w:t>The</w:t>
      </w:r>
      <w:r w:rsidR="00006F27">
        <w:t> </w:t>
      </w:r>
      <w:r w:rsidR="00C03DAF">
        <w:t xml:space="preserve">decision </w:t>
      </w:r>
      <w:r>
        <w:t xml:space="preserve">led to increased government funding to </w:t>
      </w:r>
      <w:r w:rsidR="00C03DAF">
        <w:t xml:space="preserve">ensure employers could pay the wage increases applying to services funded by government, </w:t>
      </w:r>
      <w:r>
        <w:t>including from the ACT Government</w:t>
      </w:r>
      <w:r w:rsidR="001F7701">
        <w:t xml:space="preserve">, which </w:t>
      </w:r>
      <w:r w:rsidR="00C5381C">
        <w:t xml:space="preserve">provided supplementation and </w:t>
      </w:r>
      <w:r w:rsidR="001F7701">
        <w:t>committed to incorporating increases into base funding rates</w:t>
      </w:r>
      <w:r>
        <w:t xml:space="preserve">. However, </w:t>
      </w:r>
      <w:r w:rsidR="00B625CF">
        <w:t xml:space="preserve">care and support </w:t>
      </w:r>
      <w:r>
        <w:t xml:space="preserve">work </w:t>
      </w:r>
      <w:r w:rsidR="0000256F">
        <w:t>continue</w:t>
      </w:r>
      <w:r>
        <w:t xml:space="preserve"> to be valued less than activities performed in other occupations</w:t>
      </w:r>
      <w:r w:rsidR="00B625CF">
        <w:t xml:space="preserve"> requiring similar skills, and t</w:t>
      </w:r>
      <w:r>
        <w:t xml:space="preserve">here are ongoing struggles to ensure that community services </w:t>
      </w:r>
      <w:r w:rsidR="00B625CF">
        <w:t xml:space="preserve">funding </w:t>
      </w:r>
      <w:r>
        <w:t xml:space="preserve">fully recognises the </w:t>
      </w:r>
      <w:r w:rsidR="00B625CF">
        <w:t xml:space="preserve">value and </w:t>
      </w:r>
      <w:r>
        <w:t>complexity of community services work.</w:t>
      </w:r>
      <w:r>
        <w:rPr>
          <w:rStyle w:val="FootnoteReference"/>
        </w:rPr>
        <w:footnoteReference w:id="12"/>
      </w:r>
    </w:p>
    <w:p w14:paraId="35AEA425" w14:textId="712B95EE" w:rsidR="003F7494" w:rsidRPr="003F7494" w:rsidRDefault="00950B72" w:rsidP="006E6C6C">
      <w:pPr>
        <w:pStyle w:val="Heading2"/>
      </w:pPr>
      <w:r>
        <w:tab/>
      </w:r>
      <w:bookmarkStart w:id="18" w:name="_Ref88751489"/>
      <w:bookmarkStart w:id="19" w:name="_Toc88753121"/>
      <w:bookmarkStart w:id="20" w:name="_Toc90019547"/>
      <w:r w:rsidR="00C849D8">
        <w:t>Expectations of low overheads</w:t>
      </w:r>
      <w:bookmarkEnd w:id="18"/>
      <w:bookmarkEnd w:id="19"/>
      <w:bookmarkEnd w:id="20"/>
    </w:p>
    <w:p w14:paraId="5F125E4E" w14:textId="6DF72B7D" w:rsidR="005D1B3C" w:rsidRDefault="00B625CF" w:rsidP="00B625CF">
      <w:pPr>
        <w:pStyle w:val="BodyText"/>
      </w:pPr>
      <w:r>
        <w:t>Over 25 years, non-profits’ administrative expenses have been pushed down,</w:t>
      </w:r>
      <w:r>
        <w:rPr>
          <w:rStyle w:val="FootnoteReference"/>
        </w:rPr>
        <w:footnoteReference w:id="13"/>
      </w:r>
      <w:r>
        <w:t xml:space="preserve"> driven by well-intentioned pressures for funds to be efficiently and effectively directed towards frontline activities; competition to lower overheads; and under-reporting of full costs by organisations.</w:t>
      </w:r>
      <w:r>
        <w:rPr>
          <w:rStyle w:val="FootnoteReference"/>
        </w:rPr>
        <w:footnoteReference w:id="14"/>
      </w:r>
      <w:r>
        <w:t xml:space="preserve"> </w:t>
      </w:r>
      <w:r w:rsidR="0055108C">
        <w:t>Misunderstanding of the importance of overheads, and falling expenditure on overheads, can fuel a ‘starvation cycle’.</w:t>
      </w:r>
      <w:r w:rsidR="0055108C">
        <w:rPr>
          <w:rStyle w:val="FootnoteReference"/>
        </w:rPr>
        <w:footnoteReference w:id="15"/>
      </w:r>
      <w:r w:rsidR="0055108C">
        <w:t xml:space="preserve"> </w:t>
      </w:r>
      <w:r>
        <w:t xml:space="preserve">This has been </w:t>
      </w:r>
      <w:r w:rsidR="009F69C2">
        <w:t>most notable in the US but also evident elsewhere</w:t>
      </w:r>
      <w:r w:rsidR="005A4FDE">
        <w:t xml:space="preserve">. </w:t>
      </w:r>
      <w:r>
        <w:t>Cycles of</w:t>
      </w:r>
      <w:r w:rsidR="009261FA">
        <w:t xml:space="preserve"> </w:t>
      </w:r>
      <w:r w:rsidR="009F69C2">
        <w:t xml:space="preserve">lowering overheads </w:t>
      </w:r>
      <w:r>
        <w:t>are</w:t>
      </w:r>
      <w:r w:rsidR="009F69C2">
        <w:t xml:space="preserve"> </w:t>
      </w:r>
      <w:r>
        <w:t>counterproductive</w:t>
      </w:r>
      <w:r w:rsidR="0055108C">
        <w:t xml:space="preserve"> if f</w:t>
      </w:r>
      <w:r>
        <w:t xml:space="preserve">unders </w:t>
      </w:r>
      <w:r w:rsidR="003F7494">
        <w:t xml:space="preserve">come to expect and resource unrealistically low overhead costs, and organisations </w:t>
      </w:r>
      <w:r w:rsidR="003458D0">
        <w:t>re</w:t>
      </w:r>
      <w:r w:rsidR="003F7494">
        <w:t xml:space="preserve">structure </w:t>
      </w:r>
      <w:r w:rsidR="003458D0">
        <w:t xml:space="preserve">their </w:t>
      </w:r>
      <w:r w:rsidR="003F7494">
        <w:t xml:space="preserve">operations </w:t>
      </w:r>
      <w:r w:rsidR="003458D0">
        <w:t xml:space="preserve">in attempts to </w:t>
      </w:r>
      <w:r w:rsidR="003F7494">
        <w:t xml:space="preserve">meet these </w:t>
      </w:r>
      <w:r w:rsidR="003458D0">
        <w:lastRenderedPageBreak/>
        <w:t xml:space="preserve">unrealistic </w:t>
      </w:r>
      <w:r w:rsidR="003F7494">
        <w:t xml:space="preserve">expectations. </w:t>
      </w:r>
      <w:r w:rsidR="009F69C2">
        <w:t xml:space="preserve">While </w:t>
      </w:r>
      <w:r w:rsidR="009261FA">
        <w:t xml:space="preserve">intended </w:t>
      </w:r>
      <w:r w:rsidR="005D1B3C">
        <w:t xml:space="preserve">to </w:t>
      </w:r>
      <w:r w:rsidR="0092676D">
        <w:t>maximis</w:t>
      </w:r>
      <w:r w:rsidR="00923C02">
        <w:t>e</w:t>
      </w:r>
      <w:r w:rsidR="0092676D">
        <w:t xml:space="preserve"> efficiency, </w:t>
      </w:r>
      <w:r w:rsidR="003458D0">
        <w:t xml:space="preserve">it starves organisations of </w:t>
      </w:r>
      <w:r w:rsidR="009261FA">
        <w:t xml:space="preserve">essential </w:t>
      </w:r>
      <w:r w:rsidR="003458D0">
        <w:t xml:space="preserve">funds, reducing </w:t>
      </w:r>
      <w:r w:rsidR="005D1B3C">
        <w:t>capacity for innovation</w:t>
      </w:r>
      <w:r w:rsidR="002E732B">
        <w:t xml:space="preserve">, </w:t>
      </w:r>
      <w:proofErr w:type="gramStart"/>
      <w:r w:rsidR="002E732B">
        <w:t>efficiency</w:t>
      </w:r>
      <w:proofErr w:type="gramEnd"/>
      <w:r w:rsidR="005D1B3C">
        <w:t xml:space="preserve"> and growth. </w:t>
      </w:r>
    </w:p>
    <w:p w14:paraId="2A852E9D" w14:textId="11E7D0B4" w:rsidR="004D7145" w:rsidRPr="004D7145" w:rsidRDefault="00950B72" w:rsidP="006E6C6C">
      <w:pPr>
        <w:pStyle w:val="Heading2"/>
      </w:pPr>
      <w:r>
        <w:tab/>
      </w:r>
      <w:bookmarkStart w:id="21" w:name="_Toc88753122"/>
      <w:bookmarkStart w:id="22" w:name="_Toc90019548"/>
      <w:r w:rsidR="006F002D">
        <w:t xml:space="preserve">Competitive funding </w:t>
      </w:r>
      <w:r w:rsidR="009F69C2">
        <w:t>models</w:t>
      </w:r>
      <w:bookmarkEnd w:id="21"/>
      <w:bookmarkEnd w:id="22"/>
    </w:p>
    <w:p w14:paraId="69D7F286" w14:textId="4A898C51" w:rsidR="00667288" w:rsidRDefault="003458D0" w:rsidP="005E51EE">
      <w:pPr>
        <w:pStyle w:val="BodyText"/>
      </w:pPr>
      <w:r>
        <w:t xml:space="preserve">Outsourcing requires that services </w:t>
      </w:r>
      <w:r w:rsidRPr="00122786">
        <w:t>be specified as discrete, time limited projects or programs</w:t>
      </w:r>
      <w:r>
        <w:t>. This</w:t>
      </w:r>
      <w:r w:rsidR="00006F27">
        <w:t> </w:t>
      </w:r>
      <w:r w:rsidRPr="00122786">
        <w:t>enable</w:t>
      </w:r>
      <w:r>
        <w:t>s</w:t>
      </w:r>
      <w:r w:rsidRPr="00122786">
        <w:t xml:space="preserve"> </w:t>
      </w:r>
      <w:r>
        <w:t xml:space="preserve">government </w:t>
      </w:r>
      <w:r w:rsidRPr="00122786">
        <w:t xml:space="preserve">to </w:t>
      </w:r>
      <w:r>
        <w:t xml:space="preserve">pay for specific ‘outputs’ or ‘outcomes’ </w:t>
      </w:r>
      <w:r w:rsidRPr="00122786">
        <w:t xml:space="preserve">rather than </w:t>
      </w:r>
      <w:r w:rsidR="0000256F">
        <w:t>organisations’ full</w:t>
      </w:r>
      <w:r w:rsidR="00006F27">
        <w:t> </w:t>
      </w:r>
      <w:r w:rsidR="0000256F">
        <w:t>costs</w:t>
      </w:r>
      <w:r>
        <w:t>. Low budgets and competition to deliver services can spur a race to the bottom, as</w:t>
      </w:r>
      <w:r w:rsidR="00006F27">
        <w:t> </w:t>
      </w:r>
      <w:r>
        <w:t xml:space="preserve">organisations seek to win funding by lowering costs.  </w:t>
      </w:r>
      <w:r w:rsidR="0000256F">
        <w:t>T</w:t>
      </w:r>
      <w:r w:rsidR="009215DD">
        <w:t xml:space="preserve">endering </w:t>
      </w:r>
      <w:r w:rsidR="0000256F">
        <w:t xml:space="preserve">also </w:t>
      </w:r>
      <w:r>
        <w:t xml:space="preserve">has </w:t>
      </w:r>
      <w:r w:rsidR="005E51EE">
        <w:t xml:space="preserve">administrative costs for organisations, </w:t>
      </w:r>
      <w:r w:rsidR="00832975">
        <w:t xml:space="preserve">especially where </w:t>
      </w:r>
      <w:r>
        <w:t xml:space="preserve">applying </w:t>
      </w:r>
      <w:r w:rsidR="00832975">
        <w:t>is time consuming, funding is short term, and organisations are small</w:t>
      </w:r>
      <w:r w:rsidR="00237CC5">
        <w:t>.</w:t>
      </w:r>
      <w:r w:rsidR="00832975">
        <w:rPr>
          <w:rStyle w:val="FootnoteReference"/>
        </w:rPr>
        <w:footnoteReference w:id="16"/>
      </w:r>
      <w:r w:rsidR="00832975">
        <w:t xml:space="preserve"> Contracting shifts </w:t>
      </w:r>
      <w:r w:rsidR="007224FB">
        <w:t xml:space="preserve">these </w:t>
      </w:r>
      <w:r>
        <w:t xml:space="preserve">costs onto </w:t>
      </w:r>
      <w:r w:rsidR="007224FB">
        <w:t>contracted providers</w:t>
      </w:r>
      <w:r w:rsidR="00832975">
        <w:t xml:space="preserve">. </w:t>
      </w:r>
      <w:r w:rsidR="005E51EE">
        <w:t>Consumer</w:t>
      </w:r>
      <w:r w:rsidR="00006F27">
        <w:noBreakHyphen/>
      </w:r>
      <w:r w:rsidR="005E51EE">
        <w:t xml:space="preserve">based funding has </w:t>
      </w:r>
      <w:r>
        <w:t xml:space="preserve">also </w:t>
      </w:r>
      <w:r w:rsidR="00B156E4">
        <w:t xml:space="preserve">used principles of competition to </w:t>
      </w:r>
      <w:r>
        <w:t xml:space="preserve">contain </w:t>
      </w:r>
      <w:r w:rsidR="005E51EE">
        <w:t xml:space="preserve">costs, </w:t>
      </w:r>
      <w:r w:rsidR="00B156E4">
        <w:t xml:space="preserve">including for </w:t>
      </w:r>
      <w:r w:rsidR="005E51EE">
        <w:t xml:space="preserve">disability services </w:t>
      </w:r>
      <w:r w:rsidR="00B156E4">
        <w:t xml:space="preserve">funded under </w:t>
      </w:r>
      <w:r w:rsidR="005E51EE">
        <w:t>the NDIS</w:t>
      </w:r>
      <w:r w:rsidR="00B156E4">
        <w:t>.</w:t>
      </w:r>
      <w:r w:rsidR="005E51EE">
        <w:rPr>
          <w:rStyle w:val="FootnoteReference"/>
        </w:rPr>
        <w:footnoteReference w:id="17"/>
      </w:r>
      <w:r w:rsidR="005E51EE">
        <w:t xml:space="preserve"> </w:t>
      </w:r>
      <w:r w:rsidR="007224FB">
        <w:t xml:space="preserve"> </w:t>
      </w:r>
    </w:p>
    <w:p w14:paraId="337854F3" w14:textId="36F2A39E" w:rsidR="00743C99" w:rsidRDefault="009215DD" w:rsidP="00743C99">
      <w:pPr>
        <w:pStyle w:val="BodyText"/>
      </w:pPr>
      <w:r>
        <w:t>T</w:t>
      </w:r>
      <w:r w:rsidR="00743C99">
        <w:t xml:space="preserve">he ACT Government’s </w:t>
      </w:r>
      <w:r>
        <w:t>adoption of</w:t>
      </w:r>
      <w:r w:rsidR="00743C99">
        <w:t xml:space="preserve"> a commissioning approach aims to allow for longer and more flexible contracting.</w:t>
      </w:r>
      <w:r w:rsidR="00743C99" w:rsidRPr="00743C99">
        <w:rPr>
          <w:rStyle w:val="FootnoteReference"/>
        </w:rPr>
        <w:t xml:space="preserve"> </w:t>
      </w:r>
      <w:r w:rsidR="00743C99">
        <w:rPr>
          <w:rStyle w:val="FootnoteReference"/>
        </w:rPr>
        <w:footnoteReference w:id="18"/>
      </w:r>
      <w:r w:rsidR="00743C99">
        <w:t xml:space="preserve"> Compared with traditional contracting models, commissioning promises more co-operative and networked forms of government</w:t>
      </w:r>
      <w:r w:rsidR="00743C99">
        <w:rPr>
          <w:rStyle w:val="FootnoteReference"/>
        </w:rPr>
        <w:footnoteReference w:id="19"/>
      </w:r>
      <w:r w:rsidR="00743C99">
        <w:t xml:space="preserve">, to create space to jointly determine need and responses. However, commissioning provides no </w:t>
      </w:r>
      <w:r>
        <w:t xml:space="preserve">implicit </w:t>
      </w:r>
      <w:r w:rsidR="00743C99">
        <w:t xml:space="preserve">guarantee </w:t>
      </w:r>
      <w:r>
        <w:t xml:space="preserve">that </w:t>
      </w:r>
      <w:r w:rsidR="00743C99">
        <w:t>issues of funding adequacy</w:t>
      </w:r>
      <w:r>
        <w:t xml:space="preserve"> will be resolved; indeed, the approach</w:t>
      </w:r>
      <w:r w:rsidR="00743C99">
        <w:t xml:space="preserve"> could generate further costs for organisations. </w:t>
      </w:r>
    </w:p>
    <w:p w14:paraId="035E3E8D" w14:textId="49343489" w:rsidR="005E51EE" w:rsidRPr="005E51EE" w:rsidRDefault="00950B72" w:rsidP="006E6C6C">
      <w:pPr>
        <w:pStyle w:val="Heading2"/>
      </w:pPr>
      <w:r>
        <w:tab/>
      </w:r>
      <w:bookmarkStart w:id="23" w:name="_Toc88753123"/>
      <w:bookmarkStart w:id="24" w:name="_Toc90019549"/>
      <w:r w:rsidR="009A4546">
        <w:t xml:space="preserve">Expectations that non-profits </w:t>
      </w:r>
      <w:r w:rsidR="003458D0">
        <w:t>can cross-subsidise</w:t>
      </w:r>
      <w:bookmarkEnd w:id="23"/>
      <w:bookmarkEnd w:id="24"/>
    </w:p>
    <w:p w14:paraId="06F57E9E" w14:textId="18F78988" w:rsidR="00832975" w:rsidRPr="0000256F" w:rsidRDefault="009215DD" w:rsidP="00124A10">
      <w:pPr>
        <w:pStyle w:val="BodyText"/>
        <w:rPr>
          <w:vanish/>
          <w:color w:val="202124"/>
          <w:shd w:val="clear" w:color="auto" w:fill="FFFFFF"/>
          <w:specVanish/>
        </w:rPr>
      </w:pPr>
      <w:r>
        <w:t xml:space="preserve">Understandings of the full costs of community services have also been lowered by </w:t>
      </w:r>
      <w:r w:rsidR="000C4F48">
        <w:t xml:space="preserve">Government </w:t>
      </w:r>
      <w:r w:rsidR="005E51EE">
        <w:t>expectation</w:t>
      </w:r>
      <w:r w:rsidR="009A4546">
        <w:t>s</w:t>
      </w:r>
      <w:r w:rsidR="005E51EE">
        <w:t xml:space="preserve"> that community sector </w:t>
      </w:r>
      <w:r w:rsidR="00294C15">
        <w:t xml:space="preserve">organisations will </w:t>
      </w:r>
      <w:r w:rsidR="005E51EE">
        <w:t>have</w:t>
      </w:r>
      <w:r w:rsidR="009A4546">
        <w:t xml:space="preserve"> diverse </w:t>
      </w:r>
      <w:r w:rsidR="005E51EE">
        <w:t>revenue streams</w:t>
      </w:r>
      <w:r w:rsidR="00525651">
        <w:t xml:space="preserve">. It is thought that they can </w:t>
      </w:r>
      <w:r w:rsidR="009A4546">
        <w:t>fill gaps in government funding</w:t>
      </w:r>
      <w:r w:rsidR="003458D0">
        <w:t xml:space="preserve"> using their own reserves, volunteers, or income from </w:t>
      </w:r>
      <w:r w:rsidR="00FC0701" w:rsidRPr="00122786">
        <w:t xml:space="preserve">donors </w:t>
      </w:r>
      <w:r w:rsidR="00942741">
        <w:t xml:space="preserve">or </w:t>
      </w:r>
      <w:r w:rsidR="00FC0701" w:rsidRPr="00122786">
        <w:t xml:space="preserve">commercial </w:t>
      </w:r>
      <w:r w:rsidR="00294C15">
        <w:t>operations.</w:t>
      </w:r>
      <w:r w:rsidR="005C4F8F">
        <w:t xml:space="preserve"> </w:t>
      </w:r>
      <w:r w:rsidR="003458D0">
        <w:t>S</w:t>
      </w:r>
      <w:r w:rsidR="005E51EE">
        <w:rPr>
          <w:color w:val="202124"/>
          <w:shd w:val="clear" w:color="auto" w:fill="FFFFFF"/>
        </w:rPr>
        <w:t xml:space="preserve">ome </w:t>
      </w:r>
      <w:r w:rsidR="007224FB">
        <w:rPr>
          <w:color w:val="202124"/>
          <w:shd w:val="clear" w:color="auto" w:fill="FFFFFF"/>
        </w:rPr>
        <w:t xml:space="preserve">services may </w:t>
      </w:r>
      <w:r w:rsidR="003458D0">
        <w:rPr>
          <w:color w:val="202124"/>
          <w:shd w:val="clear" w:color="auto" w:fill="FFFFFF"/>
        </w:rPr>
        <w:t xml:space="preserve">indeed be able to </w:t>
      </w:r>
      <w:r w:rsidR="005E51EE">
        <w:rPr>
          <w:color w:val="202124"/>
          <w:shd w:val="clear" w:color="auto" w:fill="FFFFFF"/>
        </w:rPr>
        <w:t>cross-subsidise government</w:t>
      </w:r>
      <w:r w:rsidR="003458D0">
        <w:rPr>
          <w:color w:val="202124"/>
          <w:shd w:val="clear" w:color="auto" w:fill="FFFFFF"/>
        </w:rPr>
        <w:t xml:space="preserve"> </w:t>
      </w:r>
      <w:proofErr w:type="gramStart"/>
      <w:r w:rsidR="003458D0">
        <w:rPr>
          <w:color w:val="202124"/>
          <w:shd w:val="clear" w:color="auto" w:fill="FFFFFF"/>
        </w:rPr>
        <w:t>services</w:t>
      </w:r>
      <w:r w:rsidR="005E51EE">
        <w:rPr>
          <w:color w:val="202124"/>
          <w:shd w:val="clear" w:color="auto" w:fill="FFFFFF"/>
        </w:rPr>
        <w:t xml:space="preserve">, </w:t>
      </w:r>
      <w:r w:rsidR="003458D0">
        <w:rPr>
          <w:color w:val="202124"/>
          <w:shd w:val="clear" w:color="auto" w:fill="FFFFFF"/>
        </w:rPr>
        <w:t>and</w:t>
      </w:r>
      <w:proofErr w:type="gramEnd"/>
      <w:r w:rsidR="003458D0">
        <w:rPr>
          <w:color w:val="202124"/>
          <w:shd w:val="clear" w:color="auto" w:fill="FFFFFF"/>
        </w:rPr>
        <w:t xml:space="preserve"> choose to do this to </w:t>
      </w:r>
      <w:r w:rsidR="005E51EE">
        <w:rPr>
          <w:color w:val="202124"/>
          <w:shd w:val="clear" w:color="auto" w:fill="FFFFFF"/>
        </w:rPr>
        <w:t>add value and</w:t>
      </w:r>
      <w:r>
        <w:rPr>
          <w:color w:val="202124"/>
          <w:shd w:val="clear" w:color="auto" w:fill="FFFFFF"/>
        </w:rPr>
        <w:t xml:space="preserve"> defray shortfalls. However, these discretionary contributions cannot be assumed. Cross-subsidising or incurring losses on some programs are not possible for many, including for small, specialist organisations; those without access to philanthropy</w:t>
      </w:r>
      <w:r w:rsidR="005E51EE">
        <w:rPr>
          <w:rStyle w:val="FootnoteReference"/>
          <w:color w:val="202124"/>
          <w:shd w:val="clear" w:color="auto" w:fill="FFFFFF"/>
        </w:rPr>
        <w:footnoteReference w:id="20"/>
      </w:r>
      <w:r w:rsidR="005E51EE">
        <w:rPr>
          <w:color w:val="202124"/>
          <w:shd w:val="clear" w:color="auto" w:fill="FFFFFF"/>
        </w:rPr>
        <w:t>, or those who cannot, for ethical or practical reasons, charge user fees</w:t>
      </w:r>
      <w:r w:rsidR="005E51EE" w:rsidRPr="00B34107">
        <w:rPr>
          <w:color w:val="202124"/>
          <w:shd w:val="clear" w:color="auto" w:fill="FFFFFF"/>
        </w:rPr>
        <w:t>.</w:t>
      </w:r>
      <w:r w:rsidR="009A4546" w:rsidRPr="00B34107">
        <w:rPr>
          <w:color w:val="202124"/>
          <w:shd w:val="clear" w:color="auto" w:fill="FFFFFF"/>
        </w:rPr>
        <w:t xml:space="preserve"> Indeed, </w:t>
      </w:r>
      <w:r w:rsidR="00525651">
        <w:rPr>
          <w:color w:val="202124"/>
          <w:shd w:val="clear" w:color="auto" w:fill="FFFFFF"/>
        </w:rPr>
        <w:t xml:space="preserve">the Service Costing Survey shows that </w:t>
      </w:r>
      <w:r w:rsidR="003458D0" w:rsidRPr="00B34107">
        <w:rPr>
          <w:color w:val="202124"/>
          <w:shd w:val="clear" w:color="auto" w:fill="FFFFFF"/>
        </w:rPr>
        <w:t xml:space="preserve">receipt of private funding is low. Philanthropy and commercial income </w:t>
      </w:r>
      <w:proofErr w:type="gramStart"/>
      <w:r w:rsidR="003458D0" w:rsidRPr="00B34107">
        <w:rPr>
          <w:color w:val="202124"/>
          <w:shd w:val="clear" w:color="auto" w:fill="FFFFFF"/>
        </w:rPr>
        <w:t>is</w:t>
      </w:r>
      <w:proofErr w:type="gramEnd"/>
      <w:r w:rsidR="003458D0" w:rsidRPr="00B34107">
        <w:rPr>
          <w:color w:val="202124"/>
          <w:shd w:val="clear" w:color="auto" w:fill="FFFFFF"/>
        </w:rPr>
        <w:t xml:space="preserve"> received by less than half of organisations </w:t>
      </w:r>
      <w:r w:rsidR="00525651">
        <w:rPr>
          <w:color w:val="202124"/>
          <w:shd w:val="clear" w:color="auto" w:fill="FFFFFF"/>
        </w:rPr>
        <w:t>in the ACT</w:t>
      </w:r>
      <w:r w:rsidR="00525651" w:rsidRPr="00B34107">
        <w:rPr>
          <w:color w:val="202124"/>
          <w:shd w:val="clear" w:color="auto" w:fill="FFFFFF"/>
        </w:rPr>
        <w:t xml:space="preserve"> </w:t>
      </w:r>
      <w:r w:rsidR="003458D0" w:rsidRPr="00B34107">
        <w:rPr>
          <w:color w:val="202124"/>
          <w:shd w:val="clear" w:color="auto" w:fill="FFFFFF"/>
        </w:rPr>
        <w:t xml:space="preserve">(see </w:t>
      </w:r>
      <w:r w:rsidR="00AC3ABA">
        <w:rPr>
          <w:color w:val="202124"/>
          <w:shd w:val="clear" w:color="auto" w:fill="FFFFFF"/>
        </w:rPr>
        <w:fldChar w:fldCharType="begin"/>
      </w:r>
      <w:r w:rsidR="00AC3ABA">
        <w:rPr>
          <w:color w:val="202124"/>
          <w:shd w:val="clear" w:color="auto" w:fill="FFFFFF"/>
        </w:rPr>
        <w:instrText xml:space="preserve"> REF _Ref88835351 \h </w:instrText>
      </w:r>
      <w:r w:rsidR="00AC3ABA">
        <w:rPr>
          <w:color w:val="202124"/>
          <w:shd w:val="clear" w:color="auto" w:fill="FFFFFF"/>
        </w:rPr>
      </w:r>
      <w:r w:rsidR="00AC3ABA">
        <w:rPr>
          <w:color w:val="202124"/>
          <w:shd w:val="clear" w:color="auto" w:fill="FFFFFF"/>
        </w:rPr>
        <w:fldChar w:fldCharType="separate"/>
      </w:r>
      <w:r w:rsidR="00E405AF">
        <w:t xml:space="preserve">Table C. </w:t>
      </w:r>
      <w:r w:rsidR="00E405AF">
        <w:rPr>
          <w:noProof/>
        </w:rPr>
        <w:t>1</w:t>
      </w:r>
      <w:r w:rsidR="00AC3ABA">
        <w:rPr>
          <w:color w:val="202124"/>
          <w:shd w:val="clear" w:color="auto" w:fill="FFFFFF"/>
        </w:rPr>
        <w:fldChar w:fldCharType="end"/>
      </w:r>
      <w:r w:rsidR="00950B72" w:rsidRPr="00B34107">
        <w:rPr>
          <w:color w:val="202124"/>
          <w:shd w:val="clear" w:color="auto" w:fill="FFFFFF"/>
        </w:rPr>
        <w:t>)</w:t>
      </w:r>
      <w:r w:rsidR="003200A6" w:rsidRPr="00B34107">
        <w:rPr>
          <w:color w:val="202124"/>
          <w:shd w:val="clear" w:color="auto" w:fill="FFFFFF"/>
        </w:rPr>
        <w:t>.</w:t>
      </w:r>
    </w:p>
    <w:p w14:paraId="1EBFFB46" w14:textId="72CF0CFF" w:rsidR="008D4D62" w:rsidRDefault="0000256F" w:rsidP="00FE01CA">
      <w:pPr>
        <w:pStyle w:val="Heading1"/>
        <w:numPr>
          <w:ilvl w:val="0"/>
          <w:numId w:val="22"/>
        </w:numPr>
        <w:ind w:left="425" w:hanging="425"/>
      </w:pPr>
      <w:bookmarkStart w:id="25" w:name="_Ref87953973"/>
      <w:bookmarkStart w:id="26" w:name="_Ref83364324"/>
      <w:r>
        <w:lastRenderedPageBreak/>
        <w:t xml:space="preserve"> </w:t>
      </w:r>
      <w:bookmarkStart w:id="27" w:name="_Toc90019550"/>
      <w:r w:rsidR="00D7248D">
        <w:t>I</w:t>
      </w:r>
      <w:r w:rsidR="00ED2BAD">
        <w:t>ncreas</w:t>
      </w:r>
      <w:r w:rsidR="00D7248D">
        <w:t>es in resource</w:t>
      </w:r>
      <w:r w:rsidR="00ED2BAD">
        <w:t xml:space="preserve"> pressure</w:t>
      </w:r>
      <w:r w:rsidR="00D7248D">
        <w:t>s</w:t>
      </w:r>
      <w:r w:rsidR="00ED2BAD">
        <w:t xml:space="preserve"> since 2016</w:t>
      </w:r>
      <w:bookmarkEnd w:id="25"/>
      <w:bookmarkEnd w:id="27"/>
    </w:p>
    <w:p w14:paraId="5F07C8D9" w14:textId="69527162" w:rsidR="00F126E4" w:rsidRDefault="001F7701" w:rsidP="008D4D62">
      <w:pPr>
        <w:pStyle w:val="BodyText"/>
      </w:pPr>
      <w:r>
        <w:t>Resource pressure</w:t>
      </w:r>
      <w:r w:rsidR="001456A8">
        <w:t>s</w:t>
      </w:r>
      <w:r>
        <w:t xml:space="preserve"> in the ACT</w:t>
      </w:r>
      <w:r w:rsidR="00022209">
        <w:t xml:space="preserve"> community services </w:t>
      </w:r>
      <w:r>
        <w:t xml:space="preserve">sector </w:t>
      </w:r>
      <w:r w:rsidR="001456A8">
        <w:t xml:space="preserve">have </w:t>
      </w:r>
      <w:r>
        <w:t>grown</w:t>
      </w:r>
      <w:r w:rsidR="001456A8">
        <w:t xml:space="preserve"> in recent years</w:t>
      </w:r>
      <w:r w:rsidR="009E74F9">
        <w:t xml:space="preserve">. </w:t>
      </w:r>
      <w:r w:rsidR="007021BB">
        <w:fldChar w:fldCharType="begin"/>
      </w:r>
      <w:r w:rsidR="007021BB">
        <w:instrText xml:space="preserve"> REF _Ref87956574 \h </w:instrText>
      </w:r>
      <w:r w:rsidR="007021BB">
        <w:fldChar w:fldCharType="separate"/>
      </w:r>
      <w:r w:rsidR="00E405AF">
        <w:t xml:space="preserve">Figure </w:t>
      </w:r>
      <w:r w:rsidR="00E405AF">
        <w:rPr>
          <w:noProof/>
        </w:rPr>
        <w:t>3</w:t>
      </w:r>
      <w:r w:rsidR="00E405AF">
        <w:t>.</w:t>
      </w:r>
      <w:r w:rsidR="00E405AF">
        <w:rPr>
          <w:noProof/>
        </w:rPr>
        <w:t>1</w:t>
      </w:r>
      <w:r w:rsidR="007021BB">
        <w:fldChar w:fldCharType="end"/>
      </w:r>
      <w:r w:rsidR="007021BB">
        <w:t xml:space="preserve"> shows</w:t>
      </w:r>
      <w:r w:rsidR="001456A8">
        <w:t xml:space="preserve"> community organisations are feeling less well supported by their</w:t>
      </w:r>
      <w:r w:rsidR="007021BB">
        <w:t xml:space="preserve"> ACT government funding </w:t>
      </w:r>
      <w:r w:rsidR="001456A8">
        <w:t xml:space="preserve">than in </w:t>
      </w:r>
      <w:r w:rsidR="007021BB">
        <w:t>2016.</w:t>
      </w:r>
      <w:r w:rsidR="008D4D62">
        <w:rPr>
          <w:rStyle w:val="FootnoteReference"/>
        </w:rPr>
        <w:footnoteReference w:id="21"/>
      </w:r>
      <w:r w:rsidR="008D4D62">
        <w:t xml:space="preserve"> </w:t>
      </w:r>
      <w:r w:rsidR="007021BB">
        <w:t xml:space="preserve">Compared with 2016, </w:t>
      </w:r>
      <w:r w:rsidR="008D4D62">
        <w:t>in 2021</w:t>
      </w:r>
      <w:r w:rsidR="00F126E4">
        <w:t>:</w:t>
      </w:r>
    </w:p>
    <w:p w14:paraId="6169371E" w14:textId="77777777" w:rsidR="00F126E4" w:rsidRDefault="008D4D62" w:rsidP="00905774">
      <w:pPr>
        <w:pStyle w:val="BodyText"/>
        <w:numPr>
          <w:ilvl w:val="0"/>
          <w:numId w:val="15"/>
        </w:numPr>
        <w:ind w:left="426"/>
      </w:pPr>
      <w:r>
        <w:t xml:space="preserve">larger proportions of organisational leaders strongly disagreed with the statement “Funding enables us to meet levels of demand in the ACT” (45% in 2021 compared with 26% in 2016). </w:t>
      </w:r>
    </w:p>
    <w:p w14:paraId="327F00C5" w14:textId="77777777" w:rsidR="00F126E4" w:rsidRDefault="008D4D62" w:rsidP="00905774">
      <w:pPr>
        <w:pStyle w:val="BodyText"/>
        <w:numPr>
          <w:ilvl w:val="0"/>
          <w:numId w:val="15"/>
        </w:numPr>
        <w:ind w:left="426"/>
      </w:pPr>
      <w:r>
        <w:t xml:space="preserve">the proportion </w:t>
      </w:r>
      <w:r w:rsidR="00F126E4">
        <w:t xml:space="preserve">of leaders who </w:t>
      </w:r>
      <w:r>
        <w:t xml:space="preserve">strongly disagreed with the statement “Funding covers the true cost of delivering services” rose from 22% in 2016 to 47% in 2021. </w:t>
      </w:r>
    </w:p>
    <w:p w14:paraId="200318F6" w14:textId="27AA8743" w:rsidR="00F126E4" w:rsidRDefault="007021BB" w:rsidP="00905774">
      <w:pPr>
        <w:pStyle w:val="BodyText"/>
        <w:numPr>
          <w:ilvl w:val="0"/>
          <w:numId w:val="15"/>
        </w:numPr>
        <w:ind w:left="426"/>
      </w:pPr>
      <w:r>
        <w:t xml:space="preserve">There were smaller changes in agreement with the statement </w:t>
      </w:r>
      <w:r w:rsidR="008D4D62">
        <w:t>“Funding ensures we can pay staff rates appropriate to their skills”</w:t>
      </w:r>
      <w:r w:rsidR="00F126E4">
        <w:t xml:space="preserve">: 26% of leaders </w:t>
      </w:r>
      <w:r w:rsidR="008D4D62">
        <w:t xml:space="preserve">strongly disagreed with the statement in 2021 compared with 18% in 2016, </w:t>
      </w:r>
      <w:r>
        <w:t>although agreement also rose</w:t>
      </w:r>
      <w:r w:rsidR="008D4D62">
        <w:t xml:space="preserve"> (24% compared with 19%).  </w:t>
      </w:r>
    </w:p>
    <w:p w14:paraId="5413D1CE" w14:textId="77777777" w:rsidR="001456A8" w:rsidRDefault="001456A8" w:rsidP="001456A8">
      <w:pPr>
        <w:pStyle w:val="BodyText"/>
        <w:ind w:left="426"/>
      </w:pPr>
    </w:p>
    <w:p w14:paraId="493927C7" w14:textId="0DED6B92" w:rsidR="008D4D62" w:rsidRDefault="008D4D62" w:rsidP="008D4D62">
      <w:pPr>
        <w:pStyle w:val="Caption"/>
      </w:pPr>
      <w:bookmarkStart w:id="28" w:name="_Ref87956574"/>
      <w:bookmarkStart w:id="29" w:name="_Toc90019594"/>
      <w:r>
        <w:t xml:space="preserve">Figure </w:t>
      </w:r>
      <w:fldSimple w:instr=" STYLEREF 1 \s ">
        <w:r w:rsidR="00E405AF">
          <w:rPr>
            <w:noProof/>
          </w:rPr>
          <w:t>3</w:t>
        </w:r>
      </w:fldSimple>
      <w:r w:rsidR="005A1A69">
        <w:t>.</w:t>
      </w:r>
      <w:fldSimple w:instr=" SEQ Figure \* ARABIC \s 1 ">
        <w:r w:rsidR="00E405AF">
          <w:rPr>
            <w:noProof/>
          </w:rPr>
          <w:t>1</w:t>
        </w:r>
      </w:fldSimple>
      <w:bookmarkEnd w:id="28"/>
      <w:r>
        <w:tab/>
        <w:t xml:space="preserve">Perceptions of </w:t>
      </w:r>
      <w:r w:rsidR="00022209">
        <w:t xml:space="preserve">ACT </w:t>
      </w:r>
      <w:r>
        <w:t>funding adequacy, 2016 and 2021</w:t>
      </w:r>
      <w:bookmarkEnd w:id="29"/>
    </w:p>
    <w:p w14:paraId="0330491B" w14:textId="4C7852F1" w:rsidR="00554250" w:rsidRPr="00554250" w:rsidRDefault="008D4D62" w:rsidP="00554250">
      <w:pPr>
        <w:pStyle w:val="BodyText"/>
        <w:rPr>
          <w:sz w:val="18"/>
          <w:szCs w:val="18"/>
        </w:rPr>
      </w:pPr>
      <w:r>
        <w:rPr>
          <w:noProof/>
        </w:rPr>
        <w:drawing>
          <wp:inline distT="0" distB="0" distL="0" distR="0" wp14:anchorId="0EB8A9FF" wp14:editId="614A1796">
            <wp:extent cx="6376035" cy="3863546"/>
            <wp:effectExtent l="0" t="0" r="5715" b="3810"/>
            <wp:docPr id="45" name="Chart 45" descr="Figure 3.1 is a bar graph comparing perceptions of ACT funding adequacy in 2016 and 2021. &#10;&#10;The graph shows an increase in negative sentiment of adequate funding in 2021.">
              <a:extLst xmlns:a="http://schemas.openxmlformats.org/drawingml/2006/main">
                <a:ext uri="{FF2B5EF4-FFF2-40B4-BE49-F238E27FC236}">
                  <a16:creationId xmlns:a16="http://schemas.microsoft.com/office/drawing/2014/main" id="{247736E7-F84D-45BE-B2D3-2E9C6D31F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54250" w:rsidRPr="00554250">
        <w:rPr>
          <w:sz w:val="18"/>
          <w:szCs w:val="18"/>
        </w:rPr>
        <w:t>Source: ACT Service Costing Survey, 2021</w:t>
      </w:r>
    </w:p>
    <w:p w14:paraId="3E445B65" w14:textId="77777777" w:rsidR="00554250" w:rsidRPr="00554250" w:rsidRDefault="00554250" w:rsidP="00554250"/>
    <w:p w14:paraId="155820F6" w14:textId="60868D4D" w:rsidR="008D4D62" w:rsidRDefault="008D4D62" w:rsidP="008D4D62">
      <w:pPr>
        <w:pStyle w:val="BodyText"/>
      </w:pPr>
      <w:r>
        <w:lastRenderedPageBreak/>
        <w:t xml:space="preserve">Actual government </w:t>
      </w:r>
      <w:r w:rsidR="007021BB">
        <w:t>spending on the community sector</w:t>
      </w:r>
      <w:r w:rsidR="00B34107">
        <w:t xml:space="preserve"> has</w:t>
      </w:r>
      <w:r w:rsidR="007021BB">
        <w:t xml:space="preserve"> </w:t>
      </w:r>
      <w:r>
        <w:t>fluctuate</w:t>
      </w:r>
      <w:r w:rsidR="00B34107">
        <w:t>d</w:t>
      </w:r>
      <w:r>
        <w:rPr>
          <w:rStyle w:val="FootnoteReference"/>
        </w:rPr>
        <w:footnoteReference w:id="22"/>
      </w:r>
      <w:r>
        <w:t xml:space="preserve">, </w:t>
      </w:r>
      <w:r w:rsidR="00944F25">
        <w:t xml:space="preserve">and </w:t>
      </w:r>
      <w:r w:rsidR="00583FE4">
        <w:t>changes in how funding is organised</w:t>
      </w:r>
      <w:r w:rsidR="00583FE4">
        <w:rPr>
          <w:rStyle w:val="FootnoteReference"/>
        </w:rPr>
        <w:footnoteReference w:id="23"/>
      </w:r>
      <w:r w:rsidR="00583FE4">
        <w:t xml:space="preserve"> make it </w:t>
      </w:r>
      <w:r w:rsidR="007021BB">
        <w:t xml:space="preserve">difficult to clearly assess </w:t>
      </w:r>
      <w:r>
        <w:t>adequacy</w:t>
      </w:r>
      <w:r w:rsidR="007021BB">
        <w:t xml:space="preserve"> and</w:t>
      </w:r>
      <w:r w:rsidR="00944F25">
        <w:t xml:space="preserve"> per capita spending</w:t>
      </w:r>
      <w:r>
        <w:t xml:space="preserve">.  </w:t>
      </w:r>
      <w:r w:rsidR="00583FE4">
        <w:t>However, c</w:t>
      </w:r>
      <w:r>
        <w:t xml:space="preserve">omments </w:t>
      </w:r>
      <w:r w:rsidR="00F126E4">
        <w:t xml:space="preserve">from </w:t>
      </w:r>
      <w:r w:rsidR="007021BB">
        <w:t>CEOs</w:t>
      </w:r>
      <w:r w:rsidR="00F126E4">
        <w:t xml:space="preserve"> indicate </w:t>
      </w:r>
      <w:r>
        <w:t xml:space="preserve">program funding </w:t>
      </w:r>
      <w:r w:rsidR="00583FE4">
        <w:t xml:space="preserve">in the ACT has not kept </w:t>
      </w:r>
      <w:r>
        <w:t xml:space="preserve">pace with increased </w:t>
      </w:r>
      <w:r w:rsidR="00F126E4">
        <w:t xml:space="preserve">service </w:t>
      </w:r>
      <w:r>
        <w:t xml:space="preserve">requirements and costs. </w:t>
      </w:r>
      <w:r w:rsidR="00944F25">
        <w:t>In</w:t>
      </w:r>
      <w:r w:rsidR="001F7701">
        <w:t xml:space="preserve"> the</w:t>
      </w:r>
      <w:r w:rsidR="00944F25">
        <w:t xml:space="preserve"> 2021</w:t>
      </w:r>
      <w:r w:rsidR="001F7701">
        <w:t xml:space="preserve"> Service Costing Survey</w:t>
      </w:r>
      <w:r w:rsidR="00944F25">
        <w:t xml:space="preserve">, </w:t>
      </w:r>
      <w:r w:rsidR="00F126E4">
        <w:t xml:space="preserve">leaders </w:t>
      </w:r>
      <w:r w:rsidR="001F7701">
        <w:t xml:space="preserve">highlighted </w:t>
      </w:r>
      <w:r>
        <w:t>poor cost coverage</w:t>
      </w:r>
      <w:r w:rsidR="007F7509">
        <w:t xml:space="preserve">. Many reported </w:t>
      </w:r>
      <w:r>
        <w:t xml:space="preserve">that they </w:t>
      </w:r>
      <w:r w:rsidR="00F126E4">
        <w:t xml:space="preserve">were </w:t>
      </w:r>
      <w:r>
        <w:t>supplement</w:t>
      </w:r>
      <w:r w:rsidR="00F126E4">
        <w:t xml:space="preserve">ing ACT programs </w:t>
      </w:r>
      <w:r>
        <w:t>with other funds, for example:</w:t>
      </w:r>
    </w:p>
    <w:p w14:paraId="70F5382F" w14:textId="77777777" w:rsidR="008D4D62" w:rsidRDefault="008D4D62" w:rsidP="008D4D62">
      <w:pPr>
        <w:pStyle w:val="Quote"/>
      </w:pPr>
      <w:r w:rsidRPr="00792285">
        <w:t>The funds provided by the ACT Government are a small proportion of the cost of delivering the services provided to the Canberra community.</w:t>
      </w:r>
    </w:p>
    <w:p w14:paraId="0A795378" w14:textId="77777777" w:rsidR="008D4D62" w:rsidRDefault="008D4D62" w:rsidP="008D4D62">
      <w:pPr>
        <w:pStyle w:val="Quote"/>
      </w:pPr>
      <w:r w:rsidRPr="00F45878">
        <w:t>We are inadequate</w:t>
      </w:r>
      <w:r>
        <w:t>ly</w:t>
      </w:r>
      <w:r w:rsidRPr="00F45878">
        <w:t xml:space="preserve"> funded to do our core duties. We supplement our income with project funding and external consultancies. However, we would not be able to do our core business adequately just with our core funding.</w:t>
      </w:r>
    </w:p>
    <w:p w14:paraId="6B83E7C0" w14:textId="25EF0A1A" w:rsidR="008D4D62" w:rsidRDefault="008D4D62" w:rsidP="008D4D62">
      <w:pPr>
        <w:pStyle w:val="BodyText"/>
      </w:pPr>
      <w:r>
        <w:t xml:space="preserve">Some indicated this situation </w:t>
      </w:r>
      <w:r w:rsidR="00583FE4">
        <w:t xml:space="preserve">has </w:t>
      </w:r>
      <w:r>
        <w:t xml:space="preserve">resulted from years without adequate increases, at a time of growing need: </w:t>
      </w:r>
    </w:p>
    <w:p w14:paraId="3E5EA3B1" w14:textId="77777777" w:rsidR="008D4D62" w:rsidRDefault="008D4D62" w:rsidP="008D4D62">
      <w:pPr>
        <w:pStyle w:val="Quote"/>
      </w:pPr>
      <w:r w:rsidRPr="006F26BC">
        <w:t>We have had next to no rise in funding/outputs in at least 10 years and yet the community size has grown and aged in this period which has meant there is a greater need for services.</w:t>
      </w:r>
    </w:p>
    <w:p w14:paraId="2FB088A4" w14:textId="0CD105D3" w:rsidR="00BB39DC" w:rsidRDefault="00BB39DC" w:rsidP="004738B9">
      <w:pPr>
        <w:pStyle w:val="BodyText"/>
      </w:pPr>
      <w:r>
        <w:t xml:space="preserve">Circumstances were seen to be taking </w:t>
      </w:r>
      <w:r w:rsidR="00607ACE">
        <w:t>a toll on workers, and contributing to turnover (which also creates costs for organisations)”</w:t>
      </w:r>
    </w:p>
    <w:p w14:paraId="198BEC0F" w14:textId="7B5E0DAF" w:rsidR="00BB39DC" w:rsidRDefault="00BB39DC" w:rsidP="00BB39DC">
      <w:pPr>
        <w:pStyle w:val="Quote"/>
      </w:pPr>
      <w:r w:rsidRPr="00785ADF">
        <w:t>Our team have worked ha</w:t>
      </w:r>
      <w:r>
        <w:t>r</w:t>
      </w:r>
      <w:r w:rsidRPr="00785ADF">
        <w:t>d to offer a quality service and are a trusted provider. We now get more requests than we can fulfil and that makes it so difficult because the team stretch themselves to meet the need. It’s not sustainable and we have high turnover.</w:t>
      </w:r>
    </w:p>
    <w:p w14:paraId="4234298C" w14:textId="6A512B10" w:rsidR="008D4D62" w:rsidRDefault="00F126E4" w:rsidP="004738B9">
      <w:pPr>
        <w:pStyle w:val="BodyText"/>
      </w:pPr>
      <w:r>
        <w:t xml:space="preserve">The </w:t>
      </w:r>
      <w:r w:rsidR="00836492">
        <w:t xml:space="preserve">next sections </w:t>
      </w:r>
      <w:r w:rsidR="00583FE4">
        <w:t xml:space="preserve">delve deeper, to </w:t>
      </w:r>
      <w:r w:rsidR="00836492">
        <w:t>focus separate</w:t>
      </w:r>
      <w:r w:rsidR="00583FE4">
        <w:t>ly on the</w:t>
      </w:r>
      <w:r w:rsidR="00B34107">
        <w:t>se</w:t>
      </w:r>
      <w:r w:rsidR="00583FE4">
        <w:t xml:space="preserve"> two sources of </w:t>
      </w:r>
      <w:r w:rsidR="00836492">
        <w:t xml:space="preserve">resource </w:t>
      </w:r>
      <w:r>
        <w:t>pressures</w:t>
      </w:r>
      <w:r w:rsidR="00836492">
        <w:t xml:space="preserve"> in the ACT: </w:t>
      </w:r>
      <w:r w:rsidR="00DA6773">
        <w:t>increased demand and complexity of need in service user cohorts (Section</w:t>
      </w:r>
      <w:r w:rsidR="00FD3D2B">
        <w:t xml:space="preserve"> 4</w:t>
      </w:r>
      <w:r w:rsidR="00DA6773">
        <w:t>)</w:t>
      </w:r>
      <w:r w:rsidR="00836492">
        <w:t xml:space="preserve">, and pressures </w:t>
      </w:r>
      <w:r w:rsidR="00583FE4">
        <w:t xml:space="preserve">from rising costs </w:t>
      </w:r>
      <w:r w:rsidR="00944F25">
        <w:t>(Section</w:t>
      </w:r>
      <w:r w:rsidR="00836492">
        <w:t xml:space="preserve"> </w:t>
      </w:r>
      <w:r w:rsidR="00836492">
        <w:fldChar w:fldCharType="begin"/>
      </w:r>
      <w:r w:rsidR="00836492">
        <w:instrText xml:space="preserve"> REF _Ref87973095 \r \h </w:instrText>
      </w:r>
      <w:r w:rsidR="00836492">
        <w:fldChar w:fldCharType="separate"/>
      </w:r>
      <w:r w:rsidR="00E405AF">
        <w:t>5</w:t>
      </w:r>
      <w:r w:rsidR="00836492">
        <w:fldChar w:fldCharType="end"/>
      </w:r>
      <w:r w:rsidR="00944F25">
        <w:t>)</w:t>
      </w:r>
      <w:r>
        <w:t xml:space="preserve">. </w:t>
      </w:r>
    </w:p>
    <w:p w14:paraId="662AB041" w14:textId="284A33A3" w:rsidR="008D4D62" w:rsidRDefault="008D4D62" w:rsidP="004738B9">
      <w:pPr>
        <w:pStyle w:val="BodyText"/>
      </w:pPr>
    </w:p>
    <w:p w14:paraId="4CEB0BEB" w14:textId="66B512CD" w:rsidR="00E35318" w:rsidRPr="00A03F81" w:rsidRDefault="00E35318" w:rsidP="00FE01CA">
      <w:pPr>
        <w:pStyle w:val="Heading1"/>
        <w:numPr>
          <w:ilvl w:val="0"/>
          <w:numId w:val="22"/>
        </w:numPr>
        <w:ind w:left="425" w:hanging="425"/>
      </w:pPr>
      <w:bookmarkStart w:id="30" w:name="_Toc90019551"/>
      <w:bookmarkStart w:id="31" w:name="_Ref87953925"/>
      <w:bookmarkStart w:id="32" w:name="_Ref87972263"/>
      <w:r>
        <w:lastRenderedPageBreak/>
        <w:t xml:space="preserve">A closer </w:t>
      </w:r>
      <w:r w:rsidRPr="005E66DA">
        <w:t>look</w:t>
      </w:r>
      <w:r>
        <w:t xml:space="preserve"> at demand pressures in the ACT</w:t>
      </w:r>
      <w:bookmarkEnd w:id="30"/>
    </w:p>
    <w:p w14:paraId="5023F5CB" w14:textId="5A88E9A6" w:rsidR="00DA6773" w:rsidRDefault="00C41F4F" w:rsidP="00DA6773">
      <w:pPr>
        <w:pStyle w:val="BodyText"/>
      </w:pPr>
      <w:r>
        <w:t>This section provides evidence on drivers of</w:t>
      </w:r>
      <w:r w:rsidR="00C27001">
        <w:t xml:space="preserve"> </w:t>
      </w:r>
      <w:r>
        <w:t>rising demand in the ACT, which include population growth,</w:t>
      </w:r>
      <w:r w:rsidR="00C27001">
        <w:t xml:space="preserve"> </w:t>
      </w:r>
      <w:r>
        <w:t>c</w:t>
      </w:r>
      <w:r w:rsidR="00DA6773">
        <w:t xml:space="preserve">hanges </w:t>
      </w:r>
      <w:r>
        <w:t xml:space="preserve">in </w:t>
      </w:r>
      <w:r w:rsidR="00DA6773">
        <w:t xml:space="preserve">complexity </w:t>
      </w:r>
      <w:r>
        <w:t>and need,</w:t>
      </w:r>
      <w:r w:rsidR="00C27001">
        <w:t xml:space="preserve"> </w:t>
      </w:r>
      <w:r>
        <w:t>and increasing levels of demand associated with rising living costs</w:t>
      </w:r>
      <w:r w:rsidR="00C27001">
        <w:t xml:space="preserve"> and </w:t>
      </w:r>
      <w:r>
        <w:t>the COVID-19 pandemic</w:t>
      </w:r>
      <w:r w:rsidR="00DA6773">
        <w:t xml:space="preserve">. </w:t>
      </w:r>
    </w:p>
    <w:p w14:paraId="6829185F" w14:textId="448B64C0" w:rsidR="00E35318" w:rsidRPr="00905774" w:rsidRDefault="00E35318" w:rsidP="006E6C6C">
      <w:pPr>
        <w:pStyle w:val="Heading2"/>
      </w:pPr>
      <w:bookmarkStart w:id="33" w:name="_Toc88753124"/>
      <w:bookmarkStart w:id="34" w:name="_Toc90019552"/>
      <w:r w:rsidRPr="00905774">
        <w:t>Population growth</w:t>
      </w:r>
      <w:bookmarkEnd w:id="33"/>
      <w:bookmarkEnd w:id="34"/>
    </w:p>
    <w:p w14:paraId="32CC0125" w14:textId="4FD98E6C" w:rsidR="00DA6773" w:rsidRDefault="00DA6773" w:rsidP="00DA6773">
      <w:pPr>
        <w:pStyle w:val="BodyText"/>
      </w:pPr>
      <w:r>
        <w:t xml:space="preserve">A growing, </w:t>
      </w:r>
      <w:r w:rsidR="00DE6904">
        <w:t xml:space="preserve">ageing, </w:t>
      </w:r>
      <w:r>
        <w:t xml:space="preserve">and increasingly diverse </w:t>
      </w:r>
      <w:r w:rsidR="00131EF1">
        <w:t xml:space="preserve">and dispersed </w:t>
      </w:r>
      <w:r>
        <w:t xml:space="preserve">population </w:t>
      </w:r>
      <w:r w:rsidR="00836492">
        <w:t xml:space="preserve">raises </w:t>
      </w:r>
      <w:r>
        <w:t>demand</w:t>
      </w:r>
      <w:r w:rsidR="00836492">
        <w:t xml:space="preserve"> </w:t>
      </w:r>
      <w:r w:rsidR="007D6484">
        <w:t xml:space="preserve">and increases </w:t>
      </w:r>
      <w:r w:rsidR="00836492">
        <w:t>the</w:t>
      </w:r>
      <w:r>
        <w:t xml:space="preserve"> costs of servicing the ACT community. P</w:t>
      </w:r>
      <w:r w:rsidRPr="00081D36">
        <w:t xml:space="preserve">opulation </w:t>
      </w:r>
      <w:r>
        <w:t>growth in the ACT was 0.8% in the year to December 2020, representing growth of 3200 people</w:t>
      </w:r>
      <w:r w:rsidR="00DE6904">
        <w:t>. The population is</w:t>
      </w:r>
      <w:r w:rsidR="007D6484">
        <w:t xml:space="preserve"> increasingly dispersed, including in new </w:t>
      </w:r>
      <w:r w:rsidR="00131EF1">
        <w:t xml:space="preserve">outer </w:t>
      </w:r>
      <w:r w:rsidR="007D6484">
        <w:t xml:space="preserve">suburbs </w:t>
      </w:r>
      <w:r w:rsidR="00DE6904">
        <w:t>in Canberra’s north and west, and the median age is projected to gradually rise</w:t>
      </w:r>
      <w:r w:rsidR="00DE6904">
        <w:rPr>
          <w:rStyle w:val="FootnoteReference"/>
        </w:rPr>
        <w:footnoteReference w:id="24"/>
      </w:r>
      <w:r>
        <w:t>. Th</w:t>
      </w:r>
      <w:r w:rsidR="007D6484">
        <w:t xml:space="preserve">e ACT’s rate of </w:t>
      </w:r>
      <w:r w:rsidR="00237CC5">
        <w:t xml:space="preserve">population </w:t>
      </w:r>
      <w:r w:rsidR="007D6484">
        <w:t>growth</w:t>
      </w:r>
      <w:r>
        <w:t xml:space="preserve"> was higher than the rate of growth across Australia (0.5%)</w:t>
      </w:r>
      <w:r w:rsidRPr="00081D36">
        <w:t>.</w:t>
      </w:r>
      <w:r>
        <w:rPr>
          <w:rStyle w:val="FootnoteReference"/>
        </w:rPr>
        <w:footnoteReference w:id="25"/>
      </w:r>
      <w:r>
        <w:t xml:space="preserve"> While 2021 </w:t>
      </w:r>
      <w:r w:rsidR="00FB4FEC">
        <w:t>C</w:t>
      </w:r>
      <w:r>
        <w:t xml:space="preserve">ensus data is not yet available, earlier information indicates the ACT’s population has become more diverse. The ACT’s </w:t>
      </w:r>
      <w:r w:rsidRPr="00DA379D">
        <w:t>Aboriginal and Torres Strait Islander population is projected to be the fastest growing of all states and territories</w:t>
      </w:r>
      <w:r>
        <w:t>. F</w:t>
      </w:r>
      <w:r w:rsidRPr="00081D36">
        <w:t xml:space="preserve">rom 2006 to 2016 the </w:t>
      </w:r>
      <w:r>
        <w:t xml:space="preserve">Census </w:t>
      </w:r>
      <w:r w:rsidRPr="00081D36">
        <w:t xml:space="preserve">count </w:t>
      </w:r>
      <w:r>
        <w:t xml:space="preserve">of the Aboriginal and Torres Strait Islander population </w:t>
      </w:r>
      <w:r w:rsidRPr="00081D36">
        <w:t xml:space="preserve">increased </w:t>
      </w:r>
      <w:r>
        <w:t xml:space="preserve">from </w:t>
      </w:r>
      <w:r w:rsidRPr="00081D36">
        <w:t>1.3% of</w:t>
      </w:r>
      <w:r>
        <w:t xml:space="preserve"> the</w:t>
      </w:r>
      <w:r w:rsidRPr="00081D36">
        <w:t xml:space="preserve"> ACT </w:t>
      </w:r>
      <w:r>
        <w:t xml:space="preserve">population </w:t>
      </w:r>
      <w:r w:rsidRPr="00081D36">
        <w:t>to 1.8%</w:t>
      </w:r>
      <w:r w:rsidR="00C41F4F">
        <w:t>, and t</w:t>
      </w:r>
      <w:r>
        <w:t>he ABS projects</w:t>
      </w:r>
      <w:r w:rsidRPr="00DA379D">
        <w:t xml:space="preserve"> </w:t>
      </w:r>
      <w:r w:rsidR="00C41F4F">
        <w:t xml:space="preserve">further growth </w:t>
      </w:r>
      <w:r w:rsidRPr="00DA379D">
        <w:t>of between 2.6% and 2.9% per year</w:t>
      </w:r>
      <w:r>
        <w:rPr>
          <w:rStyle w:val="FootnoteReference"/>
        </w:rPr>
        <w:footnoteReference w:id="26"/>
      </w:r>
      <w:r w:rsidRPr="00DA379D">
        <w:t>.</w:t>
      </w:r>
      <w:r>
        <w:t xml:space="preserve"> There has also been an increase in </w:t>
      </w:r>
      <w:r w:rsidR="00C41F4F">
        <w:t>cultural diversity: i</w:t>
      </w:r>
      <w:r>
        <w:t>n 2016,</w:t>
      </w:r>
      <w:r w:rsidRPr="00822784">
        <w:t xml:space="preserve"> 26.5% </w:t>
      </w:r>
      <w:r>
        <w:t xml:space="preserve">of the population were </w:t>
      </w:r>
      <w:r w:rsidRPr="00822784">
        <w:t xml:space="preserve">born overseas; </w:t>
      </w:r>
      <w:r>
        <w:t>up</w:t>
      </w:r>
      <w:r w:rsidRPr="00822784">
        <w:t xml:space="preserve"> from 24% in 2011</w:t>
      </w:r>
      <w:r w:rsidR="00C41F4F">
        <w:t>, and</w:t>
      </w:r>
      <w:r w:rsidRPr="00822784">
        <w:t xml:space="preserve"> </w:t>
      </w:r>
      <w:r w:rsidR="00C41F4F">
        <w:t>i</w:t>
      </w:r>
      <w:r>
        <w:t>n 2016, 24% of ACT residents aged five and over indicated that they spoke a language other than English at home, up from 18% in 2011.</w:t>
      </w:r>
      <w:r>
        <w:rPr>
          <w:rStyle w:val="FootnoteReference"/>
        </w:rPr>
        <w:footnoteReference w:id="27"/>
      </w:r>
      <w:r>
        <w:t xml:space="preserve"> </w:t>
      </w:r>
    </w:p>
    <w:p w14:paraId="5754B910" w14:textId="7A71135E" w:rsidR="00DA6773" w:rsidRPr="00081D36" w:rsidRDefault="00DA6773" w:rsidP="006E6C6C">
      <w:pPr>
        <w:pStyle w:val="Heading2"/>
      </w:pPr>
      <w:bookmarkStart w:id="35" w:name="_Toc88753125"/>
      <w:bookmarkStart w:id="36" w:name="_Toc90019553"/>
      <w:r>
        <w:t>COVID</w:t>
      </w:r>
      <w:r w:rsidR="000A7299">
        <w:t>-19</w:t>
      </w:r>
      <w:r>
        <w:t xml:space="preserve"> </w:t>
      </w:r>
      <w:r w:rsidR="00D7248D">
        <w:t>and</w:t>
      </w:r>
      <w:r>
        <w:t xml:space="preserve"> increased support needs</w:t>
      </w:r>
      <w:bookmarkEnd w:id="35"/>
      <w:bookmarkEnd w:id="36"/>
    </w:p>
    <w:p w14:paraId="684C85BC" w14:textId="61F62FF0" w:rsidR="00DA6773" w:rsidRDefault="00DA6773" w:rsidP="00DA6773">
      <w:pPr>
        <w:pStyle w:val="BodyText"/>
      </w:pPr>
      <w:r>
        <w:t xml:space="preserve">Poverty, financial stress, and housing pressures contribute to service demand, complexity of need, and costs. In 2020, the number of people looking for work in the ACT increased, triggered by </w:t>
      </w:r>
      <w:r w:rsidR="00C41F4F">
        <w:t xml:space="preserve">job losses in </w:t>
      </w:r>
      <w:r>
        <w:t xml:space="preserve">the first wave of the </w:t>
      </w:r>
      <w:r w:rsidR="00075207">
        <w:t xml:space="preserve">COVID-19 </w:t>
      </w:r>
      <w:r>
        <w:t xml:space="preserve">pandemic. </w:t>
      </w:r>
      <w:r w:rsidR="00C41F4F">
        <w:t>Unfortunately, a</w:t>
      </w:r>
      <w:r w:rsidR="005B6251">
        <w:t xml:space="preserve">t the time the 2021 lockdown commenced </w:t>
      </w:r>
      <w:r w:rsidR="00131EF1">
        <w:t xml:space="preserve">in Canberra </w:t>
      </w:r>
      <w:r w:rsidR="005B6251">
        <w:t xml:space="preserve">on 12 August 2021, numbers </w:t>
      </w:r>
      <w:r w:rsidR="00C41F4F">
        <w:t xml:space="preserve">had not returned to </w:t>
      </w:r>
      <w:r>
        <w:t xml:space="preserve">pre-pandemic levels. </w:t>
      </w:r>
      <w:r w:rsidR="00C41F4F">
        <w:t xml:space="preserve">More recently, </w:t>
      </w:r>
      <w:r w:rsidR="00131EF1">
        <w:t xml:space="preserve">and </w:t>
      </w:r>
      <w:r w:rsidR="003A1C9B">
        <w:t xml:space="preserve">only part-way through </w:t>
      </w:r>
      <w:r w:rsidR="00C41F4F">
        <w:t xml:space="preserve">the </w:t>
      </w:r>
      <w:r w:rsidR="00131EF1">
        <w:t xml:space="preserve">Delta </w:t>
      </w:r>
      <w:r w:rsidR="00C41F4F">
        <w:t>wave</w:t>
      </w:r>
      <w:r>
        <w:t>, 61,000 people in the ACT had received at least one COVID disaster payment, indicating further accumulation of financial hardship.</w:t>
      </w:r>
      <w:r>
        <w:rPr>
          <w:rStyle w:val="FootnoteReference"/>
        </w:rPr>
        <w:footnoteReference w:id="28"/>
      </w:r>
      <w:r>
        <w:t xml:space="preserve"> </w:t>
      </w:r>
    </w:p>
    <w:p w14:paraId="5AB35EDA" w14:textId="22182CE9" w:rsidR="00DA6773" w:rsidRDefault="00DA6773" w:rsidP="00DA6773">
      <w:pPr>
        <w:pStyle w:val="BodyText"/>
      </w:pPr>
      <w:r>
        <w:t xml:space="preserve">Information from the Department of Social Services shows </w:t>
      </w:r>
      <w:r w:rsidR="003A1C9B">
        <w:t xml:space="preserve">a </w:t>
      </w:r>
      <w:r>
        <w:t xml:space="preserve">spike in the number of people receiving the main income support payments in the ACT </w:t>
      </w:r>
      <w:r w:rsidR="003A1C9B">
        <w:t xml:space="preserve">during the pandemic </w:t>
      </w:r>
      <w:r>
        <w:t xml:space="preserve">(see </w:t>
      </w:r>
      <w:r w:rsidR="009D7672">
        <w:fldChar w:fldCharType="begin"/>
      </w:r>
      <w:r w:rsidR="009D7672">
        <w:instrText xml:space="preserve"> REF _Ref88810641 \h </w:instrText>
      </w:r>
      <w:r w:rsidR="009D7672">
        <w:fldChar w:fldCharType="separate"/>
      </w:r>
      <w:r w:rsidR="00E405AF">
        <w:t xml:space="preserve">Figure C. </w:t>
      </w:r>
      <w:r w:rsidR="00E405AF">
        <w:rPr>
          <w:noProof/>
        </w:rPr>
        <w:t>1</w:t>
      </w:r>
      <w:r w:rsidR="009D7672">
        <w:fldChar w:fldCharType="end"/>
      </w:r>
      <w:r>
        <w:t>). In</w:t>
      </w:r>
      <w:r w:rsidR="00E26BE9">
        <w:t> </w:t>
      </w:r>
      <w:r>
        <w:t xml:space="preserve">2020, numbers receiving Jobseeker payment, Parenting Payment (single) and Youth Allowance </w:t>
      </w:r>
      <w:r>
        <w:lastRenderedPageBreak/>
        <w:t xml:space="preserve">increased dramatically, and numbers had not returned to 2019 levels before the 2021 lockdown in the ACT. </w:t>
      </w:r>
    </w:p>
    <w:p w14:paraId="2E4ABE11" w14:textId="09B1856D" w:rsidR="00DA6773" w:rsidRDefault="003A1C9B" w:rsidP="00DA6773">
      <w:pPr>
        <w:pStyle w:val="BodyText"/>
      </w:pPr>
      <w:r>
        <w:t>Moreover, i</w:t>
      </w:r>
      <w:r w:rsidR="00DA6773">
        <w:t xml:space="preserve">n 2021, many Canberrans missed out on the </w:t>
      </w:r>
      <w:r w:rsidR="005E66DA">
        <w:t xml:space="preserve">pandemic </w:t>
      </w:r>
      <w:r w:rsidR="00DA6773">
        <w:t xml:space="preserve">support they required in the absence of the Coronavirus supplement, which </w:t>
      </w:r>
      <w:r>
        <w:t xml:space="preserve">had </w:t>
      </w:r>
      <w:r w:rsidR="00DA6773">
        <w:t>temporarily raised some income support payments above the poverty line</w:t>
      </w:r>
      <w:r>
        <w:t xml:space="preserve"> during 2020</w:t>
      </w:r>
      <w:r w:rsidR="00DA6773">
        <w:t xml:space="preserve">.  </w:t>
      </w:r>
      <w:r>
        <w:t xml:space="preserve">It has been </w:t>
      </w:r>
      <w:r w:rsidR="00DA6773">
        <w:t>estimated that</w:t>
      </w:r>
      <w:r>
        <w:t>,</w:t>
      </w:r>
      <w:r w:rsidR="00DA6773">
        <w:t xml:space="preserve"> as of September 2021, the number of people in the</w:t>
      </w:r>
      <w:r w:rsidR="005E66DA">
        <w:t xml:space="preserve"> income support</w:t>
      </w:r>
      <w:r w:rsidR="00DA6773">
        <w:t xml:space="preserve"> payment categories that were previously eligible for the Coronavirus supplement was </w:t>
      </w:r>
      <w:r>
        <w:t xml:space="preserve">greater than </w:t>
      </w:r>
      <w:r w:rsidR="00DA6773">
        <w:t>17,</w:t>
      </w:r>
      <w:r>
        <w:t>000</w:t>
      </w:r>
      <w:r w:rsidR="00DA6773">
        <w:t>.</w:t>
      </w:r>
      <w:r w:rsidR="00DA6773">
        <w:rPr>
          <w:rStyle w:val="FootnoteReference"/>
        </w:rPr>
        <w:footnoteReference w:id="29"/>
      </w:r>
      <w:r w:rsidR="00DA6773">
        <w:t xml:space="preserve"> </w:t>
      </w:r>
    </w:p>
    <w:p w14:paraId="046A6919" w14:textId="43F16061" w:rsidR="00DA6773" w:rsidRPr="00C27001" w:rsidRDefault="00D7248D" w:rsidP="006E6C6C">
      <w:pPr>
        <w:pStyle w:val="Heading2"/>
      </w:pPr>
      <w:bookmarkStart w:id="37" w:name="_Toc88753126"/>
      <w:bookmarkStart w:id="38" w:name="_Toc90019554"/>
      <w:r>
        <w:t>R</w:t>
      </w:r>
      <w:r w:rsidR="00DA6773" w:rsidRPr="00C27001">
        <w:t>ising living costs</w:t>
      </w:r>
      <w:bookmarkEnd w:id="37"/>
      <w:r>
        <w:t xml:space="preserve"> and financial stress</w:t>
      </w:r>
      <w:bookmarkEnd w:id="38"/>
    </w:p>
    <w:p w14:paraId="014E8C2C" w14:textId="4A00F7E6" w:rsidR="00DA6773" w:rsidRDefault="00DA6773" w:rsidP="00DA6773">
      <w:pPr>
        <w:pStyle w:val="BodyText"/>
      </w:pPr>
      <w:r w:rsidRPr="00241640">
        <w:t xml:space="preserve">Rising </w:t>
      </w:r>
      <w:r>
        <w:t xml:space="preserve">living </w:t>
      </w:r>
      <w:r w:rsidR="00762E10">
        <w:t xml:space="preserve">costs </w:t>
      </w:r>
      <w:r>
        <w:t xml:space="preserve">for </w:t>
      </w:r>
      <w:r w:rsidRPr="00241640">
        <w:t>low</w:t>
      </w:r>
      <w:r>
        <w:t>-</w:t>
      </w:r>
      <w:r w:rsidRPr="00241640">
        <w:t>income families</w:t>
      </w:r>
      <w:r>
        <w:t xml:space="preserve"> contribute to demand</w:t>
      </w:r>
      <w:r w:rsidR="003A1C9B">
        <w:t xml:space="preserve"> for support from</w:t>
      </w:r>
      <w:r w:rsidR="005E66DA">
        <w:t xml:space="preserve"> the </w:t>
      </w:r>
      <w:r w:rsidR="00836492">
        <w:t>community sector</w:t>
      </w:r>
      <w:r>
        <w:t xml:space="preserve">. The 2021 </w:t>
      </w:r>
      <w:r w:rsidRPr="00237CC5">
        <w:rPr>
          <w:i/>
          <w:iCs/>
        </w:rPr>
        <w:t>ACT Cost of Living report</w:t>
      </w:r>
      <w:r>
        <w:rPr>
          <w:rStyle w:val="FootnoteReference"/>
        </w:rPr>
        <w:footnoteReference w:id="30"/>
      </w:r>
      <w:r>
        <w:t xml:space="preserve"> showed that in </w:t>
      </w:r>
      <w:r w:rsidR="00836492">
        <w:t xml:space="preserve">both </w:t>
      </w:r>
      <w:r>
        <w:t xml:space="preserve">the previous year, and in the previous five years, the CPI rose at a higher rate in Canberra than nationally. Rising prices of essential goods and services </w:t>
      </w:r>
      <w:r w:rsidR="00836492">
        <w:t xml:space="preserve">including </w:t>
      </w:r>
      <w:r>
        <w:t xml:space="preserve">electricity, gas, health, education, </w:t>
      </w:r>
      <w:proofErr w:type="gramStart"/>
      <w:r>
        <w:t>housing</w:t>
      </w:r>
      <w:proofErr w:type="gramEnd"/>
      <w:r>
        <w:t xml:space="preserve"> and food</w:t>
      </w:r>
      <w:r w:rsidR="00836492">
        <w:t>, contribute to need in vulnerable households</w:t>
      </w:r>
      <w:r>
        <w:t>. Increases in non-discretionary</w:t>
      </w:r>
      <w:r w:rsidR="00836492">
        <w:t xml:space="preserve">, </w:t>
      </w:r>
      <w:r>
        <w:t>essential goods increased faster than others, disproportionately impact</w:t>
      </w:r>
      <w:r w:rsidR="00836492">
        <w:t>ing</w:t>
      </w:r>
      <w:r>
        <w:t xml:space="preserve"> low-income households, and </w:t>
      </w:r>
      <w:r w:rsidR="00836492">
        <w:t xml:space="preserve">contributing to intensified need through the </w:t>
      </w:r>
      <w:r>
        <w:t>2021 lockdown</w:t>
      </w:r>
      <w:r w:rsidR="005E66DA">
        <w:t xml:space="preserve"> period</w:t>
      </w:r>
      <w:r>
        <w:t xml:space="preserve">. </w:t>
      </w:r>
    </w:p>
    <w:p w14:paraId="3D642E47" w14:textId="1D3B4B61" w:rsidR="00DA6773" w:rsidRDefault="00DA6773" w:rsidP="00DA6773">
      <w:pPr>
        <w:pStyle w:val="BodyText"/>
      </w:pPr>
      <w:r>
        <w:t xml:space="preserve">Prior to the pandemic, there was already evidence of high levels of financial pressure on </w:t>
      </w:r>
      <w:r w:rsidR="00836492">
        <w:t>the ACT population</w:t>
      </w:r>
      <w:r>
        <w:t>. The ABS Household Expenditure Survey indicated 10.2% of people were unable to raise $2000 in a week for something important; 13.9% could only afford second-hand clothes most of the time, 12.4% could not afford a special meal once a week; 12.5% could not afford leisure or hobby activities; and 12.2% could not afford a holiday for at least a week a year. 6.1% could not pay utilities bills on time, and 6% sought assistance from welfare/community organisations due to financial stress.</w:t>
      </w:r>
      <w:r>
        <w:rPr>
          <w:rStyle w:val="FootnoteReference"/>
        </w:rPr>
        <w:footnoteReference w:id="31"/>
      </w:r>
      <w:r>
        <w:t xml:space="preserve"> These pressures on households </w:t>
      </w:r>
      <w:r w:rsidR="00836492">
        <w:t xml:space="preserve">were highlighted by the pandemic and are likely to have increased, </w:t>
      </w:r>
      <w:r>
        <w:t xml:space="preserve">exacerbating </w:t>
      </w:r>
      <w:r w:rsidR="00836492">
        <w:t>support needs</w:t>
      </w:r>
      <w:r w:rsidR="005E66DA">
        <w:t xml:space="preserve"> in the ACT community</w:t>
      </w:r>
      <w:r>
        <w:t>.</w:t>
      </w:r>
    </w:p>
    <w:p w14:paraId="47503FC5" w14:textId="19DCED6D" w:rsidR="00DA6773" w:rsidRPr="004D5CAE" w:rsidRDefault="00DA6773" w:rsidP="006E6C6C">
      <w:pPr>
        <w:pStyle w:val="Heading2"/>
      </w:pPr>
      <w:bookmarkStart w:id="39" w:name="_Toc88753127"/>
      <w:bookmarkStart w:id="40" w:name="_Toc90019555"/>
      <w:r>
        <w:t xml:space="preserve">Housing pressures </w:t>
      </w:r>
      <w:r w:rsidR="00D7248D">
        <w:t>and</w:t>
      </w:r>
      <w:r>
        <w:t xml:space="preserve"> unmet need</w:t>
      </w:r>
      <w:bookmarkEnd w:id="39"/>
      <w:bookmarkEnd w:id="40"/>
    </w:p>
    <w:p w14:paraId="6CAB5609" w14:textId="6B19BD84" w:rsidR="00DA6773" w:rsidRDefault="004C6FCF" w:rsidP="00DA6773">
      <w:pPr>
        <w:pStyle w:val="BodyText"/>
      </w:pPr>
      <w:r>
        <w:t>There is a lack of a</w:t>
      </w:r>
      <w:r w:rsidR="00DA6773">
        <w:t xml:space="preserve">ffordable housing </w:t>
      </w:r>
      <w:r w:rsidR="005E66DA">
        <w:t>in Canberra</w:t>
      </w:r>
      <w:r>
        <w:t xml:space="preserve"> which</w:t>
      </w:r>
      <w:r w:rsidR="00DA6773">
        <w:t xml:space="preserve"> </w:t>
      </w:r>
      <w:r w:rsidR="00836492">
        <w:t>increas</w:t>
      </w:r>
      <w:r>
        <w:t>es</w:t>
      </w:r>
      <w:r w:rsidR="00836492">
        <w:t xml:space="preserve"> the support needs of low-income people with complex needs</w:t>
      </w:r>
      <w:r w:rsidR="00DA6773">
        <w:t>. As of 4 October 2021, there were 2965 applications on the social housing waiting list. The average waiting time was 339 days for priority housing, 927 days for high needs housing, and 1472 days for standard housing.</w:t>
      </w:r>
      <w:r w:rsidR="00DA6773">
        <w:rPr>
          <w:rStyle w:val="FootnoteReference"/>
        </w:rPr>
        <w:footnoteReference w:id="32"/>
      </w:r>
      <w:r w:rsidR="00DA6773">
        <w:t xml:space="preserve"> The Productivity Commission Report on Government Services indicates that</w:t>
      </w:r>
      <w:r w:rsidR="00BC3A75">
        <w:t xml:space="preserve"> in the ACT,</w:t>
      </w:r>
      <w:r w:rsidR="00DA6773">
        <w:t xml:space="preserve"> </w:t>
      </w:r>
      <w:r w:rsidR="00DA6773" w:rsidRPr="00A46A3C">
        <w:t xml:space="preserve">35.6% of clients with identified need for accommodation were not provided with that service </w:t>
      </w:r>
      <w:r w:rsidR="00DA6773">
        <w:t xml:space="preserve">in </w:t>
      </w:r>
      <w:r w:rsidR="00DA6773" w:rsidRPr="00A46A3C">
        <w:t>2019-20</w:t>
      </w:r>
      <w:r w:rsidR="00DA6773">
        <w:t>.</w:t>
      </w:r>
      <w:r w:rsidR="00DA6773">
        <w:rPr>
          <w:rStyle w:val="FootnoteReference"/>
        </w:rPr>
        <w:footnoteReference w:id="33"/>
      </w:r>
      <w:r w:rsidR="00DA6773">
        <w:t xml:space="preserve"> In previous years, Canberra has also seen an expansion in insecure accommodation such as boarding houses. The number of people living in boarding houses increased from 0.2 per 10,000 to 2.4 per 10,000 from 2011 to 2016.</w:t>
      </w:r>
    </w:p>
    <w:p w14:paraId="19E4177B" w14:textId="31010933" w:rsidR="003A6C41" w:rsidRDefault="00DA6773" w:rsidP="00DA6773">
      <w:pPr>
        <w:pStyle w:val="BodyText"/>
      </w:pPr>
      <w:r>
        <w:lastRenderedPageBreak/>
        <w:t xml:space="preserve">Low-income private renters </w:t>
      </w:r>
      <w:r w:rsidR="00762E10">
        <w:t>pay</w:t>
      </w:r>
      <w:r>
        <w:t xml:space="preserve"> high rents and </w:t>
      </w:r>
      <w:r w:rsidR="00762E10">
        <w:t xml:space="preserve">experience </w:t>
      </w:r>
      <w:r>
        <w:t>rental stress</w:t>
      </w:r>
      <w:r w:rsidR="003A6C41">
        <w:t xml:space="preserve">. This </w:t>
      </w:r>
      <w:r>
        <w:t>was briefly alleviated in 2020 when the coronavirus supplement temporarily increased rates of income support.</w:t>
      </w:r>
      <w:r>
        <w:rPr>
          <w:rStyle w:val="FootnoteReference"/>
        </w:rPr>
        <w:footnoteReference w:id="34"/>
      </w:r>
      <w:r>
        <w:t xml:space="preserve"> The</w:t>
      </w:r>
      <w:r w:rsidR="00E26BE9">
        <w:t> </w:t>
      </w:r>
      <w:r>
        <w:t>Productivity Commission indicates that in the ACT, the proportion of low-income private rental households paying more than 30 per cent of income on housing costs is high relative to other jurisdictions.</w:t>
      </w:r>
      <w:r>
        <w:rPr>
          <w:rStyle w:val="FootnoteReference"/>
        </w:rPr>
        <w:footnoteReference w:id="35"/>
      </w:r>
      <w:r>
        <w:t xml:space="preserve"> </w:t>
      </w:r>
    </w:p>
    <w:p w14:paraId="04107F93" w14:textId="716DB68A" w:rsidR="00DA6773" w:rsidRDefault="003A6C41" w:rsidP="00DA6773">
      <w:pPr>
        <w:pStyle w:val="BodyText"/>
      </w:pPr>
      <w:r>
        <w:t>Unmet need for secure affordable housing has implications for homelessness. H</w:t>
      </w:r>
      <w:r w:rsidR="00DA6773">
        <w:t>omelessness service</w:t>
      </w:r>
      <w:r w:rsidR="00FB586B">
        <w:t>s</w:t>
      </w:r>
      <w:r>
        <w:t xml:space="preserve"> report that</w:t>
      </w:r>
      <w:r w:rsidR="00DA6773">
        <w:t xml:space="preserve"> recurrent costs per client increased </w:t>
      </w:r>
      <w:r>
        <w:t xml:space="preserve">by 35%, </w:t>
      </w:r>
      <w:r w:rsidR="00DA6773">
        <w:t>from $</w:t>
      </w:r>
      <w:r w:rsidR="00DA6773" w:rsidRPr="00534327">
        <w:t>4588 in 2015-16 to $6196 in 2019-20</w:t>
      </w:r>
      <w:r w:rsidR="00DA6773">
        <w:t>.</w:t>
      </w:r>
      <w:r w:rsidR="00DA6773">
        <w:rPr>
          <w:rStyle w:val="FootnoteReference"/>
        </w:rPr>
        <w:footnoteReference w:id="36"/>
      </w:r>
      <w:r w:rsidR="00DA6773">
        <w:t xml:space="preserve"> In the same period, ACT government total recurrent real expenditure on homelessness services increased only 20%</w:t>
      </w:r>
      <w:r w:rsidR="000F41BE">
        <w:t>.</w:t>
      </w:r>
      <w:r w:rsidR="00DA6773">
        <w:rPr>
          <w:rStyle w:val="FootnoteReference"/>
        </w:rPr>
        <w:footnoteReference w:id="37"/>
      </w:r>
      <w:r w:rsidR="00DA6773">
        <w:t xml:space="preserve"> </w:t>
      </w:r>
      <w:r>
        <w:t>In the same period</w:t>
      </w:r>
      <w:r w:rsidR="00DA6773">
        <w:t>, the proportion of clients with unmet needs (i.e.,</w:t>
      </w:r>
      <w:r w:rsidR="00E26BE9">
        <w:t> </w:t>
      </w:r>
      <w:r w:rsidR="00DA6773">
        <w:t xml:space="preserve">those who were not provided a service nor referred) </w:t>
      </w:r>
      <w:r>
        <w:t xml:space="preserve">multiplied 5 times over - </w:t>
      </w:r>
      <w:r w:rsidR="00DA6773">
        <w:t>from 2.7% to 13.5% in the ACT</w:t>
      </w:r>
      <w:r>
        <w:t>.</w:t>
      </w:r>
      <w:r w:rsidR="00DA6773">
        <w:rPr>
          <w:rStyle w:val="FootnoteReference"/>
        </w:rPr>
        <w:footnoteReference w:id="38"/>
      </w:r>
      <w:r w:rsidR="00DA6773">
        <w:t xml:space="preserve"> </w:t>
      </w:r>
      <w:r>
        <w:t xml:space="preserve">Unmet need rose faster for Aboriginal and Torres Strait Islander clients and is especially high among people born outside the main English speaking countries. </w:t>
      </w:r>
      <w:r w:rsidR="00DA6773">
        <w:t xml:space="preserve">Together, these </w:t>
      </w:r>
      <w:r w:rsidR="00762E10">
        <w:t xml:space="preserve">housing </w:t>
      </w:r>
      <w:r w:rsidR="00DA6773">
        <w:t xml:space="preserve">pressures contribute to </w:t>
      </w:r>
      <w:r w:rsidR="009578F5">
        <w:t xml:space="preserve">levels of </w:t>
      </w:r>
      <w:r w:rsidR="00DA6773">
        <w:t>population need</w:t>
      </w:r>
      <w:r w:rsidR="00BC3A75">
        <w:t xml:space="preserve">, the complexity of circumstances of people when they present to services </w:t>
      </w:r>
      <w:r w:rsidR="00DA6773">
        <w:t xml:space="preserve">and </w:t>
      </w:r>
      <w:r w:rsidR="00BC3A75">
        <w:t xml:space="preserve">increasing </w:t>
      </w:r>
      <w:r w:rsidR="00DA6773">
        <w:t xml:space="preserve">costs for community services and supports. </w:t>
      </w:r>
      <w:r w:rsidR="00873ED8">
        <w:t>The ACT Government’s recent commitment of additional funding</w:t>
      </w:r>
      <w:r w:rsidR="00873ED8">
        <w:rPr>
          <w:rStyle w:val="FootnoteReference"/>
        </w:rPr>
        <w:footnoteReference w:id="39"/>
      </w:r>
      <w:r w:rsidR="00873ED8">
        <w:t xml:space="preserve"> to address homelessness </w:t>
      </w:r>
      <w:r w:rsidR="00C52F34">
        <w:t xml:space="preserve">can be expected to </w:t>
      </w:r>
      <w:r w:rsidR="00873ED8">
        <w:t xml:space="preserve">help alleviate these pressures. </w:t>
      </w:r>
    </w:p>
    <w:p w14:paraId="07FAD7E3" w14:textId="2257FC7F" w:rsidR="00DA6773" w:rsidRPr="00081D36" w:rsidRDefault="00D7248D" w:rsidP="006E6C6C">
      <w:pPr>
        <w:pStyle w:val="Heading2"/>
      </w:pPr>
      <w:bookmarkStart w:id="41" w:name="_Toc90019556"/>
      <w:bookmarkStart w:id="42" w:name="_Toc88753128"/>
      <w:r>
        <w:t>Growing m</w:t>
      </w:r>
      <w:r w:rsidR="00DA6773">
        <w:t>ental health needs</w:t>
      </w:r>
      <w:bookmarkEnd w:id="41"/>
      <w:r w:rsidR="00DA6773">
        <w:t xml:space="preserve"> </w:t>
      </w:r>
      <w:bookmarkEnd w:id="42"/>
    </w:p>
    <w:p w14:paraId="30A70DC0" w14:textId="7E936F48" w:rsidR="00133FB0" w:rsidRDefault="00DA6773" w:rsidP="00DA6773">
      <w:pPr>
        <w:pStyle w:val="BodyText"/>
      </w:pPr>
      <w:r>
        <w:t xml:space="preserve">Use of </w:t>
      </w:r>
      <w:r w:rsidRPr="00386B6E">
        <w:t xml:space="preserve">mental health services </w:t>
      </w:r>
      <w:r>
        <w:t>in the ACT has grown over the last decade</w:t>
      </w:r>
      <w:r w:rsidR="005C0EC1">
        <w:t xml:space="preserve"> </w:t>
      </w:r>
      <w:r w:rsidR="00BE6E4C">
        <w:t>and needs are expected to remain high</w:t>
      </w:r>
      <w:r w:rsidR="005C0EC1">
        <w:t>. However, funding has not kept pace</w:t>
      </w:r>
      <w:r>
        <w:t xml:space="preserve">. Productivity Commission data reports that from </w:t>
      </w:r>
      <w:r w:rsidRPr="00386B6E">
        <w:t>2009-10</w:t>
      </w:r>
      <w:r>
        <w:t xml:space="preserve"> to 2018-19</w:t>
      </w:r>
      <w:r w:rsidRPr="00386B6E">
        <w:t xml:space="preserve">, </w:t>
      </w:r>
      <w:r>
        <w:t xml:space="preserve">numbers of people receiving mental health services </w:t>
      </w:r>
      <w:r w:rsidR="008A6D84">
        <w:t xml:space="preserve">more than doubled </w:t>
      </w:r>
      <w:r w:rsidRPr="00386B6E">
        <w:t>from 18,871 to 40,175</w:t>
      </w:r>
      <w:r>
        <w:t xml:space="preserve">, an increase from </w:t>
      </w:r>
      <w:r w:rsidRPr="00386B6E">
        <w:t xml:space="preserve">4.5% to 9.5% of </w:t>
      </w:r>
      <w:r>
        <w:t xml:space="preserve">the </w:t>
      </w:r>
      <w:r w:rsidRPr="00386B6E">
        <w:t>population.</w:t>
      </w:r>
      <w:r w:rsidRPr="00A12958">
        <w:rPr>
          <w:rStyle w:val="FootnoteReference"/>
        </w:rPr>
        <w:footnoteReference w:id="40"/>
      </w:r>
      <w:r w:rsidRPr="00386B6E">
        <w:t xml:space="preserve"> </w:t>
      </w:r>
      <w:r w:rsidR="00133FB0">
        <w:t>AIHW data also shows increased demand: t</w:t>
      </w:r>
      <w:r>
        <w:t xml:space="preserve">he number of contacts </w:t>
      </w:r>
      <w:r w:rsidR="00133FB0">
        <w:t xml:space="preserve">with mental health services by clients </w:t>
      </w:r>
      <w:r>
        <w:t>increased from around 223,000 in 2008-09 to 318,000 in 2018-19.</w:t>
      </w:r>
      <w:r>
        <w:rPr>
          <w:rStyle w:val="FootnoteReference"/>
        </w:rPr>
        <w:footnoteReference w:id="41"/>
      </w:r>
      <w:r>
        <w:t xml:space="preserve"> </w:t>
      </w:r>
    </w:p>
    <w:p w14:paraId="3D38DCC2" w14:textId="570529E4" w:rsidR="00DA6773" w:rsidRDefault="00DA6773" w:rsidP="00DA6773">
      <w:pPr>
        <w:pStyle w:val="BodyText"/>
      </w:pPr>
      <w:r>
        <w:t>In the same period, total recurrent expenditure on specialised mental health services by the ACT grew from $82.6 million to $121.5 million</w:t>
      </w:r>
      <w:r w:rsidR="00133FB0">
        <w:t>, with t</w:t>
      </w:r>
      <w:r>
        <w:t>he share to NGOs doubl</w:t>
      </w:r>
      <w:r w:rsidR="00133FB0">
        <w:t>ing</w:t>
      </w:r>
      <w:r>
        <w:t xml:space="preserve"> from $9.5 million to </w:t>
      </w:r>
      <w:r>
        <w:lastRenderedPageBreak/>
        <w:t xml:space="preserve">$18.9 million from 2019-10 to 2014-15, then </w:t>
      </w:r>
      <w:r w:rsidR="00ED1579">
        <w:t xml:space="preserve">falling (see </w:t>
      </w:r>
      <w:r w:rsidR="00ED1579">
        <w:fldChar w:fldCharType="begin"/>
      </w:r>
      <w:r w:rsidR="00ED1579">
        <w:instrText xml:space="preserve"> REF _Ref88810309 \h </w:instrText>
      </w:r>
      <w:r w:rsidR="00ED1579">
        <w:fldChar w:fldCharType="separate"/>
      </w:r>
      <w:r w:rsidR="00E405AF">
        <w:t xml:space="preserve">Figure C. </w:t>
      </w:r>
      <w:r w:rsidR="00E405AF">
        <w:rPr>
          <w:noProof/>
        </w:rPr>
        <w:t>2</w:t>
      </w:r>
      <w:r w:rsidR="00ED1579">
        <w:fldChar w:fldCharType="end"/>
      </w:r>
      <w:r>
        <w:t>)</w:t>
      </w:r>
      <w:r w:rsidR="00133FB0">
        <w:rPr>
          <w:rStyle w:val="FootnoteReference"/>
        </w:rPr>
        <w:footnoteReference w:id="42"/>
      </w:r>
      <w:r>
        <w:t xml:space="preserve">. </w:t>
      </w:r>
      <w:r w:rsidR="00133FB0">
        <w:t xml:space="preserve">While there has been some growth in total government expenditure on mental health services, neither the amount nor the proportion spent on NGOs have kept pace with rising levels of demand. And mental health needs have since escalated further through the pandemic, especially for children, young </w:t>
      </w:r>
      <w:proofErr w:type="gramStart"/>
      <w:r w:rsidR="00133FB0">
        <w:t>people</w:t>
      </w:r>
      <w:proofErr w:type="gramEnd"/>
      <w:r w:rsidR="00133FB0">
        <w:t xml:space="preserve"> and parents.</w:t>
      </w:r>
      <w:r w:rsidR="00133FB0">
        <w:rPr>
          <w:rStyle w:val="FootnoteReference"/>
        </w:rPr>
        <w:footnoteReference w:id="43"/>
      </w:r>
      <w:r w:rsidR="007B11DD">
        <w:t xml:space="preserve"> Th</w:t>
      </w:r>
      <w:r w:rsidR="00DD5439">
        <w:t>ese pressures are</w:t>
      </w:r>
      <w:r w:rsidR="007B11DD">
        <w:t xml:space="preserve"> felt by </w:t>
      </w:r>
      <w:r w:rsidR="00917D1D">
        <w:t>organisations</w:t>
      </w:r>
      <w:r w:rsidR="00DD5439">
        <w:t xml:space="preserve">, who report seeing </w:t>
      </w:r>
      <w:r w:rsidR="007B11DD">
        <w:t xml:space="preserve">mental health </w:t>
      </w:r>
      <w:r w:rsidR="00DD5439">
        <w:t>needs rising</w:t>
      </w:r>
      <w:r w:rsidR="007B11DD">
        <w:t>, both due to population changes, but also behavioural changes (particularly among young people) and increases in help-seeking</w:t>
      </w:r>
      <w:r w:rsidR="00DD5439">
        <w:t>.</w:t>
      </w:r>
    </w:p>
    <w:p w14:paraId="600548C6" w14:textId="61BFE7F3" w:rsidR="00DA6773" w:rsidRDefault="00DA6773" w:rsidP="006E6C6C">
      <w:pPr>
        <w:pStyle w:val="Heading2"/>
      </w:pPr>
      <w:bookmarkStart w:id="43" w:name="_Toc90019557"/>
      <w:bookmarkStart w:id="44" w:name="_Toc88753129"/>
      <w:r>
        <w:t>C</w:t>
      </w:r>
      <w:r w:rsidR="00D7248D">
        <w:t>omplex need among c</w:t>
      </w:r>
      <w:r>
        <w:t>hildren and families</w:t>
      </w:r>
      <w:bookmarkEnd w:id="43"/>
      <w:r w:rsidR="00F23672">
        <w:t xml:space="preserve"> </w:t>
      </w:r>
      <w:bookmarkEnd w:id="44"/>
    </w:p>
    <w:p w14:paraId="45C5ACDF" w14:textId="442B8C88" w:rsidR="00DA6773" w:rsidRDefault="005835BA" w:rsidP="00DA6773">
      <w:pPr>
        <w:pStyle w:val="BodyText"/>
      </w:pPr>
      <w:r>
        <w:t xml:space="preserve">ACT children and families have complex needs. </w:t>
      </w:r>
      <w:r w:rsidR="00762E10">
        <w:t>T</w:t>
      </w:r>
      <w:r w:rsidR="00DA6773">
        <w:t xml:space="preserve">he proportion of </w:t>
      </w:r>
      <w:r w:rsidR="00762E10">
        <w:t xml:space="preserve">ACT </w:t>
      </w:r>
      <w:r w:rsidR="00DA6773">
        <w:t>children starting school without the skills they need to thrive</w:t>
      </w:r>
      <w:r w:rsidR="00762E10">
        <w:t xml:space="preserve"> has increased</w:t>
      </w:r>
      <w:r w:rsidR="00DA6773">
        <w:t xml:space="preserve">, and ACT children </w:t>
      </w:r>
      <w:r w:rsidR="00133FB0">
        <w:t xml:space="preserve">are falling </w:t>
      </w:r>
      <w:r w:rsidR="00DA6773">
        <w:t xml:space="preserve">below the national average. </w:t>
      </w:r>
      <w:r w:rsidR="00BB1CE1">
        <w:t>AEDC d</w:t>
      </w:r>
      <w:r w:rsidR="00DA6773">
        <w:t>ata</w:t>
      </w:r>
      <w:r w:rsidR="00BB1CE1">
        <w:rPr>
          <w:rStyle w:val="FootnoteReference"/>
        </w:rPr>
        <w:footnoteReference w:id="44"/>
      </w:r>
      <w:r w:rsidR="00DA6773">
        <w:t xml:space="preserve"> shows that despite relatively high incomes of ACT families, in 2015, the</w:t>
      </w:r>
      <w:r w:rsidR="00E26BE9">
        <w:t> </w:t>
      </w:r>
      <w:r w:rsidR="00DA6773">
        <w:t>proportion of ACT children in the first year of school who were vulnerable on 1 and 2 domains was close to the national average, however by 2018, 25% were vulnerable on two measures, compared with 22% nationally</w:t>
      </w:r>
      <w:r>
        <w:t xml:space="preserve"> (see </w:t>
      </w:r>
      <w:r w:rsidR="00805573">
        <w:fldChar w:fldCharType="begin"/>
      </w:r>
      <w:r w:rsidR="00805573">
        <w:instrText xml:space="preserve"> REF _Ref88831424 \h </w:instrText>
      </w:r>
      <w:r w:rsidR="00805573">
        <w:fldChar w:fldCharType="separate"/>
      </w:r>
      <w:r w:rsidR="00E405AF">
        <w:t xml:space="preserve">Figure C. </w:t>
      </w:r>
      <w:r w:rsidR="00E405AF">
        <w:rPr>
          <w:noProof/>
        </w:rPr>
        <w:t>3</w:t>
      </w:r>
      <w:r w:rsidR="00805573">
        <w:fldChar w:fldCharType="end"/>
      </w:r>
      <w:r>
        <w:t>)</w:t>
      </w:r>
      <w:r w:rsidR="00DA6773">
        <w:t xml:space="preserve">. </w:t>
      </w:r>
      <w:r w:rsidR="00133FB0">
        <w:t>This points to g</w:t>
      </w:r>
      <w:r w:rsidR="00DA6773">
        <w:t xml:space="preserve">rowing support needs among children and families, in the years before school and beyond, which are likely to impact on </w:t>
      </w:r>
      <w:r>
        <w:t xml:space="preserve">community service </w:t>
      </w:r>
      <w:r w:rsidR="00DA6773">
        <w:t xml:space="preserve">demand. </w:t>
      </w:r>
    </w:p>
    <w:p w14:paraId="5ADCB955" w14:textId="202572D7" w:rsidR="005835BA" w:rsidRPr="00DD01AB" w:rsidRDefault="005835BA" w:rsidP="005835BA">
      <w:pPr>
        <w:pStyle w:val="BodyText"/>
      </w:pPr>
      <w:r>
        <w:t>Demand pressures are also evident in child protection: numbers of children involved in the child protection system rose from 2000 to 2245 from 2016-7 to 2019-20 (an increase of 12% increase). In the ACT, there are very high rates of child pro</w:t>
      </w:r>
      <w:r w:rsidR="008A6D84">
        <w:t>t</w:t>
      </w:r>
      <w:r>
        <w:t>ection involvement among Aboriginal children: 190 per 1000 Aboriginal children, which is 11.5 times the rate for non-</w:t>
      </w:r>
      <w:r w:rsidR="008A6D84">
        <w:t xml:space="preserve">Indigenous </w:t>
      </w:r>
      <w:r>
        <w:t>children (16.5 per 1000). This is high by national standards. Correspondingly, the ACT has very high rates of Aboriginal children in out of home care.</w:t>
      </w:r>
      <w:r>
        <w:rPr>
          <w:rStyle w:val="FootnoteReference"/>
        </w:rPr>
        <w:footnoteReference w:id="45"/>
      </w:r>
    </w:p>
    <w:p w14:paraId="6337571A" w14:textId="5CD3D211" w:rsidR="00DA6773" w:rsidRDefault="00DA6773" w:rsidP="00DA6773">
      <w:pPr>
        <w:pStyle w:val="BodyText"/>
        <w:rPr>
          <w:b/>
          <w:bCs/>
        </w:rPr>
      </w:pPr>
      <w:r>
        <w:t xml:space="preserve">Rising pressures on organisations delivery services to children and families have </w:t>
      </w:r>
      <w:r w:rsidR="00762E10">
        <w:t xml:space="preserve">also </w:t>
      </w:r>
      <w:r>
        <w:t xml:space="preserve">been noted by </w:t>
      </w:r>
      <w:r w:rsidR="004212B9">
        <w:t>the ACT Government</w:t>
      </w:r>
      <w:r>
        <w:t>. An i</w:t>
      </w:r>
      <w:r w:rsidRPr="00305CDE">
        <w:t>nternal review</w:t>
      </w:r>
      <w:r>
        <w:t xml:space="preserve"> </w:t>
      </w:r>
      <w:r w:rsidRPr="00305CDE">
        <w:t xml:space="preserve">of costs in ACT’s Child, Youth and Family Services Program </w:t>
      </w:r>
      <w:r>
        <w:t xml:space="preserve">for 2019-20 </w:t>
      </w:r>
      <w:r w:rsidRPr="00305CDE">
        <w:t>noted</w:t>
      </w:r>
      <w:r>
        <w:t>, for example, trends of</w:t>
      </w:r>
      <w:r w:rsidRPr="00305CDE">
        <w:t xml:space="preserve"> increasing </w:t>
      </w:r>
      <w:r>
        <w:t xml:space="preserve">levels of </w:t>
      </w:r>
      <w:r w:rsidRPr="00305CDE">
        <w:t xml:space="preserve">need in families, increased service utilisation, long waiting lists, higher costs per family, and increased complexity, </w:t>
      </w:r>
      <w:r>
        <w:t xml:space="preserve">associated with </w:t>
      </w:r>
      <w:r w:rsidRPr="00305CDE">
        <w:t>mental health issues fac</w:t>
      </w:r>
      <w:r>
        <w:t>ed by</w:t>
      </w:r>
      <w:r w:rsidRPr="00305CDE">
        <w:t xml:space="preserve"> families and cultural diversity.</w:t>
      </w:r>
      <w:r w:rsidR="005E67CB">
        <w:rPr>
          <w:rStyle w:val="FootnoteReference"/>
        </w:rPr>
        <w:footnoteReference w:id="46"/>
      </w:r>
      <w:r w:rsidRPr="00305CDE">
        <w:t xml:space="preserve"> In addition, the </w:t>
      </w:r>
      <w:r>
        <w:t xml:space="preserve">Community Services </w:t>
      </w:r>
      <w:r w:rsidRPr="00305CDE">
        <w:t xml:space="preserve">Directorate noted reports of increased travel expenses </w:t>
      </w:r>
      <w:r>
        <w:t xml:space="preserve">for child, youth and family services (along with other services), </w:t>
      </w:r>
      <w:r w:rsidRPr="00305CDE">
        <w:t>in line with the expansion of Canberra</w:t>
      </w:r>
      <w:r>
        <w:t>. They also noted</w:t>
      </w:r>
      <w:r w:rsidRPr="00305CDE">
        <w:t xml:space="preserve"> ageing </w:t>
      </w:r>
      <w:r w:rsidRPr="00305CDE">
        <w:lastRenderedPageBreak/>
        <w:t xml:space="preserve">infrastructure including </w:t>
      </w:r>
      <w:r w:rsidR="00B91D43">
        <w:t xml:space="preserve">information, </w:t>
      </w:r>
      <w:proofErr w:type="gramStart"/>
      <w:r w:rsidR="00B91D43">
        <w:t>communication</w:t>
      </w:r>
      <w:proofErr w:type="gramEnd"/>
      <w:r w:rsidR="00B91D43">
        <w:t xml:space="preserve"> and technology (</w:t>
      </w:r>
      <w:r w:rsidRPr="00305CDE">
        <w:t>ICT</w:t>
      </w:r>
      <w:r w:rsidR="00B91D43">
        <w:t>)</w:t>
      </w:r>
      <w:r>
        <w:t>,</w:t>
      </w:r>
      <w:r w:rsidRPr="00305CDE">
        <w:t xml:space="preserve"> increased childcare costs, and increasing use of volunteers.</w:t>
      </w:r>
    </w:p>
    <w:p w14:paraId="5643EA0C" w14:textId="18FF38A3" w:rsidR="00DA6773" w:rsidRDefault="006C7DC3" w:rsidP="00DA6773">
      <w:pPr>
        <w:pStyle w:val="BodyText"/>
      </w:pPr>
      <w:r>
        <w:rPr>
          <w:noProof/>
        </w:rPr>
        <mc:AlternateContent>
          <mc:Choice Requires="wps">
            <w:drawing>
              <wp:inline distT="0" distB="0" distL="0" distR="0" wp14:anchorId="34BC5D24" wp14:editId="7277FD41">
                <wp:extent cx="5915025" cy="2889250"/>
                <wp:effectExtent l="76200" t="57150" r="85725" b="1016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889250"/>
                        </a:xfrm>
                        <a:prstGeom prst="rect">
                          <a:avLst/>
                        </a:prstGeom>
                        <a:solidFill>
                          <a:schemeClr val="accent6">
                            <a:lumMod val="20000"/>
                            <a:lumOff val="80000"/>
                          </a:schemeClr>
                        </a:solidFill>
                        <a:ln>
                          <a:headEnd/>
                          <a:tailEnd/>
                        </a:ln>
                      </wps:spPr>
                      <wps:style>
                        <a:lnRef idx="3">
                          <a:schemeClr val="lt1"/>
                        </a:lnRef>
                        <a:fillRef idx="1">
                          <a:schemeClr val="accent3"/>
                        </a:fillRef>
                        <a:effectRef idx="1">
                          <a:schemeClr val="accent3"/>
                        </a:effectRef>
                        <a:fontRef idx="minor">
                          <a:schemeClr val="lt1"/>
                        </a:fontRef>
                      </wps:style>
                      <wps:txbx>
                        <w:txbxContent>
                          <w:p w14:paraId="5A9D25D8" w14:textId="304AD1CD" w:rsidR="00960F29" w:rsidRPr="006F26BC" w:rsidRDefault="00960F29" w:rsidP="00DA6773">
                            <w:pPr>
                              <w:spacing w:before="240" w:line="360" w:lineRule="auto"/>
                              <w:jc w:val="center"/>
                              <w:rPr>
                                <w:rFonts w:asciiTheme="majorHAnsi" w:hAnsiTheme="majorHAnsi" w:hint="eastAsia"/>
                                <w:b/>
                                <w:bCs/>
                              </w:rPr>
                            </w:pPr>
                            <w:r w:rsidRPr="006F26BC">
                              <w:rPr>
                                <w:rFonts w:asciiTheme="majorHAnsi" w:hAnsiTheme="majorHAnsi"/>
                                <w:b/>
                                <w:bCs/>
                              </w:rPr>
                              <w:t>A leader</w:t>
                            </w:r>
                            <w:r>
                              <w:rPr>
                                <w:rFonts w:asciiTheme="majorHAnsi" w:hAnsiTheme="majorHAnsi"/>
                                <w:b/>
                                <w:bCs/>
                              </w:rPr>
                              <w:t>’</w:t>
                            </w:r>
                            <w:r w:rsidRPr="006F26BC">
                              <w:rPr>
                                <w:rFonts w:asciiTheme="majorHAnsi" w:hAnsiTheme="majorHAnsi"/>
                                <w:b/>
                                <w:bCs/>
                              </w:rPr>
                              <w:t xml:space="preserve">s account of </w:t>
                            </w:r>
                            <w:r>
                              <w:rPr>
                                <w:rFonts w:asciiTheme="majorHAnsi" w:hAnsiTheme="majorHAnsi"/>
                                <w:b/>
                                <w:bCs/>
                              </w:rPr>
                              <w:t>rising demand</w:t>
                            </w:r>
                          </w:p>
                          <w:p w14:paraId="59C1BFC9" w14:textId="06A507E8" w:rsidR="00960F29" w:rsidRPr="00191489" w:rsidRDefault="00960F29" w:rsidP="00DA6773">
                            <w:pPr>
                              <w:spacing w:before="240" w:line="360" w:lineRule="auto"/>
                              <w:rPr>
                                <w:rFonts w:asciiTheme="majorHAnsi" w:hAnsiTheme="majorHAnsi" w:hint="eastAsia"/>
                              </w:rPr>
                            </w:pPr>
                            <w:r>
                              <w:rPr>
                                <w:rFonts w:asciiTheme="majorHAnsi" w:hAnsiTheme="majorHAnsi"/>
                              </w:rPr>
                              <w:t>“</w:t>
                            </w:r>
                            <w:r w:rsidRPr="00191489">
                              <w:rPr>
                                <w:rFonts w:asciiTheme="majorHAnsi" w:hAnsiTheme="majorHAnsi"/>
                              </w:rPr>
                              <w:t xml:space="preserve">With COVID, fires, floods there </w:t>
                            </w:r>
                            <w:r>
                              <w:rPr>
                                <w:rFonts w:asciiTheme="majorHAnsi" w:hAnsiTheme="majorHAnsi"/>
                              </w:rPr>
                              <w:t>are</w:t>
                            </w:r>
                            <w:r w:rsidRPr="00191489">
                              <w:rPr>
                                <w:rFonts w:asciiTheme="majorHAnsi" w:hAnsiTheme="majorHAnsi"/>
                              </w:rPr>
                              <w:t xml:space="preserve"> more demands than ever on the NGO sector. Teams run on skeletal staffing are doing additional hours and we risk burn out in the sector. The sector staff are expected to provide services to some of our most marginalised disadvantaged groups in the regional area yet </w:t>
                            </w:r>
                            <w:r>
                              <w:rPr>
                                <w:rFonts w:asciiTheme="majorHAnsi" w:hAnsiTheme="majorHAnsi"/>
                              </w:rPr>
                              <w:t xml:space="preserve">to </w:t>
                            </w:r>
                            <w:r w:rsidRPr="00191489">
                              <w:rPr>
                                <w:rFonts w:asciiTheme="majorHAnsi" w:hAnsiTheme="majorHAnsi"/>
                              </w:rPr>
                              <w:t>be able to cope and stay on top of the demands. There is a lack of</w:t>
                            </w:r>
                            <w:r>
                              <w:rPr>
                                <w:rFonts w:asciiTheme="majorHAnsi" w:hAnsiTheme="majorHAnsi"/>
                              </w:rPr>
                              <w:t xml:space="preserve"> affordable</w:t>
                            </w:r>
                            <w:r w:rsidRPr="00191489">
                              <w:rPr>
                                <w:rFonts w:asciiTheme="majorHAnsi" w:hAnsiTheme="majorHAnsi"/>
                              </w:rPr>
                              <w:t xml:space="preserve"> housing, increased rates of DFV, </w:t>
                            </w:r>
                            <w:r>
                              <w:rPr>
                                <w:rFonts w:asciiTheme="majorHAnsi" w:hAnsiTheme="majorHAnsi"/>
                              </w:rPr>
                              <w:t>m</w:t>
                            </w:r>
                            <w:r w:rsidRPr="00191489">
                              <w:rPr>
                                <w:rFonts w:asciiTheme="majorHAnsi" w:hAnsiTheme="majorHAnsi"/>
                              </w:rPr>
                              <w:t xml:space="preserve">ental health issues have ballooned, and youth crime rates have increased, yet </w:t>
                            </w:r>
                            <w:r>
                              <w:rPr>
                                <w:rFonts w:asciiTheme="majorHAnsi" w:hAnsiTheme="majorHAnsi"/>
                              </w:rPr>
                              <w:t xml:space="preserve">there is </w:t>
                            </w:r>
                            <w:r w:rsidRPr="00191489">
                              <w:rPr>
                                <w:rFonts w:asciiTheme="majorHAnsi" w:hAnsiTheme="majorHAnsi"/>
                              </w:rPr>
                              <w:t>no addition to services to reduce the pressures clients face</w:t>
                            </w:r>
                            <w:r>
                              <w:rPr>
                                <w:rFonts w:asciiTheme="majorHAnsi" w:hAnsiTheme="majorHAnsi"/>
                              </w:rPr>
                              <w:t>.”</w:t>
                            </w:r>
                          </w:p>
                        </w:txbxContent>
                      </wps:txbx>
                      <wps:bodyPr rot="0" vert="horz" wrap="square" lIns="91440" tIns="45720" rIns="91440" bIns="45720" anchor="t" anchorCtr="0">
                        <a:noAutofit/>
                      </wps:bodyPr>
                    </wps:wsp>
                  </a:graphicData>
                </a:graphic>
              </wp:inline>
            </w:drawing>
          </mc:Choice>
          <mc:Fallback>
            <w:pict>
              <v:shapetype w14:anchorId="34BC5D24" id="_x0000_t202" coordsize="21600,21600" o:spt="202" path="m,l,21600r21600,l21600,xe">
                <v:stroke joinstyle="miter"/>
                <v:path gradientshapeok="t" o:connecttype="rect"/>
              </v:shapetype>
              <v:shape id="Text Box 2" o:spid="_x0000_s1026" type="#_x0000_t202" style="width:465.7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" fillcolor="#e4eaf0 [665]" strokecolor="white [3201]" strokeweight="3pt">
                <v:shadow on="t" color="black" opacity="24903f" origin=",.5" offset="0,.55556mm"/>
                <v:textbox>
                  <w:txbxContent>
                    <w:p w14:paraId="5A9D25D8" w14:textId="304AD1CD" w:rsidR="00960F29" w:rsidRPr="006F26BC" w:rsidRDefault="00960F29" w:rsidP="00DA6773">
                      <w:pPr>
                        <w:spacing w:before="240" w:line="360" w:lineRule="auto"/>
                        <w:jc w:val="center"/>
                        <w:rPr>
                          <w:rFonts w:asciiTheme="majorHAnsi" w:hAnsiTheme="majorHAnsi" w:hint="eastAsia"/>
                          <w:b/>
                          <w:bCs/>
                        </w:rPr>
                      </w:pPr>
                      <w:r w:rsidRPr="006F26BC">
                        <w:rPr>
                          <w:rFonts w:asciiTheme="majorHAnsi" w:hAnsiTheme="majorHAnsi"/>
                          <w:b/>
                          <w:bCs/>
                        </w:rPr>
                        <w:t>A leader</w:t>
                      </w:r>
                      <w:r>
                        <w:rPr>
                          <w:rFonts w:asciiTheme="majorHAnsi" w:hAnsiTheme="majorHAnsi"/>
                          <w:b/>
                          <w:bCs/>
                        </w:rPr>
                        <w:t>’</w:t>
                      </w:r>
                      <w:r w:rsidRPr="006F26BC">
                        <w:rPr>
                          <w:rFonts w:asciiTheme="majorHAnsi" w:hAnsiTheme="majorHAnsi"/>
                          <w:b/>
                          <w:bCs/>
                        </w:rPr>
                        <w:t xml:space="preserve">s account of </w:t>
                      </w:r>
                      <w:r>
                        <w:rPr>
                          <w:rFonts w:asciiTheme="majorHAnsi" w:hAnsiTheme="majorHAnsi"/>
                          <w:b/>
                          <w:bCs/>
                        </w:rPr>
                        <w:t>rising demand</w:t>
                      </w:r>
                    </w:p>
                    <w:p w14:paraId="59C1BFC9" w14:textId="06A507E8" w:rsidR="00960F29" w:rsidRPr="00191489" w:rsidRDefault="00960F29" w:rsidP="00DA6773">
                      <w:pPr>
                        <w:spacing w:before="240" w:line="360" w:lineRule="auto"/>
                        <w:rPr>
                          <w:rFonts w:asciiTheme="majorHAnsi" w:hAnsiTheme="majorHAnsi" w:hint="eastAsia"/>
                        </w:rPr>
                      </w:pPr>
                      <w:r>
                        <w:rPr>
                          <w:rFonts w:asciiTheme="majorHAnsi" w:hAnsiTheme="majorHAnsi"/>
                        </w:rPr>
                        <w:t>“</w:t>
                      </w:r>
                      <w:r w:rsidRPr="00191489">
                        <w:rPr>
                          <w:rFonts w:asciiTheme="majorHAnsi" w:hAnsiTheme="majorHAnsi"/>
                        </w:rPr>
                        <w:t xml:space="preserve">With COVID, fires, floods there </w:t>
                      </w:r>
                      <w:r>
                        <w:rPr>
                          <w:rFonts w:asciiTheme="majorHAnsi" w:hAnsiTheme="majorHAnsi"/>
                        </w:rPr>
                        <w:t>are</w:t>
                      </w:r>
                      <w:r w:rsidRPr="00191489">
                        <w:rPr>
                          <w:rFonts w:asciiTheme="majorHAnsi" w:hAnsiTheme="majorHAnsi"/>
                        </w:rPr>
                        <w:t xml:space="preserve"> more demands than ever on the NGO sector. Teams run on skeletal staffing are doing additional hours and we risk burn out in the sector. The sector staff are expected to provide services to some of our most marginalised disadvantaged groups in the regional area yet </w:t>
                      </w:r>
                      <w:r>
                        <w:rPr>
                          <w:rFonts w:asciiTheme="majorHAnsi" w:hAnsiTheme="majorHAnsi"/>
                        </w:rPr>
                        <w:t xml:space="preserve">to </w:t>
                      </w:r>
                      <w:r w:rsidRPr="00191489">
                        <w:rPr>
                          <w:rFonts w:asciiTheme="majorHAnsi" w:hAnsiTheme="majorHAnsi"/>
                        </w:rPr>
                        <w:t>be able to cope and stay on top of the demands. There is a lack of</w:t>
                      </w:r>
                      <w:r>
                        <w:rPr>
                          <w:rFonts w:asciiTheme="majorHAnsi" w:hAnsiTheme="majorHAnsi"/>
                        </w:rPr>
                        <w:t xml:space="preserve"> affordable</w:t>
                      </w:r>
                      <w:r w:rsidRPr="00191489">
                        <w:rPr>
                          <w:rFonts w:asciiTheme="majorHAnsi" w:hAnsiTheme="majorHAnsi"/>
                        </w:rPr>
                        <w:t xml:space="preserve"> housing, increased rates of DFV, </w:t>
                      </w:r>
                      <w:r>
                        <w:rPr>
                          <w:rFonts w:asciiTheme="majorHAnsi" w:hAnsiTheme="majorHAnsi"/>
                        </w:rPr>
                        <w:t>m</w:t>
                      </w:r>
                      <w:r w:rsidRPr="00191489">
                        <w:rPr>
                          <w:rFonts w:asciiTheme="majorHAnsi" w:hAnsiTheme="majorHAnsi"/>
                        </w:rPr>
                        <w:t xml:space="preserve">ental health issues have ballooned, and youth crime rates have increased, yet </w:t>
                      </w:r>
                      <w:r>
                        <w:rPr>
                          <w:rFonts w:asciiTheme="majorHAnsi" w:hAnsiTheme="majorHAnsi"/>
                        </w:rPr>
                        <w:t xml:space="preserve">there is </w:t>
                      </w:r>
                      <w:r w:rsidRPr="00191489">
                        <w:rPr>
                          <w:rFonts w:asciiTheme="majorHAnsi" w:hAnsiTheme="majorHAnsi"/>
                        </w:rPr>
                        <w:t>no addition to services to reduce the pressures clients face</w:t>
                      </w:r>
                      <w:r>
                        <w:rPr>
                          <w:rFonts w:asciiTheme="majorHAnsi" w:hAnsiTheme="majorHAnsi"/>
                        </w:rPr>
                        <w:t>.”</w:t>
                      </w:r>
                    </w:p>
                  </w:txbxContent>
                </v:textbox>
                <w10:anchorlock/>
              </v:shape>
            </w:pict>
          </mc:Fallback>
        </mc:AlternateContent>
      </w:r>
    </w:p>
    <w:p w14:paraId="3EC4338D" w14:textId="55E07C3B" w:rsidR="00F25301" w:rsidRDefault="00ED2BAD" w:rsidP="00FE01CA">
      <w:pPr>
        <w:pStyle w:val="Heading1"/>
        <w:numPr>
          <w:ilvl w:val="0"/>
          <w:numId w:val="22"/>
        </w:numPr>
        <w:ind w:left="425" w:hanging="425"/>
      </w:pPr>
      <w:bookmarkStart w:id="45" w:name="_Ref87973095"/>
      <w:bookmarkStart w:id="46" w:name="_Toc90019558"/>
      <w:r>
        <w:lastRenderedPageBreak/>
        <w:t xml:space="preserve">A closer look at </w:t>
      </w:r>
      <w:r w:rsidR="00E67531">
        <w:t>cost</w:t>
      </w:r>
      <w:r w:rsidR="001765E8">
        <w:t xml:space="preserve"> </w:t>
      </w:r>
      <w:r w:rsidR="004738B9">
        <w:t>pressures</w:t>
      </w:r>
      <w:r w:rsidR="001765E8">
        <w:t xml:space="preserve"> </w:t>
      </w:r>
      <w:r w:rsidR="00F25301">
        <w:t>in the ACT</w:t>
      </w:r>
      <w:bookmarkEnd w:id="26"/>
      <w:bookmarkEnd w:id="31"/>
      <w:bookmarkEnd w:id="32"/>
      <w:bookmarkEnd w:id="45"/>
      <w:bookmarkEnd w:id="46"/>
    </w:p>
    <w:p w14:paraId="54B6DB2D" w14:textId="66C4BFFE" w:rsidR="00F25301" w:rsidRDefault="008F5EA8" w:rsidP="00F25301">
      <w:pPr>
        <w:pStyle w:val="BodyText"/>
      </w:pPr>
      <w:r>
        <w:t>As well as confronting increas</w:t>
      </w:r>
      <w:r w:rsidR="004212B9">
        <w:t>ing</w:t>
      </w:r>
      <w:r>
        <w:t xml:space="preserve"> demand, the community sector in the ACT has experienced cost pressures</w:t>
      </w:r>
      <w:r w:rsidR="00F126E4">
        <w:t>. This section outlin</w:t>
      </w:r>
      <w:r w:rsidR="00944F25">
        <w:t>e</w:t>
      </w:r>
      <w:r w:rsidR="00F126E4">
        <w:t xml:space="preserve">s </w:t>
      </w:r>
      <w:r w:rsidR="002B2C9B">
        <w:t xml:space="preserve">drivers of increased </w:t>
      </w:r>
      <w:r w:rsidR="00EB7222">
        <w:t xml:space="preserve">costs </w:t>
      </w:r>
      <w:r w:rsidR="00371A14">
        <w:t>in the ACT</w:t>
      </w:r>
      <w:r w:rsidR="00F126E4">
        <w:t xml:space="preserve">, drawing on official documents and datasets, and </w:t>
      </w:r>
      <w:r>
        <w:t>information from</w:t>
      </w:r>
      <w:r w:rsidR="00F126E4">
        <w:t xml:space="preserve"> organisational leaders</w:t>
      </w:r>
      <w:r>
        <w:t xml:space="preserve"> and workers</w:t>
      </w:r>
      <w:r w:rsidR="00B640C2">
        <w:t>.</w:t>
      </w:r>
    </w:p>
    <w:p w14:paraId="429C4F42" w14:textId="7DE5B306" w:rsidR="001765E8" w:rsidRPr="00461223" w:rsidRDefault="001765E8" w:rsidP="006E6C6C">
      <w:pPr>
        <w:pStyle w:val="Heading2"/>
      </w:pPr>
      <w:bookmarkStart w:id="47" w:name="_Ref87973207"/>
      <w:bookmarkStart w:id="48" w:name="_Toc88753130"/>
      <w:bookmarkStart w:id="49" w:name="_Toc90019559"/>
      <w:r w:rsidRPr="00461223">
        <w:t>Employment and wages costs</w:t>
      </w:r>
      <w:bookmarkEnd w:id="47"/>
      <w:bookmarkEnd w:id="48"/>
      <w:bookmarkEnd w:id="49"/>
    </w:p>
    <w:p w14:paraId="3166B87B" w14:textId="56765921" w:rsidR="002A337B" w:rsidRDefault="004212B9" w:rsidP="004212B9">
      <w:pPr>
        <w:pStyle w:val="BodyText"/>
      </w:pPr>
      <w:r>
        <w:t>Employing staff is the main cost for most community service organisations</w:t>
      </w:r>
      <w:r w:rsidR="003439F2">
        <w:t xml:space="preserve">. </w:t>
      </w:r>
      <w:r w:rsidR="008A23EB">
        <w:t xml:space="preserve">Increases in </w:t>
      </w:r>
      <w:r>
        <w:t xml:space="preserve">employment costs </w:t>
      </w:r>
      <w:r w:rsidR="003439F2">
        <w:t xml:space="preserve">that are </w:t>
      </w:r>
      <w:r>
        <w:t xml:space="preserve">not </w:t>
      </w:r>
      <w:r w:rsidR="003439F2">
        <w:t xml:space="preserve">adequately </w:t>
      </w:r>
      <w:r>
        <w:t>covered by funding</w:t>
      </w:r>
      <w:r w:rsidR="003439F2">
        <w:t xml:space="preserve"> has resulted in cost pressures for organisations</w:t>
      </w:r>
      <w:r>
        <w:t xml:space="preserve">. </w:t>
      </w:r>
      <w:r w:rsidR="003160C3">
        <w:t>ABS e</w:t>
      </w:r>
      <w:r w:rsidR="002A337B">
        <w:t xml:space="preserve">mployment data attests to </w:t>
      </w:r>
      <w:r w:rsidR="00035635">
        <w:t>rising costs</w:t>
      </w:r>
      <w:r w:rsidR="002A337B">
        <w:t xml:space="preserve">. Across the ACT, </w:t>
      </w:r>
      <w:r w:rsidR="003439F2">
        <w:t xml:space="preserve">the value of </w:t>
      </w:r>
      <w:r w:rsidR="002A337B">
        <w:t xml:space="preserve">total wages grew by 3.9% from March 2020 to March 2021, </w:t>
      </w:r>
      <w:r w:rsidR="003439F2">
        <w:t xml:space="preserve">higher than </w:t>
      </w:r>
      <w:r w:rsidR="002A337B">
        <w:t>the national average (3.1%).</w:t>
      </w:r>
      <w:r w:rsidR="002A337B">
        <w:rPr>
          <w:rStyle w:val="FootnoteReference"/>
        </w:rPr>
        <w:footnoteReference w:id="47"/>
      </w:r>
      <w:r w:rsidR="002A337B">
        <w:t xml:space="preserve">  </w:t>
      </w:r>
      <w:r w:rsidR="00A1376E">
        <w:t>P</w:t>
      </w:r>
      <w:r w:rsidR="002D42F6">
        <w:t xml:space="preserve">articipants in the </w:t>
      </w:r>
      <w:r w:rsidR="0088173A">
        <w:t xml:space="preserve">interviews, consultations </w:t>
      </w:r>
      <w:r w:rsidR="002D42F6">
        <w:t>and the survey</w:t>
      </w:r>
      <w:r w:rsidR="00A12A22">
        <w:t xml:space="preserve"> </w:t>
      </w:r>
      <w:r w:rsidR="003439F2">
        <w:t>report</w:t>
      </w:r>
      <w:r w:rsidR="00A12A22">
        <w:t>ed</w:t>
      </w:r>
      <w:r w:rsidR="003439F2">
        <w:t xml:space="preserve"> </w:t>
      </w:r>
      <w:r w:rsidR="00A1376E">
        <w:t xml:space="preserve">that in the ACT, the sector is </w:t>
      </w:r>
      <w:r w:rsidR="002A337B">
        <w:t>compet</w:t>
      </w:r>
      <w:r w:rsidR="00A1376E">
        <w:t>ing</w:t>
      </w:r>
      <w:r w:rsidR="002A337B">
        <w:t xml:space="preserve"> </w:t>
      </w:r>
      <w:r w:rsidR="003439F2">
        <w:t xml:space="preserve">for staff because of the </w:t>
      </w:r>
      <w:r w:rsidR="002A337B">
        <w:t xml:space="preserve">higher wages on offer in the public sector. </w:t>
      </w:r>
      <w:r w:rsidR="000E7CC7">
        <w:t xml:space="preserve">Data supports this: information from the ABS indicates </w:t>
      </w:r>
      <w:r w:rsidR="00A1376E">
        <w:t xml:space="preserve">public service incomes </w:t>
      </w:r>
      <w:r w:rsidR="000E7CC7">
        <w:t xml:space="preserve">were </w:t>
      </w:r>
      <w:r w:rsidR="00A1376E">
        <w:t>around 25% higher</w:t>
      </w:r>
      <w:r w:rsidR="000E7CC7">
        <w:t xml:space="preserve"> than earnings in the private sector (which includes the not-for-profit sector).</w:t>
      </w:r>
      <w:r w:rsidR="002A337B">
        <w:rPr>
          <w:rStyle w:val="FootnoteReference"/>
        </w:rPr>
        <w:footnoteReference w:id="48"/>
      </w:r>
      <w:r w:rsidR="002A337B">
        <w:t xml:space="preserve"> </w:t>
      </w:r>
    </w:p>
    <w:p w14:paraId="7062EE36" w14:textId="0C31DA41" w:rsidR="000936D2" w:rsidRDefault="003160C3" w:rsidP="00452865">
      <w:pPr>
        <w:pStyle w:val="BodyText"/>
      </w:pPr>
      <w:r>
        <w:t xml:space="preserve">Pay rates for workers in the social and community services industry have gradually increased over the last decade, as a result of </w:t>
      </w:r>
      <w:r w:rsidR="00045AB5">
        <w:t xml:space="preserve">minimum wage increases </w:t>
      </w:r>
      <w:r w:rsidR="000936D2">
        <w:t xml:space="preserve">(which usually apply </w:t>
      </w:r>
      <w:r w:rsidR="005F4356">
        <w:t xml:space="preserve">each </w:t>
      </w:r>
      <w:r w:rsidR="000936D2">
        <w:t xml:space="preserve">July) </w:t>
      </w:r>
      <w:r w:rsidR="00045AB5">
        <w:t xml:space="preserve">and </w:t>
      </w:r>
      <w:r w:rsidR="00452865">
        <w:t xml:space="preserve">the </w:t>
      </w:r>
      <w:r>
        <w:t xml:space="preserve">Equal Remuneration </w:t>
      </w:r>
      <w:r w:rsidR="00452865">
        <w:t>Order</w:t>
      </w:r>
      <w:r w:rsidR="00BD7013">
        <w:t xml:space="preserve"> (ERO)</w:t>
      </w:r>
      <w:r w:rsidR="00452865">
        <w:t xml:space="preserve"> </w:t>
      </w:r>
      <w:r w:rsidR="00045AB5">
        <w:t xml:space="preserve">which </w:t>
      </w:r>
      <w:r w:rsidR="005F4356">
        <w:t xml:space="preserve">has provided </w:t>
      </w:r>
      <w:r w:rsidR="005F4356">
        <w:rPr>
          <w:lang w:val="en-US"/>
        </w:rPr>
        <w:t>Transitional Equal Remuneration Payments in 9 instalments each year on 1 December, from 2012 to 2020</w:t>
      </w:r>
      <w:r w:rsidR="00452865">
        <w:t>.</w:t>
      </w:r>
      <w:r w:rsidR="00452865">
        <w:rPr>
          <w:rStyle w:val="FootnoteReference"/>
        </w:rPr>
        <w:footnoteReference w:id="49"/>
      </w:r>
      <w:r w:rsidR="00452865">
        <w:t xml:space="preserve"> </w:t>
      </w:r>
      <w:r w:rsidR="00B74085">
        <w:fldChar w:fldCharType="begin"/>
      </w:r>
      <w:r w:rsidR="00B74085">
        <w:instrText xml:space="preserve"> REF _Ref89753650 \h </w:instrText>
      </w:r>
      <w:r w:rsidR="00B74085">
        <w:fldChar w:fldCharType="separate"/>
      </w:r>
      <w:r w:rsidR="00E405AF">
        <w:t xml:space="preserve">Figure C. </w:t>
      </w:r>
      <w:r w:rsidR="00E405AF">
        <w:rPr>
          <w:noProof/>
        </w:rPr>
        <w:t>4</w:t>
      </w:r>
      <w:r w:rsidR="00B74085">
        <w:fldChar w:fldCharType="end"/>
      </w:r>
      <w:r w:rsidR="00B74085">
        <w:t xml:space="preserve"> shows the way increases in hourly pay rates have created a less compressed wage structure, improving opportunities for pay progression. </w:t>
      </w:r>
      <w:r w:rsidR="00A12A22">
        <w:t xml:space="preserve">While </w:t>
      </w:r>
      <w:r w:rsidR="00045AB5">
        <w:t xml:space="preserve">ACT Agencies </w:t>
      </w:r>
      <w:r w:rsidR="000936D2">
        <w:t xml:space="preserve">have </w:t>
      </w:r>
      <w:r w:rsidR="00045AB5">
        <w:t xml:space="preserve">made supplementary </w:t>
      </w:r>
      <w:r w:rsidR="00BD7013">
        <w:t>payments to cover the increased costs of the ERO</w:t>
      </w:r>
      <w:r w:rsidR="005F4356">
        <w:t xml:space="preserve"> and committed to incorporating increases into base wage rates, </w:t>
      </w:r>
      <w:r w:rsidR="00A12A22">
        <w:t xml:space="preserve">some sector leaders </w:t>
      </w:r>
      <w:r w:rsidR="00917D1D">
        <w:t xml:space="preserve">have observed this has not been sufficient to </w:t>
      </w:r>
      <w:r w:rsidR="00A12A22">
        <w:t>fully cover the higher cost</w:t>
      </w:r>
      <w:r w:rsidR="00917D1D">
        <w:t>s</w:t>
      </w:r>
      <w:r w:rsidR="00231656">
        <w:t>,</w:t>
      </w:r>
      <w:r w:rsidR="00A12A22">
        <w:t xml:space="preserve"> or </w:t>
      </w:r>
      <w:r w:rsidR="00917D1D">
        <w:t xml:space="preserve">to </w:t>
      </w:r>
      <w:r w:rsidR="00A12A22">
        <w:t xml:space="preserve">meet other increased costs associated with employment (see Section </w:t>
      </w:r>
      <w:r w:rsidR="008A23EB">
        <w:fldChar w:fldCharType="begin"/>
      </w:r>
      <w:r w:rsidR="008A23EB">
        <w:instrText xml:space="preserve"> REF _Ref88825279 \r \h </w:instrText>
      </w:r>
      <w:r w:rsidR="008A23EB">
        <w:fldChar w:fldCharType="separate"/>
      </w:r>
      <w:r w:rsidR="00E405AF">
        <w:t>5.2</w:t>
      </w:r>
      <w:r w:rsidR="008A23EB">
        <w:fldChar w:fldCharType="end"/>
      </w:r>
      <w:r w:rsidR="008A23EB">
        <w:t xml:space="preserve"> </w:t>
      </w:r>
      <w:r w:rsidR="00A12A22">
        <w:t>for more on sector experiences with employment costs</w:t>
      </w:r>
      <w:r w:rsidR="00BC3A75">
        <w:t xml:space="preserve">, and Section 6.1 on the way indexation has not met </w:t>
      </w:r>
      <w:r w:rsidR="00640209">
        <w:t xml:space="preserve">annual </w:t>
      </w:r>
      <w:r w:rsidR="00BC3A75">
        <w:t xml:space="preserve">wage </w:t>
      </w:r>
      <w:r w:rsidR="00640209">
        <w:t>increases</w:t>
      </w:r>
      <w:r w:rsidR="00A12A22">
        <w:t xml:space="preserve">). </w:t>
      </w:r>
    </w:p>
    <w:p w14:paraId="1CE5B6B0" w14:textId="08D30AA2" w:rsidR="000D034A" w:rsidRDefault="008A23EB" w:rsidP="00452865">
      <w:pPr>
        <w:pStyle w:val="BodyText"/>
      </w:pPr>
      <w:r>
        <w:t>In</w:t>
      </w:r>
      <w:r w:rsidR="00A12A22">
        <w:t xml:space="preserve"> </w:t>
      </w:r>
      <w:r w:rsidR="00F62340">
        <w:t>addition</w:t>
      </w:r>
      <w:r w:rsidR="00452865">
        <w:t xml:space="preserve"> to increases in base wage rates,</w:t>
      </w:r>
      <w:r w:rsidR="00F62340">
        <w:t xml:space="preserve"> </w:t>
      </w:r>
      <w:r w:rsidR="002A337B">
        <w:t>wage on-costs</w:t>
      </w:r>
      <w:r w:rsidR="006E1964">
        <w:t xml:space="preserve"> </w:t>
      </w:r>
      <w:r w:rsidR="002A337B">
        <w:t>are increasing. E</w:t>
      </w:r>
      <w:r w:rsidR="000D034A">
        <w:t xml:space="preserve">mployer-funded superannuation payments were required to increase from </w:t>
      </w:r>
      <w:r w:rsidR="000D034A" w:rsidRPr="001F08B0">
        <w:t xml:space="preserve">9.5% in 2020–21 to 10% for 2021–22. </w:t>
      </w:r>
      <w:r w:rsidR="000D034A">
        <w:t>A</w:t>
      </w:r>
      <w:r w:rsidR="00CF3033">
        <w:t> </w:t>
      </w:r>
      <w:r w:rsidR="000D034A">
        <w:t xml:space="preserve">further increase is scheduled for </w:t>
      </w:r>
      <w:r w:rsidR="000D034A" w:rsidRPr="001F08B0">
        <w:t xml:space="preserve">1 July 2022, when </w:t>
      </w:r>
      <w:r w:rsidR="000D034A">
        <w:t xml:space="preserve">the payment will </w:t>
      </w:r>
      <w:r w:rsidR="000D034A" w:rsidRPr="001F08B0">
        <w:t>increase to 10.5%</w:t>
      </w:r>
      <w:r w:rsidR="000D034A">
        <w:t xml:space="preserve">. </w:t>
      </w:r>
      <w:r w:rsidR="006E1964">
        <w:t xml:space="preserve">In addition, the recent Federal Government decision to remove the $450 per month wage threshold </w:t>
      </w:r>
      <w:r w:rsidR="00452865">
        <w:t xml:space="preserve">will expand </w:t>
      </w:r>
      <w:r w:rsidR="00521E30">
        <w:t>requirements for employers to make</w:t>
      </w:r>
      <w:r w:rsidR="00452865">
        <w:t xml:space="preserve"> super</w:t>
      </w:r>
      <w:r w:rsidR="00521E30">
        <w:t>annuation</w:t>
      </w:r>
      <w:r w:rsidR="00452865">
        <w:t xml:space="preserve"> guarantee </w:t>
      </w:r>
      <w:r w:rsidR="00521E30">
        <w:t xml:space="preserve">payments to eligible staff, regardless of their monthly pay. This will </w:t>
      </w:r>
      <w:r w:rsidR="006E1964">
        <w:t>expand compulsory superannuation payments</w:t>
      </w:r>
      <w:r w:rsidR="00521E30">
        <w:t>, especially for organisations with high numbers of low</w:t>
      </w:r>
      <w:r w:rsidR="00A12A22">
        <w:t>-</w:t>
      </w:r>
      <w:r w:rsidR="00521E30">
        <w:t>paid part</w:t>
      </w:r>
      <w:r w:rsidR="00A12A22">
        <w:t>-</w:t>
      </w:r>
      <w:r w:rsidR="00521E30">
        <w:t>time staff who may previously have been ineligible</w:t>
      </w:r>
      <w:r w:rsidR="006E1964">
        <w:t xml:space="preserve">. </w:t>
      </w:r>
      <w:r w:rsidR="00521E30">
        <w:t xml:space="preserve">Employers must also contribute under the </w:t>
      </w:r>
      <w:r w:rsidR="000D034A">
        <w:t>ACT</w:t>
      </w:r>
      <w:r w:rsidR="00521E30">
        <w:t>’s</w:t>
      </w:r>
      <w:r w:rsidR="000D034A">
        <w:t xml:space="preserve"> Portable Long Service Leave</w:t>
      </w:r>
      <w:r w:rsidR="00521E30">
        <w:t xml:space="preserve"> scheme</w:t>
      </w:r>
      <w:r w:rsidR="000D034A">
        <w:t>, to which employers contribute 1.6</w:t>
      </w:r>
      <w:r w:rsidR="000D034A" w:rsidRPr="001F08B0">
        <w:t>%</w:t>
      </w:r>
      <w:r w:rsidR="000D034A">
        <w:t xml:space="preserve"> </w:t>
      </w:r>
      <w:r w:rsidR="000D034A" w:rsidRPr="001F08B0">
        <w:t>of gross ordinary wages</w:t>
      </w:r>
      <w:r w:rsidR="00521E30">
        <w:t>. The</w:t>
      </w:r>
      <w:r w:rsidR="000D034A">
        <w:t xml:space="preserve"> ACT’s Secure Local </w:t>
      </w:r>
      <w:r w:rsidR="000D034A">
        <w:lastRenderedPageBreak/>
        <w:t>Jobs policy requires high ethical and labour standards</w:t>
      </w:r>
      <w:r w:rsidR="00530A1E">
        <w:t xml:space="preserve"> throughout supply chains, which </w:t>
      </w:r>
      <w:r w:rsidR="00521E30">
        <w:t>removes capacity of organisations to engage low-cost contractors</w:t>
      </w:r>
      <w:r w:rsidR="00530A1E">
        <w:t xml:space="preserve">. </w:t>
      </w:r>
    </w:p>
    <w:p w14:paraId="7AFA9BC2" w14:textId="04F8541D" w:rsidR="003D457F" w:rsidRDefault="001764C9" w:rsidP="000D034A">
      <w:pPr>
        <w:pStyle w:val="BodyText"/>
      </w:pPr>
      <w:r>
        <w:t xml:space="preserve">Within the community service sector, rapid growth and skills shortages are evident. </w:t>
      </w:r>
      <w:r w:rsidR="00521E30">
        <w:t xml:space="preserve">ABS data indicates that </w:t>
      </w:r>
      <w:r w:rsidR="00640209">
        <w:t xml:space="preserve">the number of people employed </w:t>
      </w:r>
      <w:r w:rsidR="001765E8">
        <w:t xml:space="preserve">in the </w:t>
      </w:r>
      <w:r w:rsidR="002A337B">
        <w:t xml:space="preserve">ACT </w:t>
      </w:r>
      <w:r w:rsidR="001765E8">
        <w:t>health care and social assistance industry grew by over 15% from 2016 to 2021.</w:t>
      </w:r>
      <w:r w:rsidR="001765E8" w:rsidRPr="008D55D7">
        <w:rPr>
          <w:vertAlign w:val="superscript"/>
        </w:rPr>
        <w:footnoteReference w:id="50"/>
      </w:r>
      <w:r w:rsidR="001765E8">
        <w:t xml:space="preserve"> Within it, the mental health workforce grew</w:t>
      </w:r>
      <w:r w:rsidR="002A337B">
        <w:t xml:space="preserve"> rapidly</w:t>
      </w:r>
      <w:r w:rsidR="001765E8">
        <w:t xml:space="preserve">, but not </w:t>
      </w:r>
      <w:r w:rsidR="00FC6A0A">
        <w:t>as</w:t>
      </w:r>
      <w:r w:rsidR="008D55D7">
        <w:t xml:space="preserve"> quickly as </w:t>
      </w:r>
      <w:r w:rsidR="001765E8">
        <w:t>the growth in people using mental health services.</w:t>
      </w:r>
      <w:r w:rsidR="001765E8">
        <w:rPr>
          <w:rStyle w:val="FootnoteReference"/>
        </w:rPr>
        <w:footnoteReference w:id="51"/>
      </w:r>
      <w:r>
        <w:t xml:space="preserve"> National Skills Commission </w:t>
      </w:r>
      <w:r w:rsidR="002A337B">
        <w:t xml:space="preserve">‘Nowcast’ </w:t>
      </w:r>
      <w:r>
        <w:t xml:space="preserve">data </w:t>
      </w:r>
      <w:r w:rsidR="002A337B">
        <w:t xml:space="preserve">shows </w:t>
      </w:r>
      <w:r w:rsidR="003D457F">
        <w:t xml:space="preserve">remarkably </w:t>
      </w:r>
      <w:r w:rsidR="00F62340">
        <w:t xml:space="preserve">rapid </w:t>
      </w:r>
      <w:r w:rsidR="000D034A">
        <w:t>growth in some community service occupations in the ACT</w:t>
      </w:r>
      <w:r w:rsidR="008D55D7">
        <w:t>.</w:t>
      </w:r>
      <w:r w:rsidR="00A12A22" w:rsidRPr="00A12A22">
        <w:rPr>
          <w:rStyle w:val="FootnoteReference"/>
        </w:rPr>
        <w:t xml:space="preserve"> </w:t>
      </w:r>
      <w:r w:rsidR="00A12A22">
        <w:rPr>
          <w:rStyle w:val="FootnoteReference"/>
        </w:rPr>
        <w:footnoteReference w:id="52"/>
      </w:r>
      <w:r w:rsidR="00E470D0">
        <w:t xml:space="preserve"> </w:t>
      </w:r>
      <w:r w:rsidR="000D034A">
        <w:t>In the five years to October 2021</w:t>
      </w:r>
      <w:r w:rsidR="003D457F">
        <w:t>:</w:t>
      </w:r>
    </w:p>
    <w:p w14:paraId="4BE863A5" w14:textId="45BF7D5B" w:rsidR="003D457F" w:rsidRDefault="00640209" w:rsidP="003D457F">
      <w:pPr>
        <w:pStyle w:val="ListBullet"/>
      </w:pPr>
      <w:r>
        <w:t>The number of people employed as a</w:t>
      </w:r>
      <w:r w:rsidR="003D457F">
        <w:t xml:space="preserve">ged </w:t>
      </w:r>
      <w:r w:rsidR="000D034A">
        <w:t xml:space="preserve">and disabled carers grew </w:t>
      </w:r>
      <w:r w:rsidR="00A12A22">
        <w:t xml:space="preserve">by </w:t>
      </w:r>
      <w:r w:rsidR="000D034A">
        <w:t>161% in the ACT, compared with 55%</w:t>
      </w:r>
      <w:r w:rsidR="00843003">
        <w:t xml:space="preserve"> </w:t>
      </w:r>
      <w:r w:rsidR="000D034A">
        <w:t>nationally</w:t>
      </w:r>
      <w:r w:rsidR="00805573">
        <w:t>.</w:t>
      </w:r>
      <w:r w:rsidR="00F62340">
        <w:t xml:space="preserve"> </w:t>
      </w:r>
    </w:p>
    <w:p w14:paraId="63218D06" w14:textId="7CDD155B" w:rsidR="003D457F" w:rsidRDefault="00F62340" w:rsidP="003D457F">
      <w:pPr>
        <w:pStyle w:val="ListBullet"/>
      </w:pPr>
      <w:r>
        <w:t>N</w:t>
      </w:r>
      <w:r w:rsidR="00640209">
        <w:t>umbers of n</w:t>
      </w:r>
      <w:r w:rsidR="000D034A">
        <w:t>ursing support and personal carers grew 136%, while falling 5% nationally</w:t>
      </w:r>
      <w:r w:rsidR="00805573">
        <w:t>.</w:t>
      </w:r>
      <w:r w:rsidR="000D034A">
        <w:t xml:space="preserve"> </w:t>
      </w:r>
    </w:p>
    <w:p w14:paraId="49FC83F5" w14:textId="5E38D4F6" w:rsidR="003D457F" w:rsidRDefault="00640209" w:rsidP="003D457F">
      <w:pPr>
        <w:pStyle w:val="ListBullet"/>
      </w:pPr>
      <w:r>
        <w:t xml:space="preserve">Numbers of special </w:t>
      </w:r>
      <w:r w:rsidR="000D034A">
        <w:t>care workers (which includes the out of home care workforce) increased 185% in the ACT</w:t>
      </w:r>
      <w:r w:rsidR="003D457F">
        <w:t>,</w:t>
      </w:r>
      <w:r w:rsidR="000D034A">
        <w:t xml:space="preserve"> compared with 19% nationally</w:t>
      </w:r>
      <w:r w:rsidR="00805573">
        <w:t>.</w:t>
      </w:r>
      <w:r w:rsidR="00A12A22">
        <w:rPr>
          <w:rStyle w:val="FootnoteReference"/>
        </w:rPr>
        <w:footnoteReference w:id="53"/>
      </w:r>
      <w:r w:rsidR="000D034A">
        <w:t xml:space="preserve"> </w:t>
      </w:r>
    </w:p>
    <w:p w14:paraId="369F8C4B" w14:textId="37D42889" w:rsidR="00454AD7" w:rsidRDefault="008D55D7" w:rsidP="00454AD7">
      <w:pPr>
        <w:pStyle w:val="BodyText"/>
      </w:pPr>
      <w:r>
        <w:t xml:space="preserve">When demand for skills grows so rapidly, it typically becomes more difficult to recruit staff with appropriate skills. </w:t>
      </w:r>
      <w:r w:rsidR="00521E30">
        <w:t xml:space="preserve">Indeed, </w:t>
      </w:r>
      <w:r w:rsidR="00555879">
        <w:t xml:space="preserve">Australian Government vacancy </w:t>
      </w:r>
      <w:r w:rsidR="00E470D0">
        <w:t>information</w:t>
      </w:r>
      <w:r w:rsidR="00555879">
        <w:t xml:space="preserve"> </w:t>
      </w:r>
      <w:r w:rsidR="00521E30">
        <w:t xml:space="preserve">attests to </w:t>
      </w:r>
      <w:r w:rsidR="00555879">
        <w:t>rising vacancies</w:t>
      </w:r>
      <w:r w:rsidR="00521E30">
        <w:t xml:space="preserve"> in the ACT</w:t>
      </w:r>
      <w:r w:rsidR="00555879">
        <w:t xml:space="preserve"> for legal, social and welfare professionals, along with carers and aides, and health and welfare support workers (see </w:t>
      </w:r>
      <w:r w:rsidR="008A23EB">
        <w:fldChar w:fldCharType="begin"/>
      </w:r>
      <w:r w:rsidR="008A23EB">
        <w:instrText xml:space="preserve"> REF _Ref88825357 \h </w:instrText>
      </w:r>
      <w:r w:rsidR="008A23EB">
        <w:fldChar w:fldCharType="separate"/>
      </w:r>
      <w:r w:rsidR="00E405AF">
        <w:t xml:space="preserve">Figure C. </w:t>
      </w:r>
      <w:r w:rsidR="00E405AF">
        <w:rPr>
          <w:noProof/>
        </w:rPr>
        <w:t>5</w:t>
      </w:r>
      <w:r w:rsidR="008A23EB">
        <w:fldChar w:fldCharType="end"/>
      </w:r>
      <w:r w:rsidR="0003067B">
        <w:t>)</w:t>
      </w:r>
      <w:r w:rsidR="00E470D0">
        <w:t xml:space="preserve">. </w:t>
      </w:r>
      <w:r w:rsidR="003D457F">
        <w:t xml:space="preserve">This can result </w:t>
      </w:r>
      <w:r w:rsidR="00805573">
        <w:t xml:space="preserve">in </w:t>
      </w:r>
      <w:r w:rsidR="003D457F">
        <w:t>rising wages costs as organisations attempt to attract skilled staff</w:t>
      </w:r>
      <w:r w:rsidR="008A23EB">
        <w:t>.</w:t>
      </w:r>
      <w:r w:rsidR="00454AD7" w:rsidRPr="00454AD7">
        <w:t xml:space="preserve"> </w:t>
      </w:r>
    </w:p>
    <w:p w14:paraId="01C6095E" w14:textId="03B49A86" w:rsidR="00454AD7" w:rsidRDefault="00454AD7" w:rsidP="00454AD7">
      <w:pPr>
        <w:pStyle w:val="BodyText"/>
      </w:pPr>
      <w:r w:rsidRPr="00805573">
        <w:t>ACNC data</w:t>
      </w:r>
      <w:r>
        <w:t xml:space="preserve"> attests to rising employment expenses among charities in the ACT </w:t>
      </w:r>
      <w:r w:rsidRPr="00805573">
        <w:t xml:space="preserve">(see </w:t>
      </w:r>
      <w:r w:rsidRPr="00805573">
        <w:fldChar w:fldCharType="begin"/>
      </w:r>
      <w:r w:rsidRPr="00805573">
        <w:instrText xml:space="preserve"> REF _Ref88831517 \h  \* MERGEFORMAT </w:instrText>
      </w:r>
      <w:r w:rsidRPr="00805573">
        <w:fldChar w:fldCharType="separate"/>
      </w:r>
      <w:r w:rsidR="00E405AF">
        <w:t>Table C. 3</w:t>
      </w:r>
      <w:r w:rsidRPr="00805573">
        <w:fldChar w:fldCharType="end"/>
      </w:r>
      <w:r>
        <w:t>)</w:t>
      </w:r>
      <w:r w:rsidRPr="00805573">
        <w:t xml:space="preserve">. </w:t>
      </w:r>
      <w:r>
        <w:t>Charities’ average expenditure on employees rose from 61% of total expenses to 64%.</w:t>
      </w:r>
      <w:r>
        <w:rPr>
          <w:rStyle w:val="FootnoteReference"/>
        </w:rPr>
        <w:footnoteReference w:id="54"/>
      </w:r>
      <w:r>
        <w:t xml:space="preserve"> The median figure also rose, from 64% to 67%. </w:t>
      </w:r>
      <w:proofErr w:type="gramStart"/>
      <w:r>
        <w:t>The majority of</w:t>
      </w:r>
      <w:proofErr w:type="gramEnd"/>
      <w:r>
        <w:t xml:space="preserve"> organisations (61%) experienced increases in the proportion of their total expenditure spent on employees in this period.  Growth was by more than 5 percentage points for </w:t>
      </w:r>
      <w:r w:rsidR="00700447">
        <w:t>one third (33%) of relevant ACT charities for which 2015 and 2019 ACNC data was available</w:t>
      </w:r>
      <w:r>
        <w:t>.</w:t>
      </w:r>
      <w:r w:rsidR="00700447">
        <w:rPr>
          <w:rStyle w:val="FootnoteReference"/>
        </w:rPr>
        <w:footnoteReference w:id="55"/>
      </w:r>
    </w:p>
    <w:p w14:paraId="10A62D3F" w14:textId="6632CED4" w:rsidR="008D4D62" w:rsidRPr="00E80475" w:rsidRDefault="00E80475" w:rsidP="006E6C6C">
      <w:pPr>
        <w:pStyle w:val="Heading2"/>
      </w:pPr>
      <w:bookmarkStart w:id="50" w:name="_Toc88753131"/>
      <w:bookmarkStart w:id="51" w:name="_Ref88825279"/>
      <w:bookmarkStart w:id="52" w:name="_Toc90019560"/>
      <w:r w:rsidRPr="00E80475">
        <w:t>S</w:t>
      </w:r>
      <w:r w:rsidR="008D4D62" w:rsidRPr="00E80475">
        <w:t xml:space="preserve">ector </w:t>
      </w:r>
      <w:r w:rsidR="00AE7BCB" w:rsidRPr="00E80475">
        <w:t xml:space="preserve">experiences of </w:t>
      </w:r>
      <w:r w:rsidR="008D4D62" w:rsidRPr="00E80475">
        <w:t>employment cost pressures</w:t>
      </w:r>
      <w:bookmarkEnd w:id="50"/>
      <w:bookmarkEnd w:id="51"/>
      <w:bookmarkEnd w:id="52"/>
    </w:p>
    <w:p w14:paraId="522292B7" w14:textId="0ACD704C" w:rsidR="008D4D62" w:rsidRDefault="00454AD7" w:rsidP="008D4D62">
      <w:pPr>
        <w:pStyle w:val="BodyText"/>
      </w:pPr>
      <w:r>
        <w:t>I</w:t>
      </w:r>
      <w:r w:rsidR="003D457F">
        <w:t>n the 2021 Service Costing Survey</w:t>
      </w:r>
      <w:r w:rsidR="00AE7BCB">
        <w:t>, community sector leaders report</w:t>
      </w:r>
      <w:r w:rsidR="00232DF1">
        <w:t>ed</w:t>
      </w:r>
      <w:r w:rsidR="00AE7BCB">
        <w:t xml:space="preserve"> that ACT funding </w:t>
      </w:r>
      <w:r w:rsidR="00232DF1">
        <w:t xml:space="preserve">is not </w:t>
      </w:r>
      <w:r w:rsidR="00AE7BCB">
        <w:t>fully cover</w:t>
      </w:r>
      <w:r w:rsidR="00232DF1">
        <w:t>ing</w:t>
      </w:r>
      <w:r w:rsidR="00AE7BCB">
        <w:t xml:space="preserve"> their employment costs, nor recognis</w:t>
      </w:r>
      <w:r w:rsidR="00232DF1">
        <w:t>ing</w:t>
      </w:r>
      <w:r w:rsidR="00AE7BCB">
        <w:t xml:space="preserve"> increasing</w:t>
      </w:r>
      <w:r>
        <w:t xml:space="preserve"> costs</w:t>
      </w:r>
      <w:r w:rsidR="00AE7BCB">
        <w:t>.</w:t>
      </w:r>
      <w:r w:rsidR="00AE7BCB">
        <w:rPr>
          <w:rStyle w:val="FootnoteReference"/>
        </w:rPr>
        <w:footnoteReference w:id="56"/>
      </w:r>
      <w:r w:rsidR="00AE7BCB">
        <w:t xml:space="preserve"> </w:t>
      </w:r>
      <w:r w:rsidR="00A31228">
        <w:t xml:space="preserve">As </w:t>
      </w:r>
      <w:r w:rsidR="00A31228">
        <w:fldChar w:fldCharType="begin"/>
      </w:r>
      <w:r w:rsidR="00A31228">
        <w:instrText xml:space="preserve"> REF _Ref88831882 \h </w:instrText>
      </w:r>
      <w:r w:rsidR="00A31228">
        <w:fldChar w:fldCharType="separate"/>
      </w:r>
      <w:r w:rsidR="00E405AF">
        <w:t xml:space="preserve">Figure </w:t>
      </w:r>
      <w:r w:rsidR="00E405AF">
        <w:rPr>
          <w:noProof/>
        </w:rPr>
        <w:t>5</w:t>
      </w:r>
      <w:r w:rsidR="00E405AF">
        <w:t>.</w:t>
      </w:r>
      <w:r w:rsidR="00E405AF">
        <w:rPr>
          <w:noProof/>
        </w:rPr>
        <w:t>1</w:t>
      </w:r>
      <w:r w:rsidR="00A31228">
        <w:fldChar w:fldCharType="end"/>
      </w:r>
      <w:r w:rsidR="008D4D62">
        <w:t xml:space="preserve"> shows, </w:t>
      </w:r>
      <w:r w:rsidR="003D457F">
        <w:t>few</w:t>
      </w:r>
      <w:r w:rsidR="00A31228">
        <w:t xml:space="preserve"> organisations</w:t>
      </w:r>
      <w:r w:rsidR="003D457F">
        <w:t xml:space="preserve"> reported adequate funding for</w:t>
      </w:r>
      <w:r w:rsidR="00A31228">
        <w:t>:</w:t>
      </w:r>
    </w:p>
    <w:p w14:paraId="1363659A" w14:textId="5EC1AB1D" w:rsidR="008D4D62" w:rsidRDefault="008D4D62" w:rsidP="003D457F">
      <w:pPr>
        <w:pStyle w:val="ListBullet"/>
      </w:pPr>
      <w:r>
        <w:lastRenderedPageBreak/>
        <w:t>Backfilling (12%)</w:t>
      </w:r>
    </w:p>
    <w:p w14:paraId="673D86BB" w14:textId="290DBC5E" w:rsidR="008D4D62" w:rsidRDefault="008D4D62" w:rsidP="003D457F">
      <w:pPr>
        <w:pStyle w:val="ListBullet"/>
      </w:pPr>
      <w:r>
        <w:t>Supervision (17%)</w:t>
      </w:r>
    </w:p>
    <w:p w14:paraId="3E66A035" w14:textId="77777777" w:rsidR="008D4D62" w:rsidRDefault="008D4D62" w:rsidP="003D457F">
      <w:pPr>
        <w:pStyle w:val="ListBullet"/>
      </w:pPr>
      <w:r>
        <w:t>Employing enough staff (22%)</w:t>
      </w:r>
    </w:p>
    <w:p w14:paraId="021CD6CB" w14:textId="77777777" w:rsidR="008D4D62" w:rsidRDefault="008D4D62" w:rsidP="003D457F">
      <w:pPr>
        <w:pStyle w:val="ListBullet"/>
      </w:pPr>
      <w:r>
        <w:t>Managing volunteers (25%)</w:t>
      </w:r>
    </w:p>
    <w:p w14:paraId="2768CC71" w14:textId="77777777" w:rsidR="008D4D62" w:rsidRDefault="008D4D62" w:rsidP="003D457F">
      <w:pPr>
        <w:pStyle w:val="ListBullet"/>
      </w:pPr>
      <w:r>
        <w:t>Professional development (26%)</w:t>
      </w:r>
    </w:p>
    <w:p w14:paraId="7A77C259" w14:textId="33FA26E2" w:rsidR="008D4D62" w:rsidRDefault="008D4D62" w:rsidP="003D457F">
      <w:pPr>
        <w:pStyle w:val="ListBullet"/>
      </w:pPr>
      <w:r>
        <w:t>Recruitment and induction (27%)</w:t>
      </w:r>
    </w:p>
    <w:p w14:paraId="79DC3A24" w14:textId="2750B17E" w:rsidR="00ED1579" w:rsidRDefault="00ED1579" w:rsidP="00ED1579">
      <w:pPr>
        <w:pStyle w:val="BodyText"/>
      </w:pPr>
      <w:r>
        <w:t xml:space="preserve">Comments from leaders and workers corroborate these challenges. Examples of leaders’ perspectives, also captured in the </w:t>
      </w:r>
      <w:r w:rsidR="002D42F6">
        <w:t>Service Costing s</w:t>
      </w:r>
      <w:r>
        <w:t xml:space="preserve">urvey, are organised around key </w:t>
      </w:r>
      <w:proofErr w:type="gramStart"/>
      <w:r>
        <w:t>themes</w:t>
      </w:r>
      <w:proofErr w:type="gramEnd"/>
      <w:r>
        <w:t xml:space="preserve"> and shown in </w:t>
      </w:r>
      <w:r w:rsidR="00A31228">
        <w:fldChar w:fldCharType="begin"/>
      </w:r>
      <w:r w:rsidR="00A31228">
        <w:instrText xml:space="preserve"> REF _Ref88831915 \h </w:instrText>
      </w:r>
      <w:r w:rsidR="00A31228">
        <w:fldChar w:fldCharType="separate"/>
      </w:r>
      <w:r w:rsidR="00E405AF">
        <w:t xml:space="preserve">Table </w:t>
      </w:r>
      <w:r w:rsidR="00E405AF">
        <w:rPr>
          <w:noProof/>
        </w:rPr>
        <w:t>5</w:t>
      </w:r>
      <w:r w:rsidR="00E405AF">
        <w:t>.</w:t>
      </w:r>
      <w:r w:rsidR="00E405AF">
        <w:rPr>
          <w:noProof/>
        </w:rPr>
        <w:t>1</w:t>
      </w:r>
      <w:r w:rsidR="00A31228">
        <w:fldChar w:fldCharType="end"/>
      </w:r>
      <w:r>
        <w:t>.</w:t>
      </w:r>
    </w:p>
    <w:p w14:paraId="5F67C31F" w14:textId="107E3307" w:rsidR="008D4D62" w:rsidRPr="001349AD" w:rsidRDefault="005A1A69" w:rsidP="005A1A69">
      <w:pPr>
        <w:pStyle w:val="Caption"/>
      </w:pPr>
      <w:bookmarkStart w:id="53" w:name="_Ref88831882"/>
      <w:bookmarkStart w:id="54" w:name="_Toc90019595"/>
      <w:r>
        <w:t xml:space="preserve">Figure </w:t>
      </w:r>
      <w:fldSimple w:instr=" STYLEREF 1 \s ">
        <w:r w:rsidR="00E405AF">
          <w:rPr>
            <w:noProof/>
          </w:rPr>
          <w:t>5</w:t>
        </w:r>
      </w:fldSimple>
      <w:r>
        <w:t>.</w:t>
      </w:r>
      <w:fldSimple w:instr=" SEQ Figure \* ARABIC \s 1 ">
        <w:r w:rsidR="00E405AF">
          <w:rPr>
            <w:noProof/>
          </w:rPr>
          <w:t>1</w:t>
        </w:r>
      </w:fldSimple>
      <w:bookmarkEnd w:id="53"/>
      <w:r w:rsidR="008D4D62" w:rsidRPr="001349AD">
        <w:tab/>
      </w:r>
      <w:r w:rsidR="008D4D62">
        <w:t>Perspectives on coverage of employment-related costs</w:t>
      </w:r>
      <w:bookmarkEnd w:id="54"/>
    </w:p>
    <w:p w14:paraId="66C3CBA4" w14:textId="258C9E25" w:rsidR="00ED1579" w:rsidRDefault="008D4D62" w:rsidP="00231656">
      <w:pPr>
        <w:pStyle w:val="BodyText"/>
        <w:rPr>
          <w:sz w:val="18"/>
          <w:szCs w:val="18"/>
        </w:rPr>
      </w:pPr>
      <w:r w:rsidRPr="00CC2729">
        <w:rPr>
          <w:b/>
          <w:bCs/>
          <w:noProof/>
        </w:rPr>
        <w:drawing>
          <wp:inline distT="0" distB="0" distL="0" distR="0" wp14:anchorId="0D003E96" wp14:editId="438E5A3E">
            <wp:extent cx="5930900" cy="6245352"/>
            <wp:effectExtent l="0" t="0" r="0" b="3175"/>
            <wp:docPr id="3" name="Chart 3" descr="Figure 5.1 is a horizontal bar graph charting perspective on coverage of employment-relayed costs. &#10;&#10;It highlights trends towards the employment-related costs being underfunded or not funded.  ">
              <a:extLst xmlns:a="http://schemas.openxmlformats.org/drawingml/2006/main">
                <a:ext uri="{FF2B5EF4-FFF2-40B4-BE49-F238E27FC236}">
                  <a16:creationId xmlns:a16="http://schemas.microsoft.com/office/drawing/2014/main" id="{83A06A0A-8D3E-4A32-BA85-1CE287928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54AD7">
        <w:rPr>
          <w:sz w:val="18"/>
          <w:szCs w:val="18"/>
        </w:rPr>
        <w:br/>
      </w:r>
      <w:r w:rsidR="00554250" w:rsidRPr="00554250">
        <w:rPr>
          <w:sz w:val="18"/>
          <w:szCs w:val="18"/>
        </w:rPr>
        <w:t>Source: ACT Service Costing Survey, 2021</w:t>
      </w:r>
      <w:r w:rsidR="00454AD7">
        <w:rPr>
          <w:sz w:val="18"/>
          <w:szCs w:val="18"/>
        </w:rPr>
        <w:t xml:space="preserve">. </w:t>
      </w:r>
      <w:r w:rsidR="00A32DF9">
        <w:rPr>
          <w:sz w:val="18"/>
          <w:szCs w:val="18"/>
        </w:rPr>
        <w:t xml:space="preserve">Detail for funding received from Community Services Directorate and Health Directorate is </w:t>
      </w:r>
      <w:r w:rsidR="00454AD7">
        <w:rPr>
          <w:sz w:val="18"/>
          <w:szCs w:val="18"/>
        </w:rPr>
        <w:t xml:space="preserve">in </w:t>
      </w:r>
      <w:r w:rsidR="00A32DF9">
        <w:rPr>
          <w:sz w:val="18"/>
          <w:szCs w:val="18"/>
        </w:rPr>
        <w:fldChar w:fldCharType="begin"/>
      </w:r>
      <w:r w:rsidR="00A32DF9">
        <w:rPr>
          <w:sz w:val="18"/>
          <w:szCs w:val="18"/>
        </w:rPr>
        <w:instrText xml:space="preserve"> REF _Ref88839192 \h  \* MERGEFORMAT </w:instrText>
      </w:r>
      <w:r w:rsidR="00A32DF9">
        <w:rPr>
          <w:sz w:val="18"/>
          <w:szCs w:val="18"/>
        </w:rPr>
      </w:r>
      <w:r w:rsidR="00A32DF9">
        <w:rPr>
          <w:sz w:val="18"/>
          <w:szCs w:val="18"/>
        </w:rPr>
        <w:fldChar w:fldCharType="separate"/>
      </w:r>
      <w:r w:rsidR="00E405AF" w:rsidRPr="00E405AF">
        <w:rPr>
          <w:sz w:val="18"/>
          <w:szCs w:val="18"/>
        </w:rPr>
        <w:t>Table C. 6</w:t>
      </w:r>
      <w:r w:rsidR="00A32DF9">
        <w:rPr>
          <w:sz w:val="18"/>
          <w:szCs w:val="18"/>
        </w:rPr>
        <w:fldChar w:fldCharType="end"/>
      </w:r>
      <w:r w:rsidR="00A32DF9">
        <w:rPr>
          <w:sz w:val="18"/>
          <w:szCs w:val="18"/>
        </w:rPr>
        <w:t xml:space="preserve"> and </w:t>
      </w:r>
      <w:r w:rsidR="00A32DF9">
        <w:rPr>
          <w:sz w:val="18"/>
          <w:szCs w:val="18"/>
        </w:rPr>
        <w:fldChar w:fldCharType="begin"/>
      </w:r>
      <w:r w:rsidR="00A32DF9">
        <w:rPr>
          <w:sz w:val="18"/>
          <w:szCs w:val="18"/>
        </w:rPr>
        <w:instrText xml:space="preserve"> REF _Ref88839336 \h </w:instrText>
      </w:r>
      <w:r w:rsidR="00A06E07">
        <w:rPr>
          <w:sz w:val="18"/>
          <w:szCs w:val="18"/>
        </w:rPr>
        <w:instrText xml:space="preserve"> \* MERGEFORMAT </w:instrText>
      </w:r>
      <w:r w:rsidR="00A32DF9">
        <w:rPr>
          <w:sz w:val="18"/>
          <w:szCs w:val="18"/>
        </w:rPr>
      </w:r>
      <w:r w:rsidR="00A32DF9">
        <w:rPr>
          <w:sz w:val="18"/>
          <w:szCs w:val="18"/>
        </w:rPr>
        <w:fldChar w:fldCharType="separate"/>
      </w:r>
      <w:r w:rsidR="00E405AF" w:rsidRPr="00E405AF">
        <w:rPr>
          <w:sz w:val="18"/>
          <w:szCs w:val="18"/>
        </w:rPr>
        <w:t>Table C. 7</w:t>
      </w:r>
      <w:r w:rsidR="00A32DF9">
        <w:rPr>
          <w:sz w:val="18"/>
          <w:szCs w:val="18"/>
        </w:rPr>
        <w:fldChar w:fldCharType="end"/>
      </w:r>
      <w:r w:rsidR="00A32DF9">
        <w:rPr>
          <w:sz w:val="18"/>
          <w:szCs w:val="18"/>
        </w:rPr>
        <w:t>.</w:t>
      </w:r>
      <w:r w:rsidR="00ED1579">
        <w:rPr>
          <w:sz w:val="18"/>
          <w:szCs w:val="18"/>
        </w:rPr>
        <w:br w:type="page"/>
      </w:r>
    </w:p>
    <w:p w14:paraId="32339308" w14:textId="46C2E065" w:rsidR="00F62340" w:rsidRDefault="00FE01CA" w:rsidP="00FE01CA">
      <w:pPr>
        <w:pStyle w:val="Caption"/>
      </w:pPr>
      <w:bookmarkStart w:id="55" w:name="_Ref88831915"/>
      <w:bookmarkStart w:id="56" w:name="_Toc90019586"/>
      <w:r>
        <w:lastRenderedPageBreak/>
        <w:t xml:space="preserve">Table </w:t>
      </w:r>
      <w:fldSimple w:instr=" STYLEREF 1 \s ">
        <w:r w:rsidR="00E405AF">
          <w:rPr>
            <w:noProof/>
          </w:rPr>
          <w:t>5</w:t>
        </w:r>
      </w:fldSimple>
      <w:r w:rsidR="00911AB3">
        <w:t>.</w:t>
      </w:r>
      <w:fldSimple w:instr=" SEQ Table \* ARABIC \s 1 ">
        <w:r w:rsidR="00E405AF">
          <w:rPr>
            <w:noProof/>
          </w:rPr>
          <w:t>1</w:t>
        </w:r>
      </w:fldSimple>
      <w:bookmarkEnd w:id="55"/>
      <w:r w:rsidR="00B636FE">
        <w:tab/>
        <w:t>Leaders</w:t>
      </w:r>
      <w:r w:rsidR="00A31228">
        <w:t>’</w:t>
      </w:r>
      <w:r w:rsidR="00B636FE">
        <w:t xml:space="preserve"> comments on employment costs</w:t>
      </w:r>
      <w:bookmarkEnd w:id="56"/>
    </w:p>
    <w:tbl>
      <w:tblPr>
        <w:tblStyle w:val="Style3"/>
        <w:tblW w:w="9634" w:type="dxa"/>
        <w:tblLook w:val="04A0" w:firstRow="1" w:lastRow="0" w:firstColumn="1" w:lastColumn="0" w:noHBand="0" w:noVBand="1"/>
      </w:tblPr>
      <w:tblGrid>
        <w:gridCol w:w="1980"/>
        <w:gridCol w:w="7654"/>
      </w:tblGrid>
      <w:tr w:rsidR="00F62340" w:rsidRPr="003A638C" w14:paraId="2C305BAD" w14:textId="77777777" w:rsidTr="00BB1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05EB07" w14:textId="7900E4AD" w:rsidR="00F62340" w:rsidRPr="003A638C" w:rsidRDefault="00F62340" w:rsidP="007E103F">
            <w:pPr>
              <w:pStyle w:val="BodyText"/>
              <w:spacing w:before="60" w:after="60"/>
              <w:rPr>
                <w:sz w:val="20"/>
                <w:szCs w:val="20"/>
              </w:rPr>
            </w:pPr>
            <w:r w:rsidRPr="003A638C">
              <w:rPr>
                <w:b/>
                <w:bCs/>
                <w:color w:val="FFFFFF" w:themeColor="background1"/>
                <w:sz w:val="20"/>
                <w:szCs w:val="20"/>
              </w:rPr>
              <w:t>Issue</w:t>
            </w:r>
          </w:p>
        </w:tc>
        <w:tc>
          <w:tcPr>
            <w:tcW w:w="7654" w:type="dxa"/>
          </w:tcPr>
          <w:p w14:paraId="39166BBF" w14:textId="3251B909" w:rsidR="00F62340" w:rsidRPr="003A638C" w:rsidRDefault="00F62340" w:rsidP="007E103F">
            <w:pPr>
              <w:pStyle w:val="BodyText"/>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3A638C">
              <w:rPr>
                <w:b/>
                <w:bCs/>
                <w:color w:val="FFFFFF" w:themeColor="background1"/>
                <w:sz w:val="20"/>
                <w:szCs w:val="20"/>
              </w:rPr>
              <w:t>Comment from leader</w:t>
            </w:r>
          </w:p>
        </w:tc>
      </w:tr>
      <w:tr w:rsidR="00F62340" w:rsidRPr="003A638C" w14:paraId="7F90AE0F" w14:textId="77777777" w:rsidTr="00BB1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39B4CB" w14:textId="042C81CE" w:rsidR="00F62340" w:rsidRPr="003A638C" w:rsidRDefault="00232DF1" w:rsidP="003D457F">
            <w:pPr>
              <w:pStyle w:val="BodyText"/>
              <w:spacing w:before="60" w:after="60" w:line="240" w:lineRule="auto"/>
              <w:rPr>
                <w:sz w:val="20"/>
                <w:szCs w:val="20"/>
              </w:rPr>
            </w:pPr>
            <w:r w:rsidRPr="003A638C">
              <w:rPr>
                <w:sz w:val="20"/>
                <w:szCs w:val="20"/>
              </w:rPr>
              <w:t xml:space="preserve">Poor </w:t>
            </w:r>
            <w:r w:rsidR="00F62340" w:rsidRPr="003A638C">
              <w:rPr>
                <w:sz w:val="20"/>
                <w:szCs w:val="20"/>
              </w:rPr>
              <w:t xml:space="preserve">resourcing </w:t>
            </w:r>
            <w:r w:rsidRPr="003A638C">
              <w:rPr>
                <w:sz w:val="20"/>
                <w:szCs w:val="20"/>
              </w:rPr>
              <w:t xml:space="preserve">of </w:t>
            </w:r>
            <w:r w:rsidR="00F62340" w:rsidRPr="003A638C">
              <w:rPr>
                <w:sz w:val="20"/>
                <w:szCs w:val="20"/>
              </w:rPr>
              <w:t xml:space="preserve">employment </w:t>
            </w:r>
            <w:r w:rsidRPr="003A638C">
              <w:rPr>
                <w:sz w:val="20"/>
                <w:szCs w:val="20"/>
              </w:rPr>
              <w:t xml:space="preserve">costs is </w:t>
            </w:r>
            <w:r w:rsidR="00F62340" w:rsidRPr="003A638C">
              <w:rPr>
                <w:sz w:val="20"/>
                <w:szCs w:val="20"/>
              </w:rPr>
              <w:t>reduc</w:t>
            </w:r>
            <w:r w:rsidRPr="003A638C">
              <w:rPr>
                <w:sz w:val="20"/>
                <w:szCs w:val="20"/>
              </w:rPr>
              <w:t>ing</w:t>
            </w:r>
            <w:r w:rsidR="00F62340" w:rsidRPr="003A638C">
              <w:rPr>
                <w:sz w:val="20"/>
                <w:szCs w:val="20"/>
              </w:rPr>
              <w:t xml:space="preserve"> capacity</w:t>
            </w:r>
          </w:p>
        </w:tc>
        <w:tc>
          <w:tcPr>
            <w:tcW w:w="7654" w:type="dxa"/>
          </w:tcPr>
          <w:p w14:paraId="23831CFC" w14:textId="77777777" w:rsidR="00F62340" w:rsidRPr="003A638C" w:rsidRDefault="00F62340" w:rsidP="003D457F">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are severely underfunded - at half the level of a sister peak body doing the same type of work. This means we can only afford to employ 2 part-time staff.</w:t>
            </w:r>
          </w:p>
          <w:p w14:paraId="7ED9AB61" w14:textId="2259D4FE" w:rsidR="00F62340" w:rsidRPr="003A638C" w:rsidRDefault="00413EF4" w:rsidP="007E103F">
            <w:pPr>
              <w:pStyle w:val="Quote"/>
              <w:spacing w:before="120" w:after="60"/>
              <w:ind w:left="40"/>
              <w:jc w:val="both"/>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 xml:space="preserve">Industry average is around 15-25% for everything that is not staff wages (administration, car, phone, IT, training, supervision, recruitment, fees, insurance, quality assurance &amp; compliance) however typically wages are now more than 80% of all costs, meaning cuts </w:t>
            </w:r>
            <w:proofErr w:type="gramStart"/>
            <w:r w:rsidRPr="003A638C">
              <w:rPr>
                <w:sz w:val="20"/>
                <w:szCs w:val="20"/>
                <w:lang w:eastAsia="en-AU"/>
              </w:rPr>
              <w:t>have to</w:t>
            </w:r>
            <w:proofErr w:type="gramEnd"/>
            <w:r w:rsidRPr="003A638C">
              <w:rPr>
                <w:sz w:val="20"/>
                <w:szCs w:val="20"/>
                <w:lang w:eastAsia="en-AU"/>
              </w:rPr>
              <w:t xml:space="preserve"> be made into this list, affecting quality, training and staff support.</w:t>
            </w:r>
          </w:p>
        </w:tc>
      </w:tr>
      <w:tr w:rsidR="00F62340" w:rsidRPr="003A638C" w14:paraId="4CA700BE" w14:textId="77777777" w:rsidTr="00BB1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725F2C" w14:textId="4B5E4EEE" w:rsidR="00F62340" w:rsidRPr="003A638C" w:rsidRDefault="00D605AB" w:rsidP="003D457F">
            <w:pPr>
              <w:pStyle w:val="BodyText"/>
              <w:spacing w:before="60" w:after="60" w:line="240" w:lineRule="auto"/>
              <w:rPr>
                <w:sz w:val="20"/>
                <w:szCs w:val="20"/>
              </w:rPr>
            </w:pPr>
            <w:r w:rsidRPr="003A638C">
              <w:rPr>
                <w:sz w:val="20"/>
                <w:szCs w:val="20"/>
              </w:rPr>
              <w:t>Organisations are having to choose between meeting demand and covering staffing costs</w:t>
            </w:r>
          </w:p>
        </w:tc>
        <w:tc>
          <w:tcPr>
            <w:tcW w:w="7654" w:type="dxa"/>
          </w:tcPr>
          <w:p w14:paraId="4576BF6E" w14:textId="74227B8E" w:rsidR="00F62340" w:rsidRPr="003A638C" w:rsidRDefault="00F62340" w:rsidP="003D457F">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 xml:space="preserve">The increased needs of our clients </w:t>
            </w:r>
            <w:proofErr w:type="gramStart"/>
            <w:r w:rsidRPr="003A638C">
              <w:rPr>
                <w:sz w:val="20"/>
                <w:szCs w:val="20"/>
                <w:lang w:eastAsia="en-AU"/>
              </w:rPr>
              <w:t>means</w:t>
            </w:r>
            <w:proofErr w:type="gramEnd"/>
            <w:r w:rsidRPr="003A638C">
              <w:rPr>
                <w:sz w:val="20"/>
                <w:szCs w:val="20"/>
                <w:lang w:eastAsia="en-AU"/>
              </w:rPr>
              <w:t xml:space="preserve"> the funds are absorbed in trying to ensure clients are catered for with their needs. The costs to provide things like clinical supervision are an expense that is unaffordable to our org. Also being able to backfill staff costs are outside our scope with all current funding.</w:t>
            </w:r>
          </w:p>
          <w:p w14:paraId="7ABA0036" w14:textId="2C073F62" w:rsidR="00F62340" w:rsidRPr="003A638C" w:rsidRDefault="00413EF4" w:rsidP="007E103F">
            <w:pPr>
              <w:pStyle w:val="Quote"/>
              <w:spacing w:before="120" w:after="60"/>
              <w:ind w:left="40"/>
              <w:jc w:val="both"/>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Inadequate funding of essential services like ours, places management and the Board in a no-win position of needing to run down any savings to maintain staff to meet demand and eventually fold; or reducing services now to stay within the funding envelope even if it means turning away people in incredible need.</w:t>
            </w:r>
          </w:p>
        </w:tc>
      </w:tr>
      <w:tr w:rsidR="00F62340" w:rsidRPr="003A638C" w14:paraId="5098AE24" w14:textId="77777777" w:rsidTr="00BB1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D44CDE" w14:textId="6A773932" w:rsidR="00F62340" w:rsidRPr="003A638C" w:rsidRDefault="00DA0DA9" w:rsidP="003D457F">
            <w:pPr>
              <w:pStyle w:val="BodyText"/>
              <w:spacing w:before="60" w:after="60" w:line="240" w:lineRule="auto"/>
              <w:rPr>
                <w:sz w:val="20"/>
                <w:szCs w:val="20"/>
              </w:rPr>
            </w:pPr>
            <w:r w:rsidRPr="003A638C">
              <w:rPr>
                <w:sz w:val="20"/>
                <w:szCs w:val="20"/>
              </w:rPr>
              <w:t>Despite the ERO, community sector pay remains below the public sector</w:t>
            </w:r>
          </w:p>
        </w:tc>
        <w:tc>
          <w:tcPr>
            <w:tcW w:w="7654" w:type="dxa"/>
          </w:tcPr>
          <w:p w14:paraId="71D47529" w14:textId="77777777" w:rsidR="00DA0DA9" w:rsidRPr="003A638C" w:rsidRDefault="00DA0DA9" w:rsidP="003D457F">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get some ERO but that does not cover all wages (it is calculated on staffing from approximately 8 years ago).  Even at the current state of the award it is still significantly less than what equivalent staff in the public sector earn and there are none of the perks around increasing superannuation etc that are delivered in the public sector.  The salary sacrificing agreements increase take home wages to a degree but most staff in the public sector in health are also entitled to similar agreements, so we're just as far behind.</w:t>
            </w:r>
          </w:p>
          <w:p w14:paraId="1495C44E" w14:textId="406F58ED" w:rsidR="00F62340" w:rsidRPr="003A638C" w:rsidRDefault="00413EF4" w:rsidP="007E103F">
            <w:pPr>
              <w:pStyle w:val="Quote"/>
              <w:spacing w:before="120" w:after="60"/>
              <w:ind w:left="40"/>
              <w:jc w:val="both"/>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Recruiting skilled and qualified staff is also difficult when competing for candidates with the better compensated public service roles available.</w:t>
            </w:r>
          </w:p>
        </w:tc>
      </w:tr>
      <w:tr w:rsidR="00F62340" w:rsidRPr="003A638C" w14:paraId="57080F16" w14:textId="77777777" w:rsidTr="00BB1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5D71B3" w14:textId="057B291A" w:rsidR="00F62340" w:rsidRPr="003A638C" w:rsidRDefault="00413EF4" w:rsidP="003D457F">
            <w:pPr>
              <w:pStyle w:val="BodyText"/>
              <w:spacing w:before="60" w:after="60" w:line="240" w:lineRule="auto"/>
              <w:rPr>
                <w:sz w:val="20"/>
                <w:szCs w:val="20"/>
              </w:rPr>
            </w:pPr>
            <w:r w:rsidRPr="003A638C">
              <w:rPr>
                <w:sz w:val="20"/>
                <w:szCs w:val="20"/>
              </w:rPr>
              <w:t>Expanding staff numbers requires administrative capacity</w:t>
            </w:r>
          </w:p>
        </w:tc>
        <w:tc>
          <w:tcPr>
            <w:tcW w:w="7654" w:type="dxa"/>
          </w:tcPr>
          <w:p w14:paraId="77DF929A" w14:textId="16411537" w:rsidR="00F62340" w:rsidRPr="003A638C" w:rsidRDefault="00413EF4" w:rsidP="003D457F">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We are in the position where, even if we received more money for a project, we would have to think very carefully about accepting the money because we do not have the administrative capacity to manage additional staff and to responsibly carry out the functions of supervision, WHS etc. of a larger team. It’s a real catch-22 situation.</w:t>
            </w:r>
          </w:p>
        </w:tc>
      </w:tr>
      <w:tr w:rsidR="00F62340" w:rsidRPr="003A638C" w14:paraId="47D75D84" w14:textId="77777777" w:rsidTr="00BB1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37A39E" w14:textId="7D0A9DAA" w:rsidR="00F62340" w:rsidRPr="003A638C" w:rsidRDefault="00413EF4" w:rsidP="003D457F">
            <w:pPr>
              <w:pStyle w:val="BodyText"/>
              <w:spacing w:before="60" w:after="60" w:line="240" w:lineRule="auto"/>
              <w:rPr>
                <w:sz w:val="20"/>
                <w:szCs w:val="20"/>
              </w:rPr>
            </w:pPr>
            <w:r w:rsidRPr="003A638C">
              <w:rPr>
                <w:sz w:val="20"/>
                <w:szCs w:val="20"/>
              </w:rPr>
              <w:t>Using volunteers incurs costs</w:t>
            </w:r>
          </w:p>
        </w:tc>
        <w:tc>
          <w:tcPr>
            <w:tcW w:w="7654" w:type="dxa"/>
          </w:tcPr>
          <w:p w14:paraId="508CE26D" w14:textId="61D60302" w:rsidR="00F62340" w:rsidRPr="003A638C" w:rsidRDefault="00413EF4" w:rsidP="003D457F">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 xml:space="preserve">The costs of managing volunteers </w:t>
            </w:r>
            <w:proofErr w:type="gramStart"/>
            <w:r w:rsidRPr="003A638C">
              <w:rPr>
                <w:sz w:val="20"/>
                <w:szCs w:val="20"/>
                <w:lang w:eastAsia="en-AU"/>
              </w:rPr>
              <w:t>is</w:t>
            </w:r>
            <w:proofErr w:type="gramEnd"/>
            <w:r w:rsidRPr="003A638C">
              <w:rPr>
                <w:sz w:val="20"/>
                <w:szCs w:val="20"/>
                <w:lang w:eastAsia="en-AU"/>
              </w:rPr>
              <w:t xml:space="preserve"> high and completely </w:t>
            </w:r>
            <w:proofErr w:type="spellStart"/>
            <w:r w:rsidRPr="003A638C">
              <w:rPr>
                <w:sz w:val="20"/>
                <w:szCs w:val="20"/>
                <w:lang w:eastAsia="en-AU"/>
              </w:rPr>
              <w:t>unfunded</w:t>
            </w:r>
            <w:proofErr w:type="spellEnd"/>
            <w:r w:rsidRPr="003A638C">
              <w:rPr>
                <w:sz w:val="20"/>
                <w:szCs w:val="20"/>
                <w:lang w:eastAsia="en-AU"/>
              </w:rPr>
              <w:t xml:space="preserve">. These costs are not just in management of people, they also need access to </w:t>
            </w:r>
            <w:r w:rsidR="00700447">
              <w:rPr>
                <w:sz w:val="20"/>
                <w:szCs w:val="20"/>
                <w:lang w:eastAsia="en-AU"/>
              </w:rPr>
              <w:t>professional development</w:t>
            </w:r>
            <w:r w:rsidRPr="003A638C">
              <w:rPr>
                <w:sz w:val="20"/>
                <w:szCs w:val="20"/>
                <w:lang w:eastAsia="en-AU"/>
              </w:rPr>
              <w:t xml:space="preserve">, supervision, </w:t>
            </w:r>
            <w:r w:rsidR="00700447">
              <w:rPr>
                <w:sz w:val="20"/>
                <w:szCs w:val="20"/>
                <w:lang w:eastAsia="en-AU"/>
              </w:rPr>
              <w:t>workplace health and safety</w:t>
            </w:r>
            <w:r w:rsidR="00700447" w:rsidRPr="003A638C">
              <w:rPr>
                <w:sz w:val="20"/>
                <w:szCs w:val="20"/>
                <w:lang w:eastAsia="en-AU"/>
              </w:rPr>
              <w:t xml:space="preserve"> </w:t>
            </w:r>
            <w:r w:rsidRPr="003A638C">
              <w:rPr>
                <w:sz w:val="20"/>
                <w:szCs w:val="20"/>
                <w:lang w:eastAsia="en-AU"/>
              </w:rPr>
              <w:t>etc.</w:t>
            </w:r>
          </w:p>
        </w:tc>
      </w:tr>
      <w:tr w:rsidR="00413EF4" w:rsidRPr="003A638C" w14:paraId="29F52121" w14:textId="77777777" w:rsidTr="007E103F">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980" w:type="dxa"/>
          </w:tcPr>
          <w:p w14:paraId="2C2B7CB4" w14:textId="6282C11F" w:rsidR="00413EF4" w:rsidRPr="003A638C" w:rsidRDefault="00D605AB" w:rsidP="003D457F">
            <w:pPr>
              <w:pStyle w:val="BodyText"/>
              <w:spacing w:before="60" w:after="60" w:line="240" w:lineRule="auto"/>
              <w:rPr>
                <w:sz w:val="20"/>
                <w:szCs w:val="20"/>
              </w:rPr>
            </w:pPr>
            <w:r w:rsidRPr="003A638C">
              <w:rPr>
                <w:sz w:val="20"/>
                <w:szCs w:val="20"/>
              </w:rPr>
              <w:t>Costs of i</w:t>
            </w:r>
            <w:r w:rsidR="00413EF4" w:rsidRPr="003A638C">
              <w:rPr>
                <w:sz w:val="20"/>
                <w:szCs w:val="20"/>
              </w:rPr>
              <w:t xml:space="preserve">mproved employment regulation </w:t>
            </w:r>
            <w:r w:rsidRPr="003A638C">
              <w:rPr>
                <w:sz w:val="20"/>
                <w:szCs w:val="20"/>
              </w:rPr>
              <w:t>need to be covered</w:t>
            </w:r>
          </w:p>
        </w:tc>
        <w:tc>
          <w:tcPr>
            <w:tcW w:w="7654" w:type="dxa"/>
          </w:tcPr>
          <w:p w14:paraId="49D5D3E0" w14:textId="77777777" w:rsidR="00413EF4" w:rsidRPr="003A638C" w:rsidRDefault="00413EF4" w:rsidP="003D457F">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All government funding ignores the true cost employing staff and of back office and management including NDIS pricing and Home Care Packages. Government employees state things like "you should only employ on fixed term contracts to avoid redundancy if funding ceases</w:t>
            </w:r>
            <w:proofErr w:type="gramStart"/>
            <w:r w:rsidRPr="003A638C">
              <w:rPr>
                <w:sz w:val="20"/>
                <w:szCs w:val="20"/>
                <w:lang w:eastAsia="en-AU"/>
              </w:rPr>
              <w:t>"  which</w:t>
            </w:r>
            <w:proofErr w:type="gramEnd"/>
            <w:r w:rsidRPr="003A638C">
              <w:rPr>
                <w:sz w:val="20"/>
                <w:szCs w:val="20"/>
                <w:lang w:eastAsia="en-AU"/>
              </w:rPr>
              <w:t xml:space="preserve"> is a breach of employment law.  Someone on rolling </w:t>
            </w:r>
            <w:proofErr w:type="gramStart"/>
            <w:r w:rsidRPr="003A638C">
              <w:rPr>
                <w:sz w:val="20"/>
                <w:szCs w:val="20"/>
                <w:lang w:eastAsia="en-AU"/>
              </w:rPr>
              <w:t>3 year</w:t>
            </w:r>
            <w:proofErr w:type="gramEnd"/>
            <w:r w:rsidRPr="003A638C">
              <w:rPr>
                <w:sz w:val="20"/>
                <w:szCs w:val="20"/>
                <w:lang w:eastAsia="en-AU"/>
              </w:rPr>
              <w:t xml:space="preserve"> contracts is classed as ongoing and is eligible for a redundancy if the contract finally ceases. </w:t>
            </w:r>
          </w:p>
          <w:p w14:paraId="1B5BC083" w14:textId="3481602D" w:rsidR="00413EF4" w:rsidRPr="003A638C" w:rsidRDefault="00413EF4" w:rsidP="007E103F">
            <w:pPr>
              <w:pStyle w:val="Quote"/>
              <w:spacing w:before="120" w:after="60"/>
              <w:ind w:left="40"/>
              <w:jc w:val="both"/>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 xml:space="preserve">The Government frequently imposes additional regulation and compliance </w:t>
            </w:r>
            <w:proofErr w:type="spellStart"/>
            <w:proofErr w:type="gramStart"/>
            <w:r w:rsidRPr="003A638C">
              <w:rPr>
                <w:sz w:val="20"/>
                <w:szCs w:val="20"/>
                <w:lang w:eastAsia="en-AU"/>
              </w:rPr>
              <w:t>eg</w:t>
            </w:r>
            <w:proofErr w:type="spellEnd"/>
            <w:proofErr w:type="gramEnd"/>
            <w:r w:rsidRPr="003A638C">
              <w:rPr>
                <w:sz w:val="20"/>
                <w:szCs w:val="20"/>
                <w:lang w:eastAsia="en-AU"/>
              </w:rPr>
              <w:t xml:space="preserve"> Secure Jobs Legislation</w:t>
            </w:r>
            <w:r w:rsidR="00D605AB" w:rsidRPr="003A638C">
              <w:rPr>
                <w:sz w:val="20"/>
                <w:szCs w:val="20"/>
                <w:lang w:eastAsia="en-AU"/>
              </w:rPr>
              <w:t>,</w:t>
            </w:r>
            <w:r w:rsidRPr="003A638C">
              <w:rPr>
                <w:sz w:val="20"/>
                <w:szCs w:val="20"/>
                <w:lang w:eastAsia="en-AU"/>
              </w:rPr>
              <w:t xml:space="preserve"> without recognition that there is a cost to comply.</w:t>
            </w:r>
          </w:p>
        </w:tc>
      </w:tr>
    </w:tbl>
    <w:p w14:paraId="77BF1AB4" w14:textId="77777777" w:rsidR="00554250" w:rsidRPr="00554250" w:rsidRDefault="00554250" w:rsidP="00554250">
      <w:pPr>
        <w:pStyle w:val="BodyText"/>
        <w:rPr>
          <w:sz w:val="18"/>
          <w:szCs w:val="18"/>
        </w:rPr>
      </w:pPr>
      <w:r w:rsidRPr="00554250">
        <w:rPr>
          <w:sz w:val="18"/>
          <w:szCs w:val="18"/>
        </w:rPr>
        <w:t>Source: ACT Service Costing Survey, 2021</w:t>
      </w:r>
    </w:p>
    <w:p w14:paraId="3136824A" w14:textId="0541B1B4" w:rsidR="00E80475" w:rsidRDefault="007E103F" w:rsidP="00B76C8E">
      <w:pPr>
        <w:pStyle w:val="BodyText"/>
      </w:pPr>
      <w:r>
        <w:t>Key i</w:t>
      </w:r>
      <w:r w:rsidR="00B76C8E">
        <w:t>nformants from the</w:t>
      </w:r>
      <w:r w:rsidR="00383F22">
        <w:t xml:space="preserve"> ACT</w:t>
      </w:r>
      <w:r w:rsidR="00B76C8E">
        <w:t xml:space="preserve"> training sector corroborate</w:t>
      </w:r>
      <w:r w:rsidR="00FA328B">
        <w:t>d</w:t>
      </w:r>
      <w:r w:rsidR="00B76C8E">
        <w:t xml:space="preserve"> the</w:t>
      </w:r>
      <w:r w:rsidR="00FA328B">
        <w:t xml:space="preserve"> issues raised by leaders</w:t>
      </w:r>
      <w:r w:rsidR="00B76C8E">
        <w:t xml:space="preserve">. </w:t>
      </w:r>
      <w:r>
        <w:t xml:space="preserve">They </w:t>
      </w:r>
      <w:r w:rsidR="00B76C8E">
        <w:t>observed that non-profits typically have small budgets for professional development,</w:t>
      </w:r>
      <w:r w:rsidR="00FA328B">
        <w:t xml:space="preserve"> and</w:t>
      </w:r>
      <w:r w:rsidR="00B76C8E">
        <w:t xml:space="preserve"> </w:t>
      </w:r>
      <w:r w:rsidR="00FA328B">
        <w:t xml:space="preserve">this was </w:t>
      </w:r>
      <w:r w:rsidR="00B76C8E">
        <w:t xml:space="preserve">sometimes shared in a budget line with supervision. It </w:t>
      </w:r>
      <w:r w:rsidR="00E80475">
        <w:t>i</w:t>
      </w:r>
      <w:r w:rsidR="00B76C8E">
        <w:t xml:space="preserve">s considered relatively rare for non-profits to pay for staff </w:t>
      </w:r>
      <w:r w:rsidR="008D4D62">
        <w:t xml:space="preserve">to obtain qualifications, although </w:t>
      </w:r>
      <w:r w:rsidR="00B76C8E">
        <w:t xml:space="preserve">support for </w:t>
      </w:r>
      <w:r w:rsidR="008D4D62">
        <w:t xml:space="preserve">nonaccredited training </w:t>
      </w:r>
      <w:r w:rsidR="00E80475">
        <w:t>i</w:t>
      </w:r>
      <w:r w:rsidR="008D4D62">
        <w:t xml:space="preserve">s more common, and sometimes directly provided by larger organisations or peak bodies. </w:t>
      </w:r>
    </w:p>
    <w:p w14:paraId="3F42E54F" w14:textId="1D4F4F4C" w:rsidR="00B76C8E" w:rsidRDefault="00B76C8E" w:rsidP="00B76C8E">
      <w:pPr>
        <w:pStyle w:val="BodyText"/>
      </w:pPr>
      <w:r>
        <w:t>Workers also corroborated leaders’ perspectives. They outlined that:</w:t>
      </w:r>
    </w:p>
    <w:p w14:paraId="2D0479AC" w14:textId="021CB734" w:rsidR="00B76C8E" w:rsidRDefault="008D4D62" w:rsidP="00905774">
      <w:pPr>
        <w:pStyle w:val="BodyText"/>
        <w:numPr>
          <w:ilvl w:val="0"/>
          <w:numId w:val="17"/>
        </w:numPr>
        <w:rPr>
          <w:lang w:eastAsia="en-AU"/>
        </w:rPr>
      </w:pPr>
      <w:r>
        <w:rPr>
          <w:lang w:eastAsia="en-AU"/>
        </w:rPr>
        <w:t>funding shortfalls in the sector ha</w:t>
      </w:r>
      <w:r w:rsidR="00E80475">
        <w:rPr>
          <w:lang w:eastAsia="en-AU"/>
        </w:rPr>
        <w:t>ve</w:t>
      </w:r>
      <w:r>
        <w:rPr>
          <w:lang w:eastAsia="en-AU"/>
        </w:rPr>
        <w:t xml:space="preserve"> been widespread for many years, </w:t>
      </w:r>
      <w:r w:rsidR="00B76C8E">
        <w:rPr>
          <w:lang w:eastAsia="en-AU"/>
        </w:rPr>
        <w:t xml:space="preserve">impacting on </w:t>
      </w:r>
      <w:r>
        <w:rPr>
          <w:lang w:eastAsia="en-AU"/>
        </w:rPr>
        <w:t>employment conditions and workloads</w:t>
      </w:r>
      <w:r w:rsidR="007E103F">
        <w:rPr>
          <w:lang w:eastAsia="en-AU"/>
        </w:rPr>
        <w:t xml:space="preserve">, and </w:t>
      </w:r>
      <w:r w:rsidR="00383F22">
        <w:rPr>
          <w:lang w:eastAsia="en-AU"/>
        </w:rPr>
        <w:t>on</w:t>
      </w:r>
      <w:r w:rsidR="007E103F">
        <w:rPr>
          <w:lang w:eastAsia="en-AU"/>
        </w:rPr>
        <w:t xml:space="preserve"> service delivery to clients</w:t>
      </w:r>
      <w:r>
        <w:rPr>
          <w:lang w:eastAsia="en-AU"/>
        </w:rPr>
        <w:t xml:space="preserve">. </w:t>
      </w:r>
    </w:p>
    <w:p w14:paraId="7707D22B" w14:textId="1416AE6B" w:rsidR="00B76C8E" w:rsidRDefault="00B76C8E" w:rsidP="00905774">
      <w:pPr>
        <w:pStyle w:val="BodyText"/>
        <w:numPr>
          <w:ilvl w:val="0"/>
          <w:numId w:val="17"/>
        </w:numPr>
        <w:rPr>
          <w:lang w:eastAsia="en-AU"/>
        </w:rPr>
      </w:pPr>
      <w:r>
        <w:rPr>
          <w:lang w:eastAsia="en-AU"/>
        </w:rPr>
        <w:lastRenderedPageBreak/>
        <w:t xml:space="preserve">Underfunding </w:t>
      </w:r>
      <w:r w:rsidR="00E80475">
        <w:rPr>
          <w:lang w:eastAsia="en-AU"/>
        </w:rPr>
        <w:t xml:space="preserve">makes </w:t>
      </w:r>
      <w:r>
        <w:rPr>
          <w:lang w:eastAsia="en-AU"/>
        </w:rPr>
        <w:t>it difficult to attract staff</w:t>
      </w:r>
      <w:r w:rsidR="00E80475">
        <w:rPr>
          <w:lang w:eastAsia="en-AU"/>
        </w:rPr>
        <w:t>, pushes staff onto fixed</w:t>
      </w:r>
      <w:r w:rsidR="007E103F">
        <w:rPr>
          <w:lang w:eastAsia="en-AU"/>
        </w:rPr>
        <w:t>-</w:t>
      </w:r>
      <w:r w:rsidR="00E80475">
        <w:rPr>
          <w:lang w:eastAsia="en-AU"/>
        </w:rPr>
        <w:t xml:space="preserve">term contracts, and has led </w:t>
      </w:r>
      <w:r>
        <w:rPr>
          <w:lang w:eastAsia="en-AU"/>
        </w:rPr>
        <w:t>to cuts in training budgets</w:t>
      </w:r>
      <w:r w:rsidR="007E103F">
        <w:rPr>
          <w:lang w:eastAsia="en-AU"/>
        </w:rPr>
        <w:t>.</w:t>
      </w:r>
    </w:p>
    <w:p w14:paraId="432A73D8" w14:textId="4A0B4E0A" w:rsidR="00B76C8E" w:rsidRDefault="00B76C8E" w:rsidP="00905774">
      <w:pPr>
        <w:pStyle w:val="BodyText"/>
        <w:numPr>
          <w:ilvl w:val="0"/>
          <w:numId w:val="17"/>
        </w:numPr>
        <w:rPr>
          <w:lang w:eastAsia="en-AU"/>
        </w:rPr>
      </w:pPr>
      <w:r>
        <w:rPr>
          <w:lang w:eastAsia="en-AU"/>
        </w:rPr>
        <w:t>Underfunding contributes to retention difficulties and staff turnover, resulting from stress and movement away from frontline work to progress careers</w:t>
      </w:r>
      <w:r w:rsidR="00E80475">
        <w:rPr>
          <w:lang w:eastAsia="en-AU"/>
        </w:rPr>
        <w:t xml:space="preserve">. This </w:t>
      </w:r>
      <w:r w:rsidR="00383F22">
        <w:rPr>
          <w:lang w:eastAsia="en-AU"/>
        </w:rPr>
        <w:t xml:space="preserve">cycle </w:t>
      </w:r>
      <w:r>
        <w:rPr>
          <w:lang w:eastAsia="en-AU"/>
        </w:rPr>
        <w:t>contribut</w:t>
      </w:r>
      <w:r w:rsidR="00E80475">
        <w:rPr>
          <w:lang w:eastAsia="en-AU"/>
        </w:rPr>
        <w:t>es</w:t>
      </w:r>
      <w:r>
        <w:rPr>
          <w:lang w:eastAsia="en-AU"/>
        </w:rPr>
        <w:t xml:space="preserve"> to </w:t>
      </w:r>
      <w:r w:rsidR="008D4D62" w:rsidRPr="001C08A8">
        <w:t>lack of consistency for clients.</w:t>
      </w:r>
    </w:p>
    <w:p w14:paraId="4A58E642" w14:textId="0892450E" w:rsidR="008D4D62" w:rsidRDefault="008D4D62" w:rsidP="00905774">
      <w:pPr>
        <w:pStyle w:val="BodyText"/>
        <w:numPr>
          <w:ilvl w:val="0"/>
          <w:numId w:val="17"/>
        </w:numPr>
        <w:rPr>
          <w:lang w:eastAsia="en-AU"/>
        </w:rPr>
      </w:pPr>
      <w:r>
        <w:rPr>
          <w:lang w:eastAsia="en-AU"/>
        </w:rPr>
        <w:t xml:space="preserve">Workers </w:t>
      </w:r>
      <w:r w:rsidR="00B76C8E">
        <w:rPr>
          <w:lang w:eastAsia="en-AU"/>
        </w:rPr>
        <w:t xml:space="preserve">feel </w:t>
      </w:r>
      <w:r w:rsidR="00E80475">
        <w:rPr>
          <w:lang w:eastAsia="en-AU"/>
        </w:rPr>
        <w:t xml:space="preserve">particularly </w:t>
      </w:r>
      <w:r>
        <w:rPr>
          <w:lang w:eastAsia="en-AU"/>
        </w:rPr>
        <w:t xml:space="preserve">stretched </w:t>
      </w:r>
      <w:r w:rsidR="00E80475">
        <w:rPr>
          <w:lang w:eastAsia="en-AU"/>
        </w:rPr>
        <w:t xml:space="preserve">when </w:t>
      </w:r>
      <w:r>
        <w:rPr>
          <w:lang w:eastAsia="en-AU"/>
        </w:rPr>
        <w:t xml:space="preserve">sick or absent colleagues </w:t>
      </w:r>
      <w:r w:rsidR="00B76C8E">
        <w:rPr>
          <w:lang w:eastAsia="en-AU"/>
        </w:rPr>
        <w:t xml:space="preserve">leave </w:t>
      </w:r>
      <w:r>
        <w:rPr>
          <w:lang w:eastAsia="en-AU"/>
        </w:rPr>
        <w:t xml:space="preserve">gaps in </w:t>
      </w:r>
      <w:r w:rsidR="00383F22">
        <w:rPr>
          <w:lang w:eastAsia="en-AU"/>
        </w:rPr>
        <w:t>services</w:t>
      </w:r>
      <w:r>
        <w:rPr>
          <w:lang w:eastAsia="en-AU"/>
        </w:rPr>
        <w:t xml:space="preserve">. One </w:t>
      </w:r>
      <w:r w:rsidR="00B76C8E">
        <w:rPr>
          <w:lang w:eastAsia="en-AU"/>
        </w:rPr>
        <w:t xml:space="preserve">worker </w:t>
      </w:r>
      <w:r>
        <w:rPr>
          <w:lang w:eastAsia="en-AU"/>
        </w:rPr>
        <w:t xml:space="preserve">described the experience of asking the CEO to hire relief workers to cover </w:t>
      </w:r>
      <w:proofErr w:type="gramStart"/>
      <w:r>
        <w:rPr>
          <w:lang w:eastAsia="en-AU"/>
        </w:rPr>
        <w:t>absence</w:t>
      </w:r>
      <w:r w:rsidR="00383F22">
        <w:rPr>
          <w:lang w:eastAsia="en-AU"/>
        </w:rPr>
        <w:t>s</w:t>
      </w:r>
      <w:r>
        <w:rPr>
          <w:lang w:eastAsia="en-AU"/>
        </w:rPr>
        <w:t>, but</w:t>
      </w:r>
      <w:proofErr w:type="gramEnd"/>
      <w:r>
        <w:rPr>
          <w:lang w:eastAsia="en-AU"/>
        </w:rPr>
        <w:t xml:space="preserve"> were told they did not have money. Frustratingly, they asked staff if they had any ideas about what to do, rather than taking it up at management and board </w:t>
      </w:r>
      <w:proofErr w:type="gramStart"/>
      <w:r>
        <w:rPr>
          <w:lang w:eastAsia="en-AU"/>
        </w:rPr>
        <w:t>level, and</w:t>
      </w:r>
      <w:proofErr w:type="gramEnd"/>
      <w:r>
        <w:rPr>
          <w:lang w:eastAsia="en-AU"/>
        </w:rPr>
        <w:t xml:space="preserve"> engaging proactively with government. </w:t>
      </w:r>
    </w:p>
    <w:p w14:paraId="3E048185" w14:textId="6A3E4ECC" w:rsidR="00680462" w:rsidRDefault="00680462" w:rsidP="00905774">
      <w:pPr>
        <w:pStyle w:val="BodyText"/>
        <w:numPr>
          <w:ilvl w:val="0"/>
          <w:numId w:val="17"/>
        </w:numPr>
        <w:rPr>
          <w:lang w:eastAsia="en-AU"/>
        </w:rPr>
      </w:pPr>
      <w:r>
        <w:rPr>
          <w:lang w:eastAsia="en-AU"/>
        </w:rPr>
        <w:t xml:space="preserve">Workers also </w:t>
      </w:r>
      <w:r w:rsidR="00E80475">
        <w:rPr>
          <w:lang w:eastAsia="en-AU"/>
        </w:rPr>
        <w:t xml:space="preserve">bear witness to </w:t>
      </w:r>
      <w:r>
        <w:rPr>
          <w:lang w:eastAsia="en-AU"/>
        </w:rPr>
        <w:t xml:space="preserve">inequities in pay for similar work; expectations of goodwill to do unpaid work; lack of overtime payments; undervaluation of client-facing roles; lack of funds for expert or specialised positions; and low prioritisation of </w:t>
      </w:r>
      <w:r w:rsidR="00700447">
        <w:rPr>
          <w:lang w:eastAsia="en-AU"/>
        </w:rPr>
        <w:t>workplace health and safety</w:t>
      </w:r>
      <w:r>
        <w:rPr>
          <w:lang w:eastAsia="en-AU"/>
        </w:rPr>
        <w:t xml:space="preserve">. </w:t>
      </w:r>
    </w:p>
    <w:p w14:paraId="712DDD22" w14:textId="1B6FE824" w:rsidR="008D4D62" w:rsidRDefault="008D4D62" w:rsidP="006E6C6C">
      <w:pPr>
        <w:pStyle w:val="Heading2"/>
      </w:pPr>
      <w:bookmarkStart w:id="57" w:name="_Ref87973213"/>
      <w:bookmarkStart w:id="58" w:name="_Toc88753132"/>
      <w:bookmarkStart w:id="59" w:name="_Toc90019561"/>
      <w:r>
        <w:t xml:space="preserve">Advocacy, </w:t>
      </w:r>
      <w:proofErr w:type="gramStart"/>
      <w:r>
        <w:t>access</w:t>
      </w:r>
      <w:proofErr w:type="gramEnd"/>
      <w:r>
        <w:t xml:space="preserve"> and engagement costs</w:t>
      </w:r>
      <w:bookmarkEnd w:id="57"/>
      <w:bookmarkEnd w:id="58"/>
      <w:bookmarkEnd w:id="59"/>
    </w:p>
    <w:p w14:paraId="4FB0FC1E" w14:textId="362D7E48" w:rsidR="00330F98" w:rsidRDefault="00E80475" w:rsidP="00330F98">
      <w:pPr>
        <w:pStyle w:val="BodyText"/>
      </w:pPr>
      <w:r>
        <w:t>A</w:t>
      </w:r>
      <w:r w:rsidR="00330F98">
        <w:t>dvocacy</w:t>
      </w:r>
      <w:r>
        <w:t xml:space="preserve">, </w:t>
      </w:r>
      <w:proofErr w:type="gramStart"/>
      <w:r>
        <w:t>access</w:t>
      </w:r>
      <w:proofErr w:type="gramEnd"/>
      <w:r>
        <w:t xml:space="preserve"> and engagement costs are also rising</w:t>
      </w:r>
      <w:r w:rsidR="00330F98">
        <w:t xml:space="preserve">.  In the </w:t>
      </w:r>
      <w:r w:rsidR="002D42F6">
        <w:t>Service Costing survey</w:t>
      </w:r>
      <w:r w:rsidR="00330F98">
        <w:t xml:space="preserve">, only </w:t>
      </w:r>
      <w:r w:rsidR="00700447">
        <w:t xml:space="preserve">a </w:t>
      </w:r>
      <w:r w:rsidR="00330F98">
        <w:t xml:space="preserve">small </w:t>
      </w:r>
      <w:r w:rsidR="00700447">
        <w:t xml:space="preserve">minority of respondents </w:t>
      </w:r>
      <w:r w:rsidR="00330F98">
        <w:t xml:space="preserve">considered funding was adequate for these essential activities. </w:t>
      </w:r>
      <w:r w:rsidR="00330F98">
        <w:fldChar w:fldCharType="begin"/>
      </w:r>
      <w:r w:rsidR="00330F98">
        <w:instrText xml:space="preserve"> REF _Ref87963769 \h </w:instrText>
      </w:r>
      <w:r w:rsidR="00330F98">
        <w:fldChar w:fldCharType="separate"/>
      </w:r>
      <w:r w:rsidR="00E405AF" w:rsidRPr="001349AD">
        <w:t xml:space="preserve">Figure </w:t>
      </w:r>
      <w:r w:rsidR="00E405AF">
        <w:rPr>
          <w:noProof/>
        </w:rPr>
        <w:t>5</w:t>
      </w:r>
      <w:r w:rsidR="00E405AF">
        <w:t>.</w:t>
      </w:r>
      <w:r w:rsidR="00E405AF">
        <w:rPr>
          <w:noProof/>
        </w:rPr>
        <w:t>2</w:t>
      </w:r>
      <w:r w:rsidR="00330F98">
        <w:fldChar w:fldCharType="end"/>
      </w:r>
      <w:r w:rsidR="00330F98">
        <w:t xml:space="preserve"> shows</w:t>
      </w:r>
      <w:r w:rsidR="006B7EE2">
        <w:t xml:space="preserve"> that</w:t>
      </w:r>
      <w:r w:rsidR="00330F98">
        <w:t>:</w:t>
      </w:r>
    </w:p>
    <w:p w14:paraId="14E2AC34" w14:textId="28D57BE0" w:rsidR="00330F98" w:rsidRDefault="00330F98" w:rsidP="007B3510">
      <w:pPr>
        <w:pStyle w:val="BodyText"/>
        <w:numPr>
          <w:ilvl w:val="0"/>
          <w:numId w:val="18"/>
        </w:numPr>
      </w:pPr>
      <w:r>
        <w:t xml:space="preserve">Only 12% </w:t>
      </w:r>
      <w:r w:rsidR="006B7EE2">
        <w:t>of leaders reported that their ACT funding adequately covered involving</w:t>
      </w:r>
      <w:r>
        <w:t xml:space="preserve"> service users or people with lived experience in service design, </w:t>
      </w:r>
      <w:proofErr w:type="gramStart"/>
      <w:r>
        <w:t>delivery</w:t>
      </w:r>
      <w:proofErr w:type="gramEnd"/>
      <w:r>
        <w:t xml:space="preserve"> or development.  However,</w:t>
      </w:r>
      <w:r w:rsidR="00CF3033">
        <w:t> </w:t>
      </w:r>
      <w:r>
        <w:t xml:space="preserve">lived experience </w:t>
      </w:r>
      <w:r w:rsidR="001D465C">
        <w:t xml:space="preserve">is recognised as best practice nationally and internationally, and </w:t>
      </w:r>
      <w:r w:rsidR="00FE3D1F">
        <w:t xml:space="preserve">the ACT </w:t>
      </w:r>
      <w:r w:rsidR="007B3510">
        <w:t xml:space="preserve">Government </w:t>
      </w:r>
      <w:r w:rsidR="00FE3D1F">
        <w:t xml:space="preserve">is committed to engaging people with lived experience in service planning, </w:t>
      </w:r>
      <w:proofErr w:type="gramStart"/>
      <w:r w:rsidR="00FE3D1F">
        <w:t>design</w:t>
      </w:r>
      <w:proofErr w:type="gramEnd"/>
      <w:r w:rsidR="00FE3D1F">
        <w:t xml:space="preserve"> and delivery.</w:t>
      </w:r>
      <w:r w:rsidR="00FE3D1F">
        <w:rPr>
          <w:rStyle w:val="FootnoteReference"/>
        </w:rPr>
        <w:footnoteReference w:id="57"/>
      </w:r>
      <w:r w:rsidR="00FE3D1F">
        <w:t xml:space="preserve">  Additionally, </w:t>
      </w:r>
      <w:r w:rsidR="001D465C">
        <w:t>the lived experience workforce is rapidly growing and professionalising</w:t>
      </w:r>
      <w:r w:rsidR="001D465C">
        <w:rPr>
          <w:rStyle w:val="FootnoteReference"/>
        </w:rPr>
        <w:footnoteReference w:id="58"/>
      </w:r>
      <w:r w:rsidR="001D465C">
        <w:t>.</w:t>
      </w:r>
    </w:p>
    <w:p w14:paraId="6A7244A5" w14:textId="0DB425EF" w:rsidR="001D465C" w:rsidRDefault="001D465C" w:rsidP="00905774">
      <w:pPr>
        <w:pStyle w:val="BodyText"/>
        <w:numPr>
          <w:ilvl w:val="0"/>
          <w:numId w:val="18"/>
        </w:numPr>
      </w:pPr>
      <w:r>
        <w:t xml:space="preserve">Organisations find their advocacy </w:t>
      </w:r>
      <w:r w:rsidR="006B7EE2">
        <w:t xml:space="preserve">roles are </w:t>
      </w:r>
      <w:r w:rsidR="007B071F">
        <w:t xml:space="preserve">essential but </w:t>
      </w:r>
      <w:r w:rsidR="002C7411">
        <w:t>o</w:t>
      </w:r>
      <w:r>
        <w:t xml:space="preserve">nly 18% said </w:t>
      </w:r>
      <w:r w:rsidR="008D4D62" w:rsidRPr="00A51A9C">
        <w:t xml:space="preserve">systemic advocacy was </w:t>
      </w:r>
      <w:r>
        <w:t xml:space="preserve">adequately funded, and 20% said individual advocacy was adequately funded. </w:t>
      </w:r>
    </w:p>
    <w:p w14:paraId="7494830A" w14:textId="0FBFCDBA" w:rsidR="00B636FE" w:rsidRDefault="00B636FE" w:rsidP="00905774">
      <w:pPr>
        <w:pStyle w:val="BodyText"/>
        <w:numPr>
          <w:ilvl w:val="0"/>
          <w:numId w:val="18"/>
        </w:numPr>
      </w:pPr>
      <w:r>
        <w:t>Few are funded adequately to promote accessibility</w:t>
      </w:r>
      <w:r w:rsidR="002C7411">
        <w:t xml:space="preserve"> (23%)</w:t>
      </w:r>
      <w:r>
        <w:t>, or</w:t>
      </w:r>
      <w:r w:rsidR="009E36B1">
        <w:t xml:space="preserve"> to support</w:t>
      </w:r>
      <w:r>
        <w:t xml:space="preserve"> interpreting and translation</w:t>
      </w:r>
      <w:r w:rsidR="002C7411">
        <w:t xml:space="preserve"> (16%)</w:t>
      </w:r>
      <w:r w:rsidR="006B7EE2">
        <w:t>.</w:t>
      </w:r>
    </w:p>
    <w:p w14:paraId="0789617C" w14:textId="0FCEF188" w:rsidR="008D4D62" w:rsidRPr="00A51A9C" w:rsidRDefault="006B7EE2" w:rsidP="00905774">
      <w:pPr>
        <w:pStyle w:val="BodyText"/>
        <w:numPr>
          <w:ilvl w:val="0"/>
          <w:numId w:val="18"/>
        </w:numPr>
      </w:pPr>
      <w:r>
        <w:t>Only a minority of leaders say their c</w:t>
      </w:r>
      <w:r w:rsidR="00B636FE">
        <w:t>ommunity relations and events</w:t>
      </w:r>
      <w:r w:rsidR="002C7411">
        <w:t xml:space="preserve"> (24%)</w:t>
      </w:r>
      <w:r>
        <w:t>,</w:t>
      </w:r>
      <w:r w:rsidR="00B636FE">
        <w:t xml:space="preserve"> and network</w:t>
      </w:r>
      <w:r>
        <w:t>ing</w:t>
      </w:r>
      <w:r w:rsidR="00B636FE">
        <w:t xml:space="preserve"> </w:t>
      </w:r>
      <w:r>
        <w:t xml:space="preserve">activities </w:t>
      </w:r>
      <w:r w:rsidR="002C7411">
        <w:t xml:space="preserve">(32%) </w:t>
      </w:r>
      <w:r w:rsidR="00B636FE">
        <w:t>are adequately funded</w:t>
      </w:r>
      <w:r w:rsidR="008D4D62" w:rsidRPr="00A51A9C">
        <w:t xml:space="preserve">. </w:t>
      </w:r>
    </w:p>
    <w:p w14:paraId="3C6D768A" w14:textId="6AA6F27D" w:rsidR="008D4D62" w:rsidRPr="003D6D4C" w:rsidRDefault="008D4D62" w:rsidP="008D4D62">
      <w:pPr>
        <w:pStyle w:val="Captiontable"/>
      </w:pPr>
      <w:bookmarkStart w:id="60" w:name="_Ref87963769"/>
      <w:bookmarkStart w:id="61" w:name="_Toc90019596"/>
      <w:r w:rsidRPr="001349AD">
        <w:lastRenderedPageBreak/>
        <w:t xml:space="preserve">Figure </w:t>
      </w:r>
      <w:fldSimple w:instr=" STYLEREF 1 \s ">
        <w:r w:rsidR="00E405AF">
          <w:rPr>
            <w:noProof/>
          </w:rPr>
          <w:t>5</w:t>
        </w:r>
      </w:fldSimple>
      <w:r w:rsidR="005A1A69">
        <w:t>.</w:t>
      </w:r>
      <w:fldSimple w:instr=" SEQ Figure \* ARABIC \s 1 ">
        <w:r w:rsidR="00E405AF">
          <w:rPr>
            <w:noProof/>
          </w:rPr>
          <w:t>2</w:t>
        </w:r>
      </w:fldSimple>
      <w:bookmarkEnd w:id="60"/>
      <w:r w:rsidRPr="001349AD">
        <w:tab/>
      </w:r>
      <w:r>
        <w:t xml:space="preserve">Perspectives on coverage of advocacy, </w:t>
      </w:r>
      <w:proofErr w:type="gramStart"/>
      <w:r>
        <w:t>access</w:t>
      </w:r>
      <w:proofErr w:type="gramEnd"/>
      <w:r>
        <w:t xml:space="preserve"> and engagement costs</w:t>
      </w:r>
      <w:bookmarkEnd w:id="61"/>
    </w:p>
    <w:p w14:paraId="15A86283" w14:textId="77777777" w:rsidR="00554250" w:rsidRPr="00554250" w:rsidRDefault="008D4D62" w:rsidP="00554250">
      <w:pPr>
        <w:pStyle w:val="BodyText"/>
        <w:rPr>
          <w:sz w:val="18"/>
          <w:szCs w:val="18"/>
        </w:rPr>
      </w:pPr>
      <w:r>
        <w:rPr>
          <w:noProof/>
        </w:rPr>
        <w:drawing>
          <wp:inline distT="0" distB="0" distL="0" distR="0" wp14:anchorId="3065EAD7" wp14:editId="2F7A7DFA">
            <wp:extent cx="6006518" cy="3776345"/>
            <wp:effectExtent l="0" t="0" r="0" b="0"/>
            <wp:docPr id="6" name="Chart 6" descr="Figure 5.2 is a bar graph depicting perspectives on coverage of advocacy, access and engagement as percentage figures. &#10;&#10;It highlights trends towards these costs being underfunded or not funded. ">
              <a:extLst xmlns:a="http://schemas.openxmlformats.org/drawingml/2006/main">
                <a:ext uri="{FF2B5EF4-FFF2-40B4-BE49-F238E27FC236}">
                  <a16:creationId xmlns:a16="http://schemas.microsoft.com/office/drawing/2014/main" id="{68E9EEE2-2125-457C-9DE1-65A033094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E6737">
        <w:t xml:space="preserve"> </w:t>
      </w:r>
      <w:r w:rsidR="00554250" w:rsidRPr="00554250">
        <w:rPr>
          <w:sz w:val="18"/>
          <w:szCs w:val="18"/>
        </w:rPr>
        <w:t>Source: ACT Service Costing Survey, 2021</w:t>
      </w:r>
    </w:p>
    <w:p w14:paraId="26DE2975" w14:textId="77777777" w:rsidR="000E7CC7" w:rsidRDefault="000E7CC7" w:rsidP="00B636FE">
      <w:pPr>
        <w:pStyle w:val="BodyText"/>
      </w:pPr>
    </w:p>
    <w:p w14:paraId="3DB06A9B" w14:textId="4D5E5AAA" w:rsidR="00B636FE" w:rsidRPr="00AB177D" w:rsidRDefault="00B636FE" w:rsidP="00B636FE">
      <w:pPr>
        <w:pStyle w:val="BodyText"/>
      </w:pPr>
      <w:r>
        <w:t xml:space="preserve">Leaders </w:t>
      </w:r>
      <w:r w:rsidR="002C7411">
        <w:t xml:space="preserve">maintained that </w:t>
      </w:r>
      <w:r>
        <w:t xml:space="preserve">these activities need to be more visible as </w:t>
      </w:r>
      <w:r w:rsidR="006B7EE2">
        <w:t xml:space="preserve">essential elements </w:t>
      </w:r>
      <w:r>
        <w:t xml:space="preserve">of </w:t>
      </w:r>
      <w:r w:rsidR="006B7EE2">
        <w:t xml:space="preserve">their </w:t>
      </w:r>
      <w:r w:rsidRPr="00AB177D">
        <w:t xml:space="preserve">organisations’ work, </w:t>
      </w:r>
      <w:r w:rsidR="006B7EE2">
        <w:t xml:space="preserve">and should be </w:t>
      </w:r>
      <w:r>
        <w:t>recognised in contracts and funded appropriately</w:t>
      </w:r>
      <w:r w:rsidR="00FE3D1F">
        <w:t>, to ensure opportunities are available to network, exchange information and develop collaborations and consortia</w:t>
      </w:r>
      <w:r>
        <w:t xml:space="preserve">. </w:t>
      </w:r>
      <w:r w:rsidR="00B738B0">
        <w:t xml:space="preserve">As shown in </w:t>
      </w:r>
      <w:r w:rsidR="007B071F">
        <w:fldChar w:fldCharType="begin"/>
      </w:r>
      <w:r w:rsidR="007B071F">
        <w:instrText xml:space="preserve"> REF _Ref88487018 \h </w:instrText>
      </w:r>
      <w:r w:rsidR="007B071F">
        <w:fldChar w:fldCharType="separate"/>
      </w:r>
      <w:r w:rsidR="00E405AF">
        <w:t xml:space="preserve">Table </w:t>
      </w:r>
      <w:r w:rsidR="00E405AF">
        <w:rPr>
          <w:noProof/>
        </w:rPr>
        <w:t>5</w:t>
      </w:r>
      <w:r w:rsidR="00E405AF">
        <w:t>.</w:t>
      </w:r>
      <w:r w:rsidR="00E405AF">
        <w:rPr>
          <w:noProof/>
        </w:rPr>
        <w:t>2</w:t>
      </w:r>
      <w:r w:rsidR="007B071F">
        <w:fldChar w:fldCharType="end"/>
      </w:r>
      <w:r w:rsidR="007B071F">
        <w:t xml:space="preserve">, leaders </w:t>
      </w:r>
      <w:r>
        <w:t xml:space="preserve">also noted </w:t>
      </w:r>
      <w:r w:rsidR="00B738B0">
        <w:t xml:space="preserve">rising demands </w:t>
      </w:r>
      <w:r w:rsidR="007B071F">
        <w:t xml:space="preserve">for </w:t>
      </w:r>
      <w:r w:rsidR="00B738B0">
        <w:t>policy input</w:t>
      </w:r>
      <w:r w:rsidR="007B071F">
        <w:t xml:space="preserve"> requiring </w:t>
      </w:r>
      <w:r w:rsidR="00B738B0">
        <w:t>staff time.</w:t>
      </w:r>
    </w:p>
    <w:p w14:paraId="7FD6CBEF" w14:textId="4C5634A5" w:rsidR="00B636FE" w:rsidRDefault="00667288" w:rsidP="00667288">
      <w:pPr>
        <w:pStyle w:val="Caption"/>
      </w:pPr>
      <w:bookmarkStart w:id="62" w:name="_Ref88487018"/>
      <w:bookmarkStart w:id="63" w:name="_Toc90019587"/>
      <w:r>
        <w:t xml:space="preserve">Table </w:t>
      </w:r>
      <w:fldSimple w:instr=" STYLEREF 1 \s ">
        <w:r w:rsidR="00E405AF">
          <w:rPr>
            <w:noProof/>
          </w:rPr>
          <w:t>5</w:t>
        </w:r>
      </w:fldSimple>
      <w:r w:rsidR="00911AB3">
        <w:t>.</w:t>
      </w:r>
      <w:fldSimple w:instr=" SEQ Table \* ARABIC \s 1 ">
        <w:r w:rsidR="00E405AF">
          <w:rPr>
            <w:noProof/>
          </w:rPr>
          <w:t>2</w:t>
        </w:r>
      </w:fldSimple>
      <w:bookmarkEnd w:id="62"/>
      <w:r>
        <w:tab/>
      </w:r>
      <w:r w:rsidR="00B636FE">
        <w:t>Leaders</w:t>
      </w:r>
      <w:r w:rsidR="00A31228">
        <w:t>’</w:t>
      </w:r>
      <w:r w:rsidR="00B636FE">
        <w:t xml:space="preserve"> comments on costs of advocacy, </w:t>
      </w:r>
      <w:proofErr w:type="gramStart"/>
      <w:r w:rsidR="00B636FE">
        <w:t>access</w:t>
      </w:r>
      <w:proofErr w:type="gramEnd"/>
      <w:r w:rsidR="00B636FE">
        <w:t xml:space="preserve"> and engagement</w:t>
      </w:r>
      <w:bookmarkEnd w:id="63"/>
    </w:p>
    <w:tbl>
      <w:tblPr>
        <w:tblStyle w:val="Style3"/>
        <w:tblW w:w="9776" w:type="dxa"/>
        <w:tblLook w:val="04A0" w:firstRow="1" w:lastRow="0" w:firstColumn="1" w:lastColumn="0" w:noHBand="0" w:noVBand="1"/>
      </w:tblPr>
      <w:tblGrid>
        <w:gridCol w:w="2122"/>
        <w:gridCol w:w="7654"/>
      </w:tblGrid>
      <w:tr w:rsidR="00B636FE" w:rsidRPr="003A638C" w14:paraId="7FA72145" w14:textId="77777777" w:rsidTr="00B23F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7D8622E7" w14:textId="0EC88C8A" w:rsidR="00B636FE" w:rsidRPr="003A638C" w:rsidRDefault="00B636FE" w:rsidP="002C7411">
            <w:pPr>
              <w:pStyle w:val="BodyText"/>
              <w:spacing w:before="60" w:after="60" w:line="240" w:lineRule="auto"/>
              <w:rPr>
                <w:b/>
                <w:bCs/>
                <w:color w:val="FFFFFF" w:themeColor="background1"/>
                <w:sz w:val="20"/>
                <w:szCs w:val="20"/>
              </w:rPr>
            </w:pPr>
            <w:r w:rsidRPr="003A638C">
              <w:rPr>
                <w:b/>
                <w:bCs/>
                <w:color w:val="FFFFFF" w:themeColor="background1"/>
                <w:sz w:val="20"/>
                <w:szCs w:val="20"/>
              </w:rPr>
              <w:t>Issue</w:t>
            </w:r>
          </w:p>
        </w:tc>
        <w:tc>
          <w:tcPr>
            <w:tcW w:w="7654" w:type="dxa"/>
          </w:tcPr>
          <w:p w14:paraId="1DF5F43A" w14:textId="6769E1FD" w:rsidR="00B636FE" w:rsidRPr="003A638C" w:rsidRDefault="00B636FE" w:rsidP="002C7411">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Comment from leader</w:t>
            </w:r>
          </w:p>
        </w:tc>
      </w:tr>
      <w:tr w:rsidR="00B636FE" w:rsidRPr="003A638C" w14:paraId="2EE12940" w14:textId="77777777" w:rsidTr="00B23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B449DA" w14:textId="0C92B71C" w:rsidR="00B636FE" w:rsidRPr="003A638C" w:rsidRDefault="00B636FE" w:rsidP="002C7411">
            <w:pPr>
              <w:pStyle w:val="BodyText"/>
              <w:spacing w:before="60" w:after="60" w:line="240" w:lineRule="auto"/>
              <w:rPr>
                <w:sz w:val="20"/>
                <w:szCs w:val="20"/>
              </w:rPr>
            </w:pPr>
            <w:r w:rsidRPr="003A638C">
              <w:rPr>
                <w:sz w:val="20"/>
                <w:szCs w:val="20"/>
              </w:rPr>
              <w:t>Advocacy activities are non-negotiable</w:t>
            </w:r>
          </w:p>
        </w:tc>
        <w:tc>
          <w:tcPr>
            <w:tcW w:w="7654" w:type="dxa"/>
          </w:tcPr>
          <w:p w14:paraId="24821EB7" w14:textId="17D52408" w:rsidR="00B636FE" w:rsidRPr="003A638C" w:rsidRDefault="00B636FE" w:rsidP="002C7411">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often find ourselves having to do individual advocacy as individuals approach us and we cannot simply turn them away. We must help link them to an appropriate service.</w:t>
            </w:r>
          </w:p>
        </w:tc>
      </w:tr>
      <w:tr w:rsidR="00B636FE" w:rsidRPr="003A638C" w14:paraId="039050E4" w14:textId="77777777" w:rsidTr="00B23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F83CC4" w14:textId="2DD26777" w:rsidR="00B636FE" w:rsidRPr="003A638C" w:rsidRDefault="00B636FE" w:rsidP="002C7411">
            <w:pPr>
              <w:pStyle w:val="BodyText"/>
              <w:spacing w:before="60" w:after="60" w:line="240" w:lineRule="auto"/>
              <w:rPr>
                <w:sz w:val="20"/>
                <w:szCs w:val="20"/>
              </w:rPr>
            </w:pPr>
            <w:r w:rsidRPr="003A638C">
              <w:rPr>
                <w:sz w:val="20"/>
                <w:szCs w:val="20"/>
              </w:rPr>
              <w:t xml:space="preserve">Funding impacts on </w:t>
            </w:r>
            <w:r w:rsidR="00B738B0" w:rsidRPr="003A638C">
              <w:rPr>
                <w:sz w:val="20"/>
                <w:szCs w:val="20"/>
              </w:rPr>
              <w:t>capacity</w:t>
            </w:r>
            <w:r w:rsidR="007B071F" w:rsidRPr="003A638C">
              <w:rPr>
                <w:sz w:val="20"/>
                <w:szCs w:val="20"/>
              </w:rPr>
              <w:t>, including capacity to consult with government</w:t>
            </w:r>
          </w:p>
        </w:tc>
        <w:tc>
          <w:tcPr>
            <w:tcW w:w="7654" w:type="dxa"/>
          </w:tcPr>
          <w:p w14:paraId="09A34C1E" w14:textId="77777777" w:rsidR="00B738B0" w:rsidRPr="003A638C" w:rsidRDefault="00B738B0" w:rsidP="002C7411">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 xml:space="preserve">The lack of growth and proper indexation impacts on our ability to participate in our sector, advocate, attend required network meetings and ensure good governance across the organisation. </w:t>
            </w:r>
          </w:p>
          <w:p w14:paraId="643FEDBD" w14:textId="3ECFAA52" w:rsidR="00B636FE" w:rsidRPr="003A638C" w:rsidRDefault="00B738B0" w:rsidP="002C7411">
            <w:pPr>
              <w:pStyle w:val="Quote"/>
              <w:spacing w:before="120" w:after="60"/>
              <w:ind w:left="40"/>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Government underfunding prevents us from responding to government consultations.</w:t>
            </w:r>
          </w:p>
        </w:tc>
      </w:tr>
      <w:tr w:rsidR="00B636FE" w:rsidRPr="003A638C" w14:paraId="5C1A35EB" w14:textId="77777777" w:rsidTr="00B23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7BFD83" w14:textId="39D7670C" w:rsidR="00B636FE" w:rsidRPr="003A638C" w:rsidRDefault="00B738B0" w:rsidP="002C7411">
            <w:pPr>
              <w:pStyle w:val="BodyText"/>
              <w:spacing w:before="60" w:after="60" w:line="240" w:lineRule="auto"/>
              <w:rPr>
                <w:sz w:val="20"/>
                <w:szCs w:val="20"/>
              </w:rPr>
            </w:pPr>
            <w:r w:rsidRPr="003A638C">
              <w:rPr>
                <w:sz w:val="20"/>
                <w:szCs w:val="20"/>
              </w:rPr>
              <w:t>Contributions to government are expected but not funded</w:t>
            </w:r>
          </w:p>
        </w:tc>
        <w:tc>
          <w:tcPr>
            <w:tcW w:w="7654" w:type="dxa"/>
          </w:tcPr>
          <w:p w14:paraId="5DC52DB0" w14:textId="7A3C375F" w:rsidR="00B636FE" w:rsidRPr="003A638C" w:rsidRDefault="00B738B0" w:rsidP="002C7411">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are continually asked to comment on law reform, policy changes, bills for government etc etc</w:t>
            </w:r>
            <w:proofErr w:type="gramStart"/>
            <w:r w:rsidRPr="003A638C">
              <w:rPr>
                <w:sz w:val="20"/>
                <w:szCs w:val="20"/>
                <w:lang w:eastAsia="en-AU"/>
              </w:rPr>
              <w:t>…..</w:t>
            </w:r>
            <w:proofErr w:type="gramEnd"/>
            <w:r w:rsidRPr="003A638C">
              <w:rPr>
                <w:sz w:val="20"/>
                <w:szCs w:val="20"/>
                <w:lang w:eastAsia="en-AU"/>
              </w:rPr>
              <w:t xml:space="preserve"> They take a lot of </w:t>
            </w:r>
            <w:proofErr w:type="gramStart"/>
            <w:r w:rsidRPr="003A638C">
              <w:rPr>
                <w:sz w:val="20"/>
                <w:szCs w:val="20"/>
                <w:lang w:eastAsia="en-AU"/>
              </w:rPr>
              <w:t>time</w:t>
            </w:r>
            <w:proofErr w:type="gramEnd"/>
            <w:r w:rsidRPr="003A638C">
              <w:rPr>
                <w:sz w:val="20"/>
                <w:szCs w:val="20"/>
                <w:lang w:eastAsia="en-AU"/>
              </w:rPr>
              <w:t xml:space="preserve"> and we provide these with a basis of lived experience so we consult our service users. On average there is probably 2 to 3 per month that we are asked to make comment on or address in some way…. We are continually asked to join reference groups </w:t>
            </w:r>
            <w:r w:rsidR="007B071F" w:rsidRPr="003A638C">
              <w:rPr>
                <w:sz w:val="20"/>
                <w:szCs w:val="20"/>
                <w:lang w:eastAsia="en-AU"/>
              </w:rPr>
              <w:t>on</w:t>
            </w:r>
            <w:r w:rsidRPr="003A638C">
              <w:rPr>
                <w:sz w:val="20"/>
                <w:szCs w:val="20"/>
                <w:lang w:eastAsia="en-AU"/>
              </w:rPr>
              <w:t xml:space="preserve"> important </w:t>
            </w:r>
            <w:proofErr w:type="gramStart"/>
            <w:r w:rsidRPr="003A638C">
              <w:rPr>
                <w:sz w:val="20"/>
                <w:szCs w:val="20"/>
                <w:lang w:eastAsia="en-AU"/>
              </w:rPr>
              <w:t>issues</w:t>
            </w:r>
            <w:proofErr w:type="gramEnd"/>
            <w:r w:rsidRPr="003A638C">
              <w:rPr>
                <w:sz w:val="20"/>
                <w:szCs w:val="20"/>
                <w:lang w:eastAsia="en-AU"/>
              </w:rPr>
              <w:t xml:space="preserve"> and we need to represent our communities on these groups.</w:t>
            </w:r>
          </w:p>
          <w:p w14:paraId="79B97DC0" w14:textId="682649E2" w:rsidR="00B738B0" w:rsidRPr="003A638C" w:rsidRDefault="00B738B0" w:rsidP="002C7411">
            <w:pPr>
              <w:pStyle w:val="Quote"/>
              <w:spacing w:before="120" w:after="60"/>
              <w:ind w:left="40"/>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rPr>
              <w:t xml:space="preserve">There is becoming more and more expectation for us to be involved in many intergovernmental committees/forums and yet there is no funding attached to this work.  The volume of reports that get delivered to us to read prior to a meeting on top of the work we </w:t>
            </w:r>
            <w:proofErr w:type="gramStart"/>
            <w:r w:rsidRPr="003A638C">
              <w:rPr>
                <w:sz w:val="20"/>
                <w:szCs w:val="20"/>
              </w:rPr>
              <w:t>have to</w:t>
            </w:r>
            <w:proofErr w:type="gramEnd"/>
            <w:r w:rsidRPr="003A638C">
              <w:rPr>
                <w:sz w:val="20"/>
                <w:szCs w:val="20"/>
              </w:rPr>
              <w:t xml:space="preserve"> do in our own organisations is phenomenal.  In addition, it is nothing to be called into a 'vital' meeting relating to our sector with only </w:t>
            </w:r>
            <w:proofErr w:type="spellStart"/>
            <w:r w:rsidRPr="003A638C">
              <w:rPr>
                <w:sz w:val="20"/>
                <w:szCs w:val="20"/>
              </w:rPr>
              <w:t xml:space="preserve">days </w:t>
            </w:r>
            <w:proofErr w:type="gramStart"/>
            <w:r w:rsidRPr="003A638C">
              <w:rPr>
                <w:sz w:val="20"/>
                <w:szCs w:val="20"/>
              </w:rPr>
              <w:t>notice</w:t>
            </w:r>
            <w:proofErr w:type="spellEnd"/>
            <w:proofErr w:type="gramEnd"/>
            <w:r w:rsidRPr="003A638C">
              <w:rPr>
                <w:sz w:val="20"/>
                <w:szCs w:val="20"/>
              </w:rPr>
              <w:t xml:space="preserve"> </w:t>
            </w:r>
            <w:r w:rsidRPr="003A638C">
              <w:rPr>
                <w:sz w:val="20"/>
                <w:szCs w:val="20"/>
              </w:rPr>
              <w:lastRenderedPageBreak/>
              <w:t xml:space="preserve">but no respect is given for our workloads or timetables to work things around.  It's a case of 'they say jump, and we have to say 'how high' </w:t>
            </w:r>
            <w:proofErr w:type="gramStart"/>
            <w:r w:rsidRPr="003A638C">
              <w:rPr>
                <w:sz w:val="20"/>
                <w:szCs w:val="20"/>
              </w:rPr>
              <w:t>in order to</w:t>
            </w:r>
            <w:proofErr w:type="gramEnd"/>
            <w:r w:rsidRPr="003A638C">
              <w:rPr>
                <w:sz w:val="20"/>
                <w:szCs w:val="20"/>
              </w:rPr>
              <w:t xml:space="preserve"> ensure the community continues to receive the support it deserves.</w:t>
            </w:r>
          </w:p>
        </w:tc>
      </w:tr>
      <w:tr w:rsidR="002B29D2" w:rsidRPr="003A638C" w14:paraId="1F1F47D4" w14:textId="77777777" w:rsidTr="00B23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BA8A78" w14:textId="189BC114" w:rsidR="002B29D2" w:rsidRPr="003A638C" w:rsidRDefault="007B071F" w:rsidP="002C7411">
            <w:pPr>
              <w:pStyle w:val="BodyText"/>
              <w:spacing w:before="60" w:after="60" w:line="240" w:lineRule="auto"/>
              <w:rPr>
                <w:sz w:val="20"/>
                <w:szCs w:val="20"/>
              </w:rPr>
            </w:pPr>
            <w:r w:rsidRPr="003A638C">
              <w:rPr>
                <w:sz w:val="20"/>
                <w:szCs w:val="20"/>
              </w:rPr>
              <w:lastRenderedPageBreak/>
              <w:t xml:space="preserve">Some of costs of collaboration and engagement may increase in the </w:t>
            </w:r>
            <w:r w:rsidR="002B29D2" w:rsidRPr="003A638C">
              <w:rPr>
                <w:sz w:val="20"/>
                <w:szCs w:val="20"/>
              </w:rPr>
              <w:t>shift to a commissioning approach</w:t>
            </w:r>
          </w:p>
        </w:tc>
        <w:tc>
          <w:tcPr>
            <w:tcW w:w="7654" w:type="dxa"/>
          </w:tcPr>
          <w:p w14:paraId="475EE90C" w14:textId="6A25A0B0" w:rsidR="002B29D2" w:rsidRPr="003A638C" w:rsidRDefault="002B29D2" w:rsidP="002C7411">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rPr>
              <w:t xml:space="preserve">Although there has been some good communication about the Government's plan regarding commissioning, and their desire to have us involved in those collaborations / consultations etc, it is in fact those processes/activities that aren't funded to allow people to participate in co-design and continue to deliver the services contracted. In the end senior staff </w:t>
            </w:r>
            <w:proofErr w:type="gramStart"/>
            <w:r w:rsidRPr="003A638C">
              <w:rPr>
                <w:sz w:val="20"/>
                <w:szCs w:val="20"/>
              </w:rPr>
              <w:t>have to</w:t>
            </w:r>
            <w:proofErr w:type="gramEnd"/>
            <w:r w:rsidRPr="003A638C">
              <w:rPr>
                <w:sz w:val="20"/>
                <w:szCs w:val="20"/>
              </w:rPr>
              <w:t xml:space="preserve"> make it happen and work longer hours. There is little room for business/service design that would benefit organisations, government procurement and most importantly community need.</w:t>
            </w:r>
          </w:p>
        </w:tc>
      </w:tr>
    </w:tbl>
    <w:p w14:paraId="631D3E50" w14:textId="77777777" w:rsidR="00554250" w:rsidRPr="00554250" w:rsidRDefault="00554250" w:rsidP="00554250">
      <w:pPr>
        <w:pStyle w:val="BodyText"/>
        <w:rPr>
          <w:sz w:val="18"/>
          <w:szCs w:val="18"/>
        </w:rPr>
      </w:pPr>
      <w:r w:rsidRPr="00554250">
        <w:rPr>
          <w:sz w:val="18"/>
          <w:szCs w:val="18"/>
        </w:rPr>
        <w:t>Source: ACT Service Costing Survey, 2021</w:t>
      </w:r>
    </w:p>
    <w:p w14:paraId="356B8B08" w14:textId="77777777" w:rsidR="00B636FE" w:rsidRDefault="00B636FE" w:rsidP="008D4D62">
      <w:pPr>
        <w:pStyle w:val="BodyText"/>
      </w:pPr>
    </w:p>
    <w:p w14:paraId="78364FCB" w14:textId="510B73A4" w:rsidR="008D4D62" w:rsidRPr="008D4D62" w:rsidRDefault="008D4D62" w:rsidP="006E6C6C">
      <w:pPr>
        <w:pStyle w:val="Heading2"/>
      </w:pPr>
      <w:bookmarkStart w:id="64" w:name="_Toc88753133"/>
      <w:bookmarkStart w:id="65" w:name="_Toc90019562"/>
      <w:r w:rsidRPr="008D4D62">
        <w:t xml:space="preserve">Business </w:t>
      </w:r>
      <w:r w:rsidR="007E3EC7">
        <w:t xml:space="preserve">overheads and infrastructure </w:t>
      </w:r>
      <w:r w:rsidRPr="008D4D62">
        <w:t>costs</w:t>
      </w:r>
      <w:bookmarkEnd w:id="64"/>
      <w:bookmarkEnd w:id="65"/>
    </w:p>
    <w:p w14:paraId="21D1B55E" w14:textId="53007A9F" w:rsidR="002C7411" w:rsidRDefault="00EA028D" w:rsidP="00EA028D">
      <w:pPr>
        <w:pStyle w:val="BodyText"/>
      </w:pPr>
      <w:r>
        <w:t xml:space="preserve">Assessing adequacy of overhead, administrative or infrastructure spending is difficult </w:t>
      </w:r>
      <w:r w:rsidR="007038B4">
        <w:t>given the diversity of the sector</w:t>
      </w:r>
      <w:r w:rsidR="00875001">
        <w:t xml:space="preserve"> (including service types, </w:t>
      </w:r>
      <w:proofErr w:type="gramStart"/>
      <w:r w:rsidR="00875001">
        <w:t>models</w:t>
      </w:r>
      <w:proofErr w:type="gramEnd"/>
      <w:r w:rsidR="00875001">
        <w:t xml:space="preserve"> and sizes)</w:t>
      </w:r>
      <w:r w:rsidR="007038B4">
        <w:t xml:space="preserve">, and that </w:t>
      </w:r>
      <w:r>
        <w:t xml:space="preserve">there is no ‘one size fits all’ standard or benchmark percentage. The ACNC notes that some charities incur a range of costs which cannot be easily isolated from services </w:t>
      </w:r>
      <w:proofErr w:type="gramStart"/>
      <w:r w:rsidR="002C7411">
        <w:t>in order to</w:t>
      </w:r>
      <w:proofErr w:type="gramEnd"/>
      <w:r w:rsidR="002C7411">
        <w:t xml:space="preserve"> be </w:t>
      </w:r>
      <w:r>
        <w:t>considered ‘administration’ or overheads.</w:t>
      </w:r>
      <w:r>
        <w:rPr>
          <w:rStyle w:val="FootnoteReference"/>
        </w:rPr>
        <w:footnoteReference w:id="59"/>
      </w:r>
      <w:r>
        <w:t xml:space="preserve"> </w:t>
      </w:r>
      <w:r w:rsidR="00974D2D">
        <w:t xml:space="preserve">That is, there is no clear distinction between essential service-related costs and </w:t>
      </w:r>
      <w:r w:rsidR="002C7411">
        <w:t xml:space="preserve">the </w:t>
      </w:r>
      <w:r w:rsidR="00974D2D">
        <w:t>administration</w:t>
      </w:r>
      <w:r w:rsidR="002C7411">
        <w:t xml:space="preserve"> that supports service delivery</w:t>
      </w:r>
      <w:r w:rsidR="00974D2D">
        <w:t xml:space="preserve">. </w:t>
      </w:r>
      <w:r w:rsidR="00974D2D" w:rsidRPr="00974D2D">
        <w:t xml:space="preserve"> </w:t>
      </w:r>
      <w:r w:rsidR="00974D2D">
        <w:t>Benchmarking of NDIS providers indicates overheads represent around 28% of direct costs</w:t>
      </w:r>
      <w:r w:rsidR="00C84954">
        <w:t>.</w:t>
      </w:r>
      <w:r w:rsidR="00974D2D">
        <w:rPr>
          <w:rStyle w:val="FootnoteReference"/>
        </w:rPr>
        <w:footnoteReference w:id="60"/>
      </w:r>
      <w:r w:rsidR="00974D2D">
        <w:t xml:space="preserve"> However, such figures should be </w:t>
      </w:r>
      <w:r w:rsidR="00875001">
        <w:t>interpreted cautiously and not conflated with what is needed</w:t>
      </w:r>
      <w:r w:rsidR="00974D2D">
        <w:t xml:space="preserve"> </w:t>
      </w:r>
      <w:r w:rsidR="00875001">
        <w:t>or appropriate</w:t>
      </w:r>
      <w:r w:rsidR="00974D2D">
        <w:t xml:space="preserve"> for all organisations</w:t>
      </w:r>
      <w:r w:rsidR="002C7411">
        <w:t xml:space="preserve"> in such a diverse </w:t>
      </w:r>
      <w:proofErr w:type="gramStart"/>
      <w:r w:rsidR="002C7411">
        <w:t>sector</w:t>
      </w:r>
      <w:r w:rsidR="009E36B1">
        <w:t>, and</w:t>
      </w:r>
      <w:proofErr w:type="gramEnd"/>
      <w:r w:rsidR="009E36B1">
        <w:t xml:space="preserve"> recognising there are many different ways </w:t>
      </w:r>
      <w:r w:rsidR="002C7411">
        <w:t xml:space="preserve">costs </w:t>
      </w:r>
      <w:r w:rsidR="009E36B1">
        <w:t>are</w:t>
      </w:r>
      <w:r w:rsidR="002C7411">
        <w:t xml:space="preserve"> </w:t>
      </w:r>
      <w:r w:rsidR="004A6EB7">
        <w:t>categorise</w:t>
      </w:r>
      <w:r w:rsidR="002C7411">
        <w:t>d</w:t>
      </w:r>
      <w:r w:rsidR="004A6EB7">
        <w:t xml:space="preserve"> and measure</w:t>
      </w:r>
      <w:r w:rsidR="002C7411">
        <w:t>d</w:t>
      </w:r>
      <w:r w:rsidR="00875001">
        <w:t>.</w:t>
      </w:r>
      <w:r w:rsidR="0053642A">
        <w:t xml:space="preserve">  </w:t>
      </w:r>
      <w:r w:rsidR="002C7411">
        <w:t>Importantly, although t</w:t>
      </w:r>
      <w:r w:rsidR="0073542A">
        <w:t xml:space="preserve">he </w:t>
      </w:r>
      <w:r w:rsidR="0073542A" w:rsidRPr="0073542A">
        <w:t>Australian Community Trends Report</w:t>
      </w:r>
      <w:r w:rsidR="0073542A">
        <w:rPr>
          <w:rStyle w:val="FootnoteReference"/>
        </w:rPr>
        <w:footnoteReference w:id="61"/>
      </w:r>
      <w:r w:rsidR="0073542A">
        <w:t xml:space="preserve"> notes th</w:t>
      </w:r>
      <w:r w:rsidR="004C1E2E">
        <w:t xml:space="preserve">at </w:t>
      </w:r>
      <w:r w:rsidR="0073542A">
        <w:t>keeping administration costs below 20% reflect</w:t>
      </w:r>
      <w:r w:rsidR="004C1E2E">
        <w:t>s</w:t>
      </w:r>
      <w:r w:rsidR="0073542A">
        <w:t xml:space="preserve"> expectations of the Australian public</w:t>
      </w:r>
      <w:r w:rsidR="004C1E2E">
        <w:t>, these</w:t>
      </w:r>
      <w:r w:rsidR="00974D2D">
        <w:t xml:space="preserve"> expectations</w:t>
      </w:r>
      <w:r w:rsidR="004C1E2E">
        <w:t xml:space="preserve"> may not be well informed</w:t>
      </w:r>
      <w:r w:rsidR="00974D2D">
        <w:t xml:space="preserve">, nor reflect </w:t>
      </w:r>
      <w:r w:rsidR="004C1E2E">
        <w:t xml:space="preserve">actual costs. </w:t>
      </w:r>
      <w:r w:rsidR="002A7139">
        <w:t xml:space="preserve">In that study, </w:t>
      </w:r>
      <w:r w:rsidR="002C7411">
        <w:t>charity workers, with more knowledge of the needs of the sector, were more likely consider 20-30% a</w:t>
      </w:r>
      <w:r w:rsidR="009E36B1">
        <w:t xml:space="preserve"> more appropriate</w:t>
      </w:r>
      <w:r w:rsidR="002C7411">
        <w:t xml:space="preserve"> range for administrative costs.</w:t>
      </w:r>
      <w:r w:rsidR="002C7411">
        <w:rPr>
          <w:rStyle w:val="FootnoteReference"/>
        </w:rPr>
        <w:footnoteReference w:id="62"/>
      </w:r>
    </w:p>
    <w:p w14:paraId="51A699AE" w14:textId="5DD2F7B1" w:rsidR="009E125B" w:rsidRDefault="007E3EC7" w:rsidP="008D4D62">
      <w:pPr>
        <w:pStyle w:val="BodyText"/>
      </w:pPr>
      <w:r>
        <w:t>Consistent with a ‘starvation cycle’,</w:t>
      </w:r>
      <w:r w:rsidR="009E125B">
        <w:rPr>
          <w:rStyle w:val="FootnoteReference"/>
        </w:rPr>
        <w:footnoteReference w:id="63"/>
      </w:r>
      <w:r>
        <w:t xml:space="preserve"> </w:t>
      </w:r>
      <w:r w:rsidR="00EA028D">
        <w:t xml:space="preserve">ACT community organisations </w:t>
      </w:r>
      <w:r w:rsidR="009E125B">
        <w:t xml:space="preserve">reported </w:t>
      </w:r>
      <w:r>
        <w:t>feel</w:t>
      </w:r>
      <w:r w:rsidR="009E125B">
        <w:t>ing under</w:t>
      </w:r>
      <w:r>
        <w:t xml:space="preserve"> pressure to reduce</w:t>
      </w:r>
      <w:r w:rsidR="00EA028D">
        <w:t xml:space="preserve"> their business overheads</w:t>
      </w:r>
      <w:r w:rsidR="00D83162">
        <w:t xml:space="preserve">. </w:t>
      </w:r>
      <w:r w:rsidR="0088173A">
        <w:t xml:space="preserve">One </w:t>
      </w:r>
      <w:r w:rsidR="009E125B">
        <w:t xml:space="preserve">informant indicated that they </w:t>
      </w:r>
      <w:r w:rsidR="0088173A">
        <w:t xml:space="preserve">perceive that </w:t>
      </w:r>
      <w:r w:rsidR="009E125B">
        <w:t>government expect</w:t>
      </w:r>
      <w:r w:rsidR="0088173A">
        <w:t>s</w:t>
      </w:r>
      <w:r w:rsidR="009E125B">
        <w:t xml:space="preserve"> these costs to be around 10%, but that more than this needed to be budgeted for, leading to sometimes ‘tricky’ negotiations. Others said they sought infrastructure costs ranging </w:t>
      </w:r>
      <w:r w:rsidR="009E125B">
        <w:lastRenderedPageBreak/>
        <w:t xml:space="preserve">from </w:t>
      </w:r>
      <w:r w:rsidR="009E125B" w:rsidRPr="00FA339D">
        <w:t>15% to 18%</w:t>
      </w:r>
      <w:r w:rsidR="009E125B">
        <w:t>, however, this could reflect what the program allowed, not what they required, and as noted above, there is no simple benchmark for overhead costs.</w:t>
      </w:r>
    </w:p>
    <w:p w14:paraId="483961E8" w14:textId="42EE7FB6" w:rsidR="00D83162" w:rsidRDefault="00AA1C19" w:rsidP="008D4D62">
      <w:pPr>
        <w:pStyle w:val="BodyText"/>
      </w:pPr>
      <w:r>
        <w:t xml:space="preserve">Service Costing </w:t>
      </w:r>
      <w:r w:rsidR="002A7139">
        <w:t>Survey data (</w:t>
      </w:r>
      <w:r w:rsidR="004D5B9B">
        <w:fldChar w:fldCharType="begin"/>
      </w:r>
      <w:r w:rsidR="004D5B9B">
        <w:instrText xml:space="preserve"> REF _Ref88832100 \h </w:instrText>
      </w:r>
      <w:r w:rsidR="004D5B9B">
        <w:fldChar w:fldCharType="separate"/>
      </w:r>
      <w:r w:rsidR="00E405AF">
        <w:t xml:space="preserve">Figure C. </w:t>
      </w:r>
      <w:r w:rsidR="00E405AF">
        <w:rPr>
          <w:noProof/>
        </w:rPr>
        <w:t>6</w:t>
      </w:r>
      <w:r w:rsidR="004D5B9B">
        <w:fldChar w:fldCharType="end"/>
      </w:r>
      <w:r w:rsidR="002A7139">
        <w:t>)</w:t>
      </w:r>
      <w:r w:rsidR="00D83162">
        <w:t xml:space="preserve"> shows </w:t>
      </w:r>
      <w:r w:rsidR="009E36B1">
        <w:t xml:space="preserve">only a minority of </w:t>
      </w:r>
      <w:r>
        <w:t>leaders considered their overheads and infrastructure costs were adequately funded</w:t>
      </w:r>
      <w:r w:rsidR="00D83162">
        <w:t>:</w:t>
      </w:r>
    </w:p>
    <w:p w14:paraId="49819A4E" w14:textId="0B165703" w:rsidR="00D83162" w:rsidRDefault="00D83162" w:rsidP="00905774">
      <w:pPr>
        <w:pStyle w:val="BodyText"/>
        <w:numPr>
          <w:ilvl w:val="0"/>
          <w:numId w:val="19"/>
        </w:numPr>
      </w:pPr>
      <w:r>
        <w:t>Few organisations have adequate funding for legal support (17%), vehicles and travel (24%) and technology (28%)</w:t>
      </w:r>
    </w:p>
    <w:p w14:paraId="2D8C45A4" w14:textId="6412A499" w:rsidR="007E3EC7" w:rsidRDefault="007E3EC7" w:rsidP="00905774">
      <w:pPr>
        <w:pStyle w:val="BodyText"/>
        <w:numPr>
          <w:ilvl w:val="0"/>
          <w:numId w:val="19"/>
        </w:numPr>
      </w:pPr>
      <w:r>
        <w:t xml:space="preserve">Accommodation, such as </w:t>
      </w:r>
      <w:r w:rsidR="00D83162">
        <w:t>office space</w:t>
      </w:r>
      <w:r>
        <w:t>,</w:t>
      </w:r>
      <w:r w:rsidR="00D83162">
        <w:t xml:space="preserve"> typically account</w:t>
      </w:r>
      <w:r>
        <w:t>s</w:t>
      </w:r>
      <w:r w:rsidR="00D83162">
        <w:t xml:space="preserve"> for 6% of organisation’s total expenses.</w:t>
      </w:r>
      <w:r>
        <w:rPr>
          <w:rStyle w:val="FootnoteReference"/>
        </w:rPr>
        <w:footnoteReference w:id="64"/>
      </w:r>
      <w:r w:rsidR="00D83162">
        <w:t xml:space="preserve"> However, </w:t>
      </w:r>
      <w:r>
        <w:t xml:space="preserve">accommodation-related costs are not adequately covered by ACT funding. </w:t>
      </w:r>
    </w:p>
    <w:p w14:paraId="5F6EFE5B" w14:textId="66F6D9BD" w:rsidR="002A7139" w:rsidRDefault="002A7139" w:rsidP="00905774">
      <w:pPr>
        <w:pStyle w:val="BodyText"/>
        <w:numPr>
          <w:ilvl w:val="1"/>
          <w:numId w:val="19"/>
        </w:numPr>
      </w:pPr>
      <w:r>
        <w:t xml:space="preserve">only 29% are adequately funded to maintain their </w:t>
      </w:r>
      <w:proofErr w:type="gramStart"/>
      <w:r>
        <w:t>facilities;</w:t>
      </w:r>
      <w:proofErr w:type="gramEnd"/>
    </w:p>
    <w:p w14:paraId="5FBFC5DC" w14:textId="57ED3553" w:rsidR="007E3EC7" w:rsidRDefault="007E3EC7" w:rsidP="00905774">
      <w:pPr>
        <w:pStyle w:val="BodyText"/>
        <w:numPr>
          <w:ilvl w:val="1"/>
          <w:numId w:val="19"/>
        </w:numPr>
      </w:pPr>
      <w:r>
        <w:t>only 31% are adequately funded for security</w:t>
      </w:r>
      <w:r w:rsidR="002A7139">
        <w:t>; and</w:t>
      </w:r>
    </w:p>
    <w:p w14:paraId="3029F17F" w14:textId="3A0029B0" w:rsidR="007E3EC7" w:rsidRDefault="007E3EC7" w:rsidP="00905774">
      <w:pPr>
        <w:pStyle w:val="BodyText"/>
        <w:numPr>
          <w:ilvl w:val="1"/>
          <w:numId w:val="19"/>
        </w:numPr>
      </w:pPr>
      <w:r>
        <w:t>only 35% are adequately funded for cleaning</w:t>
      </w:r>
      <w:r w:rsidR="002A7139">
        <w:t>.</w:t>
      </w:r>
    </w:p>
    <w:p w14:paraId="60040A76" w14:textId="65D0BAD8" w:rsidR="00A17174" w:rsidRDefault="00A17174" w:rsidP="00A17174">
      <w:pPr>
        <w:pStyle w:val="BodyText"/>
        <w:ind w:left="720"/>
      </w:pPr>
      <w:r>
        <w:t>Many also felt the rises in accommodation costs imposed by the ACT Government</w:t>
      </w:r>
      <w:r w:rsidR="006E6C6C">
        <w:t xml:space="preserve"> (as landlord)</w:t>
      </w:r>
      <w:r>
        <w:t xml:space="preserve"> were unfair</w:t>
      </w:r>
      <w:r w:rsidR="004A6EB7">
        <w:t>, especially where they outstripped indexation rates</w:t>
      </w:r>
      <w:r>
        <w:t>.</w:t>
      </w:r>
    </w:p>
    <w:p w14:paraId="007B3C81" w14:textId="030630A4" w:rsidR="00007DAA" w:rsidRDefault="00007DAA" w:rsidP="00905774">
      <w:pPr>
        <w:pStyle w:val="BodyText"/>
        <w:numPr>
          <w:ilvl w:val="0"/>
          <w:numId w:val="19"/>
        </w:numPr>
      </w:pPr>
      <w:r>
        <w:t xml:space="preserve">Technology, and technology-mediated service delivery grew in importance during the pandemic. </w:t>
      </w:r>
      <w:r w:rsidR="002A7139">
        <w:t>The ACT G</w:t>
      </w:r>
      <w:r>
        <w:t>overnment</w:t>
      </w:r>
      <w:r w:rsidR="002A7139">
        <w:t xml:space="preserve"> has</w:t>
      </w:r>
      <w:r>
        <w:t xml:space="preserve"> stepped in with additional supports for the sector</w:t>
      </w:r>
      <w:r w:rsidR="00C84954">
        <w:t>,</w:t>
      </w:r>
      <w:r w:rsidR="002A7139">
        <w:rPr>
          <w:rStyle w:val="FootnoteReference"/>
        </w:rPr>
        <w:footnoteReference w:id="65"/>
      </w:r>
      <w:r>
        <w:t xml:space="preserve"> </w:t>
      </w:r>
      <w:r w:rsidR="002A7139">
        <w:t xml:space="preserve">however in the </w:t>
      </w:r>
      <w:r w:rsidR="002D42F6">
        <w:t>Service Costing survey</w:t>
      </w:r>
      <w:r w:rsidR="002A7139">
        <w:t xml:space="preserve">, </w:t>
      </w:r>
      <w:r>
        <w:t>leaders continue</w:t>
      </w:r>
      <w:r w:rsidR="002A7139">
        <w:t>d</w:t>
      </w:r>
      <w:r>
        <w:t xml:space="preserve"> to report technology is unfunded or underfunded. Only 28% reported </w:t>
      </w:r>
      <w:r w:rsidR="002A7139">
        <w:t xml:space="preserve">their ACT funding was </w:t>
      </w:r>
      <w:r>
        <w:t xml:space="preserve">adequate </w:t>
      </w:r>
      <w:r w:rsidR="002A7139">
        <w:t xml:space="preserve">for covering </w:t>
      </w:r>
      <w:r>
        <w:t>technology</w:t>
      </w:r>
      <w:r w:rsidR="002A7139">
        <w:t xml:space="preserve"> costs. </w:t>
      </w:r>
    </w:p>
    <w:p w14:paraId="704F8D9D" w14:textId="5364D59C" w:rsidR="00007DAA" w:rsidRDefault="00007DAA" w:rsidP="00905774">
      <w:pPr>
        <w:pStyle w:val="BodyText"/>
        <w:numPr>
          <w:ilvl w:val="0"/>
          <w:numId w:val="19"/>
        </w:numPr>
      </w:pPr>
      <w:r>
        <w:t>Only 29% report that their stream of ACT funding adequately funds their regulatory compliance</w:t>
      </w:r>
      <w:r w:rsidR="002A7139">
        <w:t>.</w:t>
      </w:r>
      <w:r>
        <w:t xml:space="preserve"> </w:t>
      </w:r>
    </w:p>
    <w:p w14:paraId="36F8A9AF" w14:textId="04CF9489" w:rsidR="00007DAA" w:rsidRDefault="00007DAA" w:rsidP="00905774">
      <w:pPr>
        <w:pStyle w:val="BodyText"/>
        <w:numPr>
          <w:ilvl w:val="0"/>
          <w:numId w:val="19"/>
        </w:numPr>
      </w:pPr>
      <w:r>
        <w:t>Only 37% report adequate funding for PPE and safety equipment</w:t>
      </w:r>
      <w:r w:rsidR="004A6EB7">
        <w:t>.</w:t>
      </w:r>
    </w:p>
    <w:p w14:paraId="6DAACA8D" w14:textId="1FA2DEDE" w:rsidR="007E3EC7" w:rsidRDefault="009B0027" w:rsidP="00D83162">
      <w:pPr>
        <w:pStyle w:val="BodyText"/>
      </w:pPr>
      <w:r w:rsidRPr="000C78A8">
        <w:t xml:space="preserve">A few of the comments </w:t>
      </w:r>
      <w:r>
        <w:t xml:space="preserve">made by leaders </w:t>
      </w:r>
      <w:r w:rsidRPr="000C78A8">
        <w:t xml:space="preserve">indicated the </w:t>
      </w:r>
      <w:r w:rsidRPr="00FA339D">
        <w:t xml:space="preserve">organisation was able to cover these, </w:t>
      </w:r>
      <w:r>
        <w:t xml:space="preserve">due to capacity to </w:t>
      </w:r>
      <w:r w:rsidRPr="000C78A8">
        <w:t xml:space="preserve">self-fund, </w:t>
      </w:r>
      <w:r w:rsidRPr="00FA339D">
        <w:t xml:space="preserve">pool funds across </w:t>
      </w:r>
      <w:r>
        <w:t>programs</w:t>
      </w:r>
      <w:r w:rsidRPr="00FA339D">
        <w:t>, or add an administrative fee to grants</w:t>
      </w:r>
      <w:r w:rsidR="00C52F34">
        <w:t xml:space="preserve"> (</w:t>
      </w:r>
      <w:r w:rsidR="00C52F34">
        <w:fldChar w:fldCharType="begin"/>
      </w:r>
      <w:r w:rsidR="00C52F34">
        <w:instrText xml:space="preserve"> REF _Ref88494055 \h </w:instrText>
      </w:r>
      <w:r w:rsidR="00C52F34">
        <w:fldChar w:fldCharType="separate"/>
      </w:r>
      <w:r w:rsidR="00E405AF">
        <w:t xml:space="preserve">Table </w:t>
      </w:r>
      <w:r w:rsidR="00E405AF">
        <w:rPr>
          <w:noProof/>
        </w:rPr>
        <w:t>5</w:t>
      </w:r>
      <w:r w:rsidR="00E405AF">
        <w:t>.</w:t>
      </w:r>
      <w:r w:rsidR="00E405AF">
        <w:rPr>
          <w:noProof/>
        </w:rPr>
        <w:t>3</w:t>
      </w:r>
      <w:r w:rsidR="00C52F34">
        <w:fldChar w:fldCharType="end"/>
      </w:r>
      <w:r w:rsidR="00C52F34">
        <w:t>)</w:t>
      </w:r>
      <w:r>
        <w:t xml:space="preserve">. </w:t>
      </w:r>
    </w:p>
    <w:p w14:paraId="38E995ED" w14:textId="2B476999" w:rsidR="007E3EC7" w:rsidRDefault="007E3EC7" w:rsidP="00D83162">
      <w:pPr>
        <w:pStyle w:val="BodyText"/>
        <w:sectPr w:rsidR="007E3EC7" w:rsidSect="00B23F54">
          <w:headerReference w:type="first" r:id="rId29"/>
          <w:footerReference w:type="first" r:id="rId30"/>
          <w:pgSz w:w="11906" w:h="16838"/>
          <w:pgMar w:top="1134" w:right="1134" w:bottom="1135" w:left="1134" w:header="992" w:footer="567" w:gutter="0"/>
          <w:pgNumType w:start="1"/>
          <w:cols w:space="708"/>
          <w:titlePg/>
          <w:docGrid w:linePitch="360"/>
        </w:sectPr>
      </w:pPr>
    </w:p>
    <w:p w14:paraId="2DC784F5" w14:textId="6D97C3B8" w:rsidR="00D83162" w:rsidRDefault="004A6EB7" w:rsidP="004A6EB7">
      <w:pPr>
        <w:pStyle w:val="Caption"/>
      </w:pPr>
      <w:bookmarkStart w:id="66" w:name="_Ref88494055"/>
      <w:bookmarkStart w:id="67" w:name="_Toc90019588"/>
      <w:r>
        <w:lastRenderedPageBreak/>
        <w:t xml:space="preserve">Table </w:t>
      </w:r>
      <w:fldSimple w:instr=" STYLEREF 1 \s ">
        <w:r w:rsidR="00E405AF">
          <w:rPr>
            <w:noProof/>
          </w:rPr>
          <w:t>5</w:t>
        </w:r>
      </w:fldSimple>
      <w:r w:rsidR="00911AB3">
        <w:t>.</w:t>
      </w:r>
      <w:fldSimple w:instr=" SEQ Table \* ARABIC \s 1 ">
        <w:r w:rsidR="00E405AF">
          <w:rPr>
            <w:noProof/>
          </w:rPr>
          <w:t>3</w:t>
        </w:r>
      </w:fldSimple>
      <w:bookmarkEnd w:id="66"/>
      <w:r w:rsidR="002B29D2">
        <w:tab/>
        <w:t>Leaders comments on business overhead costs</w:t>
      </w:r>
      <w:bookmarkEnd w:id="67"/>
    </w:p>
    <w:tbl>
      <w:tblPr>
        <w:tblStyle w:val="Style3"/>
        <w:tblW w:w="9918" w:type="dxa"/>
        <w:tblLook w:val="04A0" w:firstRow="1" w:lastRow="0" w:firstColumn="1" w:lastColumn="0" w:noHBand="0" w:noVBand="1"/>
      </w:tblPr>
      <w:tblGrid>
        <w:gridCol w:w="1696"/>
        <w:gridCol w:w="8222"/>
      </w:tblGrid>
      <w:tr w:rsidR="009B0027" w:rsidRPr="003A638C" w14:paraId="6D3C5144" w14:textId="77777777" w:rsidTr="007D6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856F11" w14:textId="1C239F50" w:rsidR="009B0027" w:rsidRPr="003A638C" w:rsidRDefault="009B0027" w:rsidP="00AA1C19">
            <w:pPr>
              <w:pStyle w:val="BodyText"/>
              <w:spacing w:before="60" w:after="60" w:line="240" w:lineRule="auto"/>
              <w:rPr>
                <w:sz w:val="20"/>
                <w:szCs w:val="20"/>
              </w:rPr>
            </w:pPr>
            <w:r w:rsidRPr="003A638C">
              <w:rPr>
                <w:b/>
                <w:bCs/>
                <w:color w:val="FFFFFF" w:themeColor="background1"/>
                <w:sz w:val="20"/>
                <w:szCs w:val="20"/>
              </w:rPr>
              <w:t>Issue</w:t>
            </w:r>
          </w:p>
        </w:tc>
        <w:tc>
          <w:tcPr>
            <w:tcW w:w="8222" w:type="dxa"/>
          </w:tcPr>
          <w:p w14:paraId="46029C8B" w14:textId="1DA391A9" w:rsidR="009B0027" w:rsidRPr="003A638C" w:rsidRDefault="009B0027" w:rsidP="00AA1C1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A638C">
              <w:rPr>
                <w:b/>
                <w:bCs/>
                <w:color w:val="FFFFFF" w:themeColor="background1"/>
                <w:sz w:val="20"/>
                <w:szCs w:val="20"/>
              </w:rPr>
              <w:t>Comment from leader</w:t>
            </w:r>
          </w:p>
        </w:tc>
      </w:tr>
      <w:tr w:rsidR="00AE7BCB" w:rsidRPr="003A638C" w14:paraId="0CC1269F" w14:textId="77777777" w:rsidTr="007D6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069690" w14:textId="2BD857AA" w:rsidR="00AE7BCB" w:rsidRPr="003A638C" w:rsidRDefault="00D33A9C" w:rsidP="00AA1C19">
            <w:pPr>
              <w:pStyle w:val="BodyText"/>
              <w:spacing w:before="60" w:after="60" w:line="240" w:lineRule="auto"/>
              <w:rPr>
                <w:sz w:val="20"/>
                <w:szCs w:val="20"/>
              </w:rPr>
            </w:pPr>
            <w:r>
              <w:rPr>
                <w:sz w:val="20"/>
                <w:szCs w:val="20"/>
              </w:rPr>
              <w:t>Some o</w:t>
            </w:r>
            <w:r w:rsidR="009B0027" w:rsidRPr="003A638C">
              <w:rPr>
                <w:sz w:val="20"/>
                <w:szCs w:val="20"/>
              </w:rPr>
              <w:t>rganisation</w:t>
            </w:r>
            <w:r>
              <w:rPr>
                <w:sz w:val="20"/>
                <w:szCs w:val="20"/>
              </w:rPr>
              <w:t>s</w:t>
            </w:r>
            <w:r w:rsidR="009B0027" w:rsidRPr="003A638C">
              <w:rPr>
                <w:sz w:val="20"/>
                <w:szCs w:val="20"/>
              </w:rPr>
              <w:t xml:space="preserve"> </w:t>
            </w:r>
            <w:r w:rsidR="00231656">
              <w:rPr>
                <w:sz w:val="20"/>
                <w:szCs w:val="20"/>
              </w:rPr>
              <w:t>have strategies for</w:t>
            </w:r>
            <w:r w:rsidR="00231656" w:rsidRPr="003A638C">
              <w:rPr>
                <w:sz w:val="20"/>
                <w:szCs w:val="20"/>
              </w:rPr>
              <w:t xml:space="preserve"> </w:t>
            </w:r>
            <w:r w:rsidR="009B0027" w:rsidRPr="003A638C">
              <w:rPr>
                <w:sz w:val="20"/>
                <w:szCs w:val="20"/>
              </w:rPr>
              <w:t>cover</w:t>
            </w:r>
            <w:r w:rsidR="00231656">
              <w:rPr>
                <w:sz w:val="20"/>
                <w:szCs w:val="20"/>
              </w:rPr>
              <w:t>ing</w:t>
            </w:r>
            <w:r w:rsidR="009B0027" w:rsidRPr="003A638C">
              <w:rPr>
                <w:sz w:val="20"/>
                <w:szCs w:val="20"/>
              </w:rPr>
              <w:t xml:space="preserve"> business costs</w:t>
            </w:r>
          </w:p>
        </w:tc>
        <w:tc>
          <w:tcPr>
            <w:tcW w:w="8222" w:type="dxa"/>
          </w:tcPr>
          <w:p w14:paraId="161140D0" w14:textId="77777777" w:rsidR="009B0027" w:rsidRPr="003A638C" w:rsidRDefault="009B0027" w:rsidP="00AA1C19">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3A638C">
              <w:rPr>
                <w:rFonts w:ascii="Arial" w:hAnsi="Arial" w:cs="Arial"/>
                <w:iCs/>
                <w:color w:val="000000" w:themeColor="text1"/>
                <w:sz w:val="20"/>
                <w:szCs w:val="20"/>
              </w:rPr>
              <w:t>Insurance, audit, rent etc are all wrapped up in a 15% base admin fee applied to contracts.</w:t>
            </w:r>
          </w:p>
          <w:p w14:paraId="2EF0269B" w14:textId="77777777" w:rsidR="009B0027" w:rsidRPr="003A638C" w:rsidRDefault="009B0027" w:rsidP="00AA1C19">
            <w:pPr>
              <w:spacing w:before="120" w:after="6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3A638C">
              <w:rPr>
                <w:rFonts w:ascii="Arial" w:hAnsi="Arial" w:cs="Arial"/>
                <w:iCs/>
                <w:color w:val="000000" w:themeColor="text1"/>
                <w:sz w:val="20"/>
                <w:szCs w:val="20"/>
              </w:rPr>
              <w:t>The program pays an 18% corporate service charge to cover office space, insurance, accounting services and security.</w:t>
            </w:r>
          </w:p>
          <w:p w14:paraId="1DCAEBB4" w14:textId="79A5BD7F" w:rsidR="00AE7BCB" w:rsidRPr="003A638C" w:rsidRDefault="009B0027" w:rsidP="00AA1C19">
            <w:pPr>
              <w:spacing w:before="120" w:after="60"/>
              <w:cnfStyle w:val="000000100000" w:firstRow="0" w:lastRow="0" w:firstColumn="0" w:lastColumn="0" w:oddVBand="0" w:evenVBand="0" w:oddHBand="1" w:evenHBand="0" w:firstRowFirstColumn="0" w:firstRowLastColumn="0" w:lastRowFirstColumn="0" w:lastRowLastColumn="0"/>
              <w:rPr>
                <w:sz w:val="20"/>
                <w:szCs w:val="20"/>
              </w:rPr>
            </w:pPr>
            <w:r w:rsidRPr="003A638C">
              <w:rPr>
                <w:rFonts w:ascii="Arial" w:hAnsi="Arial" w:cs="Arial"/>
                <w:iCs/>
                <w:color w:val="000000" w:themeColor="text1"/>
                <w:sz w:val="20"/>
                <w:szCs w:val="20"/>
              </w:rPr>
              <w:t>Most of the costs of these items are shared amongst our funding sources so it is only the combination of these that makes them possible.</w:t>
            </w:r>
          </w:p>
        </w:tc>
      </w:tr>
      <w:tr w:rsidR="00AE7BCB" w:rsidRPr="003A638C" w14:paraId="309DBF53" w14:textId="77777777" w:rsidTr="007D6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F34726" w14:textId="2AD62380" w:rsidR="00AE7BCB" w:rsidRPr="003A638C" w:rsidRDefault="00604289" w:rsidP="00AA1C19">
            <w:pPr>
              <w:pStyle w:val="BodyText"/>
              <w:spacing w:before="60" w:after="60" w:line="240" w:lineRule="auto"/>
              <w:rPr>
                <w:sz w:val="20"/>
                <w:szCs w:val="20"/>
              </w:rPr>
            </w:pPr>
            <w:r w:rsidRPr="003A638C">
              <w:rPr>
                <w:sz w:val="20"/>
                <w:szCs w:val="20"/>
              </w:rPr>
              <w:t>Funders do not recognise administrative costs</w:t>
            </w:r>
            <w:r w:rsidR="00AE5A38" w:rsidRPr="003A638C">
              <w:rPr>
                <w:sz w:val="20"/>
                <w:szCs w:val="20"/>
              </w:rPr>
              <w:t>, which are rising</w:t>
            </w:r>
          </w:p>
        </w:tc>
        <w:tc>
          <w:tcPr>
            <w:tcW w:w="8222" w:type="dxa"/>
          </w:tcPr>
          <w:p w14:paraId="6BC99D4B" w14:textId="7D731E96" w:rsidR="00604289" w:rsidRPr="003A638C" w:rsidRDefault="00604289" w:rsidP="00AA1C19">
            <w:pPr>
              <w:pStyle w:val="Quote"/>
              <w:spacing w:before="60" w:after="60"/>
              <w:ind w:left="37"/>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No additional costs of administration are included in the funding provided for this work, even though hiring a staff member and running this program requires costs including community relations and events, IT, subscriptions, administrative costs etc.</w:t>
            </w:r>
          </w:p>
          <w:p w14:paraId="2C4D2CD6" w14:textId="77777777" w:rsidR="00AE5A38" w:rsidRPr="003A638C" w:rsidRDefault="00AE5A38" w:rsidP="00AA1C19">
            <w:pPr>
              <w:pStyle w:val="Quote"/>
              <w:spacing w:before="120" w:after="60"/>
              <w:ind w:lef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Insurances have increased dramatically and placed pressure on our resources. Technology and being compliant with appropriate system places strain on funds with unexpected failures, call outs etc</w:t>
            </w:r>
          </w:p>
          <w:p w14:paraId="57FD6F25" w14:textId="22F3E55E" w:rsidR="00AE7BCB" w:rsidRPr="003A638C" w:rsidRDefault="00AE5A38" w:rsidP="00AA1C19">
            <w:pPr>
              <w:pStyle w:val="Quote"/>
              <w:spacing w:before="120" w:after="60"/>
              <w:ind w:lef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Cost of annual financial audit has increase by 50% in the past two years, cost of IT, client info and data systems and accounting software has also increased by a similar amount</w:t>
            </w:r>
          </w:p>
        </w:tc>
      </w:tr>
      <w:tr w:rsidR="00AE7BCB" w:rsidRPr="003A638C" w14:paraId="7A978810" w14:textId="77777777" w:rsidTr="007D6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C1A7AC" w14:textId="1FE4CC4D" w:rsidR="00AE7BCB" w:rsidRPr="003A638C" w:rsidRDefault="00AE5A38" w:rsidP="00AA1C19">
            <w:pPr>
              <w:pStyle w:val="BodyText"/>
              <w:spacing w:before="60" w:after="60" w:line="240" w:lineRule="auto"/>
              <w:rPr>
                <w:sz w:val="20"/>
                <w:szCs w:val="20"/>
              </w:rPr>
            </w:pPr>
            <w:r w:rsidRPr="003A638C">
              <w:rPr>
                <w:sz w:val="20"/>
                <w:szCs w:val="20"/>
              </w:rPr>
              <w:t>Organisations are expected to cover shortfalls in overheads</w:t>
            </w:r>
          </w:p>
        </w:tc>
        <w:tc>
          <w:tcPr>
            <w:tcW w:w="8222" w:type="dxa"/>
          </w:tcPr>
          <w:p w14:paraId="1A76F249" w14:textId="77777777" w:rsidR="00604289" w:rsidRPr="003A638C" w:rsidRDefault="00604289" w:rsidP="00AA1C19">
            <w:pPr>
              <w:pStyle w:val="Quote"/>
              <w:spacing w:before="60" w:after="60"/>
              <w:ind w:left="37"/>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We are generally expected to raise our own funds to cover all administrative costs.  If you go for a grant and actually put what it would </w:t>
            </w:r>
            <w:proofErr w:type="gramStart"/>
            <w:r w:rsidRPr="003A638C">
              <w:rPr>
                <w:sz w:val="20"/>
                <w:szCs w:val="20"/>
              </w:rPr>
              <w:t>cost</w:t>
            </w:r>
            <w:proofErr w:type="gramEnd"/>
            <w:r w:rsidRPr="003A638C">
              <w:rPr>
                <w:sz w:val="20"/>
                <w:szCs w:val="20"/>
              </w:rPr>
              <w:t xml:space="preserve"> you to deliver a program you will never win the grant.  As the expectation of regulatory compliance </w:t>
            </w:r>
            <w:proofErr w:type="gramStart"/>
            <w:r w:rsidRPr="003A638C">
              <w:rPr>
                <w:sz w:val="20"/>
                <w:szCs w:val="20"/>
              </w:rPr>
              <w:t>increases</w:t>
            </w:r>
            <w:proofErr w:type="gramEnd"/>
            <w:r w:rsidRPr="003A638C">
              <w:rPr>
                <w:sz w:val="20"/>
                <w:szCs w:val="20"/>
              </w:rPr>
              <w:t xml:space="preserve"> we are expected to somehow absorb these costs.  </w:t>
            </w:r>
          </w:p>
          <w:p w14:paraId="564A4720" w14:textId="517122BA" w:rsidR="00AE7BCB" w:rsidRPr="003A638C" w:rsidRDefault="00604289" w:rsidP="00AA1C19">
            <w:pPr>
              <w:pStyle w:val="Quote"/>
              <w:spacing w:before="120" w:after="60"/>
              <w:ind w:lef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The core funding does not specify infrastructure/overhead costs. We just know that the core funding does not cover the true cost of delivering services so we allocate funds internally to cover as best we can, with an overall overspend.</w:t>
            </w:r>
          </w:p>
        </w:tc>
      </w:tr>
      <w:tr w:rsidR="00AE5A38" w:rsidRPr="003A638C" w14:paraId="5FFDF5AA" w14:textId="77777777" w:rsidTr="007D6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24BCE2B" w14:textId="6AD52153" w:rsidR="00AE5A38" w:rsidRPr="003A638C" w:rsidRDefault="00AE5A38" w:rsidP="00AA1C19">
            <w:pPr>
              <w:pStyle w:val="BodyText"/>
              <w:spacing w:before="60" w:after="60" w:line="240" w:lineRule="auto"/>
              <w:rPr>
                <w:sz w:val="20"/>
                <w:szCs w:val="20"/>
              </w:rPr>
            </w:pPr>
            <w:r w:rsidRPr="003A638C">
              <w:rPr>
                <w:sz w:val="20"/>
                <w:szCs w:val="20"/>
              </w:rPr>
              <w:t>Some organisations can defray costs by using volunteers</w:t>
            </w:r>
          </w:p>
        </w:tc>
        <w:tc>
          <w:tcPr>
            <w:tcW w:w="8222" w:type="dxa"/>
          </w:tcPr>
          <w:p w14:paraId="0D6C4C64" w14:textId="4427984F" w:rsidR="00AE5A38" w:rsidRPr="003A638C" w:rsidRDefault="00AE5A38" w:rsidP="00AA1C19">
            <w:pPr>
              <w:pStyle w:val="Quote"/>
              <w:spacing w:before="60" w:after="60"/>
              <w:ind w:left="37"/>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We don't have an office or staff. Committee volunteers manage administration</w:t>
            </w:r>
            <w:r w:rsidR="0061728C">
              <w:rPr>
                <w:sz w:val="20"/>
                <w:szCs w:val="20"/>
              </w:rPr>
              <w:t>.</w:t>
            </w:r>
            <w:r w:rsidRPr="003A638C">
              <w:rPr>
                <w:sz w:val="20"/>
                <w:szCs w:val="20"/>
              </w:rPr>
              <w:t xml:space="preserve"> </w:t>
            </w:r>
            <w:r w:rsidR="0061728C">
              <w:rPr>
                <w:sz w:val="20"/>
                <w:szCs w:val="20"/>
              </w:rPr>
              <w:t>I</w:t>
            </w:r>
            <w:r w:rsidR="0061728C" w:rsidRPr="003A638C">
              <w:rPr>
                <w:sz w:val="20"/>
                <w:szCs w:val="20"/>
              </w:rPr>
              <w:t xml:space="preserve">nsurance </w:t>
            </w:r>
            <w:r w:rsidRPr="003A638C">
              <w:rPr>
                <w:sz w:val="20"/>
                <w:szCs w:val="20"/>
              </w:rPr>
              <w:t>and other costs are met by a small grant.</w:t>
            </w:r>
          </w:p>
          <w:p w14:paraId="513100F1" w14:textId="0EBB46B6" w:rsidR="00AE5A38" w:rsidRPr="003A638C" w:rsidRDefault="00AE5A38" w:rsidP="00AA1C19">
            <w:pPr>
              <w:pStyle w:val="BodyText"/>
              <w:autoSpaceDE w:val="0"/>
              <w:autoSpaceDN w:val="0"/>
              <w:adjustRightInd w:val="0"/>
              <w:spacing w:before="120" w:after="60" w:line="240" w:lineRule="auto"/>
              <w:ind w:right="-23"/>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We have legal expertise on our committee, do not undertake travel, and undertake our own cleaning and maintenance with volunteer support.</w:t>
            </w:r>
          </w:p>
        </w:tc>
      </w:tr>
      <w:tr w:rsidR="00AE5A38" w:rsidRPr="003A638C" w14:paraId="6AF9FBE3" w14:textId="77777777" w:rsidTr="007D6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C66BFA" w14:textId="5267BA80" w:rsidR="00AE5A38" w:rsidRPr="003A638C" w:rsidRDefault="00AE5A38" w:rsidP="00AA1C19">
            <w:pPr>
              <w:pStyle w:val="BodyText"/>
              <w:spacing w:before="60" w:after="60" w:line="240" w:lineRule="auto"/>
              <w:rPr>
                <w:sz w:val="20"/>
                <w:szCs w:val="20"/>
              </w:rPr>
            </w:pPr>
            <w:r w:rsidRPr="003A638C">
              <w:rPr>
                <w:sz w:val="20"/>
                <w:szCs w:val="20"/>
              </w:rPr>
              <w:t xml:space="preserve">Leaders make compromises </w:t>
            </w:r>
            <w:proofErr w:type="gramStart"/>
            <w:r w:rsidRPr="003A638C">
              <w:rPr>
                <w:sz w:val="20"/>
                <w:szCs w:val="20"/>
              </w:rPr>
              <w:t>in order to</w:t>
            </w:r>
            <w:proofErr w:type="gramEnd"/>
            <w:r w:rsidRPr="003A638C">
              <w:rPr>
                <w:sz w:val="20"/>
                <w:szCs w:val="20"/>
              </w:rPr>
              <w:t xml:space="preserve"> cover costs</w:t>
            </w:r>
          </w:p>
        </w:tc>
        <w:tc>
          <w:tcPr>
            <w:tcW w:w="8222" w:type="dxa"/>
          </w:tcPr>
          <w:p w14:paraId="478CFFF6" w14:textId="77777777" w:rsidR="00AE5A38" w:rsidRPr="003A638C" w:rsidRDefault="00AE5A38" w:rsidP="00AA1C1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ACT CSD contracts are flexible in allocating for infrastructure and overhead to provide quality </w:t>
            </w:r>
            <w:proofErr w:type="gramStart"/>
            <w:r w:rsidRPr="003A638C">
              <w:rPr>
                <w:sz w:val="20"/>
                <w:szCs w:val="20"/>
              </w:rPr>
              <w:t>service</w:t>
            </w:r>
            <w:proofErr w:type="gramEnd"/>
            <w:r w:rsidRPr="003A638C">
              <w:rPr>
                <w:sz w:val="20"/>
                <w:szCs w:val="20"/>
              </w:rPr>
              <w:t xml:space="preserve"> but we sacrificed the number of employees to cover these costs.</w:t>
            </w:r>
          </w:p>
          <w:p w14:paraId="53291AE7" w14:textId="019288B3" w:rsidR="00AE5A38" w:rsidRPr="003A638C" w:rsidRDefault="00AE5A38" w:rsidP="00AA1C19">
            <w:pPr>
              <w:pStyle w:val="BodyText"/>
              <w:autoSpaceDE w:val="0"/>
              <w:autoSpaceDN w:val="0"/>
              <w:adjustRightInd w:val="0"/>
              <w:spacing w:before="120" w:after="60" w:line="240" w:lineRule="auto"/>
              <w:ind w:right="-2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[Our organisation] constantly balances funding allocation between staffing and infrastructure costs and organisation activities.  Often, one area loses out to another.</w:t>
            </w:r>
          </w:p>
        </w:tc>
      </w:tr>
      <w:tr w:rsidR="00AE5A38" w:rsidRPr="003A638C" w14:paraId="7C9822DB" w14:textId="77777777" w:rsidTr="007D6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154159" w14:textId="5B3B2CF1" w:rsidR="00AE5A38" w:rsidRPr="003A638C" w:rsidRDefault="000354C6" w:rsidP="00AA1C19">
            <w:pPr>
              <w:pStyle w:val="BodyText"/>
              <w:spacing w:before="60" w:after="60" w:line="240" w:lineRule="auto"/>
              <w:rPr>
                <w:sz w:val="20"/>
                <w:szCs w:val="20"/>
              </w:rPr>
            </w:pPr>
            <w:r>
              <w:rPr>
                <w:sz w:val="20"/>
                <w:szCs w:val="20"/>
              </w:rPr>
              <w:t>R</w:t>
            </w:r>
            <w:r w:rsidR="00AE5A38" w:rsidRPr="003A638C">
              <w:rPr>
                <w:sz w:val="20"/>
                <w:szCs w:val="20"/>
              </w:rPr>
              <w:t>ising property prices</w:t>
            </w:r>
            <w:r>
              <w:rPr>
                <w:sz w:val="20"/>
                <w:szCs w:val="20"/>
              </w:rPr>
              <w:t xml:space="preserve"> are a particular source of pressure</w:t>
            </w:r>
          </w:p>
        </w:tc>
        <w:tc>
          <w:tcPr>
            <w:tcW w:w="8222" w:type="dxa"/>
          </w:tcPr>
          <w:p w14:paraId="4522EB31" w14:textId="77777777" w:rsidR="00AE5A38" w:rsidRPr="003A638C" w:rsidRDefault="00AE5A38" w:rsidP="00AA1C19">
            <w:pPr>
              <w:pStyle w:val="BodyText"/>
              <w:spacing w:before="60" w:after="6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Building - we have </w:t>
            </w:r>
            <w:proofErr w:type="gramStart"/>
            <w:r w:rsidRPr="003A638C">
              <w:rPr>
                <w:sz w:val="20"/>
                <w:szCs w:val="20"/>
              </w:rPr>
              <w:t>out grown</w:t>
            </w:r>
            <w:proofErr w:type="gramEnd"/>
            <w:r w:rsidRPr="003A638C">
              <w:rPr>
                <w:sz w:val="20"/>
                <w:szCs w:val="20"/>
              </w:rPr>
              <w:t xml:space="preserve"> our site + our operations could expand considerably if we had more rooms (with a moderate staffing increase) = more site efficiency.</w:t>
            </w:r>
          </w:p>
          <w:p w14:paraId="5278BA83" w14:textId="3AAA02B0" w:rsidR="00AE5A38" w:rsidRPr="003A638C" w:rsidRDefault="00AE5A38" w:rsidP="00AA1C19">
            <w:pPr>
              <w:pStyle w:val="BodyText"/>
              <w:autoSpaceDE w:val="0"/>
              <w:autoSpaceDN w:val="0"/>
              <w:adjustRightInd w:val="0"/>
              <w:spacing w:before="120" w:after="60" w:line="240" w:lineRule="auto"/>
              <w:ind w:right="-23"/>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We are currently in ACT Government accommodation. They have increased rents by 3% this year, but our funding only increased by 1.75%.... …. if we had to rent from the private </w:t>
            </w:r>
            <w:proofErr w:type="gramStart"/>
            <w:r w:rsidRPr="003A638C">
              <w:rPr>
                <w:sz w:val="20"/>
                <w:szCs w:val="20"/>
              </w:rPr>
              <w:t>market</w:t>
            </w:r>
            <w:proofErr w:type="gramEnd"/>
            <w:r w:rsidRPr="003A638C">
              <w:rPr>
                <w:sz w:val="20"/>
                <w:szCs w:val="20"/>
              </w:rPr>
              <w:t xml:space="preserve"> we would have to make staff redundant to either fund the additional cost, or to allow for working in a smaller space so that we could minimise rent.</w:t>
            </w:r>
          </w:p>
        </w:tc>
      </w:tr>
      <w:tr w:rsidR="00AE5A38" w:rsidRPr="003A638C" w14:paraId="7184F44E" w14:textId="77777777" w:rsidTr="007D6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E57002" w14:textId="31457B4F" w:rsidR="00AE5A38" w:rsidRPr="003A638C" w:rsidRDefault="000354C6" w:rsidP="00AA1C19">
            <w:pPr>
              <w:pStyle w:val="BodyText"/>
              <w:spacing w:before="60" w:after="60" w:line="240" w:lineRule="auto"/>
              <w:rPr>
                <w:sz w:val="20"/>
                <w:szCs w:val="20"/>
              </w:rPr>
            </w:pPr>
            <w:r>
              <w:rPr>
                <w:sz w:val="20"/>
                <w:szCs w:val="20"/>
              </w:rPr>
              <w:t xml:space="preserve">Overhead funding affects </w:t>
            </w:r>
            <w:r w:rsidR="00AE5A38" w:rsidRPr="003A638C">
              <w:rPr>
                <w:sz w:val="20"/>
                <w:szCs w:val="20"/>
              </w:rPr>
              <w:t>service delivery</w:t>
            </w:r>
          </w:p>
        </w:tc>
        <w:tc>
          <w:tcPr>
            <w:tcW w:w="8222" w:type="dxa"/>
          </w:tcPr>
          <w:p w14:paraId="0506D0CD" w14:textId="50C22DDB" w:rsidR="00AE5A38" w:rsidRPr="003A638C" w:rsidRDefault="00AE5A38" w:rsidP="00AA1C1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When funding is inadequate (or where there is no flexibility in funding agreements), our ability to respond effectively and innovatively to changing client and community need is limited. We have little opportunity to invest in new technology that will make operations more effective (which is a catch-22 scenario). </w:t>
            </w:r>
          </w:p>
        </w:tc>
      </w:tr>
    </w:tbl>
    <w:p w14:paraId="60849B01" w14:textId="77777777" w:rsidR="00554250" w:rsidRPr="00554250" w:rsidRDefault="00554250" w:rsidP="00554250">
      <w:pPr>
        <w:pStyle w:val="BodyText"/>
        <w:rPr>
          <w:sz w:val="18"/>
          <w:szCs w:val="18"/>
        </w:rPr>
      </w:pPr>
      <w:r w:rsidRPr="00554250">
        <w:rPr>
          <w:sz w:val="18"/>
          <w:szCs w:val="18"/>
        </w:rPr>
        <w:t>Source: ACT Service Costing Survey, 2021</w:t>
      </w:r>
    </w:p>
    <w:p w14:paraId="1C298746" w14:textId="128D6693" w:rsidR="00D83162" w:rsidRDefault="00D83162" w:rsidP="008D4D62">
      <w:pPr>
        <w:pStyle w:val="BodyText"/>
      </w:pPr>
    </w:p>
    <w:p w14:paraId="62D58B95" w14:textId="095BDA7B" w:rsidR="008D4D62" w:rsidRPr="00927A34" w:rsidRDefault="009B0027" w:rsidP="006E6C6C">
      <w:pPr>
        <w:pStyle w:val="Heading2"/>
      </w:pPr>
      <w:bookmarkStart w:id="68" w:name="_Toc88753134"/>
      <w:bookmarkStart w:id="69" w:name="_Toc90019563"/>
      <w:r>
        <w:lastRenderedPageBreak/>
        <w:t>Evaluation, reporting and govern</w:t>
      </w:r>
      <w:r w:rsidR="008D4D62">
        <w:t>ance</w:t>
      </w:r>
      <w:bookmarkEnd w:id="68"/>
      <w:bookmarkEnd w:id="69"/>
    </w:p>
    <w:p w14:paraId="3558AC4C" w14:textId="53AE42F7" w:rsidR="008D4D62" w:rsidRPr="00707D47" w:rsidRDefault="002B29D2" w:rsidP="008D4D62">
      <w:pPr>
        <w:pStyle w:val="BodyText"/>
      </w:pPr>
      <w:r>
        <w:t xml:space="preserve">A particular concern for sector </w:t>
      </w:r>
      <w:r w:rsidR="007C21E1">
        <w:t xml:space="preserve">leaders </w:t>
      </w:r>
      <w:r>
        <w:t xml:space="preserve">is the </w:t>
      </w:r>
      <w:r w:rsidR="008D4D62">
        <w:t xml:space="preserve">adequacy of ACT funding for the costs of monitoring and evaluating services and reporting, along with governance, planning, applying for grants and contracts, and maintaining a financial reserve for the future. On all measures, </w:t>
      </w:r>
      <w:r>
        <w:t xml:space="preserve">most </w:t>
      </w:r>
      <w:r w:rsidR="00544146">
        <w:t xml:space="preserve">leaders said ACT funding left them </w:t>
      </w:r>
      <w:r w:rsidR="008D4D62">
        <w:t>underfunded or unfunded</w:t>
      </w:r>
      <w:r>
        <w:t xml:space="preserve"> for these activities (</w:t>
      </w:r>
      <w:r w:rsidR="004D5B9B">
        <w:fldChar w:fldCharType="begin"/>
      </w:r>
      <w:r w:rsidR="004D5B9B">
        <w:instrText xml:space="preserve"> REF _Ref88832149 \h </w:instrText>
      </w:r>
      <w:r w:rsidR="004D5B9B">
        <w:fldChar w:fldCharType="separate"/>
      </w:r>
      <w:r w:rsidR="00E405AF">
        <w:t xml:space="preserve">Figure C. </w:t>
      </w:r>
      <w:r w:rsidR="00E405AF">
        <w:rPr>
          <w:noProof/>
        </w:rPr>
        <w:t>7</w:t>
      </w:r>
      <w:r w:rsidR="004D5B9B">
        <w:fldChar w:fldCharType="end"/>
      </w:r>
      <w:r>
        <w:t>)</w:t>
      </w:r>
      <w:r w:rsidR="008D4D62">
        <w:t xml:space="preserve">. </w:t>
      </w:r>
    </w:p>
    <w:p w14:paraId="1F312190" w14:textId="0A63A8E6" w:rsidR="00AE5A38" w:rsidRDefault="008C29FB" w:rsidP="002B29D2">
      <w:pPr>
        <w:pStyle w:val="BodyText"/>
      </w:pPr>
      <w:r>
        <w:t>In their comments, l</w:t>
      </w:r>
      <w:r w:rsidR="007414D1">
        <w:t>eaders not</w:t>
      </w:r>
      <w:r w:rsidR="00544146">
        <w:t>e</w:t>
      </w:r>
      <w:r>
        <w:t>d</w:t>
      </w:r>
      <w:r w:rsidR="007414D1">
        <w:t xml:space="preserve"> </w:t>
      </w:r>
      <w:r w:rsidR="002B29D2">
        <w:t>the</w:t>
      </w:r>
      <w:r>
        <w:t xml:space="preserve">ir organisations need sufficient funds </w:t>
      </w:r>
      <w:r w:rsidR="007414D1">
        <w:t xml:space="preserve">to </w:t>
      </w:r>
      <w:proofErr w:type="gramStart"/>
      <w:r w:rsidR="007414D1">
        <w:t>plan for the future</w:t>
      </w:r>
      <w:proofErr w:type="gramEnd"/>
      <w:r w:rsidR="007414D1">
        <w:t xml:space="preserve">, ensure </w:t>
      </w:r>
      <w:r w:rsidR="002B29D2">
        <w:t xml:space="preserve">crisis preparedness; </w:t>
      </w:r>
      <w:r>
        <w:t>and ensure</w:t>
      </w:r>
      <w:r w:rsidR="00E85163">
        <w:t xml:space="preserve"> a professional approach to </w:t>
      </w:r>
      <w:r w:rsidR="002B29D2">
        <w:t>applying for grants. However,</w:t>
      </w:r>
      <w:r w:rsidR="006062B7">
        <w:t> </w:t>
      </w:r>
      <w:r w:rsidR="002B29D2">
        <w:t>evaluation garnered most attention</w:t>
      </w:r>
      <w:r w:rsidR="00B43111">
        <w:t xml:space="preserve"> in their comments</w:t>
      </w:r>
      <w:r w:rsidR="002B29D2">
        <w:t xml:space="preserve">. </w:t>
      </w:r>
      <w:r w:rsidR="00396D84">
        <w:t>Typically, monitoring and evaluation requires between 5 and 20% of program costs, with more funds needed where there are complex decisions to be made, or to satisfy initial information needs where programs haven’t previously been evaluated.</w:t>
      </w:r>
      <w:r w:rsidR="00396D84">
        <w:rPr>
          <w:rStyle w:val="FootnoteReference"/>
        </w:rPr>
        <w:footnoteReference w:id="66"/>
      </w:r>
      <w:r w:rsidR="00396D84">
        <w:t xml:space="preserve">  Leaders in the ACT underlined the importance of </w:t>
      </w:r>
      <w:r w:rsidR="004D116B">
        <w:t xml:space="preserve">properly funding </w:t>
      </w:r>
      <w:r w:rsidR="00396D84">
        <w:t xml:space="preserve">evaluation.  </w:t>
      </w:r>
      <w:r w:rsidR="00B43111">
        <w:t>They</w:t>
      </w:r>
      <w:r w:rsidR="006062B7">
        <w:t> </w:t>
      </w:r>
      <w:r w:rsidR="00B43111">
        <w:t>argued that w</w:t>
      </w:r>
      <w:r>
        <w:t>hile evaluation is frequently</w:t>
      </w:r>
      <w:r w:rsidR="002B29D2">
        <w:t xml:space="preserve"> underfunded</w:t>
      </w:r>
      <w:r>
        <w:t xml:space="preserve">, it provides </w:t>
      </w:r>
      <w:r w:rsidR="002B29D2">
        <w:t>important evidence about interventions; helps understand why services are working or not and for whom; and underpins ongoing improvement.</w:t>
      </w:r>
      <w:r>
        <w:t xml:space="preserve"> Leaders</w:t>
      </w:r>
      <w:r w:rsidR="000354C6">
        <w:t>’</w:t>
      </w:r>
      <w:r>
        <w:t xml:space="preserve"> comments are in </w:t>
      </w:r>
      <w:r w:rsidR="004D116B">
        <w:fldChar w:fldCharType="begin"/>
      </w:r>
      <w:r w:rsidR="004D116B">
        <w:instrText xml:space="preserve"> REF _Ref89762965 \h </w:instrText>
      </w:r>
      <w:r w:rsidR="004D116B">
        <w:fldChar w:fldCharType="separate"/>
      </w:r>
      <w:r w:rsidR="00E405AF">
        <w:t xml:space="preserve">Table </w:t>
      </w:r>
      <w:r w:rsidR="00E405AF">
        <w:rPr>
          <w:noProof/>
        </w:rPr>
        <w:t>5</w:t>
      </w:r>
      <w:r w:rsidR="00E405AF">
        <w:t>.</w:t>
      </w:r>
      <w:r w:rsidR="00E405AF">
        <w:rPr>
          <w:noProof/>
        </w:rPr>
        <w:t>4</w:t>
      </w:r>
      <w:r w:rsidR="004D116B">
        <w:fldChar w:fldCharType="end"/>
      </w:r>
      <w:r w:rsidR="004D116B">
        <w:t>.</w:t>
      </w:r>
    </w:p>
    <w:p w14:paraId="649A9F00" w14:textId="77777777" w:rsidR="00B23F54" w:rsidRDefault="00B23F54" w:rsidP="002B29D2">
      <w:pPr>
        <w:pStyle w:val="BodyText"/>
      </w:pPr>
    </w:p>
    <w:p w14:paraId="7A467883" w14:textId="360841D1" w:rsidR="00DA6773" w:rsidRDefault="007C21E1" w:rsidP="00DA6773">
      <w:pPr>
        <w:pStyle w:val="Caption"/>
      </w:pPr>
      <w:bookmarkStart w:id="70" w:name="_Ref89762965"/>
      <w:bookmarkStart w:id="71" w:name="_Toc90019589"/>
      <w:r>
        <w:t xml:space="preserve">Table </w:t>
      </w:r>
      <w:fldSimple w:instr=" STYLEREF 1 \s ">
        <w:r w:rsidR="00E405AF">
          <w:rPr>
            <w:noProof/>
          </w:rPr>
          <w:t>5</w:t>
        </w:r>
      </w:fldSimple>
      <w:r w:rsidR="00911AB3">
        <w:t>.</w:t>
      </w:r>
      <w:fldSimple w:instr=" SEQ Table \* ARABIC \s 1 ">
        <w:r w:rsidR="00E405AF">
          <w:rPr>
            <w:noProof/>
          </w:rPr>
          <w:t>4</w:t>
        </w:r>
      </w:fldSimple>
      <w:bookmarkEnd w:id="70"/>
      <w:r w:rsidR="00DA6773">
        <w:tab/>
      </w:r>
      <w:r w:rsidR="002A5C2E">
        <w:t>L</w:t>
      </w:r>
      <w:r w:rsidR="00DA6773">
        <w:t xml:space="preserve">eaders’ comments </w:t>
      </w:r>
      <w:r w:rsidR="002A5C2E">
        <w:t xml:space="preserve">on </w:t>
      </w:r>
      <w:r w:rsidR="00DA6773">
        <w:t>evaluation</w:t>
      </w:r>
      <w:bookmarkEnd w:id="71"/>
    </w:p>
    <w:tbl>
      <w:tblPr>
        <w:tblStyle w:val="Style3"/>
        <w:tblW w:w="0" w:type="auto"/>
        <w:tblLook w:val="04A0" w:firstRow="1" w:lastRow="0" w:firstColumn="1" w:lastColumn="0" w:noHBand="0" w:noVBand="1"/>
      </w:tblPr>
      <w:tblGrid>
        <w:gridCol w:w="1838"/>
        <w:gridCol w:w="7796"/>
      </w:tblGrid>
      <w:tr w:rsidR="00DA6773" w:rsidRPr="003A638C" w14:paraId="48893AC9" w14:textId="77777777" w:rsidTr="003A6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C55F7C" w14:textId="76867B8D" w:rsidR="002B29D2" w:rsidRPr="003A638C" w:rsidRDefault="00DA6773" w:rsidP="008D4D62">
            <w:pPr>
              <w:pStyle w:val="BodyText"/>
              <w:rPr>
                <w:b/>
                <w:bCs/>
                <w:color w:val="FFFFFF" w:themeColor="background1"/>
                <w:sz w:val="20"/>
                <w:szCs w:val="20"/>
              </w:rPr>
            </w:pPr>
            <w:r w:rsidRPr="003A638C">
              <w:rPr>
                <w:b/>
                <w:bCs/>
                <w:color w:val="FFFFFF" w:themeColor="background1"/>
                <w:sz w:val="20"/>
                <w:szCs w:val="20"/>
              </w:rPr>
              <w:t>Issue</w:t>
            </w:r>
          </w:p>
        </w:tc>
        <w:tc>
          <w:tcPr>
            <w:tcW w:w="7796" w:type="dxa"/>
          </w:tcPr>
          <w:p w14:paraId="48ED0943" w14:textId="5F521B4D" w:rsidR="002B29D2" w:rsidRPr="003A638C" w:rsidRDefault="00DA6773" w:rsidP="008D4D6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Leader comment</w:t>
            </w:r>
          </w:p>
        </w:tc>
      </w:tr>
      <w:tr w:rsidR="002B29D2" w:rsidRPr="003A638C" w14:paraId="08FE9927" w14:textId="77777777" w:rsidTr="003A6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A11CFE" w14:textId="31AE1C00" w:rsidR="002B29D2" w:rsidRPr="003A638C" w:rsidRDefault="002B29D2" w:rsidP="008D4D62">
            <w:pPr>
              <w:pStyle w:val="BodyText"/>
              <w:rPr>
                <w:sz w:val="20"/>
                <w:szCs w:val="20"/>
              </w:rPr>
            </w:pPr>
            <w:r w:rsidRPr="003A638C">
              <w:rPr>
                <w:sz w:val="20"/>
                <w:szCs w:val="20"/>
              </w:rPr>
              <w:t>Evaluation</w:t>
            </w:r>
            <w:r w:rsidR="00DA6773" w:rsidRPr="003A638C">
              <w:rPr>
                <w:sz w:val="20"/>
                <w:szCs w:val="20"/>
              </w:rPr>
              <w:t xml:space="preserve"> is under-resourced</w:t>
            </w:r>
          </w:p>
        </w:tc>
        <w:tc>
          <w:tcPr>
            <w:tcW w:w="7796" w:type="dxa"/>
          </w:tcPr>
          <w:p w14:paraId="4357F296" w14:textId="77777777" w:rsidR="00DA6773" w:rsidRPr="003A638C" w:rsidRDefault="00DA6773" w:rsidP="00DA6773">
            <w:pPr>
              <w:pStyle w:val="Quote"/>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A638C">
              <w:rPr>
                <w:sz w:val="20"/>
                <w:szCs w:val="20"/>
              </w:rPr>
              <w:t xml:space="preserve">We have developed </w:t>
            </w:r>
            <w:proofErr w:type="gramStart"/>
            <w:r w:rsidRPr="003A638C">
              <w:rPr>
                <w:sz w:val="20"/>
                <w:szCs w:val="20"/>
              </w:rPr>
              <w:t>a number of</w:t>
            </w:r>
            <w:proofErr w:type="gramEnd"/>
            <w:r w:rsidRPr="003A638C">
              <w:rPr>
                <w:sz w:val="20"/>
                <w:szCs w:val="20"/>
              </w:rPr>
              <w:t xml:space="preserve"> programs which we would like to evaluate properly if we had the resources to do so.</w:t>
            </w:r>
          </w:p>
          <w:p w14:paraId="20023531" w14:textId="77777777" w:rsidR="00DA6773" w:rsidRPr="003A638C" w:rsidRDefault="00DA6773" w:rsidP="00DA6773">
            <w:pPr>
              <w:pStyle w:val="Quote"/>
              <w:ind w:left="3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There is insufficient resourcing for evaluation. We self-fund this.</w:t>
            </w:r>
          </w:p>
          <w:p w14:paraId="66E20C4B" w14:textId="73200E37" w:rsidR="002B29D2" w:rsidRPr="003A638C" w:rsidRDefault="00DA6773" w:rsidP="00DA6773">
            <w:pPr>
              <w:pStyle w:val="Quote"/>
              <w:ind w:left="3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Monitoring </w:t>
            </w:r>
            <w:r w:rsidR="0061728C">
              <w:rPr>
                <w:sz w:val="20"/>
                <w:szCs w:val="20"/>
              </w:rPr>
              <w:t>and</w:t>
            </w:r>
            <w:r w:rsidR="0061728C" w:rsidRPr="003A638C">
              <w:rPr>
                <w:sz w:val="20"/>
                <w:szCs w:val="20"/>
              </w:rPr>
              <w:t xml:space="preserve"> </w:t>
            </w:r>
            <w:r w:rsidRPr="003A638C">
              <w:rPr>
                <w:sz w:val="20"/>
                <w:szCs w:val="20"/>
              </w:rPr>
              <w:t>evaluation requires an increasing amount of time to complete and there is no dedicated person or time to do this.  It is currently an additional task in a full diary.</w:t>
            </w:r>
          </w:p>
        </w:tc>
      </w:tr>
      <w:tr w:rsidR="002B29D2" w:rsidRPr="003A638C" w14:paraId="3B9FD209" w14:textId="77777777" w:rsidTr="003A6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4622F8" w14:textId="20575723" w:rsidR="002B29D2" w:rsidRPr="003A638C" w:rsidRDefault="00DA6773" w:rsidP="008D4D62">
            <w:pPr>
              <w:pStyle w:val="BodyText"/>
              <w:rPr>
                <w:sz w:val="20"/>
                <w:szCs w:val="20"/>
              </w:rPr>
            </w:pPr>
            <w:r w:rsidRPr="003A638C">
              <w:rPr>
                <w:sz w:val="20"/>
                <w:szCs w:val="20"/>
              </w:rPr>
              <w:t>Some</w:t>
            </w:r>
            <w:r w:rsidR="001016BB" w:rsidRPr="003A638C">
              <w:rPr>
                <w:sz w:val="20"/>
                <w:szCs w:val="20"/>
              </w:rPr>
              <w:t>, but not all</w:t>
            </w:r>
            <w:r w:rsidRPr="003A638C">
              <w:rPr>
                <w:sz w:val="20"/>
                <w:szCs w:val="20"/>
              </w:rPr>
              <w:t xml:space="preserve"> organisations can find ways to pay for evaluation</w:t>
            </w:r>
          </w:p>
        </w:tc>
        <w:tc>
          <w:tcPr>
            <w:tcW w:w="7796" w:type="dxa"/>
          </w:tcPr>
          <w:p w14:paraId="5FB8479A" w14:textId="4D698D14" w:rsidR="002B29D2" w:rsidRPr="003A638C" w:rsidRDefault="00DA6773" w:rsidP="00DA6773">
            <w:pPr>
              <w:pStyle w:val="Quote"/>
              <w:ind w:left="33"/>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We have used our own cash reserves to pay for evaluation. But we now put evaluation costs in proposals every time.  I guess again we have chosen to spend some of the grant funding on a CEO who is senior and has the skills to do a lot of these things as well as deliver our core programs. I don’t think that’s necessarily ideal it’s just how we make do with what we have.</w:t>
            </w:r>
          </w:p>
        </w:tc>
      </w:tr>
      <w:tr w:rsidR="002B29D2" w:rsidRPr="003A638C" w14:paraId="59C97402" w14:textId="77777777" w:rsidTr="003A6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497D1B" w14:textId="233B11C4" w:rsidR="002B29D2" w:rsidRPr="003A638C" w:rsidRDefault="00DA6773" w:rsidP="008D4D62">
            <w:pPr>
              <w:pStyle w:val="BodyText"/>
              <w:rPr>
                <w:sz w:val="20"/>
                <w:szCs w:val="20"/>
              </w:rPr>
            </w:pPr>
            <w:r w:rsidRPr="003A638C">
              <w:rPr>
                <w:sz w:val="20"/>
                <w:szCs w:val="20"/>
              </w:rPr>
              <w:t>Reporting generate</w:t>
            </w:r>
            <w:r w:rsidR="00E85163" w:rsidRPr="003A638C">
              <w:rPr>
                <w:sz w:val="20"/>
                <w:szCs w:val="20"/>
              </w:rPr>
              <w:t>s</w:t>
            </w:r>
            <w:r w:rsidRPr="003A638C">
              <w:rPr>
                <w:sz w:val="20"/>
                <w:szCs w:val="20"/>
              </w:rPr>
              <w:t xml:space="preserve"> costs</w:t>
            </w:r>
          </w:p>
        </w:tc>
        <w:tc>
          <w:tcPr>
            <w:tcW w:w="7796" w:type="dxa"/>
          </w:tcPr>
          <w:p w14:paraId="07516CD9" w14:textId="7E344B46" w:rsidR="002B29D2" w:rsidRPr="003A638C" w:rsidRDefault="00DA6773" w:rsidP="00DA6773">
            <w:pPr>
              <w:pStyle w:val="Quote"/>
              <w:ind w:left="3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Reporting is great but there is always something new requested which is outside of the scope of existing report formats - thus I feel we are always retracing our steps to identify statistics we did not collect at the time.</w:t>
            </w:r>
          </w:p>
        </w:tc>
      </w:tr>
    </w:tbl>
    <w:p w14:paraId="053AFCF6" w14:textId="77777777" w:rsidR="00554250" w:rsidRPr="00554250" w:rsidRDefault="00554250" w:rsidP="00554250">
      <w:pPr>
        <w:pStyle w:val="BodyText"/>
        <w:rPr>
          <w:sz w:val="18"/>
          <w:szCs w:val="18"/>
        </w:rPr>
      </w:pPr>
      <w:r w:rsidRPr="00554250">
        <w:rPr>
          <w:sz w:val="18"/>
          <w:szCs w:val="18"/>
        </w:rPr>
        <w:t>Source: ACT Service Costing Survey, 2021</w:t>
      </w:r>
    </w:p>
    <w:p w14:paraId="24170222" w14:textId="77777777" w:rsidR="002B29D2" w:rsidRDefault="002B29D2" w:rsidP="008D4D62">
      <w:pPr>
        <w:pStyle w:val="BodyText"/>
      </w:pPr>
    </w:p>
    <w:p w14:paraId="38D41DF1" w14:textId="097CD3F1" w:rsidR="008D4D62" w:rsidRDefault="008D4D62" w:rsidP="006E6C6C">
      <w:pPr>
        <w:pStyle w:val="Heading2"/>
      </w:pPr>
      <w:bookmarkStart w:id="72" w:name="_Ref87973215"/>
      <w:bookmarkStart w:id="73" w:name="_Toc88753135"/>
      <w:bookmarkStart w:id="74" w:name="_Toc90019564"/>
      <w:r>
        <w:lastRenderedPageBreak/>
        <w:t>Unquantified activities in funding agreements</w:t>
      </w:r>
      <w:bookmarkEnd w:id="72"/>
      <w:bookmarkEnd w:id="73"/>
      <w:bookmarkEnd w:id="74"/>
      <w:r>
        <w:t xml:space="preserve"> </w:t>
      </w:r>
    </w:p>
    <w:p w14:paraId="3C8D8AF5" w14:textId="0E134B80" w:rsidR="008D4D62" w:rsidRDefault="00DA6773" w:rsidP="00DA6773">
      <w:pPr>
        <w:pStyle w:val="BodyText"/>
      </w:pPr>
      <w:r>
        <w:t xml:space="preserve">As evident throughout Section </w:t>
      </w:r>
      <w:r>
        <w:fldChar w:fldCharType="begin"/>
      </w:r>
      <w:r>
        <w:instrText xml:space="preserve"> REF _Ref87972263 \r \h </w:instrText>
      </w:r>
      <w:r>
        <w:fldChar w:fldCharType="separate"/>
      </w:r>
      <w:r w:rsidR="00E405AF">
        <w:t>4</w:t>
      </w:r>
      <w:r>
        <w:fldChar w:fldCharType="end"/>
      </w:r>
      <w:r w:rsidR="008D4D62">
        <w:t xml:space="preserve">, </w:t>
      </w:r>
      <w:r>
        <w:t xml:space="preserve">there are some activities </w:t>
      </w:r>
      <w:r w:rsidR="001016BB">
        <w:t xml:space="preserve">community organisations </w:t>
      </w:r>
      <w:r w:rsidR="007E60DD">
        <w:t xml:space="preserve">consider to be </w:t>
      </w:r>
      <w:r w:rsidR="001016BB">
        <w:t>needed and expected, but which are not properly funded</w:t>
      </w:r>
      <w:r>
        <w:t>. Analysis of funding agreements between the ACT Government and community organisations confirm</w:t>
      </w:r>
      <w:r w:rsidR="001016BB">
        <w:t>ed</w:t>
      </w:r>
      <w:r>
        <w:t xml:space="preserve"> there are ‘grey areas’ that require clarification. Some </w:t>
      </w:r>
      <w:r w:rsidR="008D4D62">
        <w:t xml:space="preserve">activities specified in funding agreements are not clearly quantified, which risks </w:t>
      </w:r>
      <w:r>
        <w:t>exacerbating</w:t>
      </w:r>
      <w:r w:rsidR="008D4D62">
        <w:t xml:space="preserve"> costs for organisations. Analysis of past CSD agreements </w:t>
      </w:r>
      <w:r>
        <w:t>highlighted</w:t>
      </w:r>
      <w:r w:rsidR="008D4D62">
        <w:t xml:space="preserve"> activities </w:t>
      </w:r>
      <w:r>
        <w:t xml:space="preserve">that </w:t>
      </w:r>
      <w:r w:rsidR="008D4D62">
        <w:t>could be more clearly specified</w:t>
      </w:r>
      <w:r>
        <w:t>,</w:t>
      </w:r>
      <w:r w:rsidR="008D4D62">
        <w:t xml:space="preserve"> </w:t>
      </w:r>
      <w:proofErr w:type="gramStart"/>
      <w:r w:rsidR="008D4D62">
        <w:t>includ</w:t>
      </w:r>
      <w:r>
        <w:t>ing</w:t>
      </w:r>
      <w:r w:rsidR="008D4D62">
        <w:t>:</w:t>
      </w:r>
      <w:proofErr w:type="gramEnd"/>
      <w:r w:rsidR="008D4D62">
        <w:t xml:space="preserve"> embedding inclusive practices in services; employing appropriately qualified and skilled staff; enabling staff to work effectively; participating in program governance, workforce development and training; participating in business planning and service improvement discussions, and build</w:t>
      </w:r>
      <w:r w:rsidR="001016BB">
        <w:t>ing</w:t>
      </w:r>
      <w:r w:rsidR="008D4D62">
        <w:t xml:space="preserve"> operational capacity and improv</w:t>
      </w:r>
      <w:r w:rsidR="001016BB">
        <w:t>ing</w:t>
      </w:r>
      <w:r w:rsidR="008D4D62">
        <w:t xml:space="preserve"> policy and program design. </w:t>
      </w:r>
      <w:r w:rsidR="001016BB">
        <w:t>T</w:t>
      </w:r>
      <w:r w:rsidR="008D4D62">
        <w:t xml:space="preserve">hese activities are not quantified in agreements in terms of outputs or hours, </w:t>
      </w:r>
      <w:r w:rsidR="001016BB">
        <w:t xml:space="preserve">and as a result, likely </w:t>
      </w:r>
      <w:r w:rsidR="008D4D62">
        <w:t xml:space="preserve">costs are </w:t>
      </w:r>
      <w:proofErr w:type="gramStart"/>
      <w:r w:rsidR="008D4D62">
        <w:t>unclear</w:t>
      </w:r>
      <w:proofErr w:type="gramEnd"/>
      <w:r w:rsidR="008D4D62">
        <w:t xml:space="preserve"> and demands may be difficult for organisations to </w:t>
      </w:r>
      <w:r w:rsidR="001016BB">
        <w:t xml:space="preserve">predict and </w:t>
      </w:r>
      <w:r w:rsidR="008D4D62">
        <w:t xml:space="preserve">manage. </w:t>
      </w:r>
    </w:p>
    <w:p w14:paraId="1D189BC4" w14:textId="5DED0FED" w:rsidR="008D4D62" w:rsidRDefault="001016BB" w:rsidP="008D4D62">
      <w:pPr>
        <w:pStyle w:val="BodyText"/>
      </w:pPr>
      <w:r>
        <w:t>Review of funding agreements also showed that</w:t>
      </w:r>
      <w:r w:rsidR="008D4D62" w:rsidRPr="007B631E">
        <w:t xml:space="preserve"> </w:t>
      </w:r>
      <w:r>
        <w:t>s</w:t>
      </w:r>
      <w:r w:rsidR="008D4D62">
        <w:t xml:space="preserve">ome include arrangements to cover cost increases, such as the ability for organisations to request in writing a joint review of services, which the </w:t>
      </w:r>
      <w:r>
        <w:t xml:space="preserve">ACT Government </w:t>
      </w:r>
      <w:r w:rsidR="008D4D62">
        <w:t xml:space="preserve">will give due consideration to, and may agree to vary outputs or performance requirements.  </w:t>
      </w:r>
      <w:r w:rsidR="00434C46">
        <w:t xml:space="preserve">Some agreements also specify a level of variation to funded activity allowed. </w:t>
      </w:r>
      <w:r w:rsidR="0061728C">
        <w:t xml:space="preserve">However, the extent to which </w:t>
      </w:r>
      <w:r w:rsidR="00434C46">
        <w:t xml:space="preserve">either of these forms of </w:t>
      </w:r>
      <w:r w:rsidR="0061728C">
        <w:t xml:space="preserve">flexibility </w:t>
      </w:r>
      <w:r w:rsidR="00434C46">
        <w:t xml:space="preserve">are </w:t>
      </w:r>
      <w:r w:rsidR="0061728C">
        <w:t xml:space="preserve">used, and whether </w:t>
      </w:r>
      <w:r w:rsidR="00434C46">
        <w:t xml:space="preserve">they </w:t>
      </w:r>
      <w:r w:rsidR="0061728C">
        <w:t>meet the s</w:t>
      </w:r>
      <w:r w:rsidR="007B3510">
        <w:t>e</w:t>
      </w:r>
      <w:r w:rsidR="0061728C">
        <w:t>ctor’s needs, is not clear.</w:t>
      </w:r>
      <w:r w:rsidR="008D4D62">
        <w:t xml:space="preserve">, </w:t>
      </w:r>
      <w:r w:rsidR="00434C46">
        <w:t xml:space="preserve">Another form of flexibility relates to </w:t>
      </w:r>
      <w:r w:rsidR="008D4D62">
        <w:t xml:space="preserve">processes for repaying any unacquitted funds. </w:t>
      </w:r>
      <w:r>
        <w:t>Consultation with D</w:t>
      </w:r>
      <w:r w:rsidR="008D4D62">
        <w:t>irectorate</w:t>
      </w:r>
      <w:r>
        <w:t xml:space="preserve"> representatives</w:t>
      </w:r>
      <w:r w:rsidR="008D4D62">
        <w:t xml:space="preserve"> indicated that </w:t>
      </w:r>
      <w:r w:rsidR="00434C46">
        <w:t xml:space="preserve">remaining funds after </w:t>
      </w:r>
      <w:r w:rsidR="008D4D62">
        <w:t xml:space="preserve">small underspends may be </w:t>
      </w:r>
      <w:r w:rsidR="00434C46">
        <w:t xml:space="preserve">retained </w:t>
      </w:r>
      <w:r w:rsidR="008D4D62">
        <w:t>(</w:t>
      </w:r>
      <w:proofErr w:type="gramStart"/>
      <w:r w:rsidR="008D4D62">
        <w:t>e.g.</w:t>
      </w:r>
      <w:proofErr w:type="gramEnd"/>
      <w:r w:rsidR="008D4D62">
        <w:t xml:space="preserve"> &lt;10%), </w:t>
      </w:r>
      <w:r>
        <w:t>with</w:t>
      </w:r>
      <w:r w:rsidR="008D4D62">
        <w:t xml:space="preserve"> underspends beyond these levels considered to be relatively rare. </w:t>
      </w:r>
      <w:r w:rsidR="00AA295C">
        <w:t xml:space="preserve">This appears to provide some flexibility to </w:t>
      </w:r>
      <w:proofErr w:type="gramStart"/>
      <w:r w:rsidR="00AA295C">
        <w:t xml:space="preserve">organisations, </w:t>
      </w:r>
      <w:r w:rsidR="00642BD8">
        <w:t>and</w:t>
      </w:r>
      <w:proofErr w:type="gramEnd"/>
      <w:r w:rsidR="00642BD8">
        <w:t xml:space="preserve"> responds to the perspective (</w:t>
      </w:r>
      <w:r w:rsidR="003C7BBC">
        <w:t>expressed</w:t>
      </w:r>
      <w:r w:rsidR="00642BD8">
        <w:t xml:space="preserve"> in the worker forum) that some surplus should be able to be held across years. H</w:t>
      </w:r>
      <w:r w:rsidR="00AA295C">
        <w:t xml:space="preserve">owever, </w:t>
      </w:r>
      <w:r w:rsidR="008D4D62">
        <w:t xml:space="preserve">processes </w:t>
      </w:r>
      <w:r w:rsidR="00642BD8">
        <w:t xml:space="preserve">relating to any surplus or underspend do not appear to be </w:t>
      </w:r>
      <w:r w:rsidR="008D4D62">
        <w:t>consistent across government</w:t>
      </w:r>
      <w:r w:rsidR="004D5B9B" w:rsidRPr="004D5B9B">
        <w:t xml:space="preserve">. Among </w:t>
      </w:r>
      <w:r w:rsidR="004D5B9B">
        <w:t xml:space="preserve">community sector leaders, underspending did not </w:t>
      </w:r>
      <w:r w:rsidR="00AA295C">
        <w:t xml:space="preserve">emerge as an </w:t>
      </w:r>
      <w:r w:rsidR="004D5B9B">
        <w:t xml:space="preserve">issue, </w:t>
      </w:r>
      <w:r w:rsidR="00AA295C">
        <w:t xml:space="preserve">other than </w:t>
      </w:r>
      <w:r w:rsidR="004D5B9B">
        <w:t>a couple of leaders mention</w:t>
      </w:r>
      <w:r w:rsidR="00AA295C">
        <w:t>ing</w:t>
      </w:r>
      <w:r w:rsidR="004D5B9B">
        <w:t xml:space="preserve"> that difficulties recruiting staff can result in un</w:t>
      </w:r>
      <w:r w:rsidR="00AA295C">
        <w:t>der</w:t>
      </w:r>
      <w:r w:rsidR="004D5B9B">
        <w:t xml:space="preserve">spent funds. </w:t>
      </w:r>
      <w:r w:rsidR="00434C46">
        <w:t>Greater consistency in the inclusion of these flexibility measures in funding agreements would be helpful. However</w:t>
      </w:r>
      <w:r w:rsidR="0061728C">
        <w:t>, while flexibility is welcomed, it cannot fully address the underlying problem of insufficient level</w:t>
      </w:r>
      <w:r w:rsidR="003D342A">
        <w:t>s</w:t>
      </w:r>
      <w:r w:rsidR="0061728C">
        <w:t xml:space="preserve"> of funding. </w:t>
      </w:r>
    </w:p>
    <w:p w14:paraId="5BCE52AD" w14:textId="786C4051" w:rsidR="008D4D62" w:rsidRPr="00905774" w:rsidRDefault="00C56E6E" w:rsidP="00FE01CA">
      <w:pPr>
        <w:pStyle w:val="Heading1"/>
        <w:numPr>
          <w:ilvl w:val="0"/>
          <w:numId w:val="22"/>
        </w:numPr>
        <w:ind w:left="425" w:hanging="425"/>
      </w:pPr>
      <w:bookmarkStart w:id="75" w:name="_Ref87973104"/>
      <w:bookmarkStart w:id="76" w:name="_Ref88750944"/>
      <w:bookmarkStart w:id="77" w:name="_Toc90019565"/>
      <w:r>
        <w:lastRenderedPageBreak/>
        <w:t>Current r</w:t>
      </w:r>
      <w:r w:rsidR="00ED2BAD" w:rsidRPr="00905774">
        <w:t xml:space="preserve">esponses to </w:t>
      </w:r>
      <w:bookmarkEnd w:id="75"/>
      <w:r w:rsidR="00633630">
        <w:t>resource</w:t>
      </w:r>
      <w:r w:rsidR="00ED2BAD" w:rsidRPr="00905774">
        <w:t xml:space="preserve"> </w:t>
      </w:r>
      <w:r w:rsidR="00F23672" w:rsidRPr="00905774">
        <w:t>pressures</w:t>
      </w:r>
      <w:bookmarkEnd w:id="76"/>
      <w:bookmarkEnd w:id="77"/>
    </w:p>
    <w:p w14:paraId="7DB9920E" w14:textId="5F333B49" w:rsidR="00ED00A4" w:rsidRDefault="00ED2BAD" w:rsidP="00D626A1">
      <w:pPr>
        <w:pStyle w:val="BodyText"/>
      </w:pPr>
      <w:r>
        <w:t xml:space="preserve">Government and </w:t>
      </w:r>
      <w:r w:rsidR="00ED00A4">
        <w:t xml:space="preserve">community organisations </w:t>
      </w:r>
      <w:r w:rsidR="003875D9" w:rsidRPr="008E045A">
        <w:t xml:space="preserve">use a wide range of strategies to manage </w:t>
      </w:r>
      <w:r w:rsidR="004324E3">
        <w:t xml:space="preserve">and respond to the </w:t>
      </w:r>
      <w:r>
        <w:t>pressures</w:t>
      </w:r>
      <w:r w:rsidR="004324E3">
        <w:t xml:space="preserve"> of rising demand and rising costs</w:t>
      </w:r>
      <w:r>
        <w:t xml:space="preserve">. </w:t>
      </w:r>
      <w:r w:rsidR="00966D65">
        <w:t>I</w:t>
      </w:r>
      <w:r w:rsidR="00ED00A4">
        <w:t>ndexation</w:t>
      </w:r>
      <w:r w:rsidR="00966D65">
        <w:t xml:space="preserve"> is key</w:t>
      </w:r>
      <w:r w:rsidR="00E228A7">
        <w:t>: it helps</w:t>
      </w:r>
      <w:r w:rsidR="00966D65">
        <w:t xml:space="preserve"> government to </w:t>
      </w:r>
      <w:r w:rsidR="00ED00A4">
        <w:t xml:space="preserve">maintain </w:t>
      </w:r>
      <w:r>
        <w:t xml:space="preserve">the real value of funding, and the </w:t>
      </w:r>
      <w:r w:rsidR="00ED00A4">
        <w:t xml:space="preserve">sector’s </w:t>
      </w:r>
      <w:r>
        <w:t>purchasing power</w:t>
      </w:r>
      <w:r w:rsidR="00966D65">
        <w:t>,</w:t>
      </w:r>
      <w:r>
        <w:t xml:space="preserve"> over time</w:t>
      </w:r>
      <w:r w:rsidR="00F426C7">
        <w:t xml:space="preserve"> (Section </w:t>
      </w:r>
      <w:r w:rsidR="00E228A7">
        <w:fldChar w:fldCharType="begin"/>
      </w:r>
      <w:r w:rsidR="00E228A7">
        <w:instrText xml:space="preserve"> REF _Ref87953016 \r \h </w:instrText>
      </w:r>
      <w:r w:rsidR="00E228A7">
        <w:fldChar w:fldCharType="separate"/>
      </w:r>
      <w:r w:rsidR="00E405AF">
        <w:t>6.1</w:t>
      </w:r>
      <w:r w:rsidR="00E228A7">
        <w:fldChar w:fldCharType="end"/>
      </w:r>
      <w:r w:rsidR="00F426C7">
        <w:t>)</w:t>
      </w:r>
      <w:r>
        <w:t xml:space="preserve">. </w:t>
      </w:r>
      <w:r w:rsidR="00966D65">
        <w:t>O</w:t>
      </w:r>
      <w:r w:rsidR="003A0C2D">
        <w:t xml:space="preserve">rganisations </w:t>
      </w:r>
      <w:r w:rsidR="00916C79">
        <w:t xml:space="preserve">explained that they </w:t>
      </w:r>
      <w:r w:rsidR="003A0C2D">
        <w:t xml:space="preserve">attempt to reduce the impacts of any shortfalls on clients, communities and staff, </w:t>
      </w:r>
      <w:r w:rsidR="00966D65">
        <w:t xml:space="preserve">but </w:t>
      </w:r>
      <w:r w:rsidR="003A0C2D">
        <w:t>resource pressures</w:t>
      </w:r>
      <w:r w:rsidR="00CF2EAD">
        <w:t xml:space="preserve"> inevitably </w:t>
      </w:r>
      <w:r w:rsidR="00966D65">
        <w:t xml:space="preserve">impact on their </w:t>
      </w:r>
      <w:r w:rsidR="00ED00A4">
        <w:t>decisions about tendering</w:t>
      </w:r>
      <w:r w:rsidR="003A0C2D">
        <w:t xml:space="preserve"> with the </w:t>
      </w:r>
      <w:r w:rsidR="00CF2EAD">
        <w:t>ACT Government</w:t>
      </w:r>
      <w:r w:rsidR="00F426C7">
        <w:t xml:space="preserve"> (Section </w:t>
      </w:r>
      <w:r w:rsidR="00E228A7">
        <w:fldChar w:fldCharType="begin"/>
      </w:r>
      <w:r w:rsidR="00E228A7">
        <w:instrText xml:space="preserve"> REF _Ref88749899 \r \h </w:instrText>
      </w:r>
      <w:r w:rsidR="00E228A7">
        <w:fldChar w:fldCharType="separate"/>
      </w:r>
      <w:r w:rsidR="00E405AF">
        <w:t>6.3</w:t>
      </w:r>
      <w:r w:rsidR="00E228A7">
        <w:fldChar w:fldCharType="end"/>
      </w:r>
      <w:r w:rsidR="00F426C7">
        <w:t>)</w:t>
      </w:r>
      <w:r w:rsidR="00CF2EAD">
        <w:t>, and how they manage their staff</w:t>
      </w:r>
      <w:r w:rsidR="00B43111">
        <w:t xml:space="preserve"> and service delivery</w:t>
      </w:r>
      <w:r w:rsidR="00CF2EAD">
        <w:t xml:space="preserve"> </w:t>
      </w:r>
      <w:r w:rsidR="00F426C7">
        <w:t xml:space="preserve">(Section </w:t>
      </w:r>
      <w:r w:rsidR="00F426C7">
        <w:fldChar w:fldCharType="begin"/>
      </w:r>
      <w:r w:rsidR="00F426C7">
        <w:instrText xml:space="preserve"> REF _Ref88121321 \r \h </w:instrText>
      </w:r>
      <w:r w:rsidR="00F426C7">
        <w:fldChar w:fldCharType="separate"/>
      </w:r>
      <w:r w:rsidR="00E405AF">
        <w:t>6.4</w:t>
      </w:r>
      <w:r w:rsidR="00F426C7">
        <w:fldChar w:fldCharType="end"/>
      </w:r>
      <w:r w:rsidR="00F426C7">
        <w:t xml:space="preserve">) </w:t>
      </w:r>
      <w:r w:rsidR="00CF2EAD">
        <w:t>and finances</w:t>
      </w:r>
      <w:r w:rsidR="00F426C7">
        <w:t xml:space="preserve"> (Section </w:t>
      </w:r>
      <w:r w:rsidR="00E228A7">
        <w:fldChar w:fldCharType="begin"/>
      </w:r>
      <w:r w:rsidR="00E228A7">
        <w:instrText xml:space="preserve"> REF _Ref88121323 \r \h </w:instrText>
      </w:r>
      <w:r w:rsidR="00E228A7">
        <w:fldChar w:fldCharType="separate"/>
      </w:r>
      <w:r w:rsidR="00E405AF">
        <w:t>6.5</w:t>
      </w:r>
      <w:r w:rsidR="00E228A7">
        <w:fldChar w:fldCharType="end"/>
      </w:r>
      <w:r w:rsidR="00F426C7">
        <w:t>)</w:t>
      </w:r>
      <w:r w:rsidR="003A0C2D">
        <w:t>.</w:t>
      </w:r>
    </w:p>
    <w:p w14:paraId="56A0AB20" w14:textId="426BC19D" w:rsidR="00ED2BAD" w:rsidRPr="00461223" w:rsidRDefault="00ED2BAD" w:rsidP="006E6C6C">
      <w:pPr>
        <w:pStyle w:val="Heading2"/>
      </w:pPr>
      <w:bookmarkStart w:id="78" w:name="_Ref87953016"/>
      <w:bookmarkStart w:id="79" w:name="_Toc88753136"/>
      <w:bookmarkStart w:id="80" w:name="_Toc90019566"/>
      <w:r w:rsidRPr="00461223">
        <w:t>Indexation</w:t>
      </w:r>
      <w:bookmarkEnd w:id="78"/>
      <w:bookmarkEnd w:id="79"/>
      <w:bookmarkEnd w:id="80"/>
      <w:r w:rsidRPr="00461223">
        <w:t xml:space="preserve"> </w:t>
      </w:r>
    </w:p>
    <w:p w14:paraId="6CD1C403" w14:textId="70210D36" w:rsidR="00ED2BAD" w:rsidRDefault="004324E3" w:rsidP="00F426C7">
      <w:pPr>
        <w:pStyle w:val="BodyText"/>
      </w:pPr>
      <w:r>
        <w:t xml:space="preserve">Indexation </w:t>
      </w:r>
      <w:r w:rsidR="00966D65">
        <w:t xml:space="preserve">is a strategy used by government to maintain </w:t>
      </w:r>
      <w:r>
        <w:t>the value of funding</w:t>
      </w:r>
      <w:r w:rsidR="00F426C7">
        <w:t xml:space="preserve">. Usually, multi-year </w:t>
      </w:r>
      <w:r w:rsidR="00ED2BAD">
        <w:t xml:space="preserve">contracts are indexed annually. This </w:t>
      </w:r>
      <w:r w:rsidR="00966D65">
        <w:t xml:space="preserve">helps funded organisations </w:t>
      </w:r>
      <w:r w:rsidR="00ED2BAD">
        <w:t>meet increase</w:t>
      </w:r>
      <w:r w:rsidR="00966D65">
        <w:t xml:space="preserve">s in </w:t>
      </w:r>
      <w:r w:rsidR="00ED2BAD">
        <w:t xml:space="preserve">wage-related and administrative costs. Each year, </w:t>
      </w:r>
      <w:r w:rsidR="00F426C7">
        <w:t>indexation is</w:t>
      </w:r>
      <w:r w:rsidR="00ED2BAD">
        <w:t xml:space="preserve"> calculated using a formula set by </w:t>
      </w:r>
      <w:r w:rsidR="00EE7480">
        <w:t xml:space="preserve">ACT </w:t>
      </w:r>
      <w:r w:rsidR="00ED2BAD">
        <w:t>Treasury and the rate is announced in</w:t>
      </w:r>
      <w:r w:rsidR="00966D65">
        <w:t xml:space="preserve"> ACT</w:t>
      </w:r>
      <w:r w:rsidR="00ED2BAD">
        <w:t xml:space="preserve"> Budget documents (Budget Paper No. 3)</w:t>
      </w:r>
      <w:r w:rsidR="007B3510">
        <w:rPr>
          <w:rStyle w:val="FootnoteReference"/>
        </w:rPr>
        <w:footnoteReference w:id="67"/>
      </w:r>
      <w:r w:rsidR="00ED2BAD">
        <w:t xml:space="preserve">: </w:t>
      </w:r>
    </w:p>
    <w:p w14:paraId="46599BAE" w14:textId="77777777" w:rsidR="00ED2BAD" w:rsidRDefault="00ED2BAD" w:rsidP="00ED2BAD">
      <w:pPr>
        <w:pStyle w:val="BodyText"/>
      </w:pPr>
      <w:r w:rsidRPr="00D16581">
        <w:rPr>
          <w:i/>
          <w:iCs/>
        </w:rPr>
        <w:t>Community Sector Funding Rate = (Wage Price Index × 0.8) + (Consumer Price Index × 0.2).</w:t>
      </w:r>
    </w:p>
    <w:p w14:paraId="76B62DF6" w14:textId="174CCDBA" w:rsidR="00ED2BAD" w:rsidRDefault="00171CCF" w:rsidP="00ED2BAD">
      <w:pPr>
        <w:pStyle w:val="BodyText"/>
      </w:pPr>
      <w:r>
        <w:t xml:space="preserve">Where </w:t>
      </w:r>
      <w:r w:rsidR="00ED2BAD" w:rsidRPr="00B70BF7">
        <w:t xml:space="preserve">indexation </w:t>
      </w:r>
      <w:r>
        <w:t xml:space="preserve">is inadequate, it will deplete </w:t>
      </w:r>
      <w:r w:rsidR="00ED2BAD" w:rsidRPr="00B70BF7">
        <w:t>the real value of funding</w:t>
      </w:r>
      <w:r w:rsidR="00F426C7">
        <w:t>, and sector capacity</w:t>
      </w:r>
      <w:r w:rsidR="00ED2BAD">
        <w:t>. Indexation rates for ACT-funded services for the past 15 years are in</w:t>
      </w:r>
      <w:r w:rsidR="00905774">
        <w:t xml:space="preserve"> </w:t>
      </w:r>
      <w:r w:rsidR="00905774">
        <w:fldChar w:fldCharType="begin"/>
      </w:r>
      <w:r w:rsidR="00905774">
        <w:instrText xml:space="preserve"> REF _Ref88496285 \h </w:instrText>
      </w:r>
      <w:r w:rsidR="00905774">
        <w:fldChar w:fldCharType="separate"/>
      </w:r>
      <w:r w:rsidR="00E405AF">
        <w:t xml:space="preserve">Figure </w:t>
      </w:r>
      <w:r w:rsidR="00E405AF">
        <w:rPr>
          <w:noProof/>
        </w:rPr>
        <w:t>6</w:t>
      </w:r>
      <w:r w:rsidR="00E405AF">
        <w:t>.</w:t>
      </w:r>
      <w:r w:rsidR="00E405AF">
        <w:rPr>
          <w:noProof/>
        </w:rPr>
        <w:t>1</w:t>
      </w:r>
      <w:r w:rsidR="00905774">
        <w:fldChar w:fldCharType="end"/>
      </w:r>
      <w:r w:rsidR="00ED2BAD">
        <w:t>. Th</w:t>
      </w:r>
      <w:r>
        <w:t xml:space="preserve">rough this period, </w:t>
      </w:r>
      <w:r w:rsidR="00966D65">
        <w:t>the indexation rate</w:t>
      </w:r>
      <w:r w:rsidR="00C56E6E">
        <w:t>, calculated using this formula,</w:t>
      </w:r>
      <w:r w:rsidR="00966D65">
        <w:t xml:space="preserve"> has fallen</w:t>
      </w:r>
      <w:r w:rsidR="00C56E6E">
        <w:t>.</w:t>
      </w:r>
      <w:r w:rsidR="00C56E6E">
        <w:rPr>
          <w:rStyle w:val="FootnoteReference"/>
        </w:rPr>
        <w:footnoteReference w:id="68"/>
      </w:r>
      <w:r w:rsidR="00C56E6E">
        <w:t xml:space="preserve"> I</w:t>
      </w:r>
      <w:r w:rsidR="00ED2BAD">
        <w:t xml:space="preserve">ndexation rates for ACT services have been relatively low in recent years. In 2020-21, the </w:t>
      </w:r>
      <w:r w:rsidR="001B592E">
        <w:t xml:space="preserve">Community Sector Funding Rate resulted in a level of indexation which was low in the </w:t>
      </w:r>
      <w:r w:rsidR="00ED2BAD">
        <w:t xml:space="preserve">ACT </w:t>
      </w:r>
      <w:r w:rsidR="001B592E">
        <w:t xml:space="preserve">compared with </w:t>
      </w:r>
      <w:r w:rsidR="00ED2BAD">
        <w:t>other jurisdictions (</w:t>
      </w:r>
      <w:r w:rsidR="00FE01CA">
        <w:fldChar w:fldCharType="begin"/>
      </w:r>
      <w:r w:rsidR="00FE01CA">
        <w:instrText xml:space="preserve"> REF _Ref88811057 \h </w:instrText>
      </w:r>
      <w:r w:rsidR="00FE01CA">
        <w:fldChar w:fldCharType="separate"/>
      </w:r>
      <w:r w:rsidR="00E405AF">
        <w:t xml:space="preserve">Table C. </w:t>
      </w:r>
      <w:r w:rsidR="00E405AF">
        <w:rPr>
          <w:noProof/>
        </w:rPr>
        <w:t>4</w:t>
      </w:r>
      <w:r w:rsidR="00FE01CA">
        <w:fldChar w:fldCharType="end"/>
      </w:r>
      <w:r w:rsidR="00ED2BAD">
        <w:t xml:space="preserve">). </w:t>
      </w:r>
      <w:r w:rsidR="001B592E">
        <w:t xml:space="preserve">Indexation has been low through a period in which the community sector has experienced </w:t>
      </w:r>
      <w:r w:rsidR="00ED2BAD">
        <w:t>increased demand and costs</w:t>
      </w:r>
      <w:r w:rsidR="00916C79">
        <w:t xml:space="preserve"> </w:t>
      </w:r>
      <w:r w:rsidR="00ED2BAD">
        <w:t>following the impact of the 2019-20 bushfire season and the COVID-19 pandemic</w:t>
      </w:r>
      <w:r w:rsidR="00C84954">
        <w:t>.</w:t>
      </w:r>
      <w:r w:rsidR="001B592E">
        <w:rPr>
          <w:rStyle w:val="FootnoteReference"/>
        </w:rPr>
        <w:footnoteReference w:id="69"/>
      </w:r>
      <w:r w:rsidR="00ED2BAD">
        <w:t xml:space="preserve"> </w:t>
      </w:r>
      <w:r w:rsidR="007506E7">
        <w:t xml:space="preserve">In interviews and in the survey, sector </w:t>
      </w:r>
      <w:r w:rsidR="007C79AC">
        <w:t>representatives reported</w:t>
      </w:r>
      <w:r w:rsidR="00916C79">
        <w:t xml:space="preserve"> </w:t>
      </w:r>
      <w:r>
        <w:t xml:space="preserve">that indexation has </w:t>
      </w:r>
      <w:r w:rsidR="00916C79">
        <w:t xml:space="preserve">been insufficient to cover </w:t>
      </w:r>
      <w:r>
        <w:t xml:space="preserve">the </w:t>
      </w:r>
      <w:r w:rsidR="00ED2BAD">
        <w:t xml:space="preserve">rising rents </w:t>
      </w:r>
      <w:r w:rsidR="00F84434">
        <w:t xml:space="preserve">in the ACT, </w:t>
      </w:r>
      <w:r w:rsidR="00916C79">
        <w:t xml:space="preserve">and </w:t>
      </w:r>
      <w:r w:rsidR="00ED2BAD">
        <w:t>increased wage</w:t>
      </w:r>
      <w:r>
        <w:t xml:space="preserve"> costs</w:t>
      </w:r>
      <w:r w:rsidR="007506E7">
        <w:t xml:space="preserve">. </w:t>
      </w:r>
      <w:r w:rsidR="00E63837">
        <w:fldChar w:fldCharType="begin"/>
      </w:r>
      <w:r w:rsidR="00E63837">
        <w:instrText xml:space="preserve"> REF _Ref89756563 \h </w:instrText>
      </w:r>
      <w:r w:rsidR="00E63837">
        <w:fldChar w:fldCharType="separate"/>
      </w:r>
      <w:r w:rsidR="00E405AF">
        <w:t xml:space="preserve">Figure C. </w:t>
      </w:r>
      <w:r w:rsidR="00E405AF">
        <w:rPr>
          <w:noProof/>
        </w:rPr>
        <w:t>8</w:t>
      </w:r>
      <w:r w:rsidR="00E63837">
        <w:fldChar w:fldCharType="end"/>
      </w:r>
      <w:r w:rsidR="00E63837">
        <w:t xml:space="preserve"> shows th</w:t>
      </w:r>
      <w:r w:rsidR="008779AB">
        <w:t>at wage increases</w:t>
      </w:r>
      <w:r w:rsidR="00E63837">
        <w:t xml:space="preserve"> </w:t>
      </w:r>
      <w:r w:rsidR="008779AB">
        <w:t>resulting from the Fair Work Commission’s Annual Wage reviews have been higher than the Community Sector Funding Rate for four of the last seven years</w:t>
      </w:r>
      <w:r w:rsidR="00026AF3">
        <w:t>, and there was a substantial gap in 2017 and 2018, when wage increases were 1.5 percentage points higher than indexation</w:t>
      </w:r>
      <w:r w:rsidR="00ED2BAD">
        <w:t xml:space="preserve">.  </w:t>
      </w:r>
      <w:r w:rsidR="00F84434">
        <w:t>O</w:t>
      </w:r>
      <w:r w:rsidR="00ED2BAD">
        <w:t xml:space="preserve">rganisations engaged with the ACT government may also be impacted by inadequate indexation </w:t>
      </w:r>
      <w:r>
        <w:t xml:space="preserve">in their </w:t>
      </w:r>
      <w:r w:rsidR="00ED2BAD">
        <w:t>Australian Government funding.</w:t>
      </w:r>
      <w:r w:rsidR="00ED2BAD">
        <w:rPr>
          <w:rStyle w:val="FootnoteReference"/>
        </w:rPr>
        <w:footnoteReference w:id="70"/>
      </w:r>
      <w:r w:rsidR="00ED2BAD">
        <w:t xml:space="preserve"> </w:t>
      </w:r>
    </w:p>
    <w:p w14:paraId="460E28B5" w14:textId="4BE98A13" w:rsidR="00ED2BAD" w:rsidRDefault="00905774" w:rsidP="00905774">
      <w:pPr>
        <w:pStyle w:val="Caption"/>
      </w:pPr>
      <w:bookmarkStart w:id="81" w:name="_Ref88496285"/>
      <w:bookmarkStart w:id="82" w:name="_Toc90019597"/>
      <w:r>
        <w:lastRenderedPageBreak/>
        <w:t xml:space="preserve">Figure </w:t>
      </w:r>
      <w:fldSimple w:instr=" STYLEREF 1 \s ">
        <w:r w:rsidR="00E405AF">
          <w:rPr>
            <w:noProof/>
          </w:rPr>
          <w:t>6</w:t>
        </w:r>
      </w:fldSimple>
      <w:r w:rsidR="005A1A69">
        <w:t>.</w:t>
      </w:r>
      <w:fldSimple w:instr=" SEQ Figure \* ARABIC \s 1 ">
        <w:r w:rsidR="00E405AF">
          <w:rPr>
            <w:noProof/>
          </w:rPr>
          <w:t>1</w:t>
        </w:r>
      </w:fldSimple>
      <w:bookmarkEnd w:id="81"/>
      <w:r w:rsidR="00ED2BAD">
        <w:tab/>
        <w:t>Indexation rates from 2007-08 to 2021-22 (%)</w:t>
      </w:r>
      <w:bookmarkEnd w:id="82"/>
    </w:p>
    <w:p w14:paraId="283C88CA" w14:textId="77777777" w:rsidR="00ED2BAD" w:rsidRPr="004D5D8A" w:rsidRDefault="00ED2BAD" w:rsidP="00ED2BAD">
      <w:pPr>
        <w:pStyle w:val="BodyText"/>
        <w:rPr>
          <w:sz w:val="18"/>
          <w:szCs w:val="18"/>
        </w:rPr>
      </w:pPr>
      <w:r>
        <w:rPr>
          <w:noProof/>
        </w:rPr>
        <w:drawing>
          <wp:inline distT="0" distB="0" distL="0" distR="0" wp14:anchorId="637FECF1" wp14:editId="5031F084">
            <wp:extent cx="6005830" cy="2658979"/>
            <wp:effectExtent l="0" t="0" r="0" b="8255"/>
            <wp:docPr id="43" name="Chart 43" descr="Figured 6.1 is a line graph depicting indexation rates from 2007 to 2022. &#10;&#10;It demonstrates an overall downward trend which has began to move upwards at the end of 2021. ">
              <a:extLst xmlns:a="http://schemas.openxmlformats.org/drawingml/2006/main">
                <a:ext uri="{FF2B5EF4-FFF2-40B4-BE49-F238E27FC236}">
                  <a16:creationId xmlns:a16="http://schemas.microsoft.com/office/drawing/2014/main" id="{36E72A75-45B3-4826-8F5B-863BD420C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D5D8A">
        <w:rPr>
          <w:sz w:val="18"/>
          <w:szCs w:val="18"/>
        </w:rPr>
        <w:t xml:space="preserve">Source: ACT Budget papers </w:t>
      </w:r>
      <w:r>
        <w:rPr>
          <w:sz w:val="18"/>
          <w:szCs w:val="18"/>
        </w:rPr>
        <w:t xml:space="preserve">20078 to 2021-22 </w:t>
      </w:r>
      <w:r w:rsidRPr="004D5D8A">
        <w:rPr>
          <w:sz w:val="18"/>
          <w:szCs w:val="18"/>
        </w:rPr>
        <w:t>(Paper No. 3) ^While the rate for 2021-22 was anticipated to be 1.75%, the October 2021 Budget announced an increase to account for legislated minimum wage increases.</w:t>
      </w:r>
      <w:r w:rsidRPr="004D5D8A">
        <w:rPr>
          <w:rStyle w:val="FootnoteReference"/>
          <w:sz w:val="18"/>
          <w:szCs w:val="18"/>
        </w:rPr>
        <w:footnoteReference w:id="71"/>
      </w:r>
    </w:p>
    <w:p w14:paraId="515942B4" w14:textId="39C1C5AD" w:rsidR="00ED2BAD" w:rsidRPr="00A022BA" w:rsidRDefault="00ED2BAD" w:rsidP="006E6C6C">
      <w:pPr>
        <w:pStyle w:val="Heading2"/>
      </w:pPr>
      <w:bookmarkStart w:id="83" w:name="_Toc88753137"/>
      <w:bookmarkStart w:id="84" w:name="_Ref88832552"/>
      <w:bookmarkStart w:id="85" w:name="_Toc90019567"/>
      <w:r w:rsidRPr="00A022BA">
        <w:t>Sector views on indexation</w:t>
      </w:r>
      <w:bookmarkEnd w:id="83"/>
      <w:bookmarkEnd w:id="84"/>
      <w:bookmarkEnd w:id="85"/>
    </w:p>
    <w:p w14:paraId="6860C7D5" w14:textId="3D1EBE5B" w:rsidR="00ED2BAD" w:rsidRDefault="00ED2BAD" w:rsidP="00ED2BAD">
      <w:pPr>
        <w:pStyle w:val="BodyText"/>
      </w:pPr>
      <w:r w:rsidRPr="00BE3180">
        <w:t>A</w:t>
      </w:r>
      <w:r>
        <w:t xml:space="preserve">CT </w:t>
      </w:r>
      <w:r w:rsidR="00F84434">
        <w:t>organisations</w:t>
      </w:r>
      <w:r>
        <w:t xml:space="preserve"> </w:t>
      </w:r>
      <w:r w:rsidR="00F84434">
        <w:t xml:space="preserve">report </w:t>
      </w:r>
      <w:r>
        <w:t xml:space="preserve">that indexation arrangements have </w:t>
      </w:r>
      <w:r w:rsidR="00F84434">
        <w:t xml:space="preserve">not </w:t>
      </w:r>
      <w:r w:rsidR="00C56E6E">
        <w:t>achieved the aim of maintaining purchasing power</w:t>
      </w:r>
      <w:r w:rsidRPr="006D2278">
        <w:t xml:space="preserve">.  </w:t>
      </w:r>
      <w:r w:rsidR="00C56E6E">
        <w:t>In addition, l</w:t>
      </w:r>
      <w:r w:rsidR="00CF2EAD">
        <w:t xml:space="preserve">eaders </w:t>
      </w:r>
      <w:r>
        <w:t xml:space="preserve">report that some </w:t>
      </w:r>
      <w:r w:rsidR="00CF2EAD">
        <w:t xml:space="preserve">of their </w:t>
      </w:r>
      <w:r>
        <w:t xml:space="preserve">ACT funding streams are not indexed. </w:t>
      </w:r>
      <w:r w:rsidR="00CF2EAD">
        <w:t xml:space="preserve">The </w:t>
      </w:r>
      <w:r w:rsidR="00AA295C">
        <w:t>Service Costing s</w:t>
      </w:r>
      <w:r w:rsidR="00CF2EAD">
        <w:t>urvey captured information about 88</w:t>
      </w:r>
      <w:r w:rsidR="006E6C6C">
        <w:t xml:space="preserve"> organisations. Of these, all provided information about their</w:t>
      </w:r>
      <w:r w:rsidR="00CF2EAD">
        <w:t xml:space="preserve"> ‘main’ </w:t>
      </w:r>
      <w:r w:rsidR="006E6C6C">
        <w:t xml:space="preserve">streams of </w:t>
      </w:r>
      <w:r w:rsidR="00CF2EAD">
        <w:t xml:space="preserve">income </w:t>
      </w:r>
      <w:r w:rsidR="006E6C6C">
        <w:t>from the ACT Government,</w:t>
      </w:r>
      <w:r w:rsidR="00CF2EAD">
        <w:t xml:space="preserve"> and 12 </w:t>
      </w:r>
      <w:r w:rsidR="006E6C6C">
        <w:t xml:space="preserve">also provided information about another (secondary) </w:t>
      </w:r>
      <w:r w:rsidR="00CF2EAD">
        <w:t xml:space="preserve">stream </w:t>
      </w:r>
      <w:r w:rsidR="006E6C6C">
        <w:t xml:space="preserve">of funds </w:t>
      </w:r>
      <w:r w:rsidR="00CF2EAD">
        <w:t xml:space="preserve">received from the ACT government. Of </w:t>
      </w:r>
      <w:r w:rsidR="006E6C6C">
        <w:t>all 100 streams assessed</w:t>
      </w:r>
      <w:r w:rsidR="00CF2EAD">
        <w:t xml:space="preserve">, </w:t>
      </w:r>
      <w:r>
        <w:t xml:space="preserve">13% </w:t>
      </w:r>
      <w:r w:rsidR="00CF2EAD">
        <w:t>were reported to not be indexed</w:t>
      </w:r>
      <w:r w:rsidR="00AC3ABA">
        <w:t xml:space="preserve"> (</w:t>
      </w:r>
      <w:r w:rsidR="00AC3ABA">
        <w:fldChar w:fldCharType="begin"/>
      </w:r>
      <w:r w:rsidR="00AC3ABA">
        <w:instrText xml:space="preserve"> REF _Ref88837917 \h </w:instrText>
      </w:r>
      <w:r w:rsidR="00AC3ABA">
        <w:fldChar w:fldCharType="separate"/>
      </w:r>
      <w:r w:rsidR="00E405AF">
        <w:t xml:space="preserve">Table C. </w:t>
      </w:r>
      <w:r w:rsidR="00E405AF">
        <w:rPr>
          <w:noProof/>
        </w:rPr>
        <w:t>5</w:t>
      </w:r>
      <w:r w:rsidR="00AC3ABA">
        <w:fldChar w:fldCharType="end"/>
      </w:r>
      <w:r w:rsidR="00AC3ABA">
        <w:t>)</w:t>
      </w:r>
      <w:r>
        <w:t xml:space="preserve">. </w:t>
      </w:r>
      <w:r w:rsidR="00CF2EAD">
        <w:t xml:space="preserve">For a </w:t>
      </w:r>
      <w:r>
        <w:t>further 10%</w:t>
      </w:r>
      <w:r w:rsidR="00CF2EAD">
        <w:t xml:space="preserve">, the informant was </w:t>
      </w:r>
      <w:r>
        <w:t xml:space="preserve">unsure whether indexation applied </w:t>
      </w:r>
      <w:r>
        <w:fldChar w:fldCharType="begin"/>
      </w:r>
      <w:r>
        <w:instrText xml:space="preserve"> REF _Ref87956539 \h </w:instrText>
      </w:r>
      <w:r>
        <w:fldChar w:fldCharType="separate"/>
      </w:r>
      <w:r w:rsidR="00E405AF" w:rsidRPr="001349AD">
        <w:t xml:space="preserve">Figure </w:t>
      </w:r>
      <w:r w:rsidR="00E405AF">
        <w:rPr>
          <w:noProof/>
        </w:rPr>
        <w:t>6</w:t>
      </w:r>
      <w:r w:rsidR="00E405AF">
        <w:t>.</w:t>
      </w:r>
      <w:r w:rsidR="00E405AF">
        <w:rPr>
          <w:noProof/>
        </w:rPr>
        <w:t>2</w:t>
      </w:r>
      <w:r>
        <w:fldChar w:fldCharType="end"/>
      </w:r>
      <w:r>
        <w:t xml:space="preserve"> shows that:</w:t>
      </w:r>
    </w:p>
    <w:p w14:paraId="63DF2B6A" w14:textId="77777777" w:rsidR="00ED2BAD" w:rsidRDefault="00ED2BAD" w:rsidP="00905774">
      <w:pPr>
        <w:pStyle w:val="BodyText"/>
        <w:numPr>
          <w:ilvl w:val="0"/>
          <w:numId w:val="16"/>
        </w:numPr>
      </w:pPr>
      <w:r w:rsidRPr="006D2278">
        <w:t>Only 12% of leaders agreed with the statement ‘Overall, indexation is adequate’</w:t>
      </w:r>
      <w:r>
        <w:t>.</w:t>
      </w:r>
    </w:p>
    <w:p w14:paraId="03917713" w14:textId="71A56319" w:rsidR="00ED2BAD" w:rsidRDefault="00ED2BAD" w:rsidP="00905774">
      <w:pPr>
        <w:pStyle w:val="BodyText"/>
        <w:numPr>
          <w:ilvl w:val="0"/>
          <w:numId w:val="16"/>
        </w:numPr>
      </w:pPr>
      <w:r>
        <w:t xml:space="preserve">Only 12% agreed </w:t>
      </w:r>
      <w:r w:rsidR="00916C79">
        <w:t xml:space="preserve">indexation </w:t>
      </w:r>
      <w:r>
        <w:t>adequately accounts for rising wage costs.</w:t>
      </w:r>
    </w:p>
    <w:p w14:paraId="7E91C726" w14:textId="70D7ABDE" w:rsidR="00ED2BAD" w:rsidRDefault="00ED2BAD" w:rsidP="00905774">
      <w:pPr>
        <w:pStyle w:val="BodyText"/>
        <w:numPr>
          <w:ilvl w:val="0"/>
          <w:numId w:val="16"/>
        </w:numPr>
      </w:pPr>
      <w:r>
        <w:t xml:space="preserve">Only 11% agreed </w:t>
      </w:r>
      <w:r w:rsidR="00916C79">
        <w:t>indexation</w:t>
      </w:r>
      <w:r w:rsidR="00916C79" w:rsidDel="00916C79">
        <w:t xml:space="preserve"> </w:t>
      </w:r>
      <w:r>
        <w:t>adequately accounts for rising non-wage costs.</w:t>
      </w:r>
      <w:r w:rsidRPr="006D2278">
        <w:t xml:space="preserve"> </w:t>
      </w:r>
    </w:p>
    <w:p w14:paraId="3992064C" w14:textId="77777777" w:rsidR="00ED2BAD" w:rsidRDefault="00ED2BAD" w:rsidP="00905774">
      <w:pPr>
        <w:pStyle w:val="BodyText"/>
        <w:numPr>
          <w:ilvl w:val="0"/>
          <w:numId w:val="16"/>
        </w:numPr>
      </w:pPr>
      <w:r>
        <w:t xml:space="preserve">Only </w:t>
      </w:r>
      <w:r w:rsidRPr="006D2278">
        <w:t>6% said they can have input into how their contracts are indexed</w:t>
      </w:r>
      <w:r>
        <w:t>.</w:t>
      </w:r>
    </w:p>
    <w:p w14:paraId="02483260" w14:textId="53DBE083" w:rsidR="00916C79" w:rsidRDefault="00C56E6E" w:rsidP="00C56E6E">
      <w:pPr>
        <w:pStyle w:val="BodyText"/>
      </w:pPr>
      <w:r>
        <w:t>A large minority of leaders (37%)</w:t>
      </w:r>
      <w:r w:rsidR="00ED2BAD">
        <w:t xml:space="preserve"> </w:t>
      </w:r>
      <w:r w:rsidR="00916C79">
        <w:t xml:space="preserve">said </w:t>
      </w:r>
      <w:r>
        <w:t>that their organisation is</w:t>
      </w:r>
      <w:r w:rsidR="00ED2BAD">
        <w:t xml:space="preserve"> </w:t>
      </w:r>
      <w:r w:rsidR="00916C79">
        <w:t xml:space="preserve">not </w:t>
      </w:r>
      <w:r w:rsidR="00ED2BAD" w:rsidRPr="006D2278">
        <w:t>familiar</w:t>
      </w:r>
      <w:r w:rsidR="00ED2BAD">
        <w:t xml:space="preserve"> with the </w:t>
      </w:r>
      <w:r w:rsidR="00ED2BAD" w:rsidRPr="006D2278">
        <w:t>formula used by the ACT government to index their funding</w:t>
      </w:r>
      <w:r w:rsidR="00ED2BAD">
        <w:t xml:space="preserve">. This indicates </w:t>
      </w:r>
      <w:r w:rsidR="00916C79">
        <w:t xml:space="preserve">that the 2022 Indexation review </w:t>
      </w:r>
      <w:r w:rsidR="00CA14FC">
        <w:t xml:space="preserve">offers important opportunities </w:t>
      </w:r>
      <w:r w:rsidR="00CA14FC" w:rsidRPr="006D2278">
        <w:t xml:space="preserve">to improve the sector’s understanding of </w:t>
      </w:r>
      <w:r w:rsidR="00CA14FC">
        <w:t>the way indexation operates</w:t>
      </w:r>
      <w:r w:rsidR="00CA14FC" w:rsidRPr="006D2278">
        <w:t xml:space="preserve">, and to </w:t>
      </w:r>
      <w:r w:rsidR="00CA14FC">
        <w:t xml:space="preserve">increase sector engagement in shaping it </w:t>
      </w:r>
      <w:r w:rsidR="00916C79">
        <w:t>(</w:t>
      </w:r>
      <w:r w:rsidR="00CA14FC">
        <w:t xml:space="preserve">more detailed suggestions are in </w:t>
      </w:r>
      <w:r w:rsidR="00916C79">
        <w:t xml:space="preserve">Section </w:t>
      </w:r>
      <w:r w:rsidR="00AA295C">
        <w:fldChar w:fldCharType="begin"/>
      </w:r>
      <w:r w:rsidR="00AA295C">
        <w:instrText xml:space="preserve"> REF _Ref88832672 \r \h </w:instrText>
      </w:r>
      <w:r w:rsidR="00AA295C">
        <w:fldChar w:fldCharType="separate"/>
      </w:r>
      <w:r w:rsidR="00E405AF">
        <w:t>7.1</w:t>
      </w:r>
      <w:r w:rsidR="00AA295C">
        <w:fldChar w:fldCharType="end"/>
      </w:r>
      <w:r w:rsidR="00916C79">
        <w:t xml:space="preserve">) </w:t>
      </w:r>
    </w:p>
    <w:p w14:paraId="3DC9E6FF" w14:textId="3D95673F" w:rsidR="00C56E6E" w:rsidRDefault="00C56E6E" w:rsidP="00C56E6E">
      <w:pPr>
        <w:pStyle w:val="BodyText"/>
      </w:pPr>
      <w:r>
        <w:t xml:space="preserve">Overwhelmingly, comments left by participants in the </w:t>
      </w:r>
      <w:r w:rsidR="002D42F6">
        <w:t xml:space="preserve">Service Costing survey </w:t>
      </w:r>
      <w:r>
        <w:t xml:space="preserve">focused on the inadequacy of current approaches to indexation. Examples of comments from leaders are in </w:t>
      </w:r>
      <w:r>
        <w:fldChar w:fldCharType="begin"/>
      </w:r>
      <w:r>
        <w:instrText xml:space="preserve"> REF _Ref87989920 \h </w:instrText>
      </w:r>
      <w:r>
        <w:fldChar w:fldCharType="separate"/>
      </w:r>
      <w:r w:rsidR="00E405AF">
        <w:t xml:space="preserve">Table </w:t>
      </w:r>
      <w:r w:rsidR="00E405AF">
        <w:rPr>
          <w:noProof/>
        </w:rPr>
        <w:t>6</w:t>
      </w:r>
      <w:r w:rsidR="00E405AF">
        <w:t>.</w:t>
      </w:r>
      <w:r w:rsidR="00E405AF">
        <w:rPr>
          <w:noProof/>
        </w:rPr>
        <w:t>1</w:t>
      </w:r>
      <w:r>
        <w:fldChar w:fldCharType="end"/>
      </w:r>
      <w:r>
        <w:t>.</w:t>
      </w:r>
    </w:p>
    <w:p w14:paraId="2B93FFAD" w14:textId="001B73D0" w:rsidR="00ED2BAD" w:rsidRPr="00927A34" w:rsidRDefault="00ED2BAD" w:rsidP="00ED2BAD">
      <w:pPr>
        <w:pStyle w:val="Captiontable"/>
      </w:pPr>
      <w:bookmarkStart w:id="86" w:name="_Ref87956539"/>
      <w:bookmarkStart w:id="87" w:name="_Toc90019598"/>
      <w:r w:rsidRPr="001349AD">
        <w:lastRenderedPageBreak/>
        <w:t xml:space="preserve">Figure </w:t>
      </w:r>
      <w:fldSimple w:instr=" STYLEREF 1 \s ">
        <w:r w:rsidR="00E405AF">
          <w:rPr>
            <w:noProof/>
          </w:rPr>
          <w:t>6</w:t>
        </w:r>
      </w:fldSimple>
      <w:r w:rsidR="005A1A69">
        <w:t>.</w:t>
      </w:r>
      <w:fldSimple w:instr=" SEQ Figure \* ARABIC \s 1 ">
        <w:r w:rsidR="00E405AF">
          <w:rPr>
            <w:noProof/>
          </w:rPr>
          <w:t>2</w:t>
        </w:r>
      </w:fldSimple>
      <w:bookmarkEnd w:id="86"/>
      <w:r w:rsidRPr="001349AD">
        <w:tab/>
      </w:r>
      <w:r>
        <w:t>Perspectives on indexation</w:t>
      </w:r>
      <w:bookmarkEnd w:id="87"/>
    </w:p>
    <w:p w14:paraId="2EE30BF6" w14:textId="4CE85A66" w:rsidR="00554250" w:rsidRPr="00554250" w:rsidRDefault="00ED2BAD" w:rsidP="00554250">
      <w:pPr>
        <w:pStyle w:val="BodyText"/>
        <w:rPr>
          <w:sz w:val="18"/>
          <w:szCs w:val="18"/>
        </w:rPr>
      </w:pPr>
      <w:r w:rsidRPr="001D02E2">
        <w:rPr>
          <w:b/>
          <w:bCs/>
          <w:noProof/>
        </w:rPr>
        <w:drawing>
          <wp:inline distT="0" distB="0" distL="0" distR="0" wp14:anchorId="0215187F" wp14:editId="5C326196">
            <wp:extent cx="5763895" cy="3398921"/>
            <wp:effectExtent l="0" t="0" r="8255" b="0"/>
            <wp:docPr id="44" name="Chart 44" descr="Figure 6.2 is a bar graph depicting perspectives on indexation as percentages. &#10;&#10;It demonstrates largely negative sentiments towards indexation and its application in the ACT.  ">
              <a:extLst xmlns:a="http://schemas.openxmlformats.org/drawingml/2006/main">
                <a:ext uri="{FF2B5EF4-FFF2-40B4-BE49-F238E27FC236}">
                  <a16:creationId xmlns:a16="http://schemas.microsoft.com/office/drawing/2014/main" id="{3A4D79C8-8E25-444B-9D3C-4D2E23DAA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54250" w:rsidRPr="00554250">
        <w:rPr>
          <w:sz w:val="18"/>
          <w:szCs w:val="18"/>
        </w:rPr>
        <w:t xml:space="preserve"> </w:t>
      </w:r>
      <w:r w:rsidR="00554250">
        <w:rPr>
          <w:sz w:val="18"/>
          <w:szCs w:val="18"/>
        </w:rPr>
        <w:br/>
      </w:r>
      <w:r w:rsidR="00554250" w:rsidRPr="00554250">
        <w:rPr>
          <w:sz w:val="18"/>
          <w:szCs w:val="18"/>
        </w:rPr>
        <w:t>Source: ACT Service Costing Survey, 2021</w:t>
      </w:r>
    </w:p>
    <w:p w14:paraId="49AA0F57" w14:textId="1F9613A9" w:rsidR="00ED2BAD" w:rsidRDefault="00ED2BAD" w:rsidP="00ED2BAD">
      <w:pPr>
        <w:pStyle w:val="Caption"/>
      </w:pPr>
      <w:bookmarkStart w:id="88" w:name="_Ref87989920"/>
      <w:bookmarkStart w:id="89" w:name="_Toc90019590"/>
      <w:r>
        <w:t xml:space="preserve">Table </w:t>
      </w:r>
      <w:fldSimple w:instr=" STYLEREF 1 \s ">
        <w:r w:rsidR="00E405AF">
          <w:rPr>
            <w:noProof/>
          </w:rPr>
          <w:t>6</w:t>
        </w:r>
      </w:fldSimple>
      <w:r w:rsidR="00911AB3">
        <w:t>.</w:t>
      </w:r>
      <w:fldSimple w:instr=" SEQ Table \* ARABIC \s 1 ">
        <w:r w:rsidR="00E405AF">
          <w:rPr>
            <w:noProof/>
          </w:rPr>
          <w:t>1</w:t>
        </w:r>
      </w:fldSimple>
      <w:bookmarkEnd w:id="88"/>
      <w:r>
        <w:tab/>
        <w:t>Leaders’ comments on indexation</w:t>
      </w:r>
      <w:bookmarkEnd w:id="89"/>
    </w:p>
    <w:tbl>
      <w:tblPr>
        <w:tblStyle w:val="Style3"/>
        <w:tblW w:w="9918" w:type="dxa"/>
        <w:tblLook w:val="04A0" w:firstRow="1" w:lastRow="0" w:firstColumn="1" w:lastColumn="0" w:noHBand="0" w:noVBand="1"/>
      </w:tblPr>
      <w:tblGrid>
        <w:gridCol w:w="1450"/>
        <w:gridCol w:w="8468"/>
      </w:tblGrid>
      <w:tr w:rsidR="00ED2BAD" w:rsidRPr="003A638C" w14:paraId="5B30804C" w14:textId="77777777" w:rsidTr="00441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Pr>
          <w:p w14:paraId="1C1B4E48" w14:textId="77777777" w:rsidR="00ED2BAD" w:rsidRPr="003A638C" w:rsidRDefault="00ED2BAD" w:rsidP="00916C79">
            <w:pPr>
              <w:pStyle w:val="BodyText"/>
              <w:spacing w:before="60" w:afterLines="60" w:after="144" w:line="240" w:lineRule="auto"/>
              <w:rPr>
                <w:b/>
                <w:bCs/>
                <w:color w:val="FFFFFF" w:themeColor="background1"/>
                <w:sz w:val="20"/>
                <w:szCs w:val="20"/>
              </w:rPr>
            </w:pPr>
            <w:r w:rsidRPr="003A638C">
              <w:rPr>
                <w:b/>
                <w:bCs/>
                <w:color w:val="FFFFFF" w:themeColor="background1"/>
                <w:sz w:val="20"/>
                <w:szCs w:val="20"/>
              </w:rPr>
              <w:t>Issue</w:t>
            </w:r>
          </w:p>
        </w:tc>
        <w:tc>
          <w:tcPr>
            <w:tcW w:w="8478" w:type="dxa"/>
          </w:tcPr>
          <w:p w14:paraId="5E96D32E" w14:textId="77777777" w:rsidR="00ED2BAD" w:rsidRPr="003A638C" w:rsidRDefault="00ED2BAD" w:rsidP="00916C79">
            <w:pPr>
              <w:pStyle w:val="Quote"/>
              <w:spacing w:before="60" w:afterLines="60" w:after="144"/>
              <w:ind w:left="0" w:right="0"/>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Comment from leader</w:t>
            </w:r>
          </w:p>
        </w:tc>
      </w:tr>
      <w:tr w:rsidR="00ED2BAD" w:rsidRPr="003A638C" w14:paraId="79BE85CA" w14:textId="77777777" w:rsidTr="003A638C">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1440" w:type="dxa"/>
          </w:tcPr>
          <w:p w14:paraId="6EB6D5B9" w14:textId="77777777" w:rsidR="00ED2BAD" w:rsidRPr="003A638C" w:rsidRDefault="00ED2BAD" w:rsidP="00916C79">
            <w:pPr>
              <w:pStyle w:val="BodyText"/>
              <w:spacing w:before="60" w:afterLines="60" w:after="144" w:line="240" w:lineRule="auto"/>
              <w:rPr>
                <w:sz w:val="20"/>
                <w:szCs w:val="20"/>
              </w:rPr>
            </w:pPr>
            <w:r w:rsidRPr="003A638C">
              <w:rPr>
                <w:sz w:val="20"/>
                <w:szCs w:val="20"/>
              </w:rPr>
              <w:t>Indexation arrangements are not well understood</w:t>
            </w:r>
          </w:p>
        </w:tc>
        <w:tc>
          <w:tcPr>
            <w:tcW w:w="8478" w:type="dxa"/>
          </w:tcPr>
          <w:p w14:paraId="77320C8B" w14:textId="77777777" w:rsidR="00ED2BAD" w:rsidRPr="003A638C" w:rsidRDefault="00ED2BAD" w:rsidP="00916C79">
            <w:pPr>
              <w:pStyle w:val="Quote"/>
              <w:spacing w:before="60" w:afterLines="60" w:after="144"/>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The indexation rate is a complete mystery and certainly has not considered increase in wages and super this year.</w:t>
            </w:r>
          </w:p>
          <w:p w14:paraId="561837E4" w14:textId="77777777" w:rsidR="00ED2BAD" w:rsidRPr="003A638C" w:rsidRDefault="00ED2BAD" w:rsidP="00916C79">
            <w:pPr>
              <w:pStyle w:val="Quote"/>
              <w:spacing w:before="60" w:afterLines="60" w:after="144"/>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It would be great to have clarity around the indexation formula, and to see the amount increase at the same rate as wages and services such as insurance and rent that we must pay…. …</w:t>
            </w:r>
            <w:proofErr w:type="gramStart"/>
            <w:r w:rsidRPr="003A638C">
              <w:rPr>
                <w:sz w:val="20"/>
                <w:szCs w:val="20"/>
              </w:rPr>
              <w:t>All of</w:t>
            </w:r>
            <w:proofErr w:type="gramEnd"/>
            <w:r w:rsidRPr="003A638C">
              <w:rPr>
                <w:sz w:val="20"/>
                <w:szCs w:val="20"/>
              </w:rPr>
              <w:t xml:space="preserve"> our outgoings increase as a percentage of the preceding year (even govt bills like rent) but our income is minimally indexed on a core amount from up to 3 years prior</w:t>
            </w:r>
          </w:p>
          <w:p w14:paraId="7A25085B" w14:textId="77777777" w:rsidR="00ED2BAD" w:rsidRPr="003A638C" w:rsidRDefault="00ED2BAD" w:rsidP="00916C79">
            <w:pPr>
              <w:pStyle w:val="Quote"/>
              <w:spacing w:before="60" w:afterLines="60" w:after="144"/>
              <w:ind w:left="0" w:right="0"/>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3A638C">
              <w:rPr>
                <w:sz w:val="20"/>
                <w:szCs w:val="20"/>
              </w:rPr>
              <w:t>It is clear that the</w:t>
            </w:r>
            <w:proofErr w:type="gramEnd"/>
            <w:r w:rsidRPr="003A638C">
              <w:rPr>
                <w:sz w:val="20"/>
                <w:szCs w:val="20"/>
              </w:rPr>
              <w:t xml:space="preserve"> Directorates impacted by indexation (which is decided by the Chief Minster, Treasury and Economic Development Directorate) do not understand how indexation for our services is calculated. This year salaries will increase by 2.5% plus increases to super and LSL.</w:t>
            </w:r>
          </w:p>
        </w:tc>
      </w:tr>
      <w:tr w:rsidR="00ED2BAD" w:rsidRPr="003A638C" w14:paraId="39996299" w14:textId="77777777" w:rsidTr="003A6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D1F849B" w14:textId="77777777" w:rsidR="00ED2BAD" w:rsidRPr="003A638C" w:rsidRDefault="00ED2BAD" w:rsidP="00916C79">
            <w:pPr>
              <w:pStyle w:val="BodyText"/>
              <w:spacing w:before="60" w:afterLines="60" w:after="144" w:line="240" w:lineRule="auto"/>
              <w:rPr>
                <w:sz w:val="20"/>
                <w:szCs w:val="20"/>
              </w:rPr>
            </w:pPr>
            <w:r w:rsidRPr="003A638C">
              <w:rPr>
                <w:sz w:val="20"/>
                <w:szCs w:val="20"/>
              </w:rPr>
              <w:t>Indexation is too low</w:t>
            </w:r>
          </w:p>
        </w:tc>
        <w:tc>
          <w:tcPr>
            <w:tcW w:w="8478" w:type="dxa"/>
          </w:tcPr>
          <w:p w14:paraId="5D2EE947" w14:textId="77777777" w:rsidR="00ED2BAD" w:rsidRPr="003A638C" w:rsidRDefault="00ED2BAD" w:rsidP="00916C79">
            <w:pPr>
              <w:pStyle w:val="Quote"/>
              <w:spacing w:before="60" w:afterLines="60" w:after="144"/>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Wages costs make up about 70% of our budget. These rise at 4% </w:t>
            </w:r>
            <w:proofErr w:type="gramStart"/>
            <w:r w:rsidRPr="003A638C">
              <w:rPr>
                <w:sz w:val="20"/>
                <w:szCs w:val="20"/>
              </w:rPr>
              <w:t>pa,</w:t>
            </w:r>
            <w:proofErr w:type="gramEnd"/>
            <w:r w:rsidRPr="003A638C">
              <w:rPr>
                <w:sz w:val="20"/>
                <w:szCs w:val="20"/>
              </w:rPr>
              <w:t xml:space="preserve"> indexation is well short of that.</w:t>
            </w:r>
          </w:p>
          <w:p w14:paraId="6BB820C2" w14:textId="4FAD4F84" w:rsidR="00ED2BAD" w:rsidRPr="003A638C" w:rsidRDefault="00ED2BAD" w:rsidP="00916C79">
            <w:pPr>
              <w:pStyle w:val="Quote"/>
              <w:spacing w:before="60" w:afterLines="60" w:after="144"/>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Indexation neither covers mandated award wage rises (3% this F</w:t>
            </w:r>
            <w:r w:rsidR="00432839">
              <w:rPr>
                <w:sz w:val="20"/>
                <w:szCs w:val="20"/>
              </w:rPr>
              <w:t xml:space="preserve">inancial </w:t>
            </w:r>
            <w:r w:rsidRPr="003A638C">
              <w:rPr>
                <w:sz w:val="20"/>
                <w:szCs w:val="20"/>
              </w:rPr>
              <w:t>Y</w:t>
            </w:r>
            <w:r w:rsidR="00432839">
              <w:rPr>
                <w:sz w:val="20"/>
                <w:szCs w:val="20"/>
              </w:rPr>
              <w:t>ear</w:t>
            </w:r>
            <w:r w:rsidRPr="003A638C">
              <w:rPr>
                <w:sz w:val="20"/>
                <w:szCs w:val="20"/>
              </w:rPr>
              <w:t>, compared to indexation increase of 1.75%), other inflationary rises (even rent from ACT Property) and not even increases in demand due to population increases.</w:t>
            </w:r>
          </w:p>
          <w:p w14:paraId="11CD95C2" w14:textId="77777777" w:rsidR="00ED2BAD" w:rsidRPr="003A638C" w:rsidRDefault="00ED2BAD" w:rsidP="00916C79">
            <w:pPr>
              <w:spacing w:before="60" w:afterLines="60" w:after="144"/>
              <w:ind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Our rent goes up by 3.5% per annum, indexation is currently under 2%.  </w:t>
            </w:r>
          </w:p>
          <w:p w14:paraId="16F700E1" w14:textId="2DE0301A" w:rsidR="00ED2BAD" w:rsidRPr="003A638C" w:rsidRDefault="00ED2BAD" w:rsidP="00916C79">
            <w:pPr>
              <w:pStyle w:val="Quote"/>
              <w:spacing w:before="60" w:afterLines="60" w:after="144"/>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The index does not match the qualifications required to deliver services.</w:t>
            </w:r>
          </w:p>
          <w:p w14:paraId="1CE98391" w14:textId="77777777" w:rsidR="00ED2BAD" w:rsidRPr="003A638C" w:rsidRDefault="00ED2BAD" w:rsidP="00916C79">
            <w:pPr>
              <w:pStyle w:val="Quote"/>
              <w:spacing w:before="60" w:afterLines="60" w:after="144"/>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All sources of indexation need to be at a minimum meet the minimum wage rises.  Compliance costs and training are increasing annually and there is no funding to meet these costs.</w:t>
            </w:r>
          </w:p>
          <w:p w14:paraId="4569249F" w14:textId="77777777" w:rsidR="00ED2BAD" w:rsidRPr="003A638C" w:rsidRDefault="00ED2BAD" w:rsidP="00916C79">
            <w:pPr>
              <w:pStyle w:val="Quote"/>
              <w:spacing w:before="60" w:afterLines="60" w:after="144"/>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 think it needs to better account for the costs of compliance and business administration. Audit fees, insurance, office rent &amp; utilities bills routinely exceed both the CPI and WPI meaning indexation is never adequate and our organisation is required to tap into cash reserves to bridge the gap.</w:t>
            </w:r>
          </w:p>
          <w:p w14:paraId="6DAEC485" w14:textId="77777777" w:rsidR="00ED2BAD" w:rsidRPr="003A638C" w:rsidRDefault="00ED2BAD" w:rsidP="00916C79">
            <w:pPr>
              <w:spacing w:before="60" w:afterLines="60" w:after="144"/>
              <w:ind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lastRenderedPageBreak/>
              <w:t>Indexation is especially inadequate given Canberra's high cost of living - what about a location allowance to address this?</w:t>
            </w:r>
          </w:p>
          <w:p w14:paraId="64B61D92" w14:textId="77777777" w:rsidR="00ED2BAD" w:rsidRPr="003A638C" w:rsidRDefault="00ED2BAD" w:rsidP="00916C79">
            <w:pPr>
              <w:spacing w:before="60" w:afterLines="60" w:after="144"/>
              <w:ind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Indexation is not enough to compete with salaries in other employer government/consulting</w:t>
            </w:r>
          </w:p>
        </w:tc>
      </w:tr>
      <w:tr w:rsidR="00ED2BAD" w:rsidRPr="003A638C" w14:paraId="75CE3005" w14:textId="77777777" w:rsidTr="003A638C">
        <w:trPr>
          <w:cnfStyle w:val="000000100000" w:firstRow="0" w:lastRow="0" w:firstColumn="0" w:lastColumn="0" w:oddVBand="0" w:evenVBand="0" w:oddHBand="1" w:evenHBand="0" w:firstRowFirstColumn="0" w:firstRowLastColumn="0" w:lastRowFirstColumn="0" w:lastRowLastColumn="0"/>
          <w:trHeight w:val="2298"/>
        </w:trPr>
        <w:tc>
          <w:tcPr>
            <w:cnfStyle w:val="001000000000" w:firstRow="0" w:lastRow="0" w:firstColumn="1" w:lastColumn="0" w:oddVBand="0" w:evenVBand="0" w:oddHBand="0" w:evenHBand="0" w:firstRowFirstColumn="0" w:firstRowLastColumn="0" w:lastRowFirstColumn="0" w:lastRowLastColumn="0"/>
            <w:tcW w:w="1440" w:type="dxa"/>
          </w:tcPr>
          <w:p w14:paraId="4C686B63" w14:textId="77777777" w:rsidR="00ED2BAD" w:rsidRPr="003A638C" w:rsidRDefault="00ED2BAD" w:rsidP="00916C79">
            <w:pPr>
              <w:pStyle w:val="BodyText"/>
              <w:spacing w:before="60" w:afterLines="60" w:after="144" w:line="240" w:lineRule="auto"/>
              <w:rPr>
                <w:sz w:val="20"/>
                <w:szCs w:val="20"/>
              </w:rPr>
            </w:pPr>
            <w:r w:rsidRPr="003A638C">
              <w:rPr>
                <w:sz w:val="20"/>
                <w:szCs w:val="20"/>
              </w:rPr>
              <w:lastRenderedPageBreak/>
              <w:t>Low indexation makes organisations compromise on essential activities</w:t>
            </w:r>
          </w:p>
        </w:tc>
        <w:tc>
          <w:tcPr>
            <w:tcW w:w="8478" w:type="dxa"/>
          </w:tcPr>
          <w:p w14:paraId="5CEC8CB4" w14:textId="77777777" w:rsidR="00ED2BAD" w:rsidRPr="003A638C" w:rsidRDefault="00ED2BAD" w:rsidP="00916C79">
            <w:pPr>
              <w:pStyle w:val="Quote"/>
              <w:spacing w:before="60" w:afterLines="60" w:after="144"/>
              <w:ind w:left="0" w:right="0"/>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3A638C">
              <w:rPr>
                <w:sz w:val="20"/>
                <w:szCs w:val="20"/>
              </w:rPr>
              <w:t>Unfortunately</w:t>
            </w:r>
            <w:proofErr w:type="gramEnd"/>
            <w:r w:rsidRPr="003A638C">
              <w:rPr>
                <w:sz w:val="20"/>
                <w:szCs w:val="20"/>
              </w:rPr>
              <w:t xml:space="preserve"> our costs increase higher than our indexation each year in staff wages and on-costs, so we end up having to sacrifice the workforce but our targets remain the same.</w:t>
            </w:r>
          </w:p>
          <w:p w14:paraId="79DECA20" w14:textId="77777777" w:rsidR="00ED2BAD" w:rsidRPr="003A638C" w:rsidRDefault="00ED2BAD" w:rsidP="00916C79">
            <w:pPr>
              <w:pStyle w:val="Quote"/>
              <w:spacing w:before="60" w:afterLines="60" w:after="144"/>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On July 1st wages increased 2.5%, plus .5% super, plus .4% LSL = 3.4%.  On average contracts were increased 1.2%-1.75%, leaving a gap.  That gap means we cut quality, training, supervision, memberships, research and innovation, networking, administration personnel, consultants and increase the managers areas of responsibility... Every year we go backwards... To improve this, let’s have the ACT Govt meet the minimum wage rise issued by the govt, as well as any increases in super.  </w:t>
            </w:r>
          </w:p>
          <w:p w14:paraId="72FD2DAD" w14:textId="77777777" w:rsidR="00ED2BAD" w:rsidRPr="003A638C" w:rsidRDefault="00ED2BAD" w:rsidP="00916C79">
            <w:pPr>
              <w:spacing w:before="60" w:afterLines="60" w:after="144"/>
              <w:ind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…Our costs increase each year higher than indexation.  I feel quite strongly that indexation encourages you to not be successful with your people and your program delivery. If I have a high performing staff </w:t>
            </w:r>
            <w:proofErr w:type="gramStart"/>
            <w:r w:rsidRPr="003A638C">
              <w:rPr>
                <w:sz w:val="20"/>
                <w:szCs w:val="20"/>
              </w:rPr>
              <w:t>member</w:t>
            </w:r>
            <w:proofErr w:type="gramEnd"/>
            <w:r w:rsidRPr="003A638C">
              <w:rPr>
                <w:sz w:val="20"/>
                <w:szCs w:val="20"/>
              </w:rPr>
              <w:t xml:space="preserve"> I have to cut operational costs to give them a classification progression.  The biggest issue is that we have had the same contract for 10 years and same amount of money. Working specifically in [this] space we are only going to increase our work with population growth and now a pandemic, it really leaves us in a difficult position and opens us up to getting toppled by a </w:t>
            </w:r>
            <w:proofErr w:type="gramStart"/>
            <w:r w:rsidRPr="003A638C">
              <w:rPr>
                <w:sz w:val="20"/>
                <w:szCs w:val="20"/>
              </w:rPr>
              <w:t>poor quality</w:t>
            </w:r>
            <w:proofErr w:type="gramEnd"/>
            <w:r w:rsidRPr="003A638C">
              <w:rPr>
                <w:sz w:val="20"/>
                <w:szCs w:val="20"/>
              </w:rPr>
              <w:t xml:space="preserve"> competitor.</w:t>
            </w:r>
          </w:p>
        </w:tc>
      </w:tr>
    </w:tbl>
    <w:p w14:paraId="21039864" w14:textId="77777777" w:rsidR="00554250" w:rsidRPr="00554250" w:rsidRDefault="00554250" w:rsidP="00554250">
      <w:pPr>
        <w:pStyle w:val="BodyText"/>
        <w:rPr>
          <w:sz w:val="18"/>
          <w:szCs w:val="18"/>
        </w:rPr>
      </w:pPr>
      <w:bookmarkStart w:id="90" w:name="_Ref88121310"/>
      <w:r w:rsidRPr="00554250">
        <w:rPr>
          <w:sz w:val="18"/>
          <w:szCs w:val="18"/>
        </w:rPr>
        <w:t>Source: ACT Service Costing Survey, 2021</w:t>
      </w:r>
    </w:p>
    <w:p w14:paraId="5B59E7E6" w14:textId="77777777" w:rsidR="00554250" w:rsidRPr="00554250" w:rsidRDefault="00554250" w:rsidP="00554250">
      <w:pPr>
        <w:pStyle w:val="BodyText"/>
        <w:rPr>
          <w:sz w:val="18"/>
          <w:szCs w:val="18"/>
        </w:rPr>
      </w:pPr>
    </w:p>
    <w:p w14:paraId="14410C35" w14:textId="008D2138" w:rsidR="007B0150" w:rsidRPr="00461223" w:rsidRDefault="00EF1CA2" w:rsidP="006E6C6C">
      <w:pPr>
        <w:pStyle w:val="Heading2"/>
      </w:pPr>
      <w:bookmarkStart w:id="91" w:name="_Ref88749899"/>
      <w:bookmarkStart w:id="92" w:name="_Toc88753138"/>
      <w:bookmarkStart w:id="93" w:name="_Toc90019568"/>
      <w:bookmarkEnd w:id="90"/>
      <w:r w:rsidRPr="00461223">
        <w:t>Applying for ACT Government funding</w:t>
      </w:r>
      <w:bookmarkEnd w:id="91"/>
      <w:bookmarkEnd w:id="92"/>
      <w:bookmarkEnd w:id="93"/>
    </w:p>
    <w:p w14:paraId="32A15FC1" w14:textId="66EE75F4" w:rsidR="007C52BC" w:rsidRDefault="003A4306" w:rsidP="00EF1CA2">
      <w:pPr>
        <w:pStyle w:val="BodyText"/>
      </w:pPr>
      <w:r>
        <w:t xml:space="preserve">When considering </w:t>
      </w:r>
      <w:proofErr w:type="gramStart"/>
      <w:r w:rsidR="00C56E6E">
        <w:t>whether or not</w:t>
      </w:r>
      <w:proofErr w:type="gramEnd"/>
      <w:r w:rsidR="00C56E6E">
        <w:t xml:space="preserve"> to apply for </w:t>
      </w:r>
      <w:r>
        <w:t>ACT government</w:t>
      </w:r>
      <w:r w:rsidR="00C56E6E">
        <w:t xml:space="preserve"> funding</w:t>
      </w:r>
      <w:r>
        <w:t>, organisations</w:t>
      </w:r>
      <w:r w:rsidR="008D0A8D">
        <w:t xml:space="preserve"> in the Service Costing Survey reported that their</w:t>
      </w:r>
      <w:r>
        <w:t xml:space="preserve"> highest priorities are to deliver services aligned to mission, and to ensure users get the best quality services.  However, the third most common consideration </w:t>
      </w:r>
      <w:r w:rsidR="00C56E6E">
        <w:t>i</w:t>
      </w:r>
      <w:r w:rsidR="007C52BC">
        <w:t>s ensuring costs are fully covered</w:t>
      </w:r>
      <w:r w:rsidR="00925960">
        <w:t xml:space="preserve"> (</w:t>
      </w:r>
      <w:r w:rsidR="00925960">
        <w:fldChar w:fldCharType="begin"/>
      </w:r>
      <w:r w:rsidR="00925960">
        <w:instrText xml:space="preserve"> REF _Ref90019858 \h </w:instrText>
      </w:r>
      <w:r w:rsidR="00925960">
        <w:fldChar w:fldCharType="separate"/>
      </w:r>
      <w:r w:rsidR="00E405AF">
        <w:t xml:space="preserve">Figure C. </w:t>
      </w:r>
      <w:r w:rsidR="00E405AF">
        <w:rPr>
          <w:noProof/>
        </w:rPr>
        <w:t>9</w:t>
      </w:r>
      <w:r w:rsidR="00925960">
        <w:fldChar w:fldCharType="end"/>
      </w:r>
      <w:r w:rsidR="007C52BC">
        <w:t>).</w:t>
      </w:r>
      <w:r>
        <w:t xml:space="preserve"> </w:t>
      </w:r>
      <w:r w:rsidR="008A2325">
        <w:t xml:space="preserve">The extent to which costs will be covered is a high concern for the sector, with </w:t>
      </w:r>
      <w:r w:rsidR="00EF1CA2">
        <w:t xml:space="preserve">rising demand and rising costs </w:t>
      </w:r>
      <w:r w:rsidR="00402990">
        <w:t xml:space="preserve">deterring </w:t>
      </w:r>
      <w:r w:rsidR="007B0150">
        <w:t xml:space="preserve">some organisations </w:t>
      </w:r>
      <w:r w:rsidR="00402990">
        <w:t>from working with Government</w:t>
      </w:r>
      <w:r w:rsidR="007C52BC">
        <w:t>:</w:t>
      </w:r>
    </w:p>
    <w:p w14:paraId="5A5E3A73" w14:textId="77777777" w:rsidR="007C52BC" w:rsidRDefault="00EF1CA2" w:rsidP="00EA6EED">
      <w:pPr>
        <w:pStyle w:val="BodyText"/>
        <w:numPr>
          <w:ilvl w:val="0"/>
          <w:numId w:val="24"/>
        </w:numPr>
      </w:pPr>
      <w:r w:rsidRPr="00EF1CA2">
        <w:t xml:space="preserve">61% of leaders said </w:t>
      </w:r>
      <w:r>
        <w:t xml:space="preserve">that in the </w:t>
      </w:r>
      <w:r w:rsidR="007B0150" w:rsidRPr="006E7C2F">
        <w:t xml:space="preserve">last three years, </w:t>
      </w:r>
      <w:r>
        <w:t xml:space="preserve">their organisation </w:t>
      </w:r>
      <w:r w:rsidR="007B0150" w:rsidRPr="006E7C2F">
        <w:t>had decided not to apply for ACT fund</w:t>
      </w:r>
      <w:r w:rsidR="007B0150">
        <w:t>ing</w:t>
      </w:r>
      <w:r w:rsidR="007B0150" w:rsidRPr="006E7C2F">
        <w:t xml:space="preserve"> because of poor </w:t>
      </w:r>
      <w:r w:rsidR="007B0150" w:rsidRPr="006E4872">
        <w:t>cost coverage</w:t>
      </w:r>
      <w:r w:rsidR="00402990">
        <w:t xml:space="preserve">. </w:t>
      </w:r>
    </w:p>
    <w:p w14:paraId="26E9C718" w14:textId="4697A2F8" w:rsidR="00402990" w:rsidRDefault="008A2325" w:rsidP="007C52BC">
      <w:pPr>
        <w:pStyle w:val="BodyText"/>
      </w:pPr>
      <w:r>
        <w:t xml:space="preserve">Organisations </w:t>
      </w:r>
      <w:r w:rsidR="00402990">
        <w:t>report</w:t>
      </w:r>
      <w:r w:rsidR="008D0A8D">
        <w:t>ed</w:t>
      </w:r>
      <w:r w:rsidR="00402990">
        <w:t xml:space="preserve"> that they have made losses and incurred debt from past service delivery and cannot continue doing so</w:t>
      </w:r>
      <w:r>
        <w:t xml:space="preserve">, or that they avoid programs where funds cannot be used to cover wage costs. </w:t>
      </w:r>
      <w:r w:rsidR="00402990">
        <w:t xml:space="preserve">Others </w:t>
      </w:r>
      <w:r>
        <w:t xml:space="preserve">expressed </w:t>
      </w:r>
      <w:r w:rsidR="00402990">
        <w:t xml:space="preserve">concern about </w:t>
      </w:r>
      <w:r>
        <w:t xml:space="preserve">having to rely on </w:t>
      </w:r>
      <w:r w:rsidR="00402990">
        <w:t>volunteers</w:t>
      </w:r>
      <w:r>
        <w:t xml:space="preserve"> to deliver underfunded </w:t>
      </w:r>
      <w:proofErr w:type="gramStart"/>
      <w:r>
        <w:t>programs</w:t>
      </w:r>
      <w:r w:rsidR="00402990">
        <w:t>, and</w:t>
      </w:r>
      <w:proofErr w:type="gramEnd"/>
      <w:r w:rsidR="00402990">
        <w:t xml:space="preserve"> </w:t>
      </w:r>
      <w:r>
        <w:t xml:space="preserve">said they cannot </w:t>
      </w:r>
      <w:r w:rsidR="00402990">
        <w:t>apply because their volunteers lack time or capacity.</w:t>
      </w:r>
    </w:p>
    <w:p w14:paraId="28EB862E" w14:textId="26BF5BD2" w:rsidR="008D0A8D" w:rsidRDefault="008A2325" w:rsidP="00EF1CA2">
      <w:pPr>
        <w:pStyle w:val="BodyText"/>
      </w:pPr>
      <w:r>
        <w:t xml:space="preserve">Some organisations are, however, able to cover shortfalls. </w:t>
      </w:r>
      <w:r w:rsidR="007C52BC">
        <w:t xml:space="preserve">In the </w:t>
      </w:r>
      <w:r w:rsidR="002D42F6">
        <w:t>Service Costing survey</w:t>
      </w:r>
      <w:r w:rsidR="007C52BC">
        <w:t xml:space="preserve">, </w:t>
      </w:r>
      <w:r w:rsidR="00402990">
        <w:t>5</w:t>
      </w:r>
      <w:r w:rsidR="007B0150" w:rsidRPr="006E4872">
        <w:t xml:space="preserve">6% </w:t>
      </w:r>
      <w:r w:rsidR="007C52BC">
        <w:t>of leaders said their organisation</w:t>
      </w:r>
      <w:r w:rsidR="007B0150" w:rsidRPr="006E4872">
        <w:t xml:space="preserve"> applied </w:t>
      </w:r>
      <w:r w:rsidR="007C52BC">
        <w:t xml:space="preserve">for ACT funding </w:t>
      </w:r>
      <w:r w:rsidR="007B0150" w:rsidRPr="006E4872">
        <w:t xml:space="preserve">even though </w:t>
      </w:r>
      <w:r w:rsidR="007C52BC">
        <w:t xml:space="preserve">funding </w:t>
      </w:r>
      <w:r w:rsidR="007B0150" w:rsidRPr="006E4872">
        <w:t>arrangements required the organisation to</w:t>
      </w:r>
      <w:r w:rsidR="007B0150" w:rsidRPr="006E7C2F">
        <w:t xml:space="preserve"> cross-subsidise</w:t>
      </w:r>
      <w:r w:rsidR="007B0150">
        <w:t xml:space="preserve"> (</w:t>
      </w:r>
      <w:r w:rsidR="00EA52FC">
        <w:fldChar w:fldCharType="begin"/>
      </w:r>
      <w:r w:rsidR="00EA52FC">
        <w:instrText xml:space="preserve"> REF _Ref87976739 \h </w:instrText>
      </w:r>
      <w:r w:rsidR="00EA52FC">
        <w:fldChar w:fldCharType="separate"/>
      </w:r>
      <w:r w:rsidR="00E405AF" w:rsidRPr="001349AD">
        <w:t xml:space="preserve">Figure </w:t>
      </w:r>
      <w:r w:rsidR="00E405AF">
        <w:rPr>
          <w:noProof/>
        </w:rPr>
        <w:t>6</w:t>
      </w:r>
      <w:r w:rsidR="00E405AF">
        <w:t>.</w:t>
      </w:r>
      <w:r w:rsidR="00E405AF">
        <w:rPr>
          <w:noProof/>
        </w:rPr>
        <w:t>3</w:t>
      </w:r>
      <w:r w:rsidR="00EA52FC">
        <w:fldChar w:fldCharType="end"/>
      </w:r>
      <w:r w:rsidR="007B0150">
        <w:t>)</w:t>
      </w:r>
      <w:r w:rsidR="007B0150" w:rsidRPr="006E7C2F">
        <w:t>.</w:t>
      </w:r>
      <w:r w:rsidR="00EF1CA2">
        <w:t xml:space="preserve"> Of course, cross-subsidising is not necessarily negative: it can enable organisations to grow and diversify</w:t>
      </w:r>
      <w:r w:rsidR="00AD4367">
        <w:t xml:space="preserve">, and </w:t>
      </w:r>
      <w:r>
        <w:t xml:space="preserve">it </w:t>
      </w:r>
      <w:r w:rsidR="00AD4367">
        <w:t>provides a way to add value and achieve mission</w:t>
      </w:r>
      <w:r w:rsidR="00EF1CA2">
        <w:t>.</w:t>
      </w:r>
      <w:r w:rsidR="00EF1CA2">
        <w:rPr>
          <w:rStyle w:val="FootnoteReference"/>
        </w:rPr>
        <w:footnoteReference w:id="72"/>
      </w:r>
      <w:r w:rsidR="00EF1CA2">
        <w:t xml:space="preserve"> </w:t>
      </w:r>
      <w:r w:rsidR="008779AB">
        <w:t xml:space="preserve">While there are examples of organisations successfully cross-subsidising service delivery in the ACT, </w:t>
      </w:r>
      <w:r w:rsidR="00EF1CA2">
        <w:t xml:space="preserve">not all organisations can </w:t>
      </w:r>
      <w:r w:rsidR="008779AB">
        <w:t>do this. Further</w:t>
      </w:r>
      <w:r w:rsidR="00EF1CA2">
        <w:t xml:space="preserve">, </w:t>
      </w:r>
      <w:r w:rsidR="00402990" w:rsidRPr="009C4010">
        <w:t>fundraising</w:t>
      </w:r>
      <w:r>
        <w:t xml:space="preserve">, or establishing </w:t>
      </w:r>
      <w:r w:rsidR="008779AB">
        <w:t xml:space="preserve">and </w:t>
      </w:r>
      <w:r w:rsidR="008779AB">
        <w:lastRenderedPageBreak/>
        <w:t xml:space="preserve">maintaining additional </w:t>
      </w:r>
      <w:r>
        <w:t>revenue streams</w:t>
      </w:r>
      <w:r w:rsidR="008779AB">
        <w:t>,</w:t>
      </w:r>
      <w:r>
        <w:t xml:space="preserve"> itself</w:t>
      </w:r>
      <w:r w:rsidR="00402990" w:rsidRPr="009C4010">
        <w:t xml:space="preserve"> </w:t>
      </w:r>
      <w:r>
        <w:t>consumes</w:t>
      </w:r>
      <w:r w:rsidR="00402990">
        <w:t xml:space="preserve"> resources</w:t>
      </w:r>
      <w:r w:rsidR="00EF1CA2">
        <w:t xml:space="preserve">. </w:t>
      </w:r>
      <w:r w:rsidR="00AF2D6E">
        <w:t>As one leader</w:t>
      </w:r>
      <w:r>
        <w:t xml:space="preserve"> aptly</w:t>
      </w:r>
      <w:r w:rsidR="00AF2D6E">
        <w:t xml:space="preserve"> explained: “</w:t>
      </w:r>
      <w:r w:rsidR="00AF2D6E" w:rsidRPr="00785ADF">
        <w:t>The constant need to supplement funds from third parties distracts from the business at hand.</w:t>
      </w:r>
      <w:r w:rsidR="00AF2D6E">
        <w:t xml:space="preserve">”  </w:t>
      </w:r>
    </w:p>
    <w:p w14:paraId="6E9BE49D" w14:textId="534BEFCC" w:rsidR="00402990" w:rsidRDefault="008A2325" w:rsidP="00EF1CA2">
      <w:pPr>
        <w:pStyle w:val="BodyText"/>
      </w:pPr>
      <w:r>
        <w:t>An</w:t>
      </w:r>
      <w:r w:rsidR="008D0A8D">
        <w:t>other</w:t>
      </w:r>
      <w:r>
        <w:t xml:space="preserve"> response </w:t>
      </w:r>
      <w:r w:rsidR="008D0A8D">
        <w:t xml:space="preserve">for organisations determined to secure funding is to attempt to gain a competitive advantage by </w:t>
      </w:r>
      <w:r w:rsidR="000C6EAC">
        <w:t xml:space="preserve">offering services below cost. Indeed, </w:t>
      </w:r>
      <w:r w:rsidR="00402990">
        <w:fldChar w:fldCharType="begin"/>
      </w:r>
      <w:r w:rsidR="00402990">
        <w:instrText xml:space="preserve"> REF _Ref87976739 \h </w:instrText>
      </w:r>
      <w:r w:rsidR="00402990">
        <w:fldChar w:fldCharType="separate"/>
      </w:r>
      <w:r w:rsidR="00E405AF" w:rsidRPr="001349AD">
        <w:t xml:space="preserve">Figure </w:t>
      </w:r>
      <w:r w:rsidR="00E405AF">
        <w:rPr>
          <w:noProof/>
        </w:rPr>
        <w:t>6</w:t>
      </w:r>
      <w:r w:rsidR="00E405AF">
        <w:t>.</w:t>
      </w:r>
      <w:r w:rsidR="00E405AF">
        <w:rPr>
          <w:noProof/>
        </w:rPr>
        <w:t>3</w:t>
      </w:r>
      <w:r w:rsidR="00402990">
        <w:fldChar w:fldCharType="end"/>
      </w:r>
      <w:r w:rsidR="00402990">
        <w:t xml:space="preserve"> </w:t>
      </w:r>
      <w:r w:rsidR="000C6EAC">
        <w:t xml:space="preserve">indicates that </w:t>
      </w:r>
      <w:bookmarkStart w:id="94" w:name="_Hlk88748273"/>
      <w:r w:rsidR="000C6EAC">
        <w:t xml:space="preserve">a quarter of organisations had </w:t>
      </w:r>
      <w:r w:rsidR="00402990" w:rsidRPr="006E7C2F">
        <w:t>decided to offer services at below-cost</w:t>
      </w:r>
      <w:r w:rsidR="000C6EAC">
        <w:t>,</w:t>
      </w:r>
      <w:r w:rsidR="00402990" w:rsidRPr="006E7C2F">
        <w:t xml:space="preserve"> to ensure they were competitive</w:t>
      </w:r>
      <w:r w:rsidR="000C6EAC">
        <w:t>. This</w:t>
      </w:r>
      <w:r w:rsidR="00AC18CE">
        <w:t> </w:t>
      </w:r>
      <w:r w:rsidR="000C6EAC">
        <w:t>sends misleading signals to government about costs, and risks exacerbating pressures on the sector</w:t>
      </w:r>
      <w:r w:rsidR="00402990" w:rsidRPr="006E7C2F">
        <w:t>.</w:t>
      </w:r>
      <w:bookmarkEnd w:id="94"/>
    </w:p>
    <w:p w14:paraId="640B6ACD" w14:textId="1BB9C085" w:rsidR="007B0150" w:rsidRPr="00927A34" w:rsidRDefault="007B0150" w:rsidP="007B0150">
      <w:pPr>
        <w:pStyle w:val="Captiontable"/>
      </w:pPr>
      <w:bookmarkStart w:id="95" w:name="_Ref87976739"/>
      <w:bookmarkStart w:id="96" w:name="_Toc90019599"/>
      <w:r w:rsidRPr="001349AD">
        <w:t xml:space="preserve">Figure </w:t>
      </w:r>
      <w:fldSimple w:instr=" STYLEREF 1 \s ">
        <w:r w:rsidR="00E405AF">
          <w:rPr>
            <w:noProof/>
          </w:rPr>
          <w:t>6</w:t>
        </w:r>
      </w:fldSimple>
      <w:r w:rsidR="005A1A69">
        <w:t>.</w:t>
      </w:r>
      <w:fldSimple w:instr=" SEQ Figure \* ARABIC \s 1 ">
        <w:r w:rsidR="00E405AF">
          <w:rPr>
            <w:noProof/>
          </w:rPr>
          <w:t>3</w:t>
        </w:r>
      </w:fldSimple>
      <w:bookmarkEnd w:id="95"/>
      <w:r w:rsidRPr="001349AD">
        <w:tab/>
      </w:r>
      <w:r>
        <w:t xml:space="preserve">Decisions </w:t>
      </w:r>
      <w:r w:rsidR="00B6356B">
        <w:t>about</w:t>
      </w:r>
      <w:r>
        <w:t xml:space="preserve"> applying for ACT Government funding, in the last </w:t>
      </w:r>
      <w:r w:rsidR="00B6356B">
        <w:t>3</w:t>
      </w:r>
      <w:r>
        <w:t xml:space="preserve"> years</w:t>
      </w:r>
      <w:bookmarkEnd w:id="96"/>
    </w:p>
    <w:p w14:paraId="250D21E0" w14:textId="63A64DB7" w:rsidR="007B0150" w:rsidRPr="00EA52FC" w:rsidRDefault="007B0150" w:rsidP="00554250">
      <w:pPr>
        <w:pStyle w:val="BodyText"/>
        <w:rPr>
          <w:sz w:val="18"/>
          <w:szCs w:val="18"/>
        </w:rPr>
      </w:pPr>
      <w:r>
        <w:rPr>
          <w:noProof/>
        </w:rPr>
        <w:drawing>
          <wp:inline distT="0" distB="0" distL="0" distR="0" wp14:anchorId="1A31D5DE" wp14:editId="709B7C92">
            <wp:extent cx="6591300" cy="2347784"/>
            <wp:effectExtent l="0" t="0" r="0" b="0"/>
            <wp:docPr id="47" name="Chart 47" descr="Figure 6.3 is a bar graph depicting decisions about applying for ACT Government funding in the last three year as percentages. &#10;&#10;It shows the majority decided not to apply for funding because it wouldn't cover costs. ">
              <a:extLst xmlns:a="http://schemas.openxmlformats.org/drawingml/2006/main">
                <a:ext uri="{FF2B5EF4-FFF2-40B4-BE49-F238E27FC236}">
                  <a16:creationId xmlns:a16="http://schemas.microsoft.com/office/drawing/2014/main" id="{FFDAC052-D117-4CF8-8557-B1A5359F8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C6EAC">
        <w:rPr>
          <w:sz w:val="18"/>
          <w:szCs w:val="18"/>
        </w:rPr>
        <w:t xml:space="preserve">Note: </w:t>
      </w:r>
      <w:r w:rsidR="00554250" w:rsidRPr="00554250">
        <w:rPr>
          <w:sz w:val="18"/>
          <w:szCs w:val="18"/>
        </w:rPr>
        <w:t>Source: ACT Service Costing Survey, 2021</w:t>
      </w:r>
      <w:r w:rsidR="00554250">
        <w:rPr>
          <w:sz w:val="18"/>
          <w:szCs w:val="18"/>
        </w:rPr>
        <w:t xml:space="preserve">. </w:t>
      </w:r>
      <w:r w:rsidRPr="000C6EAC">
        <w:rPr>
          <w:sz w:val="18"/>
          <w:szCs w:val="18"/>
        </w:rPr>
        <w:t>Data, including a breakdown by ACT funding source, is in Supplementary Data (</w:t>
      </w:r>
      <w:r w:rsidR="00EA52FC">
        <w:rPr>
          <w:sz w:val="18"/>
          <w:szCs w:val="18"/>
        </w:rPr>
        <w:fldChar w:fldCharType="begin"/>
      </w:r>
      <w:r w:rsidR="00EA52FC">
        <w:rPr>
          <w:sz w:val="18"/>
          <w:szCs w:val="18"/>
        </w:rPr>
        <w:instrText xml:space="preserve"> REF _Ref88832976 \h  \* MERGEFORMAT </w:instrText>
      </w:r>
      <w:r w:rsidR="00EA52FC">
        <w:rPr>
          <w:sz w:val="18"/>
          <w:szCs w:val="18"/>
        </w:rPr>
      </w:r>
      <w:r w:rsidR="00EA52FC">
        <w:rPr>
          <w:sz w:val="18"/>
          <w:szCs w:val="18"/>
        </w:rPr>
        <w:fldChar w:fldCharType="separate"/>
      </w:r>
      <w:r w:rsidR="00E405AF" w:rsidRPr="00E405AF">
        <w:rPr>
          <w:sz w:val="18"/>
          <w:szCs w:val="18"/>
        </w:rPr>
        <w:t>Table C. 11</w:t>
      </w:r>
      <w:r w:rsidR="00EA52FC">
        <w:rPr>
          <w:sz w:val="18"/>
          <w:szCs w:val="18"/>
        </w:rPr>
        <w:fldChar w:fldCharType="end"/>
      </w:r>
      <w:r w:rsidR="00EA52FC">
        <w:rPr>
          <w:sz w:val="18"/>
          <w:szCs w:val="18"/>
        </w:rPr>
        <w:t>)</w:t>
      </w:r>
      <w:r w:rsidRPr="000C6EAC">
        <w:rPr>
          <w:sz w:val="18"/>
          <w:szCs w:val="18"/>
        </w:rPr>
        <w:t>.</w:t>
      </w:r>
    </w:p>
    <w:p w14:paraId="7910750B" w14:textId="4BA393C9" w:rsidR="00AD4367" w:rsidRDefault="00AD4367" w:rsidP="008D0A8D">
      <w:pPr>
        <w:pStyle w:val="Caption"/>
        <w:spacing w:before="60" w:afterLines="60" w:after="144"/>
      </w:pPr>
      <w:bookmarkStart w:id="97" w:name="_Toc90019591"/>
      <w:r>
        <w:t xml:space="preserve">Table </w:t>
      </w:r>
      <w:fldSimple w:instr=" STYLEREF 1 \s ">
        <w:r w:rsidR="00E405AF">
          <w:rPr>
            <w:noProof/>
          </w:rPr>
          <w:t>6</w:t>
        </w:r>
      </w:fldSimple>
      <w:r w:rsidR="00911AB3">
        <w:t>.</w:t>
      </w:r>
      <w:fldSimple w:instr=" SEQ Table \* ARABIC \s 1 ">
        <w:r w:rsidR="00E405AF">
          <w:rPr>
            <w:noProof/>
          </w:rPr>
          <w:t>2</w:t>
        </w:r>
      </w:fldSimple>
      <w:r w:rsidR="002760D1">
        <w:tab/>
        <w:t xml:space="preserve">Leaders’ comments on </w:t>
      </w:r>
      <w:r w:rsidR="00A01B44">
        <w:t>consideration when</w:t>
      </w:r>
      <w:r w:rsidR="002760D1">
        <w:t xml:space="preserve"> apply</w:t>
      </w:r>
      <w:r w:rsidR="00A01B44">
        <w:t>ing</w:t>
      </w:r>
      <w:r w:rsidR="002760D1">
        <w:t xml:space="preserve"> for ACT funding</w:t>
      </w:r>
      <w:bookmarkEnd w:id="97"/>
    </w:p>
    <w:tbl>
      <w:tblPr>
        <w:tblStyle w:val="Style3"/>
        <w:tblW w:w="0" w:type="auto"/>
        <w:tblLook w:val="04A0" w:firstRow="1" w:lastRow="0" w:firstColumn="1" w:lastColumn="0" w:noHBand="0" w:noVBand="1"/>
      </w:tblPr>
      <w:tblGrid>
        <w:gridCol w:w="2405"/>
        <w:gridCol w:w="7366"/>
      </w:tblGrid>
      <w:tr w:rsidR="00AD4367" w:rsidRPr="003A638C" w14:paraId="60993E70" w14:textId="77777777" w:rsidTr="004809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2EC7CB3C" w14:textId="0D5DFBD7" w:rsidR="00AD4367" w:rsidRPr="003A638C" w:rsidRDefault="00AD4367" w:rsidP="008D0A8D">
            <w:pPr>
              <w:pStyle w:val="BodyText"/>
              <w:spacing w:before="60" w:afterLines="60" w:after="144" w:line="240" w:lineRule="auto"/>
              <w:rPr>
                <w:b/>
                <w:bCs/>
                <w:color w:val="FFFFFF" w:themeColor="background1"/>
                <w:sz w:val="20"/>
                <w:szCs w:val="20"/>
              </w:rPr>
            </w:pPr>
            <w:r w:rsidRPr="003A638C">
              <w:rPr>
                <w:b/>
                <w:bCs/>
                <w:color w:val="FFFFFF" w:themeColor="background1"/>
                <w:sz w:val="20"/>
                <w:szCs w:val="20"/>
              </w:rPr>
              <w:t>Issue</w:t>
            </w:r>
          </w:p>
        </w:tc>
        <w:tc>
          <w:tcPr>
            <w:tcW w:w="7366" w:type="dxa"/>
          </w:tcPr>
          <w:p w14:paraId="41CC95BD" w14:textId="63BE61BE" w:rsidR="00AD4367" w:rsidRPr="003A638C" w:rsidRDefault="00AD4367" w:rsidP="008D0A8D">
            <w:pPr>
              <w:pStyle w:val="BodyText"/>
              <w:spacing w:before="60" w:afterLines="60" w:after="144"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Leaders’ comments</w:t>
            </w:r>
          </w:p>
        </w:tc>
      </w:tr>
      <w:tr w:rsidR="00AD4367" w:rsidRPr="003A638C" w14:paraId="474CC658" w14:textId="77777777" w:rsidTr="003A6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FD332A" w14:textId="0EE2F95E" w:rsidR="00AD4367" w:rsidRPr="003A638C" w:rsidRDefault="00AD4367" w:rsidP="008D0A8D">
            <w:pPr>
              <w:pStyle w:val="BodyText"/>
              <w:spacing w:before="60" w:afterLines="60" w:after="144" w:line="240" w:lineRule="auto"/>
              <w:rPr>
                <w:sz w:val="20"/>
                <w:szCs w:val="20"/>
              </w:rPr>
            </w:pPr>
            <w:r w:rsidRPr="003A638C">
              <w:rPr>
                <w:sz w:val="20"/>
                <w:szCs w:val="20"/>
              </w:rPr>
              <w:t>Organisations strategically pursue funding that is aligned to their purpose and mission</w:t>
            </w:r>
          </w:p>
        </w:tc>
        <w:tc>
          <w:tcPr>
            <w:tcW w:w="7366" w:type="dxa"/>
          </w:tcPr>
          <w:p w14:paraId="5C653712" w14:textId="77777777" w:rsidR="00AD4367" w:rsidRPr="003A638C" w:rsidRDefault="00AD4367" w:rsidP="008D0A8D">
            <w:pPr>
              <w:pStyle w:val="Quote"/>
              <w:spacing w:before="60" w:afterLines="60" w:after="144"/>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Applying for tenders is primarily based on addressing unmet needs of vulnerable population</w:t>
            </w:r>
          </w:p>
          <w:p w14:paraId="31FE849B" w14:textId="77777777" w:rsidR="00AD4367" w:rsidRPr="003A638C" w:rsidRDefault="00AD4367" w:rsidP="008D0A8D">
            <w:pPr>
              <w:pStyle w:val="Quote"/>
              <w:spacing w:before="60" w:afterLines="60" w:after="144"/>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Mission alignment is key - it must meet our strategic goals and deliver for our clients.  Where possible, we also aim to have the project meet all costs, but this rarely happens</w:t>
            </w:r>
          </w:p>
          <w:p w14:paraId="5009EE42" w14:textId="77777777" w:rsidR="00AD4367" w:rsidRPr="003A638C" w:rsidRDefault="00AD4367" w:rsidP="008D0A8D">
            <w:pPr>
              <w:pStyle w:val="BodyText"/>
              <w:spacing w:before="60" w:afterLines="60" w:after="144"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We only apply for funding where we see health gap in the community that would benefit from our expertise and support</w:t>
            </w:r>
          </w:p>
          <w:p w14:paraId="19A0C25A" w14:textId="1759C627" w:rsidR="00F107E0" w:rsidRPr="003A638C" w:rsidRDefault="00AD4367" w:rsidP="008D0A8D">
            <w:pPr>
              <w:pStyle w:val="BodyText"/>
              <w:spacing w:before="60" w:afterLines="60" w:after="144"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iCs/>
                <w:color w:val="000000" w:themeColor="text1"/>
                <w:sz w:val="20"/>
                <w:szCs w:val="20"/>
              </w:rPr>
              <w:t>We very much do not apply for funding for the sake of it. Each year we highlight areas of focus and seek grants/tenders aligns to that.</w:t>
            </w:r>
          </w:p>
        </w:tc>
      </w:tr>
      <w:tr w:rsidR="00AD4367" w:rsidRPr="003A638C" w14:paraId="49F8BAB3" w14:textId="77777777" w:rsidTr="003A6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3B502F" w14:textId="600BBBFC" w:rsidR="00AD4367" w:rsidRPr="003A638C" w:rsidRDefault="00AD4367" w:rsidP="008D0A8D">
            <w:pPr>
              <w:pStyle w:val="BodyText"/>
              <w:spacing w:before="60" w:afterLines="60" w:after="144" w:line="240" w:lineRule="auto"/>
              <w:rPr>
                <w:sz w:val="20"/>
                <w:szCs w:val="20"/>
              </w:rPr>
            </w:pPr>
            <w:r w:rsidRPr="003A638C">
              <w:rPr>
                <w:sz w:val="20"/>
                <w:szCs w:val="20"/>
              </w:rPr>
              <w:t>Sustainability is not a sufficient priority in the ACT’s approach to tendering.</w:t>
            </w:r>
          </w:p>
          <w:p w14:paraId="6761FB07" w14:textId="034331EB" w:rsidR="00AD4367" w:rsidRPr="003A638C" w:rsidRDefault="00AD4367" w:rsidP="008D0A8D">
            <w:pPr>
              <w:pStyle w:val="BodyText"/>
              <w:spacing w:before="60" w:afterLines="60" w:after="144" w:line="240" w:lineRule="auto"/>
              <w:rPr>
                <w:sz w:val="20"/>
                <w:szCs w:val="20"/>
              </w:rPr>
            </w:pPr>
          </w:p>
        </w:tc>
        <w:tc>
          <w:tcPr>
            <w:tcW w:w="7366" w:type="dxa"/>
          </w:tcPr>
          <w:p w14:paraId="1741FE22" w14:textId="77777777" w:rsidR="00AD4367" w:rsidRPr="003A638C" w:rsidRDefault="00AD4367" w:rsidP="008D0A8D">
            <w:pPr>
              <w:pStyle w:val="BodyText"/>
              <w:spacing w:before="60" w:afterLines="60" w:after="144"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The competitive nature of funding </w:t>
            </w:r>
            <w:r w:rsidRPr="003A638C">
              <w:rPr>
                <w:iCs/>
                <w:color w:val="000000" w:themeColor="text1"/>
                <w:sz w:val="20"/>
                <w:szCs w:val="20"/>
              </w:rPr>
              <w:t>application</w:t>
            </w:r>
            <w:r w:rsidRPr="003A638C">
              <w:rPr>
                <w:sz w:val="20"/>
                <w:szCs w:val="20"/>
              </w:rPr>
              <w:t xml:space="preserve"> rounds forces agencies to tender in a manner where sustainability is not a consideration or a possibility.</w:t>
            </w:r>
          </w:p>
          <w:p w14:paraId="34E82C50" w14:textId="3A73C3BD" w:rsidR="00AD4367" w:rsidRPr="003A638C" w:rsidRDefault="00AD4367" w:rsidP="008D0A8D">
            <w:pPr>
              <w:pStyle w:val="BodyText"/>
              <w:spacing w:before="60" w:afterLines="60" w:after="144"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If you apply for the true cost of a </w:t>
            </w:r>
            <w:proofErr w:type="gramStart"/>
            <w:r w:rsidRPr="003A638C">
              <w:rPr>
                <w:sz w:val="20"/>
                <w:szCs w:val="20"/>
              </w:rPr>
              <w:t>program</w:t>
            </w:r>
            <w:proofErr w:type="gramEnd"/>
            <w:r w:rsidRPr="003A638C">
              <w:rPr>
                <w:sz w:val="20"/>
                <w:szCs w:val="20"/>
              </w:rPr>
              <w:t xml:space="preserve"> it won't get funded, but if you apply for less then you fail to deliver you'll be concerned about rolling over work that is then unfunded</w:t>
            </w:r>
          </w:p>
        </w:tc>
      </w:tr>
      <w:tr w:rsidR="00AD4367" w:rsidRPr="003A638C" w14:paraId="2BE9A09F" w14:textId="77777777" w:rsidTr="003A6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1F435C" w14:textId="19107C96" w:rsidR="00AD4367" w:rsidRPr="003A638C" w:rsidRDefault="00C95008" w:rsidP="008D0A8D">
            <w:pPr>
              <w:pStyle w:val="BodyText"/>
              <w:spacing w:before="60" w:afterLines="60" w:after="144" w:line="240" w:lineRule="auto"/>
              <w:rPr>
                <w:sz w:val="20"/>
                <w:szCs w:val="20"/>
              </w:rPr>
            </w:pPr>
            <w:r>
              <w:rPr>
                <w:sz w:val="20"/>
                <w:szCs w:val="20"/>
              </w:rPr>
              <w:t>Some funding challenges arise from organisations, not only government</w:t>
            </w:r>
          </w:p>
        </w:tc>
        <w:tc>
          <w:tcPr>
            <w:tcW w:w="7366" w:type="dxa"/>
          </w:tcPr>
          <w:p w14:paraId="5868148F" w14:textId="0C6CB90C" w:rsidR="00AD4367" w:rsidRPr="003A638C" w:rsidRDefault="00AD4367" w:rsidP="008D0A8D">
            <w:pPr>
              <w:pStyle w:val="BodyText"/>
              <w:spacing w:before="60" w:afterLines="60" w:after="144"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CEO's 'success' is also often tied to getting grants, even if this is not necessarily the best thing for an organisation. Some funding challenges are also board-related as well as government related.</w:t>
            </w:r>
          </w:p>
        </w:tc>
      </w:tr>
    </w:tbl>
    <w:p w14:paraId="0CA2E7BC" w14:textId="77777777" w:rsidR="00554250" w:rsidRPr="00554250" w:rsidRDefault="00554250" w:rsidP="00554250">
      <w:pPr>
        <w:pStyle w:val="BodyText"/>
        <w:rPr>
          <w:sz w:val="18"/>
          <w:szCs w:val="18"/>
        </w:rPr>
      </w:pPr>
      <w:r w:rsidRPr="00554250">
        <w:rPr>
          <w:sz w:val="18"/>
          <w:szCs w:val="18"/>
        </w:rPr>
        <w:t>Source: ACT Service Costing Survey, 2021</w:t>
      </w:r>
    </w:p>
    <w:p w14:paraId="49C1B301" w14:textId="265C556D" w:rsidR="00D626A1" w:rsidRDefault="00D626A1" w:rsidP="006E6C6C">
      <w:pPr>
        <w:pStyle w:val="Heading2"/>
      </w:pPr>
      <w:bookmarkStart w:id="98" w:name="_Ref88121321"/>
      <w:bookmarkStart w:id="99" w:name="_Toc88753139"/>
      <w:bookmarkStart w:id="100" w:name="_Toc90019569"/>
      <w:r>
        <w:lastRenderedPageBreak/>
        <w:t xml:space="preserve">Staffing and service delivery </w:t>
      </w:r>
      <w:bookmarkEnd w:id="98"/>
      <w:r w:rsidR="00B12862">
        <w:t>responses</w:t>
      </w:r>
      <w:bookmarkEnd w:id="99"/>
      <w:bookmarkEnd w:id="100"/>
    </w:p>
    <w:p w14:paraId="600A4166" w14:textId="00D0C681" w:rsidR="00EA7331" w:rsidRDefault="004A308F" w:rsidP="00102697">
      <w:pPr>
        <w:pStyle w:val="BodyText"/>
      </w:pPr>
      <w:r>
        <w:t xml:space="preserve">Organisations use multiple strategies to manage inadequate funding </w:t>
      </w:r>
      <w:proofErr w:type="gramStart"/>
      <w:r>
        <w:t>levels, and</w:t>
      </w:r>
      <w:proofErr w:type="gramEnd"/>
      <w:r>
        <w:t xml:space="preserve"> try to ensure they do not impact on clients and communities.</w:t>
      </w:r>
      <w:r>
        <w:rPr>
          <w:rStyle w:val="FootnoteReference"/>
        </w:rPr>
        <w:footnoteReference w:id="73"/>
      </w:r>
      <w:r>
        <w:t xml:space="preserve"> </w:t>
      </w:r>
      <w:r w:rsidR="00102697">
        <w:t xml:space="preserve">The most common strategy </w:t>
      </w:r>
      <w:r w:rsidR="000C6EAC">
        <w:t xml:space="preserve">that </w:t>
      </w:r>
      <w:r w:rsidR="00102697">
        <w:t xml:space="preserve">organisations </w:t>
      </w:r>
      <w:r w:rsidR="000C6EAC">
        <w:t xml:space="preserve">reported using to manage </w:t>
      </w:r>
      <w:r w:rsidR="00102697">
        <w:t xml:space="preserve">their ACT funding </w:t>
      </w:r>
      <w:r w:rsidR="000C6EAC">
        <w:t xml:space="preserve">was finding </w:t>
      </w:r>
      <w:r w:rsidR="00102697">
        <w:t>creative solutions to overcome resource constraints</w:t>
      </w:r>
      <w:r w:rsidR="000C6EAC">
        <w:t xml:space="preserve">. This was </w:t>
      </w:r>
      <w:r w:rsidR="00102697">
        <w:t>used by 59% of organisations</w:t>
      </w:r>
      <w:r w:rsidR="000C6EAC">
        <w:t xml:space="preserve"> (</w:t>
      </w:r>
      <w:r w:rsidR="003363B4">
        <w:fldChar w:fldCharType="begin"/>
      </w:r>
      <w:r w:rsidR="003363B4">
        <w:instrText xml:space="preserve"> REF _Ref88833144 \h </w:instrText>
      </w:r>
      <w:r w:rsidR="003363B4">
        <w:fldChar w:fldCharType="separate"/>
      </w:r>
      <w:r w:rsidR="00E405AF">
        <w:t xml:space="preserve">Table C. </w:t>
      </w:r>
      <w:r w:rsidR="00E405AF">
        <w:rPr>
          <w:noProof/>
        </w:rPr>
        <w:t>9</w:t>
      </w:r>
      <w:r w:rsidR="003363B4">
        <w:fldChar w:fldCharType="end"/>
      </w:r>
      <w:r w:rsidR="00102697">
        <w:t xml:space="preserve">). </w:t>
      </w:r>
      <w:r w:rsidR="00EA7331">
        <w:t xml:space="preserve">However, in their comments, sector leaders sometimes explained that constantly finding new creative ways to do more with less was exhausting and dispiriting (see Section </w:t>
      </w:r>
      <w:r w:rsidR="003363B4">
        <w:fldChar w:fldCharType="begin"/>
      </w:r>
      <w:r w:rsidR="003363B4">
        <w:instrText xml:space="preserve"> REF _Ref88833175 \r \h </w:instrText>
      </w:r>
      <w:r w:rsidR="003363B4">
        <w:fldChar w:fldCharType="separate"/>
      </w:r>
      <w:r w:rsidR="00E405AF">
        <w:t>7.4</w:t>
      </w:r>
      <w:r w:rsidR="003363B4">
        <w:fldChar w:fldCharType="end"/>
      </w:r>
      <w:r w:rsidR="00EA7331">
        <w:t>).</w:t>
      </w:r>
    </w:p>
    <w:p w14:paraId="3DBD080B" w14:textId="77777777" w:rsidR="0034638F" w:rsidRDefault="0034638F" w:rsidP="00102697">
      <w:pPr>
        <w:pStyle w:val="BodyText"/>
      </w:pPr>
      <w:r>
        <w:rPr>
          <w:noProof/>
        </w:rPr>
        <mc:AlternateContent>
          <mc:Choice Requires="wps">
            <w:drawing>
              <wp:inline distT="0" distB="0" distL="0" distR="0" wp14:anchorId="6AADF9E8" wp14:editId="2F593630">
                <wp:extent cx="2957830" cy="2457450"/>
                <wp:effectExtent l="76200" t="57150" r="71120" b="9525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457450"/>
                        </a:xfrm>
                        <a:prstGeom prst="rect">
                          <a:avLst/>
                        </a:prstGeom>
                        <a:solidFill>
                          <a:schemeClr val="accent6">
                            <a:lumMod val="20000"/>
                            <a:lumOff val="80000"/>
                          </a:schemeClr>
                        </a:solidFill>
                        <a:ln>
                          <a:headEnd/>
                          <a:tailEnd/>
                        </a:ln>
                      </wps:spPr>
                      <wps:style>
                        <a:lnRef idx="3">
                          <a:schemeClr val="lt1"/>
                        </a:lnRef>
                        <a:fillRef idx="1">
                          <a:schemeClr val="accent3"/>
                        </a:fillRef>
                        <a:effectRef idx="1">
                          <a:schemeClr val="accent3"/>
                        </a:effectRef>
                        <a:fontRef idx="minor">
                          <a:schemeClr val="lt1"/>
                        </a:fontRef>
                      </wps:style>
                      <wps:txbx>
                        <w:txbxContent>
                          <w:p w14:paraId="0CF21ED9" w14:textId="77777777" w:rsidR="0034638F" w:rsidRDefault="0034638F" w:rsidP="0034638F">
                            <w:pPr>
                              <w:rPr>
                                <w:rFonts w:asciiTheme="majorHAnsi" w:hAnsiTheme="majorHAnsi" w:cs="Calibri" w:hint="eastAsia"/>
                              </w:rPr>
                            </w:pPr>
                            <w:r w:rsidRPr="001D6377">
                              <w:rPr>
                                <w:rFonts w:asciiTheme="majorHAnsi" w:hAnsiTheme="majorHAnsi" w:cs="Calibri"/>
                              </w:rPr>
                              <w:t xml:space="preserve">Funding has not matched increased wage costs or overheads, as a result we have at times had to take lower skilled workers to deliver services and look to grow them, and there is no funding for additional training, </w:t>
                            </w:r>
                            <w:proofErr w:type="gramStart"/>
                            <w:r w:rsidRPr="001D6377">
                              <w:rPr>
                                <w:rFonts w:asciiTheme="majorHAnsi" w:hAnsiTheme="majorHAnsi" w:cs="Calibri"/>
                              </w:rPr>
                              <w:t>research</w:t>
                            </w:r>
                            <w:proofErr w:type="gramEnd"/>
                            <w:r w:rsidRPr="001D6377">
                              <w:rPr>
                                <w:rFonts w:asciiTheme="majorHAnsi" w:hAnsiTheme="majorHAnsi" w:cs="Calibri"/>
                              </w:rPr>
                              <w:t xml:space="preserve"> or innovation.  </w:t>
                            </w:r>
                          </w:p>
                          <w:p w14:paraId="3F961099" w14:textId="77777777" w:rsidR="0034638F" w:rsidRDefault="0034638F" w:rsidP="0034638F">
                            <w:pPr>
                              <w:rPr>
                                <w:rFonts w:asciiTheme="majorHAnsi" w:hAnsiTheme="majorHAnsi" w:cs="Calibri" w:hint="eastAsia"/>
                              </w:rPr>
                            </w:pPr>
                            <w:r w:rsidRPr="001D6377">
                              <w:rPr>
                                <w:rFonts w:asciiTheme="majorHAnsi" w:hAnsiTheme="majorHAnsi" w:cs="Calibri"/>
                              </w:rPr>
                              <w:t xml:space="preserve">Management is stretched very thin, and there is a concern that we are moving away from quality as a result - which could have devastating results for an under skilled, overcapacity workforce. </w:t>
                            </w:r>
                          </w:p>
                        </w:txbxContent>
                      </wps:txbx>
                      <wps:bodyPr rot="0" vert="horz" wrap="square" lIns="91440" tIns="45720" rIns="91440" bIns="45720" anchor="t" anchorCtr="0">
                        <a:noAutofit/>
                      </wps:bodyPr>
                    </wps:wsp>
                  </a:graphicData>
                </a:graphic>
              </wp:inline>
            </w:drawing>
          </mc:Choice>
          <mc:Fallback>
            <w:pict>
              <v:shape w14:anchorId="6AADF9E8" id="_x0000_s1027" type="#_x0000_t202" style="width:232.9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" fillcolor="#e4eaf0 [665]" strokecolor="white [3201]" strokeweight="3pt">
                <v:shadow on="t" color="black" opacity="24903f" origin=",.5" offset="0,.55556mm"/>
                <v:textbox>
                  <w:txbxContent>
                    <w:p w14:paraId="0CF21ED9" w14:textId="77777777" w:rsidR="0034638F" w:rsidRDefault="0034638F" w:rsidP="0034638F">
                      <w:pPr>
                        <w:rPr>
                          <w:rFonts w:asciiTheme="majorHAnsi" w:hAnsiTheme="majorHAnsi" w:cs="Calibri" w:hint="eastAsia"/>
                        </w:rPr>
                      </w:pPr>
                      <w:r w:rsidRPr="001D6377">
                        <w:rPr>
                          <w:rFonts w:asciiTheme="majorHAnsi" w:hAnsiTheme="majorHAnsi" w:cs="Calibri"/>
                        </w:rPr>
                        <w:t xml:space="preserve">Funding has not matched increased wage costs or overheads, as a result we have at times had to take lower skilled workers to deliver services and look to grow them, and there is no funding for additional training, </w:t>
                      </w:r>
                      <w:proofErr w:type="gramStart"/>
                      <w:r w:rsidRPr="001D6377">
                        <w:rPr>
                          <w:rFonts w:asciiTheme="majorHAnsi" w:hAnsiTheme="majorHAnsi" w:cs="Calibri"/>
                        </w:rPr>
                        <w:t>research</w:t>
                      </w:r>
                      <w:proofErr w:type="gramEnd"/>
                      <w:r w:rsidRPr="001D6377">
                        <w:rPr>
                          <w:rFonts w:asciiTheme="majorHAnsi" w:hAnsiTheme="majorHAnsi" w:cs="Calibri"/>
                        </w:rPr>
                        <w:t xml:space="preserve"> or innovation.  </w:t>
                      </w:r>
                    </w:p>
                    <w:p w14:paraId="3F961099" w14:textId="77777777" w:rsidR="0034638F" w:rsidRDefault="0034638F" w:rsidP="0034638F">
                      <w:pPr>
                        <w:rPr>
                          <w:rFonts w:asciiTheme="majorHAnsi" w:hAnsiTheme="majorHAnsi" w:cs="Calibri" w:hint="eastAsia"/>
                        </w:rPr>
                      </w:pPr>
                      <w:r w:rsidRPr="001D6377">
                        <w:rPr>
                          <w:rFonts w:asciiTheme="majorHAnsi" w:hAnsiTheme="majorHAnsi" w:cs="Calibri"/>
                        </w:rPr>
                        <w:t xml:space="preserve">Management is stretched very thin, and there is a concern that we are moving away from quality as a result - which could have devastating results for an under skilled, overcapacity workforce. </w:t>
                      </w:r>
                    </w:p>
                  </w:txbxContent>
                </v:textbox>
                <w10:anchorlock/>
              </v:shape>
            </w:pict>
          </mc:Fallback>
        </mc:AlternateContent>
      </w:r>
    </w:p>
    <w:p w14:paraId="135D824C" w14:textId="17EA721A" w:rsidR="006148F5" w:rsidRDefault="00EA7331" w:rsidP="0034638F">
      <w:pPr>
        <w:pStyle w:val="BodyText"/>
      </w:pPr>
      <w:r>
        <w:t>Other strategies</w:t>
      </w:r>
      <w:r w:rsidR="00EC4E5B">
        <w:t xml:space="preserve"> used by organisations</w:t>
      </w:r>
      <w:r w:rsidR="004A308F">
        <w:t xml:space="preserve"> </w:t>
      </w:r>
      <w:r>
        <w:t xml:space="preserve">potentially </w:t>
      </w:r>
      <w:r w:rsidR="00102697">
        <w:t>place quality at risk</w:t>
      </w:r>
      <w:r w:rsidR="004A308F">
        <w:t>:</w:t>
      </w:r>
    </w:p>
    <w:p w14:paraId="552CDC34" w14:textId="4CF2A2D4" w:rsidR="00102697" w:rsidRDefault="00102697" w:rsidP="00102697">
      <w:pPr>
        <w:pStyle w:val="BodyText"/>
        <w:numPr>
          <w:ilvl w:val="0"/>
          <w:numId w:val="20"/>
        </w:numPr>
      </w:pPr>
      <w:r>
        <w:t xml:space="preserve">Around half </w:t>
      </w:r>
      <w:r w:rsidR="004A308F">
        <w:t xml:space="preserve">of leaders </w:t>
      </w:r>
      <w:r>
        <w:t xml:space="preserve">(51%) said they </w:t>
      </w:r>
      <w:r w:rsidR="00900133">
        <w:t xml:space="preserve">had </w:t>
      </w:r>
      <w:r>
        <w:t>used casual or short-term staff</w:t>
      </w:r>
      <w:r w:rsidR="00900133">
        <w:t xml:space="preserve"> to help manage their ACT funding</w:t>
      </w:r>
      <w:r>
        <w:t xml:space="preserve">. </w:t>
      </w:r>
    </w:p>
    <w:p w14:paraId="3508A290" w14:textId="44E85C88" w:rsidR="00102697" w:rsidRDefault="00102697" w:rsidP="00102697">
      <w:pPr>
        <w:pStyle w:val="BodyText"/>
        <w:numPr>
          <w:ilvl w:val="0"/>
          <w:numId w:val="20"/>
        </w:numPr>
      </w:pPr>
      <w:r>
        <w:t xml:space="preserve">Almost 2 in 5 needed workers to perform tasks above their classification due to lack of funds (39%) </w:t>
      </w:r>
    </w:p>
    <w:p w14:paraId="275148D4" w14:textId="2BB67F0E" w:rsidR="00102697" w:rsidRDefault="004A308F" w:rsidP="00102697">
      <w:pPr>
        <w:pStyle w:val="BodyText"/>
        <w:numPr>
          <w:ilvl w:val="0"/>
          <w:numId w:val="20"/>
        </w:numPr>
      </w:pPr>
      <w:r>
        <w:t xml:space="preserve">Almost </w:t>
      </w:r>
      <w:r w:rsidR="00102697">
        <w:t xml:space="preserve">2 in 5 </w:t>
      </w:r>
      <w:r>
        <w:t xml:space="preserve">(38%) </w:t>
      </w:r>
      <w:r w:rsidR="00102697">
        <w:t>use</w:t>
      </w:r>
      <w:r>
        <w:t>d</w:t>
      </w:r>
      <w:r w:rsidR="00102697">
        <w:t xml:space="preserve"> volunteers because of lack of funds to pay employees. </w:t>
      </w:r>
    </w:p>
    <w:p w14:paraId="7463B0AC" w14:textId="1568FC17" w:rsidR="00102697" w:rsidRDefault="00602BC7" w:rsidP="00102697">
      <w:pPr>
        <w:pStyle w:val="BodyText"/>
        <w:numPr>
          <w:ilvl w:val="0"/>
          <w:numId w:val="20"/>
        </w:numPr>
      </w:pPr>
      <w:r>
        <w:t>T</w:t>
      </w:r>
      <w:r w:rsidR="00102697">
        <w:t xml:space="preserve">here is also evidence </w:t>
      </w:r>
      <w:r>
        <w:t xml:space="preserve">that </w:t>
      </w:r>
      <w:r w:rsidR="00102697">
        <w:t>resource constraints</w:t>
      </w:r>
      <w:r>
        <w:t xml:space="preserve"> cause services to narrow their client focus</w:t>
      </w:r>
      <w:r w:rsidR="00102697">
        <w:t xml:space="preserve">. While </w:t>
      </w:r>
      <w:r>
        <w:t xml:space="preserve">some services deliver </w:t>
      </w:r>
      <w:r w:rsidR="00102697">
        <w:t>narrow</w:t>
      </w:r>
      <w:r>
        <w:t>ly</w:t>
      </w:r>
      <w:r w:rsidR="00102697">
        <w:t xml:space="preserve"> target</w:t>
      </w:r>
      <w:r>
        <w:t>ed, specialised services, one</w:t>
      </w:r>
      <w:r w:rsidR="00102697">
        <w:t xml:space="preserve"> third (34%) of organisations said they had targeted specific groups of clients in response to limited funds or staffing constraints. </w:t>
      </w:r>
    </w:p>
    <w:p w14:paraId="2F7DB783" w14:textId="44FC7964" w:rsidR="00102697" w:rsidRDefault="00102697" w:rsidP="00102697">
      <w:pPr>
        <w:pStyle w:val="BodyText"/>
        <w:numPr>
          <w:ilvl w:val="0"/>
          <w:numId w:val="20"/>
        </w:numPr>
      </w:pPr>
      <w:r>
        <w:t>A quarter</w:t>
      </w:r>
      <w:r w:rsidR="00602BC7">
        <w:t xml:space="preserve"> said they</w:t>
      </w:r>
      <w:r>
        <w:t xml:space="preserve"> used staff with qualifications below what </w:t>
      </w:r>
      <w:r w:rsidR="00900133">
        <w:t xml:space="preserve">they felt was </w:t>
      </w:r>
      <w:r>
        <w:t xml:space="preserve">ideally required (25%). </w:t>
      </w:r>
    </w:p>
    <w:p w14:paraId="04F5EE57" w14:textId="5C9156B0" w:rsidR="00102697" w:rsidRDefault="00102697" w:rsidP="00102697">
      <w:pPr>
        <w:pStyle w:val="BodyText"/>
      </w:pPr>
      <w:r w:rsidRPr="008E045A">
        <w:t>Analysis by main source of ACT Government funding is shown in</w:t>
      </w:r>
      <w:r>
        <w:t xml:space="preserve"> </w:t>
      </w:r>
      <w:r w:rsidR="002D42F6">
        <w:fldChar w:fldCharType="begin"/>
      </w:r>
      <w:r w:rsidR="002D42F6">
        <w:instrText xml:space="preserve"> REF _Ref88833144 \h </w:instrText>
      </w:r>
      <w:r w:rsidR="002D42F6">
        <w:fldChar w:fldCharType="separate"/>
      </w:r>
      <w:r w:rsidR="00E405AF">
        <w:t xml:space="preserve">Table C. </w:t>
      </w:r>
      <w:r w:rsidR="00E405AF">
        <w:rPr>
          <w:noProof/>
        </w:rPr>
        <w:t>9</w:t>
      </w:r>
      <w:r w:rsidR="002D42F6">
        <w:fldChar w:fldCharType="end"/>
      </w:r>
      <w:r>
        <w:t xml:space="preserve">. </w:t>
      </w:r>
    </w:p>
    <w:p w14:paraId="3CCB4D9A" w14:textId="46CA63AA" w:rsidR="007B0150" w:rsidRDefault="00EA7331" w:rsidP="007B0150">
      <w:pPr>
        <w:pStyle w:val="BodyText"/>
      </w:pPr>
      <w:r>
        <w:t>In</w:t>
      </w:r>
      <w:r w:rsidR="003363B4">
        <w:t xml:space="preserve"> </w:t>
      </w:r>
      <w:r>
        <w:t>their comments</w:t>
      </w:r>
      <w:r w:rsidR="00EC4E5B">
        <w:t xml:space="preserve"> in the Service Costing survey, </w:t>
      </w:r>
      <w:r>
        <w:t xml:space="preserve">sector leaders </w:t>
      </w:r>
      <w:r w:rsidR="007B0150">
        <w:t xml:space="preserve">described </w:t>
      </w:r>
      <w:r>
        <w:t xml:space="preserve">that </w:t>
      </w:r>
      <w:r w:rsidR="00900133">
        <w:t xml:space="preserve">they and their staff were </w:t>
      </w:r>
      <w:r w:rsidR="007B0150">
        <w:t xml:space="preserve">severely overworked and at risk of burnout in the sector’s </w:t>
      </w:r>
      <w:r w:rsidR="00900133">
        <w:t xml:space="preserve">current resource environment. </w:t>
      </w:r>
      <w:r w:rsidR="00602BC7">
        <w:lastRenderedPageBreak/>
        <w:t>Overwork, burnout, backfilling</w:t>
      </w:r>
      <w:r w:rsidR="009A1852">
        <w:t xml:space="preserve">, and staffing levels are </w:t>
      </w:r>
      <w:r w:rsidR="00900133">
        <w:t>major concern</w:t>
      </w:r>
      <w:r w:rsidR="009A1852">
        <w:t>s</w:t>
      </w:r>
      <w:r w:rsidR="00900133">
        <w:t xml:space="preserve"> </w:t>
      </w:r>
      <w:r w:rsidR="00602BC7">
        <w:t>for</w:t>
      </w:r>
      <w:r w:rsidR="00900133">
        <w:t xml:space="preserve"> sector leaders</w:t>
      </w:r>
      <w:r w:rsidR="009A1852">
        <w:t>, for example</w:t>
      </w:r>
      <w:r w:rsidR="007B0150">
        <w:t>:</w:t>
      </w:r>
    </w:p>
    <w:p w14:paraId="5E6CD327" w14:textId="2CB89DA9" w:rsidR="007B0150" w:rsidRDefault="007B0150" w:rsidP="007B0150">
      <w:pPr>
        <w:pStyle w:val="Quote"/>
      </w:pPr>
      <w:r w:rsidRPr="00785ADF">
        <w:t>I have worked in Government and for-profit environments and never felt this overworked. In the for-profit environment we were very efficient but had enough staff and could meet demand. The biggest challenge is the lack of funding for administration. This means senior managers are overwhelmed by both program work and administration. Further, when a staff is on leave or training, there is no capacity to cover their absence. We pay staff well in my organisation and recruit at an appropriate level. But this means we have fewer staff able to deliver the work.</w:t>
      </w:r>
    </w:p>
    <w:p w14:paraId="0FED6094" w14:textId="387D925E" w:rsidR="007B0150" w:rsidRPr="001110B8" w:rsidRDefault="00EC4E5B" w:rsidP="007B0150">
      <w:pPr>
        <w:pStyle w:val="BodyText"/>
      </w:pPr>
      <w:r>
        <w:t xml:space="preserve">While some were also concerned about having to change or ‘water down’ planned interventions due to lack of funds, their comments emphasised unfair and unsustainable workforce impacts. </w:t>
      </w:r>
      <w:r w:rsidR="009A1852">
        <w:t xml:space="preserve">Leaders recognised that </w:t>
      </w:r>
      <w:r w:rsidR="00E54DF9">
        <w:t xml:space="preserve">community sector workers’ make significant contributions to service systems and communities, which helps manage funding shortfalls, through low </w:t>
      </w:r>
      <w:r w:rsidR="007B0150">
        <w:t xml:space="preserve">wages and </w:t>
      </w:r>
      <w:r w:rsidR="009A1852">
        <w:t xml:space="preserve">working </w:t>
      </w:r>
      <w:r w:rsidR="007B0150">
        <w:t>conditions:</w:t>
      </w:r>
    </w:p>
    <w:p w14:paraId="209EC657" w14:textId="77777777" w:rsidR="007B0150" w:rsidRDefault="007B0150" w:rsidP="007B0150">
      <w:pPr>
        <w:pStyle w:val="Quote"/>
      </w:pPr>
      <w:r w:rsidRPr="001110B8">
        <w:t>The investment made by the modestly paid employees in the NFP sector is significant. This is done despite the lack of training and advancement opportunities, the absence of bonuses and receiving the minimum superannuation contribution. The community benefits disproportionately from the dedication of these individuals who passionately invest in their community.</w:t>
      </w:r>
    </w:p>
    <w:p w14:paraId="062BB068" w14:textId="723529F6" w:rsidR="007B0150" w:rsidRDefault="007B0150" w:rsidP="007B0150">
      <w:pPr>
        <w:pStyle w:val="BodyText"/>
      </w:pPr>
      <w:r>
        <w:t xml:space="preserve">However, this </w:t>
      </w:r>
      <w:r w:rsidR="006F51D5">
        <w:t xml:space="preserve">strategy, of workers carrying the costs of under-resourcing, </w:t>
      </w:r>
      <w:r>
        <w:t>was not considered sustainable</w:t>
      </w:r>
      <w:r w:rsidR="006F51D5">
        <w:t xml:space="preserve">, and contributes to </w:t>
      </w:r>
      <w:r>
        <w:t>turnover</w:t>
      </w:r>
      <w:r w:rsidR="006F51D5">
        <w:t>. One leader described the impacts of underfunding on the community services workforce</w:t>
      </w:r>
      <w:r>
        <w:t>:</w:t>
      </w:r>
    </w:p>
    <w:p w14:paraId="0E9EBF9A" w14:textId="77777777" w:rsidR="007B0150" w:rsidRDefault="007B0150" w:rsidP="007B0150">
      <w:pPr>
        <w:pStyle w:val="Quote"/>
      </w:pPr>
      <w:r w:rsidRPr="00CA009B">
        <w:t xml:space="preserve">Constant stress. Immense sense of de-value, regardless of dedication and complexity of work delivered and against compatible status of others in alternate industries, including government. </w:t>
      </w:r>
    </w:p>
    <w:p w14:paraId="7B293967" w14:textId="67A8FAFE" w:rsidR="007B0150" w:rsidRDefault="007B0150" w:rsidP="007B0150">
      <w:pPr>
        <w:pStyle w:val="BodyText"/>
      </w:pPr>
      <w:r>
        <w:t xml:space="preserve">Organisations also used volunteers to sustain capacity in the face of inadequate funding for paid roles. </w:t>
      </w:r>
      <w:r w:rsidR="00633630">
        <w:t>O</w:t>
      </w:r>
      <w:r>
        <w:t xml:space="preserve">ne </w:t>
      </w:r>
      <w:r w:rsidR="00633630">
        <w:t xml:space="preserve">leader </w:t>
      </w:r>
      <w:r>
        <w:t>described:</w:t>
      </w:r>
    </w:p>
    <w:p w14:paraId="778C290A" w14:textId="4A4767DC" w:rsidR="007B0150" w:rsidRDefault="007B0150" w:rsidP="007B0150">
      <w:pPr>
        <w:pStyle w:val="Quote"/>
      </w:pPr>
      <w:r w:rsidRPr="00CA009B">
        <w:t>In our organisation, volunteers usually pick up and run the activities that are not funded</w:t>
      </w:r>
      <w:r w:rsidR="006C6942">
        <w:t>.</w:t>
      </w:r>
    </w:p>
    <w:p w14:paraId="570F51F4" w14:textId="63AB86D8" w:rsidR="007B0150" w:rsidRDefault="007B0150" w:rsidP="007B0150">
      <w:pPr>
        <w:pStyle w:val="BodyText"/>
      </w:pPr>
      <w:r>
        <w:t xml:space="preserve">However, this was not an option for all organisations. Further, volunteer numbers could be limited, they were needed for both frontline and administrative roles, </w:t>
      </w:r>
      <w:r w:rsidR="00B12862">
        <w:t xml:space="preserve">it was viewed as risky to give volunteers </w:t>
      </w:r>
      <w:proofErr w:type="gramStart"/>
      <w:r w:rsidR="00B12862">
        <w:t>work</w:t>
      </w:r>
      <w:proofErr w:type="gramEnd"/>
      <w:r w:rsidR="00B12862">
        <w:t xml:space="preserve"> they were not properly trained or qualified to do, </w:t>
      </w:r>
      <w:r>
        <w:t xml:space="preserve">and volunteer burnout was an issue. </w:t>
      </w:r>
      <w:r w:rsidR="00693348">
        <w:t xml:space="preserve">Managing volunteers also added tasks to the workloads of staff already working at capacity. </w:t>
      </w:r>
    </w:p>
    <w:p w14:paraId="30CB7598" w14:textId="6920628A" w:rsidR="007B0150" w:rsidRDefault="00EA7331" w:rsidP="00BC203C">
      <w:pPr>
        <w:pStyle w:val="BodyText"/>
      </w:pPr>
      <w:r>
        <w:t>Participants in the workers’ forum also observed that these strategies have implications for service quality. They noted that:</w:t>
      </w:r>
    </w:p>
    <w:p w14:paraId="5E48A224" w14:textId="1A713202" w:rsidR="00EA7331" w:rsidRDefault="00EA7331" w:rsidP="003363B4">
      <w:pPr>
        <w:pStyle w:val="BodyText"/>
        <w:numPr>
          <w:ilvl w:val="0"/>
          <w:numId w:val="21"/>
        </w:numPr>
        <w:ind w:left="567"/>
      </w:pPr>
      <w:r>
        <w:t xml:space="preserve">Underfunding causes services to “cut corners trying to do things”, resulting in inefficiencies, and poorer quality and outcomes. For example, understaffing may cause organisations to ‘triage’ the most urgent cases, “pushing the problem down the road” and causing less serious issues to turn into crises. </w:t>
      </w:r>
    </w:p>
    <w:p w14:paraId="23811B2B" w14:textId="03984375" w:rsidR="00EA7331" w:rsidRDefault="00EA7331" w:rsidP="003363B4">
      <w:pPr>
        <w:pStyle w:val="BodyText"/>
        <w:numPr>
          <w:ilvl w:val="0"/>
          <w:numId w:val="21"/>
        </w:numPr>
        <w:ind w:left="567"/>
      </w:pPr>
      <w:r>
        <w:t>In out-of-</w:t>
      </w:r>
      <w:proofErr w:type="gramStart"/>
      <w:r>
        <w:t>home-care</w:t>
      </w:r>
      <w:proofErr w:type="gramEnd"/>
      <w:r>
        <w:t>, services to vulnerable children are delivered by ‘skeleton teams’, undermining consistency of care. Staff are highly capable and committed but understaffing and instability make it difficult to develop good relationships and trust with children.</w:t>
      </w:r>
    </w:p>
    <w:p w14:paraId="6F79709F" w14:textId="7C0655C1" w:rsidR="00EA7331" w:rsidRDefault="00EA7331" w:rsidP="003363B4">
      <w:pPr>
        <w:pStyle w:val="BodyText"/>
        <w:numPr>
          <w:ilvl w:val="0"/>
          <w:numId w:val="21"/>
        </w:numPr>
        <w:ind w:left="567"/>
      </w:pPr>
      <w:r>
        <w:lastRenderedPageBreak/>
        <w:t xml:space="preserve">Sometimes, additional assistance for clients is drawn </w:t>
      </w:r>
      <w:r w:rsidR="00C95008">
        <w:t>from</w:t>
      </w:r>
      <w:r>
        <w:t xml:space="preserve"> training budgets, leaving </w:t>
      </w:r>
      <w:r w:rsidR="00C95008">
        <w:t xml:space="preserve">workers </w:t>
      </w:r>
      <w:r>
        <w:t xml:space="preserve">to complete any training in their own, unpaid time. </w:t>
      </w:r>
    </w:p>
    <w:p w14:paraId="71D9709E" w14:textId="42C53281" w:rsidR="00EA7331" w:rsidRDefault="00EA7331" w:rsidP="003363B4">
      <w:pPr>
        <w:pStyle w:val="BodyText"/>
        <w:numPr>
          <w:ilvl w:val="0"/>
          <w:numId w:val="21"/>
        </w:numPr>
        <w:ind w:left="567"/>
      </w:pPr>
      <w:r>
        <w:t>Frontline staff pick up administrative work or rely on volunteers including students who are then exposed to situations they are not qualified to deal with.</w:t>
      </w:r>
    </w:p>
    <w:p w14:paraId="47614C8F" w14:textId="47D8A59C" w:rsidR="00D626A1" w:rsidRPr="00BB1CE1" w:rsidRDefault="00D626A1" w:rsidP="006E6C6C">
      <w:pPr>
        <w:pStyle w:val="Heading2"/>
      </w:pPr>
      <w:bookmarkStart w:id="101" w:name="_Ref88121323"/>
      <w:bookmarkStart w:id="102" w:name="_Toc88753140"/>
      <w:bookmarkStart w:id="103" w:name="_Toc90019570"/>
      <w:r w:rsidRPr="00BB1CE1">
        <w:t xml:space="preserve">Financial </w:t>
      </w:r>
      <w:r w:rsidR="00B12862">
        <w:t>respons</w:t>
      </w:r>
      <w:r w:rsidRPr="00BB1CE1">
        <w:t>es</w:t>
      </w:r>
      <w:bookmarkEnd w:id="101"/>
      <w:bookmarkEnd w:id="102"/>
      <w:bookmarkEnd w:id="103"/>
      <w:r w:rsidRPr="00BB1CE1">
        <w:t xml:space="preserve"> </w:t>
      </w:r>
    </w:p>
    <w:p w14:paraId="6EDC4A5C" w14:textId="72EB747E" w:rsidR="00633630" w:rsidRDefault="00633630" w:rsidP="00633630">
      <w:pPr>
        <w:pStyle w:val="BodyText"/>
      </w:pPr>
      <w:bookmarkStart w:id="104" w:name="_Ref83364463"/>
      <w:r>
        <w:t>F</w:t>
      </w:r>
      <w:r w:rsidR="00D626A1">
        <w:t xml:space="preserve">inancial strategies </w:t>
      </w:r>
      <w:r>
        <w:t xml:space="preserve">are also used to </w:t>
      </w:r>
      <w:r w:rsidR="00D626A1">
        <w:t>manage cost pressures</w:t>
      </w:r>
      <w:r w:rsidR="00F40C5A">
        <w:t>,</w:t>
      </w:r>
      <w:r w:rsidR="00F107E0">
        <w:rPr>
          <w:rStyle w:val="FootnoteReference"/>
        </w:rPr>
        <w:footnoteReference w:id="74"/>
      </w:r>
      <w:r>
        <w:t xml:space="preserve"> </w:t>
      </w:r>
      <w:r w:rsidR="00F40C5A">
        <w:t xml:space="preserve">and to ensure clients and communities are not affected by low funding levels. </w:t>
      </w:r>
      <w:r>
        <w:t xml:space="preserve">Most commonly, </w:t>
      </w:r>
      <w:r w:rsidR="00F40C5A">
        <w:t xml:space="preserve">organisations </w:t>
      </w:r>
      <w:r>
        <w:t>try to introduce new efficiencies and work practices or find other funds to cross subsidise ACT programs (each reported by 56% of organisations).</w:t>
      </w:r>
      <w:r w:rsidR="007C676D">
        <w:rPr>
          <w:rStyle w:val="FootnoteReference"/>
        </w:rPr>
        <w:footnoteReference w:id="75"/>
      </w:r>
      <w:r>
        <w:t xml:space="preserve"> However, some less sustainable responses are also evident</w:t>
      </w:r>
      <w:r w:rsidR="00F107E0">
        <w:t>.</w:t>
      </w:r>
      <w:r w:rsidR="00512D6D">
        <w:t xml:space="preserve"> In particular:</w:t>
      </w:r>
      <w:r>
        <w:t xml:space="preserve"> </w:t>
      </w:r>
    </w:p>
    <w:p w14:paraId="049B6C44" w14:textId="770D70EB" w:rsidR="00512D6D" w:rsidRDefault="00512D6D" w:rsidP="00512D6D">
      <w:pPr>
        <w:pStyle w:val="BodyText"/>
        <w:numPr>
          <w:ilvl w:val="0"/>
          <w:numId w:val="21"/>
        </w:numPr>
      </w:pPr>
      <w:r>
        <w:t>a</w:t>
      </w:r>
      <w:r w:rsidRPr="008E045A">
        <w:t xml:space="preserve">lmost half </w:t>
      </w:r>
      <w:r>
        <w:t xml:space="preserve">of organisations </w:t>
      </w:r>
      <w:r w:rsidRPr="008E045A">
        <w:t>(47%) had incurred a loss on programs delivered for government</w:t>
      </w:r>
      <w:r>
        <w:t>, in the last three years</w:t>
      </w:r>
      <w:r w:rsidRPr="008E045A">
        <w:t xml:space="preserve">. </w:t>
      </w:r>
    </w:p>
    <w:p w14:paraId="683D40E3" w14:textId="61038C02" w:rsidR="00AF2D6E" w:rsidRDefault="00F107E0" w:rsidP="00512D6D">
      <w:pPr>
        <w:pStyle w:val="BodyText"/>
      </w:pPr>
      <w:r w:rsidRPr="008E045A">
        <w:t xml:space="preserve">Other strategies </w:t>
      </w:r>
      <w:r>
        <w:t xml:space="preserve">include </w:t>
      </w:r>
      <w:r w:rsidR="00512D6D" w:rsidRPr="008E045A">
        <w:t>collaborating with organisations in ways that enabled cost sharing, introducing technology to reduce administration (although this required investment and training)</w:t>
      </w:r>
      <w:r w:rsidR="00512D6D">
        <w:t xml:space="preserve">, curtailing </w:t>
      </w:r>
      <w:r w:rsidR="00512D6D" w:rsidRPr="008E045A">
        <w:t>services to operate within budget, disallowing paid overtime and time in lieu, incurring losses, reducing quality, using volunteers, and receiving funding from a national body.</w:t>
      </w:r>
      <w:r w:rsidR="00512D6D">
        <w:t xml:space="preserve"> </w:t>
      </w:r>
    </w:p>
    <w:p w14:paraId="06E8E52D" w14:textId="7246A409" w:rsidR="00AF2D6E" w:rsidRDefault="00AF2D6E" w:rsidP="00AF2D6E">
      <w:pPr>
        <w:pStyle w:val="BodyText"/>
      </w:pPr>
      <w:r>
        <w:t xml:space="preserve">Comments from leaders highlighted that where they locate and the </w:t>
      </w:r>
      <w:proofErr w:type="gramStart"/>
      <w:r>
        <w:t>communities</w:t>
      </w:r>
      <w:proofErr w:type="gramEnd"/>
      <w:r>
        <w:t xml:space="preserve"> </w:t>
      </w:r>
      <w:r w:rsidR="00C11351">
        <w:t xml:space="preserve">they service </w:t>
      </w:r>
      <w:r w:rsidR="00693348">
        <w:t xml:space="preserve">involve </w:t>
      </w:r>
      <w:r>
        <w:t xml:space="preserve">decisions about funding and viability, </w:t>
      </w:r>
      <w:r w:rsidR="00042667">
        <w:t xml:space="preserve">and </w:t>
      </w:r>
      <w:r w:rsidR="00693348">
        <w:t xml:space="preserve">not only </w:t>
      </w:r>
      <w:r w:rsidR="00042667">
        <w:t xml:space="preserve">about </w:t>
      </w:r>
      <w:r>
        <w:t>client need</w:t>
      </w:r>
      <w:r w:rsidR="00042667">
        <w:t>.  Concern about funding has</w:t>
      </w:r>
      <w:r>
        <w:t xml:space="preserve"> cause</w:t>
      </w:r>
      <w:r w:rsidR="00042667">
        <w:t>d</w:t>
      </w:r>
      <w:r>
        <w:t xml:space="preserve"> some organisations to consider withdrawing from servicing the ACT, or to restrict operations to limited parts of the Territory:</w:t>
      </w:r>
    </w:p>
    <w:p w14:paraId="2FAC9EEE" w14:textId="77777777" w:rsidR="00AF2D6E" w:rsidRDefault="00AF2D6E" w:rsidP="00AF2D6E">
      <w:pPr>
        <w:pStyle w:val="Quote"/>
      </w:pPr>
      <w:r w:rsidRPr="00785ADF">
        <w:t>Minimal funding to cover costs has the organisation considering its viability in the ACT</w:t>
      </w:r>
      <w:r>
        <w:t>,</w:t>
      </w:r>
      <w:r w:rsidRPr="00785ADF">
        <w:t xml:space="preserve"> which would reduce services to vulnerable members of the ACT community</w:t>
      </w:r>
      <w:r>
        <w:t>.</w:t>
      </w:r>
    </w:p>
    <w:p w14:paraId="0C59D10D" w14:textId="7C5FACDC" w:rsidR="00AF2D6E" w:rsidRDefault="00AF2D6E" w:rsidP="00AF2D6E">
      <w:pPr>
        <w:pStyle w:val="Quote"/>
      </w:pPr>
      <w:r w:rsidRPr="00785ADF">
        <w:t>The program operated across Canberra and now only operates on</w:t>
      </w:r>
      <w:r>
        <w:t xml:space="preserve"> one </w:t>
      </w:r>
      <w:r w:rsidRPr="00785ADF">
        <w:t xml:space="preserve">side of Canberra. Effectively </w:t>
      </w:r>
      <w:r w:rsidR="00F40C5A">
        <w:t xml:space="preserve">[we] </w:t>
      </w:r>
      <w:r w:rsidRPr="00785ADF">
        <w:t>only service half the ACT now.</w:t>
      </w:r>
    </w:p>
    <w:p w14:paraId="44CE2A22" w14:textId="2119364B" w:rsidR="00F40C5A" w:rsidRDefault="00AF2D6E" w:rsidP="00F40C5A">
      <w:pPr>
        <w:pStyle w:val="BodyText"/>
      </w:pPr>
      <w:r>
        <w:t xml:space="preserve">Others described </w:t>
      </w:r>
      <w:r w:rsidR="00F40C5A">
        <w:t>trying to obtain income from side projects or commissioned work, or from charging user fees. But, as this service leader explained, this was not an option for all, and introducing service fees was considered disadvantageous to community members who need access to services for free:</w:t>
      </w:r>
    </w:p>
    <w:p w14:paraId="6F84F857" w14:textId="3433413B" w:rsidR="00AF2D6E" w:rsidRDefault="00F40C5A" w:rsidP="00F40C5A">
      <w:pPr>
        <w:pStyle w:val="Quote"/>
      </w:pPr>
      <w:r w:rsidRPr="00785ADF">
        <w:t xml:space="preserve">We deal every single day with disappointed people because we cannot provide their support needs.  We do run a lower cost arm of our </w:t>
      </w:r>
      <w:proofErr w:type="gramStart"/>
      <w:r w:rsidRPr="00785ADF">
        <w:t>business</w:t>
      </w:r>
      <w:r>
        <w:t>,</w:t>
      </w:r>
      <w:proofErr w:type="gramEnd"/>
      <w:r w:rsidRPr="00785ADF">
        <w:t xml:space="preserve"> however we can't afford to provide </w:t>
      </w:r>
      <w:r>
        <w:t xml:space="preserve">free services to </w:t>
      </w:r>
      <w:r w:rsidRPr="00785ADF">
        <w:t xml:space="preserve">those that need it the most.  This feels awful.  If you have no money in Canberra, you can't get the support that you </w:t>
      </w:r>
      <w:proofErr w:type="gramStart"/>
      <w:r w:rsidRPr="00785ADF">
        <w:t>actually need</w:t>
      </w:r>
      <w:proofErr w:type="gramEnd"/>
      <w:r w:rsidRPr="00785ADF">
        <w:t xml:space="preserve"> and deserve.</w:t>
      </w:r>
    </w:p>
    <w:p w14:paraId="7807BC52" w14:textId="18C23005" w:rsidR="002A5C2E" w:rsidRPr="00C07E17" w:rsidRDefault="002A5C2E" w:rsidP="00FE01CA">
      <w:pPr>
        <w:pStyle w:val="Heading1"/>
        <w:numPr>
          <w:ilvl w:val="0"/>
          <w:numId w:val="22"/>
        </w:numPr>
        <w:ind w:left="425" w:hanging="425"/>
      </w:pPr>
      <w:bookmarkStart w:id="105" w:name="_Ref83980810"/>
      <w:bookmarkStart w:id="106" w:name="_Toc90019571"/>
      <w:bookmarkEnd w:id="104"/>
      <w:r w:rsidRPr="00C07E17">
        <w:lastRenderedPageBreak/>
        <w:t>Improving funding in the ACT</w:t>
      </w:r>
      <w:bookmarkEnd w:id="105"/>
      <w:bookmarkEnd w:id="106"/>
    </w:p>
    <w:p w14:paraId="5BD0867B" w14:textId="76D61E5E" w:rsidR="002A5C2E" w:rsidRDefault="001A7B08" w:rsidP="002A5C2E">
      <w:pPr>
        <w:pStyle w:val="BodyText"/>
      </w:pPr>
      <w:r>
        <w:t xml:space="preserve">As underfunding is complex and </w:t>
      </w:r>
      <w:r w:rsidR="00B43567">
        <w:t>longstanding</w:t>
      </w:r>
      <w:r>
        <w:t xml:space="preserve">, it is </w:t>
      </w:r>
      <w:r w:rsidR="002A5C2E">
        <w:t xml:space="preserve">unlikely that it can be addressed in easy, low-cost ways. </w:t>
      </w:r>
      <w:r w:rsidR="00475AF8">
        <w:t xml:space="preserve">However, in their responses to the Service Costing Survey, ACT community organisations indicated they were keen to work with government to find solutions. </w:t>
      </w:r>
      <w:r w:rsidR="002A5C2E" w:rsidRPr="00C07E17">
        <w:t>When</w:t>
      </w:r>
      <w:r w:rsidR="00AC18CE">
        <w:t> </w:t>
      </w:r>
      <w:r w:rsidR="002A5C2E" w:rsidRPr="00C07E17">
        <w:t xml:space="preserve">organisations were asked what should be done, several </w:t>
      </w:r>
      <w:r w:rsidR="002A5C2E">
        <w:t xml:space="preserve">highlighted that closer </w:t>
      </w:r>
      <w:r w:rsidR="002A5C2E" w:rsidRPr="00C07E17">
        <w:t>‘listen</w:t>
      </w:r>
      <w:r w:rsidR="002A5C2E">
        <w:t>ing</w:t>
      </w:r>
      <w:r w:rsidR="002A5C2E" w:rsidRPr="00C07E17">
        <w:t>’ to the sector</w:t>
      </w:r>
      <w:r w:rsidR="002A5C2E">
        <w:t xml:space="preserve"> would </w:t>
      </w:r>
      <w:r>
        <w:t xml:space="preserve">help </w:t>
      </w:r>
      <w:r w:rsidR="002A5C2E" w:rsidRPr="00C07E17">
        <w:t xml:space="preserve">set strong foundations for </w:t>
      </w:r>
      <w:r w:rsidR="002A5C2E">
        <w:t>change</w:t>
      </w:r>
      <w:r w:rsidR="00C95008">
        <w:t>:</w:t>
      </w:r>
    </w:p>
    <w:p w14:paraId="31F33950" w14:textId="31377E4D" w:rsidR="00C95008" w:rsidRPr="00C95008" w:rsidRDefault="00C95008" w:rsidP="00C95008">
      <w:pPr>
        <w:pStyle w:val="Quote"/>
      </w:pPr>
      <w:r w:rsidRPr="00C95008">
        <w:t>They need to recognise the true cost of service delivery and LISTEN to community services providers.</w:t>
      </w:r>
    </w:p>
    <w:p w14:paraId="2885ECA6" w14:textId="1F31961D" w:rsidR="00C95008" w:rsidRPr="00C95008" w:rsidRDefault="005C0659" w:rsidP="002A5C2E">
      <w:pPr>
        <w:pStyle w:val="BodyText"/>
      </w:pPr>
      <w:r>
        <w:t xml:space="preserve">Close ‘listening’ </w:t>
      </w:r>
      <w:r w:rsidR="00B43567">
        <w:t xml:space="preserve">between government and community organisations </w:t>
      </w:r>
      <w:r w:rsidR="00C95008" w:rsidRPr="00C95008">
        <w:t>is especially important</w:t>
      </w:r>
      <w:r w:rsidR="00C95008">
        <w:t xml:space="preserve"> given </w:t>
      </w:r>
      <w:r w:rsidR="00CF54EA">
        <w:t>past experiences of seeking required resources</w:t>
      </w:r>
      <w:r w:rsidR="00C95008">
        <w:t>:</w:t>
      </w:r>
    </w:p>
    <w:p w14:paraId="38F52551" w14:textId="4B4DDF87" w:rsidR="00C95008" w:rsidRDefault="00C95008" w:rsidP="00C95008">
      <w:pPr>
        <w:pStyle w:val="Quote"/>
      </w:pPr>
      <w:r w:rsidRPr="00C95008">
        <w:t xml:space="preserve">We have been told outright that there is no more money and that the demand on our services is our fault for making them </w:t>
      </w:r>
      <w:r w:rsidR="00475AF8">
        <w:t xml:space="preserve">[the services] </w:t>
      </w:r>
      <w:r w:rsidRPr="00C95008">
        <w:t>visible.  Government needs to truly listen to us working in the community.  We have repeatedly provided the evidence as to why our area of work needs to be better funded to meet the needs of the community and we are repeatedly told that there's just not enough money.</w:t>
      </w:r>
    </w:p>
    <w:p w14:paraId="022144B3" w14:textId="2FCCAED7" w:rsidR="002A5C2E" w:rsidRPr="00C07E17" w:rsidRDefault="002A5C2E" w:rsidP="006E6C6C">
      <w:pPr>
        <w:pStyle w:val="Heading2"/>
      </w:pPr>
      <w:bookmarkStart w:id="107" w:name="_Toc88753141"/>
      <w:bookmarkStart w:id="108" w:name="_Ref88832669"/>
      <w:bookmarkStart w:id="109" w:name="_Ref88832672"/>
      <w:bookmarkStart w:id="110" w:name="_Toc90019572"/>
      <w:r w:rsidRPr="00C07E17">
        <w:t>The 2022 review of indexation</w:t>
      </w:r>
      <w:bookmarkEnd w:id="107"/>
      <w:bookmarkEnd w:id="108"/>
      <w:bookmarkEnd w:id="109"/>
      <w:bookmarkEnd w:id="110"/>
    </w:p>
    <w:p w14:paraId="51554644" w14:textId="6F6F5F7B" w:rsidR="002A5C2E" w:rsidRPr="00C07E17" w:rsidRDefault="002A5C2E" w:rsidP="002A5C2E">
      <w:pPr>
        <w:pStyle w:val="BodyText"/>
      </w:pPr>
      <w:r>
        <w:t xml:space="preserve">Addressing sector </w:t>
      </w:r>
      <w:r w:rsidRPr="00C07E17">
        <w:t>aspirations for government to ‘listen’ and engage to develop alternatives</w:t>
      </w:r>
      <w:r>
        <w:t xml:space="preserve">, the ACT Government has announced a review of indexation. In its </w:t>
      </w:r>
      <w:r w:rsidRPr="00C07E17">
        <w:t>2021-22 Budget</w:t>
      </w:r>
      <w:r>
        <w:t xml:space="preserve">, the </w:t>
      </w:r>
      <w:r w:rsidRPr="00C07E17">
        <w:t>ACT government announced it will review the Community Sector Funding Rate that will apply in future years</w:t>
      </w:r>
      <w:r w:rsidR="00CC7C22">
        <w:t xml:space="preserve"> (see Section </w:t>
      </w:r>
      <w:r w:rsidR="000637EB">
        <w:fldChar w:fldCharType="begin"/>
      </w:r>
      <w:r w:rsidR="000637EB">
        <w:instrText xml:space="preserve"> REF _Ref87953016 \r \h </w:instrText>
      </w:r>
      <w:r w:rsidR="000637EB">
        <w:fldChar w:fldCharType="separate"/>
      </w:r>
      <w:r w:rsidR="00E405AF">
        <w:t>6.1</w:t>
      </w:r>
      <w:r w:rsidR="000637EB">
        <w:fldChar w:fldCharType="end"/>
      </w:r>
      <w:r w:rsidR="000637EB">
        <w:t xml:space="preserve"> </w:t>
      </w:r>
      <w:r w:rsidR="00CC7C22">
        <w:t xml:space="preserve">for </w:t>
      </w:r>
      <w:r w:rsidR="00EB6D47">
        <w:t xml:space="preserve">detail on </w:t>
      </w:r>
      <w:r w:rsidR="00CC7C22">
        <w:t>the</w:t>
      </w:r>
      <w:r w:rsidR="00EB6D47">
        <w:t xml:space="preserve"> current indexation rate</w:t>
      </w:r>
      <w:r w:rsidR="00CC7C22">
        <w:t>)</w:t>
      </w:r>
      <w:r>
        <w:t xml:space="preserve">. The Government has provided </w:t>
      </w:r>
      <w:r w:rsidRPr="00C07E17">
        <w:t>$4 million over four years to increase annual indexation.</w:t>
      </w:r>
      <w:r w:rsidRPr="00C07E17">
        <w:rPr>
          <w:rStyle w:val="FootnoteReference"/>
        </w:rPr>
        <w:footnoteReference w:id="76"/>
      </w:r>
      <w:r w:rsidRPr="00C07E17">
        <w:t xml:space="preserve"> This</w:t>
      </w:r>
      <w:r>
        <w:t xml:space="preserve"> sets </w:t>
      </w:r>
      <w:r w:rsidRPr="00C07E17">
        <w:t xml:space="preserve">an important platform for change. </w:t>
      </w:r>
    </w:p>
    <w:p w14:paraId="4F75843C" w14:textId="77777777" w:rsidR="002A5C2E" w:rsidRDefault="002A5C2E" w:rsidP="002A5C2E">
      <w:pPr>
        <w:pStyle w:val="BodyText"/>
      </w:pPr>
      <w:r>
        <w:t xml:space="preserve">The review is an </w:t>
      </w:r>
      <w:r w:rsidRPr="00C07E17">
        <w:t xml:space="preserve">opportunity to </w:t>
      </w:r>
      <w:r>
        <w:t xml:space="preserve">improve government understandings </w:t>
      </w:r>
      <w:r w:rsidRPr="00C07E17">
        <w:t xml:space="preserve">of the </w:t>
      </w:r>
      <w:r>
        <w:t xml:space="preserve">challenges the sector faces, and to develop a new approach. </w:t>
      </w:r>
      <w:r w:rsidRPr="00C07E17">
        <w:t xml:space="preserve">Community sector input should be </w:t>
      </w:r>
      <w:r>
        <w:t>a key priority</w:t>
      </w:r>
      <w:r w:rsidRPr="00C07E17">
        <w:t>.</w:t>
      </w:r>
      <w:r>
        <w:rPr>
          <w:rStyle w:val="FootnoteReference"/>
        </w:rPr>
        <w:footnoteReference w:id="77"/>
      </w:r>
      <w:r w:rsidRPr="00C07E17">
        <w:t xml:space="preserve"> </w:t>
      </w:r>
      <w:r>
        <w:t>Relevant issues include:</w:t>
      </w:r>
    </w:p>
    <w:p w14:paraId="6A5EC0FE" w14:textId="77777777" w:rsidR="002A5C2E" w:rsidRDefault="002A5C2E" w:rsidP="00EA6EED">
      <w:pPr>
        <w:pStyle w:val="BodyText"/>
        <w:numPr>
          <w:ilvl w:val="0"/>
          <w:numId w:val="26"/>
        </w:numPr>
      </w:pPr>
      <w:r w:rsidRPr="00C07E17">
        <w:t xml:space="preserve">the range of ACT funding streams which attract indexation, and gaps in coverage. </w:t>
      </w:r>
    </w:p>
    <w:p w14:paraId="501ED040" w14:textId="3C351F5A" w:rsidR="002A5C2E" w:rsidRDefault="002A5C2E" w:rsidP="00EA6EED">
      <w:pPr>
        <w:pStyle w:val="BodyText"/>
        <w:numPr>
          <w:ilvl w:val="0"/>
          <w:numId w:val="26"/>
        </w:numPr>
      </w:pPr>
      <w:r w:rsidRPr="00C07E17">
        <w:t xml:space="preserve">the </w:t>
      </w:r>
      <w:r>
        <w:t xml:space="preserve">suitability of the </w:t>
      </w:r>
      <w:r w:rsidRPr="00C07E17">
        <w:t xml:space="preserve">Community Sector Funding Rate for reflecting </w:t>
      </w:r>
      <w:r>
        <w:t xml:space="preserve">changes in costs </w:t>
      </w:r>
      <w:r w:rsidRPr="00C07E17">
        <w:t>incurred by a high capacity, sustainable community sector</w:t>
      </w:r>
      <w:r w:rsidR="003E3D90">
        <w:t>, including employment costs</w:t>
      </w:r>
      <w:r w:rsidRPr="00C07E17">
        <w:t>.</w:t>
      </w:r>
    </w:p>
    <w:p w14:paraId="49280A61" w14:textId="77777777" w:rsidR="002A5C2E" w:rsidRDefault="002A5C2E" w:rsidP="00EA6EED">
      <w:pPr>
        <w:pStyle w:val="BodyText"/>
        <w:numPr>
          <w:ilvl w:val="0"/>
          <w:numId w:val="26"/>
        </w:numPr>
      </w:pPr>
      <w:r w:rsidRPr="00C07E17">
        <w:t xml:space="preserve">the </w:t>
      </w:r>
      <w:r>
        <w:t>relevance o</w:t>
      </w:r>
      <w:r w:rsidRPr="00C07E17">
        <w:t xml:space="preserve">f </w:t>
      </w:r>
      <w:r>
        <w:t xml:space="preserve">using different </w:t>
      </w:r>
      <w:r w:rsidRPr="00C07E17">
        <w:t>price indexes to adjust payments.</w:t>
      </w:r>
      <w:r w:rsidRPr="00C07E17">
        <w:rPr>
          <w:rStyle w:val="FootnoteReference"/>
        </w:rPr>
        <w:footnoteReference w:id="78"/>
      </w:r>
      <w:r w:rsidRPr="00C07E17">
        <w:t xml:space="preserve"> </w:t>
      </w:r>
    </w:p>
    <w:p w14:paraId="202310FE" w14:textId="77777777" w:rsidR="002A5C2E" w:rsidRDefault="002A5C2E" w:rsidP="00EA6EED">
      <w:pPr>
        <w:pStyle w:val="BodyText"/>
        <w:numPr>
          <w:ilvl w:val="0"/>
          <w:numId w:val="26"/>
        </w:numPr>
      </w:pPr>
      <w:r>
        <w:lastRenderedPageBreak/>
        <w:t>impacts of past ACT Government indexation practices.</w:t>
      </w:r>
    </w:p>
    <w:p w14:paraId="7C4FAD5F" w14:textId="77777777" w:rsidR="002A5C2E" w:rsidRDefault="002A5C2E" w:rsidP="00EA6EED">
      <w:pPr>
        <w:pStyle w:val="BodyText"/>
        <w:numPr>
          <w:ilvl w:val="0"/>
          <w:numId w:val="26"/>
        </w:numPr>
      </w:pPr>
      <w:r>
        <w:t>impacts on ACT organisations of indexation practices used by other funders (</w:t>
      </w:r>
      <w:proofErr w:type="gramStart"/>
      <w:r>
        <w:t>e.g.</w:t>
      </w:r>
      <w:proofErr w:type="gramEnd"/>
      <w:r>
        <w:t xml:space="preserve"> Australian Government, major philanthropic programs)</w:t>
      </w:r>
    </w:p>
    <w:p w14:paraId="17BB1232" w14:textId="77777777" w:rsidR="002A5C2E" w:rsidRDefault="002A5C2E" w:rsidP="00EA6EED">
      <w:pPr>
        <w:pStyle w:val="BodyText"/>
        <w:numPr>
          <w:ilvl w:val="0"/>
          <w:numId w:val="26"/>
        </w:numPr>
      </w:pPr>
      <w:r>
        <w:t>Alternative approaches to indexation, which would provide a better guarantee for the sector.</w:t>
      </w:r>
    </w:p>
    <w:p w14:paraId="7EB5C53A" w14:textId="77777777" w:rsidR="002A5C2E" w:rsidRDefault="002A5C2E" w:rsidP="00EA6EED">
      <w:pPr>
        <w:pStyle w:val="BodyText"/>
        <w:numPr>
          <w:ilvl w:val="0"/>
          <w:numId w:val="26"/>
        </w:numPr>
      </w:pPr>
      <w:r>
        <w:t>The appropriate frequency of indexation.</w:t>
      </w:r>
    </w:p>
    <w:p w14:paraId="1E5C43B3" w14:textId="77777777" w:rsidR="002A5C2E" w:rsidRDefault="002A5C2E" w:rsidP="00EA6EED">
      <w:pPr>
        <w:pStyle w:val="BodyText"/>
        <w:numPr>
          <w:ilvl w:val="0"/>
          <w:numId w:val="26"/>
        </w:numPr>
      </w:pPr>
      <w:r>
        <w:t>The extent to which changes in indexation can address longer-term underfunding, and the limitations of indexation.</w:t>
      </w:r>
    </w:p>
    <w:p w14:paraId="549DE6CB" w14:textId="77777777" w:rsidR="002A5C2E" w:rsidRDefault="002A5C2E" w:rsidP="00EA6EED">
      <w:pPr>
        <w:pStyle w:val="BodyText"/>
        <w:numPr>
          <w:ilvl w:val="0"/>
          <w:numId w:val="26"/>
        </w:numPr>
      </w:pPr>
      <w:r>
        <w:t>Additional strategies required to address demand and cost pressures.</w:t>
      </w:r>
    </w:p>
    <w:p w14:paraId="48ABDF80" w14:textId="77777777" w:rsidR="002A5C2E" w:rsidRDefault="002A5C2E" w:rsidP="00EA6EED">
      <w:pPr>
        <w:pStyle w:val="BodyText"/>
        <w:numPr>
          <w:ilvl w:val="0"/>
          <w:numId w:val="26"/>
        </w:numPr>
      </w:pPr>
      <w:r>
        <w:t xml:space="preserve">Processes for regular monitoring and review. </w:t>
      </w:r>
    </w:p>
    <w:p w14:paraId="04A9FE9B" w14:textId="22F21066" w:rsidR="002A5C2E" w:rsidRPr="00C07E17" w:rsidRDefault="002A5C2E" w:rsidP="002A5C2E">
      <w:pPr>
        <w:pStyle w:val="BodyText"/>
      </w:pPr>
      <w:r>
        <w:t>In exploring these issues, we note that t</w:t>
      </w:r>
      <w:r w:rsidRPr="00C07E17">
        <w:t xml:space="preserve">he </w:t>
      </w:r>
      <w:r w:rsidR="009B771A">
        <w:t xml:space="preserve">key components of the current index, the </w:t>
      </w:r>
      <w:r w:rsidRPr="00C07E17">
        <w:t>CPI and WPI</w:t>
      </w:r>
      <w:r w:rsidR="009B771A">
        <w:t>,</w:t>
      </w:r>
      <w:r w:rsidRPr="00C07E17">
        <w:t xml:space="preserve"> are </w:t>
      </w:r>
      <w:r>
        <w:t>un</w:t>
      </w:r>
      <w:r w:rsidRPr="00C07E17">
        <w:t xml:space="preserve">likely to accurately reflect the </w:t>
      </w:r>
      <w:r>
        <w:t xml:space="preserve">mix of </w:t>
      </w:r>
      <w:r w:rsidRPr="00C07E17">
        <w:t>costs of community organisations. CPI is based on price changes for a basket of household consumer goods and may not accurately reflect the costs typically incurred by community sector organisations</w:t>
      </w:r>
      <w:r>
        <w:t xml:space="preserve">, </w:t>
      </w:r>
      <w:proofErr w:type="gramStart"/>
      <w:r>
        <w:t>e.g.</w:t>
      </w:r>
      <w:proofErr w:type="gramEnd"/>
      <w:r>
        <w:t xml:space="preserve"> </w:t>
      </w:r>
      <w:r w:rsidRPr="00C07E17">
        <w:t xml:space="preserve">leasing commercial premises, </w:t>
      </w:r>
      <w:r>
        <w:t xml:space="preserve">and </w:t>
      </w:r>
      <w:r w:rsidRPr="00C07E17">
        <w:t>business services</w:t>
      </w:r>
      <w:r>
        <w:t xml:space="preserve"> </w:t>
      </w:r>
      <w:r w:rsidRPr="00C07E17">
        <w:t xml:space="preserve">such as auditing, legal services, IT systems, and evaluation. </w:t>
      </w:r>
      <w:r>
        <w:t>S</w:t>
      </w:r>
      <w:r w:rsidRPr="00C07E17">
        <w:t xml:space="preserve">ome organisations may </w:t>
      </w:r>
      <w:r>
        <w:t xml:space="preserve">incur </w:t>
      </w:r>
      <w:r w:rsidRPr="00C07E17">
        <w:t xml:space="preserve">some typical consumer costs, </w:t>
      </w:r>
      <w:r>
        <w:t xml:space="preserve">but these are unlikely to be </w:t>
      </w:r>
      <w:r w:rsidRPr="00C07E17">
        <w:t xml:space="preserve">weighted in the ways the CPI assumes. For example, 22.7% of the CPI is accounted for by residential housing prices. </w:t>
      </w:r>
      <w:r w:rsidR="009B771A" w:rsidRPr="00C07E17">
        <w:t xml:space="preserve">Analysis of the financial statements of 40 community service organisations in the ACT indicated that while </w:t>
      </w:r>
      <w:r w:rsidR="00D67D18" w:rsidRPr="00C07E17">
        <w:t>accommodation</w:t>
      </w:r>
      <w:r w:rsidR="009B771A" w:rsidRPr="00C07E17">
        <w:t xml:space="preserve"> expenses ranged widely and many organisations own their premises or can access discounted </w:t>
      </w:r>
      <w:r w:rsidR="00D67D18" w:rsidRPr="00C07E17">
        <w:t>accommodation</w:t>
      </w:r>
      <w:r w:rsidR="009B771A" w:rsidRPr="00C07E17">
        <w:t xml:space="preserve">, rents typically accounted for around 6% of organisations’ costs. </w:t>
      </w:r>
      <w:r w:rsidR="009B771A">
        <w:t>Moreover</w:t>
      </w:r>
      <w:r w:rsidRPr="00C07E17">
        <w:t>, organisations may source housing from commercial rather than residential markets. Similarly, the WPI is based on a ‘basket of jobs’ across the economy</w:t>
      </w:r>
      <w:r>
        <w:t>, and not the narrower group</w:t>
      </w:r>
      <w:r w:rsidR="000637EB">
        <w:t xml:space="preserve"> of</w:t>
      </w:r>
      <w:r>
        <w:t xml:space="preserve"> </w:t>
      </w:r>
      <w:r w:rsidR="00CC7C22">
        <w:t>occupations in the community sector</w:t>
      </w:r>
      <w:r w:rsidRPr="00C07E17">
        <w:t>. The indexation review should assess how well this reflects the level of change in wages in social and community service occupations, which have experienced rapid growth in the ACT.</w:t>
      </w:r>
    </w:p>
    <w:p w14:paraId="08993044" w14:textId="32C02180" w:rsidR="002A5C2E" w:rsidRPr="00C07E17" w:rsidRDefault="002A5C2E" w:rsidP="002A5C2E">
      <w:pPr>
        <w:pStyle w:val="BodyText"/>
      </w:pPr>
      <w:r w:rsidRPr="00C07E17">
        <w:t xml:space="preserve">While CPI and WPI may not fully capture the cost increases affecting the community sector, they </w:t>
      </w:r>
      <w:r>
        <w:t xml:space="preserve">do, nonetheless, provide </w:t>
      </w:r>
      <w:r w:rsidRPr="00C07E17">
        <w:t>proxies. A strength is that they are well understood in the community and in the sector compared with producer price indices, none of which a</w:t>
      </w:r>
      <w:r>
        <w:t xml:space="preserve">ppear </w:t>
      </w:r>
      <w:r w:rsidR="00CC7C22">
        <w:t xml:space="preserve">any better </w:t>
      </w:r>
      <w:r w:rsidRPr="00C07E17">
        <w:t xml:space="preserve">suited to community services. </w:t>
      </w:r>
      <w:r>
        <w:t xml:space="preserve">One option </w:t>
      </w:r>
      <w:r w:rsidR="00CC7C22">
        <w:t xml:space="preserve">would be </w:t>
      </w:r>
      <w:r>
        <w:t xml:space="preserve">to </w:t>
      </w:r>
      <w:r w:rsidRPr="00C07E17">
        <w:t>re</w:t>
      </w:r>
      <w:r>
        <w:t>-</w:t>
      </w:r>
      <w:r w:rsidRPr="00C07E17">
        <w:t xml:space="preserve">weight </w:t>
      </w:r>
      <w:r>
        <w:t>the Community Sector Funding Rate formula, to adjust the split between WPI and CPI</w:t>
      </w:r>
      <w:r w:rsidR="00CC7C22">
        <w:t xml:space="preserve"> (currently 80</w:t>
      </w:r>
      <w:r w:rsidR="00EB6D47">
        <w:t>:</w:t>
      </w:r>
      <w:r w:rsidR="00CC7C22">
        <w:t>20)</w:t>
      </w:r>
      <w:r>
        <w:t xml:space="preserve">. However, this is unlikely to result in </w:t>
      </w:r>
      <w:r w:rsidR="00EB6D47">
        <w:t xml:space="preserve">greater </w:t>
      </w:r>
      <w:r>
        <w:t xml:space="preserve">relevance, given the </w:t>
      </w:r>
      <w:r w:rsidRPr="00C07E17">
        <w:t xml:space="preserve">wide range of circumstances across the sector. For example, ACNC data for 105 relevant charities in the ACT indicates that while spending on employees was, on average, 64% of total expenses, </w:t>
      </w:r>
      <w:r>
        <w:t xml:space="preserve">this </w:t>
      </w:r>
      <w:r w:rsidRPr="00C07E17">
        <w:t xml:space="preserve">varied </w:t>
      </w:r>
      <w:r>
        <w:t xml:space="preserve">across charities, </w:t>
      </w:r>
      <w:r w:rsidRPr="00C07E17">
        <w:t xml:space="preserve">from 9% to 89%. </w:t>
      </w:r>
      <w:r>
        <w:t>Adjusting to, say, a 65:35 split would not be better for all, and would not reliably provide for better cost coverage.</w:t>
      </w:r>
    </w:p>
    <w:p w14:paraId="026329D5" w14:textId="3CC0E2B8" w:rsidR="002A5C2E" w:rsidRPr="00C07E17" w:rsidRDefault="002A5C2E" w:rsidP="002A5C2E">
      <w:pPr>
        <w:pStyle w:val="BodyText"/>
      </w:pPr>
      <w:r w:rsidRPr="00C07E17">
        <w:t>A simple</w:t>
      </w:r>
      <w:r>
        <w:t>r</w:t>
      </w:r>
      <w:r w:rsidRPr="00C07E17">
        <w:t xml:space="preserve"> guarantee for the community sector, and one </w:t>
      </w:r>
      <w:r>
        <w:t>requiring a less detailed and</w:t>
      </w:r>
      <w:r w:rsidRPr="00C07E17">
        <w:t xml:space="preserve"> </w:t>
      </w:r>
      <w:r>
        <w:t xml:space="preserve">less </w:t>
      </w:r>
      <w:r w:rsidRPr="00C07E17">
        <w:t>complex formula</w:t>
      </w:r>
      <w:r w:rsidR="007C79AC">
        <w:t xml:space="preserve"> than the Community Sector Funding Rate</w:t>
      </w:r>
      <w:r w:rsidRPr="00C07E17">
        <w:t xml:space="preserve">, </w:t>
      </w:r>
      <w:r>
        <w:t xml:space="preserve">is </w:t>
      </w:r>
      <w:r w:rsidRPr="00C07E17">
        <w:t xml:space="preserve">to provide regular, six-monthly increases </w:t>
      </w:r>
      <w:r>
        <w:t xml:space="preserve">which are </w:t>
      </w:r>
      <w:r w:rsidRPr="00C07E17">
        <w:t xml:space="preserve">in line with either CPI or WPI, whichever is higher. </w:t>
      </w:r>
      <w:r w:rsidR="00033CC5">
        <w:t xml:space="preserve">However, </w:t>
      </w:r>
      <w:r w:rsidR="006B001F">
        <w:t xml:space="preserve">drawing only on </w:t>
      </w:r>
      <w:r w:rsidR="00911AB3">
        <w:t>WPI or CPI</w:t>
      </w:r>
      <w:r w:rsidR="006B001F">
        <w:t xml:space="preserve"> </w:t>
      </w:r>
      <w:r w:rsidR="00033CC5">
        <w:t>would result in only very modest increases</w:t>
      </w:r>
      <w:r w:rsidR="00A3513F">
        <w:t xml:space="preserve">. While these small increases would, over time accumulate, they </w:t>
      </w:r>
      <w:r w:rsidR="006B001F">
        <w:t xml:space="preserve">would not </w:t>
      </w:r>
      <w:r w:rsidR="00033CC5">
        <w:t xml:space="preserve">guarantee </w:t>
      </w:r>
      <w:r w:rsidR="00A3513F">
        <w:t xml:space="preserve">a level of </w:t>
      </w:r>
      <w:r w:rsidR="00033CC5">
        <w:t xml:space="preserve">indexation </w:t>
      </w:r>
      <w:r w:rsidR="00A3513F">
        <w:t xml:space="preserve">sufficient to meet </w:t>
      </w:r>
      <w:r w:rsidR="00033CC5">
        <w:t xml:space="preserve">annual rises in the minimum wage. </w:t>
      </w:r>
      <w:r w:rsidR="006B001F">
        <w:t>For</w:t>
      </w:r>
      <w:r w:rsidR="00AC18CE">
        <w:t> </w:t>
      </w:r>
      <w:r w:rsidR="006B001F">
        <w:t xml:space="preserve">this reason, we recommend that funding be indexed using the higher of three rates: CPI, WPI or </w:t>
      </w:r>
      <w:r w:rsidR="006B001F">
        <w:lastRenderedPageBreak/>
        <w:t xml:space="preserve">the increase in SCHADS award rates. </w:t>
      </w:r>
      <w:r w:rsidRPr="00C07E17">
        <w:t>Th</w:t>
      </w:r>
      <w:r>
        <w:t>e</w:t>
      </w:r>
      <w:r w:rsidRPr="00C07E17">
        <w:t xml:space="preserve"> </w:t>
      </w:r>
      <w:r>
        <w:t xml:space="preserve">‘whichever is higher’ principle is recommended as it has been used effectively </w:t>
      </w:r>
      <w:r w:rsidRPr="00C07E17">
        <w:t xml:space="preserve">in the income support system to maintain the purchasing power of pensions, and </w:t>
      </w:r>
      <w:r>
        <w:t xml:space="preserve">pensions’ parity to </w:t>
      </w:r>
      <w:r w:rsidRPr="00C07E17">
        <w:t xml:space="preserve">earnings. </w:t>
      </w:r>
      <w:r>
        <w:t xml:space="preserve">Pension indexation occurs </w:t>
      </w:r>
      <w:r w:rsidRPr="00C07E17">
        <w:t>in March and September each year. Since 2009 adjust</w:t>
      </w:r>
      <w:r>
        <w:t xml:space="preserve">ments have been based on the either CPI or the </w:t>
      </w:r>
      <w:r w:rsidRPr="00C07E17">
        <w:t>Pensioner and Beneficiary Living Cost Index</w:t>
      </w:r>
      <w:r>
        <w:rPr>
          <w:rStyle w:val="FootnoteReference"/>
        </w:rPr>
        <w:footnoteReference w:id="79"/>
      </w:r>
      <w:r w:rsidRPr="00C07E17">
        <w:t xml:space="preserve">, </w:t>
      </w:r>
      <w:r>
        <w:t xml:space="preserve">whichever is higher. Rates are then </w:t>
      </w:r>
      <w:r w:rsidRPr="00C07E17">
        <w:t>benchmarked to a proportion of male total average weekly earnings.</w:t>
      </w:r>
      <w:r>
        <w:rPr>
          <w:rStyle w:val="FootnoteReference"/>
        </w:rPr>
        <w:footnoteReference w:id="80"/>
      </w:r>
      <w:r w:rsidRPr="00C07E17">
        <w:t xml:space="preserve">  This has helped</w:t>
      </w:r>
      <w:r>
        <w:t xml:space="preserve"> to</w:t>
      </w:r>
      <w:r w:rsidRPr="00C07E17">
        <w:t xml:space="preserve"> maintain the value of pensions more effectively than allowances like Jobseeker payment and Youth Allowance, which are adjusted only in line with CPI.  </w:t>
      </w:r>
    </w:p>
    <w:p w14:paraId="56C1C144" w14:textId="16AED8EA" w:rsidR="00AD6310" w:rsidRDefault="002A5C2E" w:rsidP="000A039C">
      <w:pPr>
        <w:pStyle w:val="BodyText"/>
      </w:pPr>
      <w:r>
        <w:t xml:space="preserve">On this basis, </w:t>
      </w:r>
      <w:r w:rsidRPr="00C07E17">
        <w:t xml:space="preserve">replacing the Community Sector Funding rate with </w:t>
      </w:r>
      <w:r>
        <w:t xml:space="preserve">the </w:t>
      </w:r>
      <w:r w:rsidRPr="00C07E17">
        <w:t>simpler approach of indexing grants to either CPI or WPI</w:t>
      </w:r>
      <w:r w:rsidR="007B3510">
        <w:t xml:space="preserve"> </w:t>
      </w:r>
      <w:r w:rsidR="006B001F">
        <w:t>or the annual increase in the SCHADS award</w:t>
      </w:r>
      <w:r w:rsidRPr="00C07E17">
        <w:t>, whichever is higher</w:t>
      </w:r>
      <w:r>
        <w:t xml:space="preserve">, will give the sector better security about cost coverage. </w:t>
      </w:r>
    </w:p>
    <w:p w14:paraId="21E64DB9" w14:textId="617D2CAE" w:rsidR="00AD6310" w:rsidRDefault="00AD6310" w:rsidP="00AD6310">
      <w:pPr>
        <w:pStyle w:val="BodyText"/>
      </w:pPr>
      <w:r>
        <w:t xml:space="preserve">Analysis of how this recommended formula would have applied over the last seven years is in </w:t>
      </w:r>
      <w:r>
        <w:fldChar w:fldCharType="begin"/>
      </w:r>
      <w:r>
        <w:instrText xml:space="preserve"> REF _Ref89794101 \h </w:instrText>
      </w:r>
      <w:r>
        <w:fldChar w:fldCharType="separate"/>
      </w:r>
      <w:r w:rsidR="00E405AF">
        <w:t xml:space="preserve">Table </w:t>
      </w:r>
      <w:r w:rsidR="00E405AF">
        <w:rPr>
          <w:noProof/>
        </w:rPr>
        <w:t>7</w:t>
      </w:r>
      <w:r w:rsidR="00E405AF">
        <w:t>.</w:t>
      </w:r>
      <w:r w:rsidR="00E405AF">
        <w:rPr>
          <w:noProof/>
        </w:rPr>
        <w:t>1</w:t>
      </w:r>
      <w:r>
        <w:fldChar w:fldCharType="end"/>
      </w:r>
      <w:r>
        <w:t xml:space="preserve">. This shows that in each year, the recommended rate </w:t>
      </w:r>
      <w:r w:rsidR="00724FAE">
        <w:t xml:space="preserve">would have been </w:t>
      </w:r>
      <w:r>
        <w:t>only slightly higher than the Community Sector Funding Rate</w:t>
      </w:r>
      <w:r w:rsidR="00724FAE">
        <w:t xml:space="preserve"> but would have provided </w:t>
      </w:r>
      <w:r>
        <w:t xml:space="preserve">better security, particularly in years of large Award wage rises. </w:t>
      </w:r>
    </w:p>
    <w:p w14:paraId="31488D26" w14:textId="316BD646" w:rsidR="002A5C2E" w:rsidRDefault="002A5C2E" w:rsidP="000A039C">
      <w:pPr>
        <w:pStyle w:val="BodyText"/>
      </w:pPr>
      <w:r>
        <w:t xml:space="preserve">Introducing this formula </w:t>
      </w:r>
      <w:r w:rsidRPr="00C07E17">
        <w:t>does not involve large allocation</w:t>
      </w:r>
      <w:r>
        <w:t xml:space="preserve">s for funders. </w:t>
      </w:r>
      <w:r w:rsidR="00A3513F">
        <w:t xml:space="preserve">The impact will be small in each </w:t>
      </w:r>
      <w:proofErr w:type="gramStart"/>
      <w:r w:rsidR="00A3513F">
        <w:t>year, but</w:t>
      </w:r>
      <w:proofErr w:type="gramEnd"/>
      <w:r w:rsidR="00A3513F">
        <w:t xml:space="preserve"> </w:t>
      </w:r>
      <w:r w:rsidR="008952B1">
        <w:t xml:space="preserve">will </w:t>
      </w:r>
      <w:r w:rsidR="00A3513F">
        <w:t xml:space="preserve">accumulate over time. </w:t>
      </w:r>
      <w:r w:rsidR="008952B1">
        <w:t xml:space="preserve">The process </w:t>
      </w:r>
      <w:r w:rsidR="00AD6310">
        <w:t>will not be costly to administer</w:t>
      </w:r>
      <w:r>
        <w:t>.</w:t>
      </w:r>
      <w:r w:rsidRPr="00C07E17">
        <w:t xml:space="preserve"> </w:t>
      </w:r>
      <w:r w:rsidR="000A039C">
        <w:t>The</w:t>
      </w:r>
      <w:r w:rsidR="00AC18CE">
        <w:t> </w:t>
      </w:r>
      <w:r w:rsidR="000A039C">
        <w:t xml:space="preserve">recommended approach will </w:t>
      </w:r>
      <w:r>
        <w:t xml:space="preserve">provide gradual increases </w:t>
      </w:r>
      <w:r w:rsidR="006B001F">
        <w:t xml:space="preserve">and better security </w:t>
      </w:r>
      <w:r>
        <w:t xml:space="preserve">for all funded organisations. </w:t>
      </w:r>
      <w:r w:rsidR="00AF34BF">
        <w:t>With fuller transparency from ACT Treasury about how it is calculated, the approach will be better understood and more accepted in the sector.</w:t>
      </w:r>
    </w:p>
    <w:p w14:paraId="02EE631C" w14:textId="09D58D69" w:rsidR="00911AB3" w:rsidRDefault="00911AB3" w:rsidP="00911AB3">
      <w:pPr>
        <w:pStyle w:val="Caption"/>
      </w:pPr>
      <w:bookmarkStart w:id="111" w:name="_Ref89794101"/>
      <w:bookmarkStart w:id="112" w:name="_Toc90019592"/>
      <w:r>
        <w:t xml:space="preserve">Table </w:t>
      </w:r>
      <w:fldSimple w:instr=" STYLEREF 1 \s ">
        <w:r w:rsidR="00E405AF">
          <w:rPr>
            <w:noProof/>
          </w:rPr>
          <w:t>7</w:t>
        </w:r>
      </w:fldSimple>
      <w:r>
        <w:t>.</w:t>
      </w:r>
      <w:fldSimple w:instr=" SEQ Table \* ARABIC \s 1 ">
        <w:r w:rsidR="00E405AF">
          <w:rPr>
            <w:noProof/>
          </w:rPr>
          <w:t>1</w:t>
        </w:r>
      </w:fldSimple>
      <w:bookmarkEnd w:id="111"/>
      <w:r>
        <w:tab/>
        <w:t>Comparison between the Community Sector Funding Rate and the recommended formula</w:t>
      </w:r>
      <w:bookmarkEnd w:id="112"/>
    </w:p>
    <w:tbl>
      <w:tblPr>
        <w:tblStyle w:val="Style3"/>
        <w:tblW w:w="9878" w:type="dxa"/>
        <w:tblLayout w:type="fixed"/>
        <w:tblLook w:val="04A0" w:firstRow="1" w:lastRow="0" w:firstColumn="1" w:lastColumn="0" w:noHBand="0" w:noVBand="1"/>
      </w:tblPr>
      <w:tblGrid>
        <w:gridCol w:w="2830"/>
        <w:gridCol w:w="993"/>
        <w:gridCol w:w="992"/>
        <w:gridCol w:w="1013"/>
        <w:gridCol w:w="1012"/>
        <w:gridCol w:w="1013"/>
        <w:gridCol w:w="1012"/>
        <w:gridCol w:w="1013"/>
      </w:tblGrid>
      <w:tr w:rsidR="006E51CF" w:rsidRPr="00DC0F28" w14:paraId="4FEAE252" w14:textId="77777777" w:rsidTr="006E51C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hideMark/>
          </w:tcPr>
          <w:p w14:paraId="0E5CE7BE" w14:textId="77777777" w:rsidR="00911AB3" w:rsidRPr="00DC0F28" w:rsidRDefault="00911AB3" w:rsidP="00960F29">
            <w:pPr>
              <w:autoSpaceDE/>
              <w:autoSpaceDN/>
              <w:adjustRightInd/>
              <w:spacing w:after="0"/>
              <w:ind w:right="0"/>
              <w:rPr>
                <w:rFonts w:ascii="Times New Roman" w:eastAsia="Times New Roman" w:hAnsi="Times New Roman" w:cs="Times New Roman"/>
                <w:color w:val="FFFFFF" w:themeColor="background1"/>
                <w:sz w:val="20"/>
                <w:szCs w:val="20"/>
                <w:lang w:eastAsia="en-AU"/>
              </w:rPr>
            </w:pPr>
          </w:p>
        </w:tc>
        <w:tc>
          <w:tcPr>
            <w:tcW w:w="993" w:type="dxa"/>
            <w:noWrap/>
            <w:hideMark/>
          </w:tcPr>
          <w:p w14:paraId="1D330AD7" w14:textId="77777777" w:rsidR="00911AB3" w:rsidRPr="00DC0F28" w:rsidRDefault="00911AB3" w:rsidP="00960F29">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DC0F28">
              <w:rPr>
                <w:rFonts w:ascii="Calibri" w:eastAsia="Times New Roman" w:hAnsi="Calibri" w:cs="Calibri"/>
                <w:b/>
                <w:bCs/>
                <w:color w:val="FFFFFF" w:themeColor="background1"/>
                <w:sz w:val="22"/>
                <w:szCs w:val="22"/>
                <w:lang w:eastAsia="en-AU"/>
              </w:rPr>
              <w:t>2014-15</w:t>
            </w:r>
          </w:p>
        </w:tc>
        <w:tc>
          <w:tcPr>
            <w:tcW w:w="992" w:type="dxa"/>
            <w:noWrap/>
            <w:hideMark/>
          </w:tcPr>
          <w:p w14:paraId="4A33A808" w14:textId="77777777" w:rsidR="00911AB3" w:rsidRPr="00DC0F28" w:rsidRDefault="00911AB3" w:rsidP="00960F29">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DC0F28">
              <w:rPr>
                <w:rFonts w:ascii="Calibri" w:eastAsia="Times New Roman" w:hAnsi="Calibri" w:cs="Calibri"/>
                <w:b/>
                <w:bCs/>
                <w:color w:val="FFFFFF" w:themeColor="background1"/>
                <w:sz w:val="22"/>
                <w:szCs w:val="22"/>
                <w:lang w:eastAsia="en-AU"/>
              </w:rPr>
              <w:t>2015-16</w:t>
            </w:r>
          </w:p>
        </w:tc>
        <w:tc>
          <w:tcPr>
            <w:tcW w:w="1013" w:type="dxa"/>
            <w:hideMark/>
          </w:tcPr>
          <w:p w14:paraId="3AC21126" w14:textId="77777777" w:rsidR="00911AB3" w:rsidRPr="00DC0F28" w:rsidRDefault="00911AB3" w:rsidP="00960F2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en-AU"/>
              </w:rPr>
            </w:pPr>
            <w:r w:rsidRPr="00DC0F28">
              <w:rPr>
                <w:rFonts w:ascii="Arial" w:eastAsia="Times New Roman" w:hAnsi="Arial" w:cs="Arial"/>
                <w:b/>
                <w:bCs/>
                <w:color w:val="FFFFFF" w:themeColor="background1"/>
                <w:sz w:val="20"/>
                <w:szCs w:val="20"/>
                <w:lang w:eastAsia="en-AU"/>
              </w:rPr>
              <w:t>2016-17</w:t>
            </w:r>
          </w:p>
        </w:tc>
        <w:tc>
          <w:tcPr>
            <w:tcW w:w="1012" w:type="dxa"/>
            <w:hideMark/>
          </w:tcPr>
          <w:p w14:paraId="4218BB44" w14:textId="77777777" w:rsidR="00911AB3" w:rsidRPr="00DC0F28" w:rsidRDefault="00911AB3" w:rsidP="00960F2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en-AU"/>
              </w:rPr>
            </w:pPr>
            <w:r w:rsidRPr="00DC0F28">
              <w:rPr>
                <w:rFonts w:ascii="Arial" w:eastAsia="Times New Roman" w:hAnsi="Arial" w:cs="Arial"/>
                <w:b/>
                <w:bCs/>
                <w:color w:val="FFFFFF" w:themeColor="background1"/>
                <w:sz w:val="20"/>
                <w:szCs w:val="20"/>
                <w:lang w:eastAsia="en-AU"/>
              </w:rPr>
              <w:t>2017-18</w:t>
            </w:r>
          </w:p>
        </w:tc>
        <w:tc>
          <w:tcPr>
            <w:tcW w:w="1013" w:type="dxa"/>
            <w:hideMark/>
          </w:tcPr>
          <w:p w14:paraId="49D4FF16" w14:textId="77777777" w:rsidR="00911AB3" w:rsidRPr="00DC0F28" w:rsidRDefault="00911AB3" w:rsidP="00960F2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en-AU"/>
              </w:rPr>
            </w:pPr>
            <w:r w:rsidRPr="00DC0F28">
              <w:rPr>
                <w:rFonts w:ascii="Arial" w:eastAsia="Times New Roman" w:hAnsi="Arial" w:cs="Arial"/>
                <w:b/>
                <w:bCs/>
                <w:color w:val="FFFFFF" w:themeColor="background1"/>
                <w:sz w:val="20"/>
                <w:szCs w:val="20"/>
                <w:lang w:eastAsia="en-AU"/>
              </w:rPr>
              <w:t>2018-19</w:t>
            </w:r>
          </w:p>
        </w:tc>
        <w:tc>
          <w:tcPr>
            <w:tcW w:w="1012" w:type="dxa"/>
            <w:hideMark/>
          </w:tcPr>
          <w:p w14:paraId="0B4AD19A" w14:textId="77777777" w:rsidR="00911AB3" w:rsidRPr="00DC0F28" w:rsidRDefault="00911AB3" w:rsidP="00960F2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en-AU"/>
              </w:rPr>
            </w:pPr>
            <w:r w:rsidRPr="00DC0F28">
              <w:rPr>
                <w:rFonts w:ascii="Arial" w:eastAsia="Times New Roman" w:hAnsi="Arial" w:cs="Arial"/>
                <w:b/>
                <w:bCs/>
                <w:color w:val="FFFFFF" w:themeColor="background1"/>
                <w:sz w:val="20"/>
                <w:szCs w:val="20"/>
                <w:lang w:eastAsia="en-AU"/>
              </w:rPr>
              <w:t>2019- 20</w:t>
            </w:r>
          </w:p>
        </w:tc>
        <w:tc>
          <w:tcPr>
            <w:tcW w:w="1013" w:type="dxa"/>
            <w:hideMark/>
          </w:tcPr>
          <w:p w14:paraId="5057B5EB" w14:textId="77777777" w:rsidR="00911AB3" w:rsidRPr="00DC0F28" w:rsidRDefault="00911AB3" w:rsidP="00960F2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en-AU"/>
              </w:rPr>
            </w:pPr>
            <w:r w:rsidRPr="00DC0F28">
              <w:rPr>
                <w:rFonts w:ascii="Arial" w:eastAsia="Times New Roman" w:hAnsi="Arial" w:cs="Arial"/>
                <w:b/>
                <w:bCs/>
                <w:color w:val="FFFFFF" w:themeColor="background1"/>
                <w:sz w:val="20"/>
                <w:szCs w:val="20"/>
                <w:lang w:eastAsia="en-AU"/>
              </w:rPr>
              <w:t>2020-21</w:t>
            </w:r>
          </w:p>
        </w:tc>
      </w:tr>
      <w:tr w:rsidR="006E51CF" w:rsidRPr="00DC0F28" w14:paraId="4AEC45C1" w14:textId="77777777" w:rsidTr="006E51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F9377D" w14:textId="77777777" w:rsidR="00911AB3" w:rsidRPr="00DC0F28" w:rsidRDefault="00911AB3" w:rsidP="00960F29">
            <w:pPr>
              <w:autoSpaceDE/>
              <w:autoSpaceDN/>
              <w:adjustRightInd/>
              <w:spacing w:after="0"/>
              <w:ind w:right="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Community Sector Funding Rate</w:t>
            </w:r>
          </w:p>
        </w:tc>
        <w:tc>
          <w:tcPr>
            <w:tcW w:w="993" w:type="dxa"/>
            <w:noWrap/>
            <w:hideMark/>
          </w:tcPr>
          <w:p w14:paraId="73D265C3"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2.9%</w:t>
            </w:r>
          </w:p>
        </w:tc>
        <w:tc>
          <w:tcPr>
            <w:tcW w:w="992" w:type="dxa"/>
            <w:noWrap/>
            <w:hideMark/>
          </w:tcPr>
          <w:p w14:paraId="6996E240"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2.7%</w:t>
            </w:r>
          </w:p>
        </w:tc>
        <w:tc>
          <w:tcPr>
            <w:tcW w:w="1013" w:type="dxa"/>
            <w:hideMark/>
          </w:tcPr>
          <w:p w14:paraId="5C7292BB"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DC0F28">
              <w:rPr>
                <w:rFonts w:ascii="Arial" w:eastAsia="Times New Roman" w:hAnsi="Arial" w:cs="Arial"/>
                <w:sz w:val="20"/>
                <w:szCs w:val="20"/>
                <w:lang w:eastAsia="en-AU"/>
              </w:rPr>
              <w:t>1.8%</w:t>
            </w:r>
          </w:p>
        </w:tc>
        <w:tc>
          <w:tcPr>
            <w:tcW w:w="1012" w:type="dxa"/>
            <w:hideMark/>
          </w:tcPr>
          <w:p w14:paraId="3273F5D6"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DC0F28">
              <w:rPr>
                <w:rFonts w:ascii="Arial" w:eastAsia="Times New Roman" w:hAnsi="Arial" w:cs="Arial"/>
                <w:sz w:val="20"/>
                <w:szCs w:val="20"/>
                <w:lang w:eastAsia="en-AU"/>
              </w:rPr>
              <w:t>2%</w:t>
            </w:r>
          </w:p>
        </w:tc>
        <w:tc>
          <w:tcPr>
            <w:tcW w:w="1013" w:type="dxa"/>
            <w:hideMark/>
          </w:tcPr>
          <w:p w14:paraId="25AAEDC8"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DC0F28">
              <w:rPr>
                <w:rFonts w:ascii="Arial" w:eastAsia="Times New Roman" w:hAnsi="Arial" w:cs="Arial"/>
                <w:sz w:val="20"/>
                <w:szCs w:val="20"/>
                <w:lang w:eastAsia="en-AU"/>
              </w:rPr>
              <w:t>2.45%</w:t>
            </w:r>
          </w:p>
        </w:tc>
        <w:tc>
          <w:tcPr>
            <w:tcW w:w="1012" w:type="dxa"/>
            <w:hideMark/>
          </w:tcPr>
          <w:p w14:paraId="2970DFBC"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DC0F28">
              <w:rPr>
                <w:rFonts w:ascii="Arial" w:eastAsia="Times New Roman" w:hAnsi="Arial" w:cs="Arial"/>
                <w:sz w:val="20"/>
                <w:szCs w:val="20"/>
                <w:lang w:eastAsia="en-AU"/>
              </w:rPr>
              <w:t>2.45%</w:t>
            </w:r>
          </w:p>
        </w:tc>
        <w:tc>
          <w:tcPr>
            <w:tcW w:w="1013" w:type="dxa"/>
            <w:hideMark/>
          </w:tcPr>
          <w:p w14:paraId="6A43ED1C"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DC0F28">
              <w:rPr>
                <w:rFonts w:ascii="Arial" w:eastAsia="Times New Roman" w:hAnsi="Arial" w:cs="Arial"/>
                <w:sz w:val="20"/>
                <w:szCs w:val="20"/>
                <w:lang w:eastAsia="en-AU"/>
              </w:rPr>
              <w:t>1.5%</w:t>
            </w:r>
          </w:p>
        </w:tc>
      </w:tr>
      <w:tr w:rsidR="00911AB3" w:rsidRPr="00DC0F28" w14:paraId="7C6194CC" w14:textId="77777777" w:rsidTr="006E51C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3CDD3F" w14:textId="474CBC49" w:rsidR="00911AB3" w:rsidRPr="00DC0F28" w:rsidRDefault="00AF34BF" w:rsidP="00960F29">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I</w:t>
            </w:r>
            <w:r w:rsidR="006E51CF">
              <w:rPr>
                <w:rFonts w:ascii="Calibri" w:eastAsia="Times New Roman" w:hAnsi="Calibri" w:cs="Calibri"/>
                <w:sz w:val="22"/>
                <w:szCs w:val="22"/>
                <w:lang w:eastAsia="en-AU"/>
              </w:rPr>
              <w:t>ncrease in</w:t>
            </w:r>
            <w:r w:rsidR="00724FAE">
              <w:rPr>
                <w:rFonts w:ascii="Calibri" w:eastAsia="Times New Roman" w:hAnsi="Calibri" w:cs="Calibri"/>
                <w:sz w:val="22"/>
                <w:szCs w:val="22"/>
                <w:lang w:eastAsia="en-AU"/>
              </w:rPr>
              <w:t xml:space="preserve"> </w:t>
            </w:r>
            <w:r w:rsidR="00911AB3">
              <w:rPr>
                <w:rFonts w:ascii="Calibri" w:eastAsia="Times New Roman" w:hAnsi="Calibri" w:cs="Calibri"/>
                <w:sz w:val="22"/>
                <w:szCs w:val="22"/>
                <w:lang w:eastAsia="en-AU"/>
              </w:rPr>
              <w:t>SCHADS award</w:t>
            </w:r>
            <w:r>
              <w:rPr>
                <w:rFonts w:ascii="Calibri" w:eastAsia="Times New Roman" w:hAnsi="Calibri" w:cs="Calibri"/>
                <w:sz w:val="22"/>
                <w:szCs w:val="22"/>
                <w:lang w:eastAsia="en-AU"/>
              </w:rPr>
              <w:t xml:space="preserve"> (Annual Wage Review)</w:t>
            </w:r>
          </w:p>
        </w:tc>
        <w:tc>
          <w:tcPr>
            <w:tcW w:w="993" w:type="dxa"/>
            <w:noWrap/>
            <w:hideMark/>
          </w:tcPr>
          <w:p w14:paraId="6B009572"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2.5%</w:t>
            </w:r>
          </w:p>
        </w:tc>
        <w:tc>
          <w:tcPr>
            <w:tcW w:w="992" w:type="dxa"/>
            <w:noWrap/>
            <w:hideMark/>
          </w:tcPr>
          <w:p w14:paraId="10723545"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2.4%</w:t>
            </w:r>
          </w:p>
        </w:tc>
        <w:tc>
          <w:tcPr>
            <w:tcW w:w="1013" w:type="dxa"/>
            <w:shd w:val="clear" w:color="auto" w:fill="E4EAF0" w:themeFill="accent6" w:themeFillTint="33"/>
            <w:noWrap/>
            <w:hideMark/>
          </w:tcPr>
          <w:p w14:paraId="08725F7A"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3.3%</w:t>
            </w:r>
          </w:p>
        </w:tc>
        <w:tc>
          <w:tcPr>
            <w:tcW w:w="1012" w:type="dxa"/>
            <w:shd w:val="clear" w:color="auto" w:fill="E4EAF0" w:themeFill="accent6" w:themeFillTint="33"/>
            <w:noWrap/>
            <w:hideMark/>
          </w:tcPr>
          <w:p w14:paraId="26C582C5"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3.5%</w:t>
            </w:r>
          </w:p>
        </w:tc>
        <w:tc>
          <w:tcPr>
            <w:tcW w:w="1013" w:type="dxa"/>
            <w:shd w:val="clear" w:color="auto" w:fill="E4EAF0" w:themeFill="accent6" w:themeFillTint="33"/>
            <w:noWrap/>
            <w:hideMark/>
          </w:tcPr>
          <w:p w14:paraId="023682EE"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3%</w:t>
            </w:r>
          </w:p>
        </w:tc>
        <w:tc>
          <w:tcPr>
            <w:tcW w:w="1012" w:type="dxa"/>
            <w:noWrap/>
            <w:hideMark/>
          </w:tcPr>
          <w:p w14:paraId="0049A341"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1.8%</w:t>
            </w:r>
          </w:p>
        </w:tc>
        <w:tc>
          <w:tcPr>
            <w:tcW w:w="1013" w:type="dxa"/>
            <w:shd w:val="clear" w:color="auto" w:fill="E4EAF0" w:themeFill="accent6" w:themeFillTint="33"/>
            <w:noWrap/>
            <w:hideMark/>
          </w:tcPr>
          <w:p w14:paraId="2408B056"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2.5%</w:t>
            </w:r>
          </w:p>
        </w:tc>
      </w:tr>
      <w:tr w:rsidR="006E51CF" w:rsidRPr="00DC0F28" w14:paraId="0D9F48DB" w14:textId="77777777" w:rsidTr="006E51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964394" w14:textId="77777777" w:rsidR="00911AB3" w:rsidRPr="00DC0F28" w:rsidRDefault="00911AB3" w:rsidP="00960F29">
            <w:pPr>
              <w:autoSpaceDE/>
              <w:autoSpaceDN/>
              <w:adjustRightInd/>
              <w:spacing w:after="0"/>
              <w:ind w:right="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WPI</w:t>
            </w:r>
          </w:p>
        </w:tc>
        <w:tc>
          <w:tcPr>
            <w:tcW w:w="993" w:type="dxa"/>
            <w:shd w:val="clear" w:color="auto" w:fill="E4EAF0" w:themeFill="accent6" w:themeFillTint="33"/>
            <w:noWrap/>
            <w:hideMark/>
          </w:tcPr>
          <w:p w14:paraId="0DAB6D25"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3%</w:t>
            </w:r>
          </w:p>
        </w:tc>
        <w:tc>
          <w:tcPr>
            <w:tcW w:w="992" w:type="dxa"/>
            <w:shd w:val="clear" w:color="auto" w:fill="E4EAF0" w:themeFill="accent6" w:themeFillTint="33"/>
            <w:noWrap/>
            <w:hideMark/>
          </w:tcPr>
          <w:p w14:paraId="0486D8E5"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2.75%</w:t>
            </w:r>
          </w:p>
        </w:tc>
        <w:tc>
          <w:tcPr>
            <w:tcW w:w="1013" w:type="dxa"/>
            <w:noWrap/>
            <w:hideMark/>
          </w:tcPr>
          <w:p w14:paraId="443B825D"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w:t>
            </w:r>
          </w:p>
        </w:tc>
        <w:tc>
          <w:tcPr>
            <w:tcW w:w="1012" w:type="dxa"/>
            <w:noWrap/>
            <w:hideMark/>
          </w:tcPr>
          <w:p w14:paraId="3A04F3F7"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w:t>
            </w:r>
          </w:p>
        </w:tc>
        <w:tc>
          <w:tcPr>
            <w:tcW w:w="1013" w:type="dxa"/>
            <w:noWrap/>
            <w:hideMark/>
          </w:tcPr>
          <w:p w14:paraId="6B101DD3"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2.5%</w:t>
            </w:r>
          </w:p>
        </w:tc>
        <w:tc>
          <w:tcPr>
            <w:tcW w:w="1012" w:type="dxa"/>
            <w:shd w:val="clear" w:color="auto" w:fill="E4EAF0" w:themeFill="accent6" w:themeFillTint="33"/>
            <w:noWrap/>
            <w:hideMark/>
          </w:tcPr>
          <w:p w14:paraId="64551259"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2.5%</w:t>
            </w:r>
          </w:p>
        </w:tc>
        <w:tc>
          <w:tcPr>
            <w:tcW w:w="1013" w:type="dxa"/>
            <w:shd w:val="clear" w:color="auto" w:fill="auto"/>
            <w:noWrap/>
            <w:hideMark/>
          </w:tcPr>
          <w:p w14:paraId="2EADD359"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1.5%</w:t>
            </w:r>
          </w:p>
        </w:tc>
      </w:tr>
      <w:tr w:rsidR="006E51CF" w:rsidRPr="00DC0F28" w14:paraId="5B241CD1" w14:textId="77777777" w:rsidTr="006E51C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DED30AF" w14:textId="77777777" w:rsidR="00911AB3" w:rsidRPr="00DC0F28" w:rsidRDefault="00911AB3" w:rsidP="00960F29">
            <w:pPr>
              <w:autoSpaceDE/>
              <w:autoSpaceDN/>
              <w:adjustRightInd/>
              <w:spacing w:after="0"/>
              <w:ind w:right="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CPI</w:t>
            </w:r>
          </w:p>
        </w:tc>
        <w:tc>
          <w:tcPr>
            <w:tcW w:w="993" w:type="dxa"/>
            <w:noWrap/>
            <w:hideMark/>
          </w:tcPr>
          <w:p w14:paraId="4F718297"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2.5%</w:t>
            </w:r>
          </w:p>
        </w:tc>
        <w:tc>
          <w:tcPr>
            <w:tcW w:w="992" w:type="dxa"/>
            <w:noWrap/>
            <w:hideMark/>
          </w:tcPr>
          <w:p w14:paraId="50ABAC9A"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2.5%</w:t>
            </w:r>
          </w:p>
        </w:tc>
        <w:tc>
          <w:tcPr>
            <w:tcW w:w="1013" w:type="dxa"/>
            <w:noWrap/>
            <w:hideMark/>
          </w:tcPr>
          <w:p w14:paraId="6509704D"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1%</w:t>
            </w:r>
          </w:p>
        </w:tc>
        <w:tc>
          <w:tcPr>
            <w:tcW w:w="1012" w:type="dxa"/>
            <w:noWrap/>
            <w:hideMark/>
          </w:tcPr>
          <w:p w14:paraId="36262A71"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w:t>
            </w:r>
          </w:p>
        </w:tc>
        <w:tc>
          <w:tcPr>
            <w:tcW w:w="1013" w:type="dxa"/>
            <w:noWrap/>
            <w:hideMark/>
          </w:tcPr>
          <w:p w14:paraId="7136FD2D"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2.25%</w:t>
            </w:r>
          </w:p>
        </w:tc>
        <w:tc>
          <w:tcPr>
            <w:tcW w:w="1012" w:type="dxa"/>
            <w:noWrap/>
            <w:hideMark/>
          </w:tcPr>
          <w:p w14:paraId="659B962A"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2.25%</w:t>
            </w:r>
          </w:p>
        </w:tc>
        <w:tc>
          <w:tcPr>
            <w:tcW w:w="1013" w:type="dxa"/>
            <w:noWrap/>
            <w:hideMark/>
          </w:tcPr>
          <w:p w14:paraId="1CDCBBFA"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C0F28">
              <w:rPr>
                <w:rFonts w:ascii="Calibri" w:eastAsia="Times New Roman" w:hAnsi="Calibri" w:cs="Calibri"/>
                <w:sz w:val="22"/>
                <w:szCs w:val="22"/>
                <w:lang w:eastAsia="en-AU"/>
              </w:rPr>
              <w:t>1.5%</w:t>
            </w:r>
          </w:p>
        </w:tc>
      </w:tr>
      <w:tr w:rsidR="006E51CF" w:rsidRPr="00DC0F28" w14:paraId="2E625922" w14:textId="77777777" w:rsidTr="006E51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726435" w14:textId="77777777" w:rsidR="00911AB3" w:rsidRPr="00DC0F28" w:rsidRDefault="00911AB3" w:rsidP="00960F29">
            <w:pPr>
              <w:autoSpaceDE/>
              <w:autoSpaceDN/>
              <w:adjustRightInd/>
              <w:spacing w:after="0"/>
              <w:ind w:right="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Rate that would apply, under recommended formula</w:t>
            </w:r>
          </w:p>
        </w:tc>
        <w:tc>
          <w:tcPr>
            <w:tcW w:w="993" w:type="dxa"/>
            <w:noWrap/>
            <w:hideMark/>
          </w:tcPr>
          <w:p w14:paraId="267AF669"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3%</w:t>
            </w:r>
          </w:p>
        </w:tc>
        <w:tc>
          <w:tcPr>
            <w:tcW w:w="992" w:type="dxa"/>
            <w:noWrap/>
            <w:hideMark/>
          </w:tcPr>
          <w:p w14:paraId="564BD39D"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2.75%</w:t>
            </w:r>
          </w:p>
        </w:tc>
        <w:tc>
          <w:tcPr>
            <w:tcW w:w="1013" w:type="dxa"/>
            <w:noWrap/>
            <w:hideMark/>
          </w:tcPr>
          <w:p w14:paraId="36021417"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3.3%</w:t>
            </w:r>
          </w:p>
        </w:tc>
        <w:tc>
          <w:tcPr>
            <w:tcW w:w="1012" w:type="dxa"/>
            <w:noWrap/>
            <w:hideMark/>
          </w:tcPr>
          <w:p w14:paraId="08C978F8"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3.5%</w:t>
            </w:r>
          </w:p>
        </w:tc>
        <w:tc>
          <w:tcPr>
            <w:tcW w:w="1013" w:type="dxa"/>
            <w:noWrap/>
            <w:hideMark/>
          </w:tcPr>
          <w:p w14:paraId="343287EE"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3%</w:t>
            </w:r>
          </w:p>
        </w:tc>
        <w:tc>
          <w:tcPr>
            <w:tcW w:w="1012" w:type="dxa"/>
            <w:noWrap/>
            <w:hideMark/>
          </w:tcPr>
          <w:p w14:paraId="11957407"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2.5%</w:t>
            </w:r>
          </w:p>
        </w:tc>
        <w:tc>
          <w:tcPr>
            <w:tcW w:w="1013" w:type="dxa"/>
            <w:noWrap/>
            <w:hideMark/>
          </w:tcPr>
          <w:p w14:paraId="2D90FDB8" w14:textId="77777777" w:rsidR="00911AB3" w:rsidRPr="00DC0F28" w:rsidRDefault="00911AB3" w:rsidP="006E51C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2.5%</w:t>
            </w:r>
          </w:p>
        </w:tc>
      </w:tr>
      <w:tr w:rsidR="006E51CF" w:rsidRPr="00DC0F28" w14:paraId="6F39F5A1" w14:textId="77777777" w:rsidTr="006E51C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E02264D" w14:textId="77777777" w:rsidR="00911AB3" w:rsidRPr="00DC0F28" w:rsidRDefault="00911AB3" w:rsidP="00960F29">
            <w:pPr>
              <w:autoSpaceDE/>
              <w:autoSpaceDN/>
              <w:adjustRightInd/>
              <w:spacing w:after="0"/>
              <w:ind w:right="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Difference between recommended formula and Community Sector Funding Rate</w:t>
            </w:r>
          </w:p>
        </w:tc>
        <w:tc>
          <w:tcPr>
            <w:tcW w:w="993" w:type="dxa"/>
            <w:noWrap/>
            <w:hideMark/>
          </w:tcPr>
          <w:p w14:paraId="03840D40"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0.1%</w:t>
            </w:r>
          </w:p>
        </w:tc>
        <w:tc>
          <w:tcPr>
            <w:tcW w:w="992" w:type="dxa"/>
            <w:noWrap/>
            <w:hideMark/>
          </w:tcPr>
          <w:p w14:paraId="7BFD0958" w14:textId="67CAC2C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0.</w:t>
            </w:r>
            <w:r>
              <w:rPr>
                <w:rFonts w:ascii="Calibri" w:eastAsia="Times New Roman" w:hAnsi="Calibri" w:cs="Calibri"/>
                <w:b/>
                <w:bCs/>
                <w:sz w:val="22"/>
                <w:szCs w:val="22"/>
                <w:lang w:eastAsia="en-AU"/>
              </w:rPr>
              <w:t>05</w:t>
            </w:r>
            <w:r w:rsidRPr="00DC0F28">
              <w:rPr>
                <w:rFonts w:ascii="Calibri" w:eastAsia="Times New Roman" w:hAnsi="Calibri" w:cs="Calibri"/>
                <w:b/>
                <w:bCs/>
                <w:sz w:val="22"/>
                <w:szCs w:val="22"/>
                <w:lang w:eastAsia="en-AU"/>
              </w:rPr>
              <w:t>%</w:t>
            </w:r>
          </w:p>
        </w:tc>
        <w:tc>
          <w:tcPr>
            <w:tcW w:w="1013" w:type="dxa"/>
            <w:noWrap/>
            <w:hideMark/>
          </w:tcPr>
          <w:p w14:paraId="355C5E8B" w14:textId="094CB6B8"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1.</w:t>
            </w:r>
            <w:r>
              <w:rPr>
                <w:rFonts w:ascii="Calibri" w:eastAsia="Times New Roman" w:hAnsi="Calibri" w:cs="Calibri"/>
                <w:b/>
                <w:bCs/>
                <w:sz w:val="22"/>
                <w:szCs w:val="22"/>
                <w:lang w:eastAsia="en-AU"/>
              </w:rPr>
              <w:t>5</w:t>
            </w:r>
            <w:r w:rsidRPr="00DC0F28">
              <w:rPr>
                <w:rFonts w:ascii="Calibri" w:eastAsia="Times New Roman" w:hAnsi="Calibri" w:cs="Calibri"/>
                <w:b/>
                <w:bCs/>
                <w:sz w:val="22"/>
                <w:szCs w:val="22"/>
                <w:lang w:eastAsia="en-AU"/>
              </w:rPr>
              <w:t>%</w:t>
            </w:r>
          </w:p>
        </w:tc>
        <w:tc>
          <w:tcPr>
            <w:tcW w:w="1012" w:type="dxa"/>
            <w:noWrap/>
            <w:hideMark/>
          </w:tcPr>
          <w:p w14:paraId="33A3D1CA"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1.5%</w:t>
            </w:r>
          </w:p>
        </w:tc>
        <w:tc>
          <w:tcPr>
            <w:tcW w:w="1013" w:type="dxa"/>
            <w:noWrap/>
            <w:hideMark/>
          </w:tcPr>
          <w:p w14:paraId="2EB3FD50" w14:textId="714F5F2E"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0.</w:t>
            </w:r>
            <w:r>
              <w:rPr>
                <w:rFonts w:ascii="Calibri" w:eastAsia="Times New Roman" w:hAnsi="Calibri" w:cs="Calibri"/>
                <w:b/>
                <w:bCs/>
                <w:sz w:val="22"/>
                <w:szCs w:val="22"/>
                <w:lang w:eastAsia="en-AU"/>
              </w:rPr>
              <w:t>55</w:t>
            </w:r>
            <w:r w:rsidRPr="00DC0F28">
              <w:rPr>
                <w:rFonts w:ascii="Calibri" w:eastAsia="Times New Roman" w:hAnsi="Calibri" w:cs="Calibri"/>
                <w:b/>
                <w:bCs/>
                <w:sz w:val="22"/>
                <w:szCs w:val="22"/>
                <w:lang w:eastAsia="en-AU"/>
              </w:rPr>
              <w:t>%</w:t>
            </w:r>
          </w:p>
        </w:tc>
        <w:tc>
          <w:tcPr>
            <w:tcW w:w="1012" w:type="dxa"/>
            <w:noWrap/>
            <w:hideMark/>
          </w:tcPr>
          <w:p w14:paraId="4A09B21D" w14:textId="1337EC81"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0.</w:t>
            </w:r>
            <w:r>
              <w:rPr>
                <w:rFonts w:ascii="Calibri" w:eastAsia="Times New Roman" w:hAnsi="Calibri" w:cs="Calibri"/>
                <w:b/>
                <w:bCs/>
                <w:sz w:val="22"/>
                <w:szCs w:val="22"/>
                <w:lang w:eastAsia="en-AU"/>
              </w:rPr>
              <w:t>05</w:t>
            </w:r>
            <w:r w:rsidRPr="00DC0F28">
              <w:rPr>
                <w:rFonts w:ascii="Calibri" w:eastAsia="Times New Roman" w:hAnsi="Calibri" w:cs="Calibri"/>
                <w:b/>
                <w:bCs/>
                <w:sz w:val="22"/>
                <w:szCs w:val="22"/>
                <w:lang w:eastAsia="en-AU"/>
              </w:rPr>
              <w:t>%</w:t>
            </w:r>
          </w:p>
        </w:tc>
        <w:tc>
          <w:tcPr>
            <w:tcW w:w="1013" w:type="dxa"/>
            <w:noWrap/>
            <w:hideMark/>
          </w:tcPr>
          <w:p w14:paraId="7102EA62" w14:textId="77777777" w:rsidR="00911AB3" w:rsidRPr="00DC0F28" w:rsidRDefault="00911AB3" w:rsidP="006E51C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AU"/>
              </w:rPr>
            </w:pPr>
            <w:r w:rsidRPr="00DC0F28">
              <w:rPr>
                <w:rFonts w:ascii="Calibri" w:eastAsia="Times New Roman" w:hAnsi="Calibri" w:cs="Calibri"/>
                <w:b/>
                <w:bCs/>
                <w:sz w:val="22"/>
                <w:szCs w:val="22"/>
                <w:lang w:eastAsia="en-AU"/>
              </w:rPr>
              <w:t>1.0%</w:t>
            </w:r>
          </w:p>
        </w:tc>
      </w:tr>
    </w:tbl>
    <w:p w14:paraId="06D5CDE2" w14:textId="1A8D2129" w:rsidR="00911AB3" w:rsidRDefault="00911AB3" w:rsidP="00A618F3">
      <w:pPr>
        <w:pStyle w:val="Tablenotes"/>
        <w:ind w:left="0" w:firstLine="0"/>
      </w:pPr>
      <w:r>
        <w:t xml:space="preserve">Note: WPI, CPI and the Community Sector Funding Rate were drawn from ACT Budget Paper 3. Increases </w:t>
      </w:r>
      <w:r w:rsidR="00A618F3">
        <w:t xml:space="preserve">in Award rates </w:t>
      </w:r>
      <w:r w:rsidR="00724FAE">
        <w:t xml:space="preserve">are </w:t>
      </w:r>
      <w:r w:rsidR="00A618F3">
        <w:t>sourced from</w:t>
      </w:r>
      <w:r w:rsidR="00A618F3" w:rsidRPr="00A618F3">
        <w:t xml:space="preserve"> </w:t>
      </w:r>
      <w:hyperlink r:id="rId34" w:history="1">
        <w:r w:rsidR="00AF34BF" w:rsidRPr="00345FC4">
          <w:rPr>
            <w:rStyle w:val="Hyperlink"/>
          </w:rPr>
          <w:t>https://calculate.fairwork.gov.au/FindYourAward</w:t>
        </w:r>
      </w:hyperlink>
      <w:r w:rsidR="00AF34BF">
        <w:t xml:space="preserve"> and do not include ERO increases. </w:t>
      </w:r>
    </w:p>
    <w:p w14:paraId="4FDEB9A6" w14:textId="5499A259" w:rsidR="00911AB3" w:rsidRPr="00C07E17" w:rsidRDefault="00911AB3" w:rsidP="00AF34BF">
      <w:pPr>
        <w:pStyle w:val="BodyText"/>
      </w:pPr>
    </w:p>
    <w:p w14:paraId="475BAA32" w14:textId="51ACAD6E" w:rsidR="002A5C2E" w:rsidRPr="00C07E17" w:rsidRDefault="00611687" w:rsidP="006E6C6C">
      <w:pPr>
        <w:pStyle w:val="Heading2"/>
      </w:pPr>
      <w:bookmarkStart w:id="113" w:name="_Toc88753142"/>
      <w:bookmarkStart w:id="114" w:name="_Toc90019573"/>
      <w:r>
        <w:lastRenderedPageBreak/>
        <w:t xml:space="preserve">Coverage of </w:t>
      </w:r>
      <w:r w:rsidR="002A5C2E" w:rsidRPr="00C07E17">
        <w:t>full costs</w:t>
      </w:r>
      <w:bookmarkEnd w:id="113"/>
      <w:bookmarkEnd w:id="114"/>
      <w:r w:rsidR="002A5C2E" w:rsidRPr="00C07E17">
        <w:t xml:space="preserve"> </w:t>
      </w:r>
    </w:p>
    <w:p w14:paraId="229D2445" w14:textId="065C872E" w:rsidR="002A5C2E" w:rsidRDefault="002A5C2E" w:rsidP="002A5C2E">
      <w:pPr>
        <w:pStyle w:val="BodyText"/>
      </w:pPr>
      <w:r>
        <w:t xml:space="preserve">Changing the approach to </w:t>
      </w:r>
      <w:r w:rsidRPr="00C07E17">
        <w:t xml:space="preserve">indexation </w:t>
      </w:r>
      <w:r>
        <w:t xml:space="preserve">will </w:t>
      </w:r>
      <w:r w:rsidR="006B001F">
        <w:t xml:space="preserve">gradually </w:t>
      </w:r>
      <w:r>
        <w:t xml:space="preserve">improve how purchasing power is maintained over time. However, adjusting </w:t>
      </w:r>
      <w:r w:rsidR="00461223">
        <w:t xml:space="preserve">the </w:t>
      </w:r>
      <w:r>
        <w:t xml:space="preserve">indexation </w:t>
      </w:r>
      <w:r w:rsidR="00461223">
        <w:t xml:space="preserve">formula </w:t>
      </w:r>
      <w:r>
        <w:t xml:space="preserve">will not </w:t>
      </w:r>
      <w:r w:rsidRPr="00C07E17">
        <w:t>rectify</w:t>
      </w:r>
      <w:r w:rsidR="006B001F">
        <w:t xml:space="preserve"> past underfunding, or ensure coverage of</w:t>
      </w:r>
      <w:r w:rsidRPr="00C07E17">
        <w:t xml:space="preserve"> </w:t>
      </w:r>
      <w:r w:rsidR="001150EA">
        <w:t>the many service costs that leaders identified as currently unfunded or underfunded</w:t>
      </w:r>
      <w:r>
        <w:t xml:space="preserve">. </w:t>
      </w:r>
      <w:r w:rsidR="008F0402">
        <w:t xml:space="preserve">Without </w:t>
      </w:r>
      <w:r w:rsidR="00461223">
        <w:t xml:space="preserve">boosting </w:t>
      </w:r>
      <w:r w:rsidR="008F0402">
        <w:t>funding levels, under-resourced services will continue to be rolled over and pressures perpetuated.</w:t>
      </w:r>
      <w:r w:rsidR="008F0402" w:rsidRPr="008F0402">
        <w:t xml:space="preserve"> </w:t>
      </w:r>
    </w:p>
    <w:p w14:paraId="01853852" w14:textId="404B678B" w:rsidR="002A5C2E" w:rsidRDefault="002A5C2E" w:rsidP="002A5C2E">
      <w:pPr>
        <w:pStyle w:val="BodyText"/>
      </w:pPr>
      <w:r>
        <w:t xml:space="preserve">The need for governments to cover full costs has been repeatedly raised in </w:t>
      </w:r>
      <w:r w:rsidR="00242791">
        <w:t>national</w:t>
      </w:r>
      <w:r>
        <w:t xml:space="preserve"> reviews of the community sector</w:t>
      </w:r>
      <w:r w:rsidR="00C84954">
        <w:t>,</w:t>
      </w:r>
      <w:r>
        <w:rPr>
          <w:rStyle w:val="FootnoteReference"/>
        </w:rPr>
        <w:footnoteReference w:id="81"/>
      </w:r>
      <w:r>
        <w:t xml:space="preserve"> but not yet addressed. </w:t>
      </w:r>
      <w:r w:rsidR="008F0402">
        <w:t>Analysis of</w:t>
      </w:r>
      <w:r w:rsidRPr="00C07E17">
        <w:t xml:space="preserve"> </w:t>
      </w:r>
      <w:r>
        <w:t xml:space="preserve">ACT </w:t>
      </w:r>
      <w:r w:rsidRPr="00C07E17">
        <w:t>funding agreements</w:t>
      </w:r>
      <w:r>
        <w:t>,</w:t>
      </w:r>
      <w:r w:rsidRPr="00C07E17">
        <w:t xml:space="preserve"> along with the </w:t>
      </w:r>
      <w:r w:rsidR="002D42F6">
        <w:t>Service Costing survey</w:t>
      </w:r>
      <w:r>
        <w:t xml:space="preserve">, </w:t>
      </w:r>
      <w:r w:rsidR="008F0402">
        <w:t xml:space="preserve">show that some </w:t>
      </w:r>
      <w:r w:rsidR="00242791">
        <w:t xml:space="preserve">expected </w:t>
      </w:r>
      <w:r w:rsidRPr="00C07E17">
        <w:t xml:space="preserve">contributions of the community sector are not quantified in terms of hours or outputs. Yet sector leaders are clear that this work comes at a cost. </w:t>
      </w:r>
    </w:p>
    <w:p w14:paraId="6ECE5FAD" w14:textId="011192AD" w:rsidR="002A5C2E" w:rsidRPr="00C07E17" w:rsidRDefault="002A5C2E" w:rsidP="002A5C2E">
      <w:pPr>
        <w:pStyle w:val="BodyText"/>
      </w:pPr>
      <w:r>
        <w:t>Workers and leaders highlighted the need to adjust funding according to recognition of full costs; reduce the frequency of tendering processes to provide more stability and cost efficiencies; and end tendering processes which spur a race to the bottom via under</w:t>
      </w:r>
      <w:r w:rsidRPr="00C07E17">
        <w:t xml:space="preserve">cutting and </w:t>
      </w:r>
      <w:r>
        <w:t xml:space="preserve">price-based </w:t>
      </w:r>
      <w:r w:rsidRPr="00C07E17">
        <w:t>decision making.</w:t>
      </w:r>
      <w:r w:rsidR="0012752A">
        <w:rPr>
          <w:rStyle w:val="CommentReference"/>
          <w:rFonts w:asciiTheme="minorHAnsi" w:hAnsiTheme="minorHAnsi" w:cs="MetaPlusNormal-Roman"/>
        </w:rPr>
        <w:t xml:space="preserve"> </w:t>
      </w:r>
      <w:r w:rsidRPr="00C07E17">
        <w:t xml:space="preserve"> </w:t>
      </w:r>
      <w:r>
        <w:t>Leaders sought an end to procurement based on low pricing</w:t>
      </w:r>
      <w:r w:rsidR="008F0402">
        <w:t>, and greater emphasis on quality and impact</w:t>
      </w:r>
      <w:r>
        <w:t xml:space="preserve">. </w:t>
      </w:r>
      <w:r w:rsidR="008F0402">
        <w:t>A</w:t>
      </w:r>
      <w:r>
        <w:t>s one aptly commented:</w:t>
      </w:r>
    </w:p>
    <w:p w14:paraId="7E397165" w14:textId="77777777" w:rsidR="002A5C2E" w:rsidRPr="00C07E17" w:rsidRDefault="002A5C2E" w:rsidP="002A5C2E">
      <w:pPr>
        <w:pStyle w:val="Quote"/>
        <w:rPr>
          <w:lang w:eastAsia="en-AU"/>
        </w:rPr>
      </w:pPr>
      <w:r w:rsidRPr="00C07E17">
        <w:rPr>
          <w:lang w:eastAsia="en-AU"/>
        </w:rPr>
        <w:t>Services should be commissioned based on their capacity to do good work not cheap work.</w:t>
      </w:r>
    </w:p>
    <w:p w14:paraId="7CC03DAD" w14:textId="77777777" w:rsidR="002A5C2E" w:rsidRPr="00C07E17" w:rsidRDefault="002A5C2E" w:rsidP="002A5C2E">
      <w:pPr>
        <w:pStyle w:val="BodyText"/>
      </w:pPr>
      <w:r>
        <w:t xml:space="preserve">Leaders identified aspects of services which were often overlooked: </w:t>
      </w:r>
    </w:p>
    <w:p w14:paraId="760B1E24" w14:textId="77777777" w:rsidR="002A5C2E" w:rsidRPr="00C07E17" w:rsidRDefault="002A5C2E" w:rsidP="002A5C2E">
      <w:pPr>
        <w:pStyle w:val="Quote"/>
        <w:rPr>
          <w:lang w:eastAsia="en-AU"/>
        </w:rPr>
      </w:pPr>
      <w:r w:rsidRPr="00C07E17">
        <w:rPr>
          <w:lang w:eastAsia="en-AU"/>
        </w:rPr>
        <w:t xml:space="preserve">Procurement must focus on value for money, not lowest price - ensuring that items such as technology, systems, quality, research, recruitment, training, </w:t>
      </w:r>
      <w:proofErr w:type="gramStart"/>
      <w:r w:rsidRPr="00C07E17">
        <w:rPr>
          <w:lang w:eastAsia="en-AU"/>
        </w:rPr>
        <w:t>supervision</w:t>
      </w:r>
      <w:proofErr w:type="gramEnd"/>
      <w:r w:rsidRPr="00C07E17">
        <w:rPr>
          <w:lang w:eastAsia="en-AU"/>
        </w:rPr>
        <w:t xml:space="preserve"> and good governance are funded appropriately (and not excluded). Benchmarking of true costs is essential - looking at the true costs of ACT Government delivering services not just at how the "cheaper" NFP sector can do it at a reduced rate. Contracts need to have in them allowances for research and evaluation - this is always the first to go when cutting a budget to meet a tender figure.</w:t>
      </w:r>
    </w:p>
    <w:p w14:paraId="23903481" w14:textId="77777777" w:rsidR="002A5C2E" w:rsidRDefault="002A5C2E" w:rsidP="002A5C2E">
      <w:pPr>
        <w:pStyle w:val="BodyText"/>
      </w:pPr>
      <w:r w:rsidRPr="00C07E17">
        <w:t>Advocacy, consultation, policy input, evaluation, and reporting were typically considered unfunded or underfunded, despite expectations from government that community service organisations will engage in these activities.</w:t>
      </w:r>
      <w:r>
        <w:t xml:space="preserve"> Evaluation was a high priority:</w:t>
      </w:r>
    </w:p>
    <w:p w14:paraId="6E3B0237" w14:textId="77777777" w:rsidR="002A5C2E" w:rsidRPr="00C07E17" w:rsidRDefault="002A5C2E" w:rsidP="002A5C2E">
      <w:pPr>
        <w:pStyle w:val="Quote"/>
        <w:rPr>
          <w:lang w:eastAsia="en-AU"/>
        </w:rPr>
      </w:pPr>
      <w:r w:rsidRPr="00C07E17">
        <w:rPr>
          <w:lang w:eastAsia="en-AU"/>
        </w:rPr>
        <w:t>Funding agreements need to build in (in addition to service deliver costs) an additional percentage of funds for the conduct of program evaluation. Currently funding agreements don't provide sufficient funds for service delivery, and certainly not routinely funding evaluation.</w:t>
      </w:r>
    </w:p>
    <w:p w14:paraId="68D0F183" w14:textId="77777777" w:rsidR="002A5C2E" w:rsidRDefault="002A5C2E" w:rsidP="002A5C2E">
      <w:pPr>
        <w:pStyle w:val="BodyText"/>
      </w:pPr>
      <w:r>
        <w:t xml:space="preserve">Including a reasonable margin in allocations, as a mechanism to ensure sustainability was also a priority: </w:t>
      </w:r>
    </w:p>
    <w:p w14:paraId="32CE2068" w14:textId="77777777" w:rsidR="002A5C2E" w:rsidRPr="00C07E17" w:rsidRDefault="002A5C2E" w:rsidP="002A5C2E">
      <w:pPr>
        <w:pStyle w:val="Quote"/>
        <w:rPr>
          <w:lang w:eastAsia="en-AU"/>
        </w:rPr>
      </w:pPr>
      <w:r w:rsidRPr="00C07E17">
        <w:rPr>
          <w:lang w:eastAsia="en-AU"/>
        </w:rPr>
        <w:t xml:space="preserve">In every contract there needs to be a margin of surplus (not profit) to assist with capacity building and to support the organisation to reinvest - in technology, in attaining &amp; maintaining quality registration and being compliant with all legislation and standards, in research, in </w:t>
      </w:r>
      <w:r w:rsidRPr="00C07E17">
        <w:rPr>
          <w:lang w:eastAsia="en-AU"/>
        </w:rPr>
        <w:lastRenderedPageBreak/>
        <w:t>training, in strategic planning.  This is not available to us, which is a concern - are we a healthy social services sector?</w:t>
      </w:r>
    </w:p>
    <w:p w14:paraId="28BE0C40" w14:textId="319CBCFB" w:rsidR="002A5C2E" w:rsidRPr="00C07E17" w:rsidRDefault="002A5C2E" w:rsidP="002A5C2E">
      <w:pPr>
        <w:pStyle w:val="BodyText"/>
        <w:rPr>
          <w:iCs/>
          <w:lang w:eastAsia="en-AU"/>
        </w:rPr>
      </w:pPr>
      <w:r w:rsidRPr="00C07E17">
        <w:t>The transition to a commissioning approach</w:t>
      </w:r>
      <w:r>
        <w:t xml:space="preserve"> in the ACT</w:t>
      </w:r>
      <w:r w:rsidRPr="00C07E17">
        <w:t xml:space="preserve"> offers vital opportunit</w:t>
      </w:r>
      <w:r>
        <w:t>ies</w:t>
      </w:r>
      <w:r w:rsidRPr="00C07E17">
        <w:t xml:space="preserve"> for new way</w:t>
      </w:r>
      <w:r>
        <w:t>s</w:t>
      </w:r>
      <w:r w:rsidRPr="00C07E17">
        <w:t xml:space="preserve"> of working, with clients at the forefront</w:t>
      </w:r>
      <w:r>
        <w:t>. Full cost coverage will support the transition</w:t>
      </w:r>
      <w:r w:rsidRPr="00C07E17">
        <w:t xml:space="preserve">. </w:t>
      </w:r>
      <w:r>
        <w:t xml:space="preserve">Funding levels should support the commissioning transition by enabling </w:t>
      </w:r>
      <w:r w:rsidRPr="00C07E17">
        <w:t>flexibility to respond to new</w:t>
      </w:r>
      <w:r>
        <w:t xml:space="preserve">, </w:t>
      </w:r>
      <w:r w:rsidRPr="00C07E17">
        <w:t>emerging needs</w:t>
      </w:r>
      <w:r>
        <w:t xml:space="preserve">. It is important to act early to identify any hidden or unforeseen costs of operating in a commissioning environment, to ensure the sector is well positioned to meet new expectations of partnership and co-design. Leaders highlighted that </w:t>
      </w:r>
      <w:r w:rsidR="00E91342">
        <w:t xml:space="preserve">there are costs associated with </w:t>
      </w:r>
      <w:r>
        <w:t>collaboration, for example:</w:t>
      </w:r>
    </w:p>
    <w:p w14:paraId="1DE8BE41" w14:textId="77777777" w:rsidR="002A5C2E" w:rsidRPr="00C07E17" w:rsidRDefault="002A5C2E" w:rsidP="002A5C2E">
      <w:pPr>
        <w:pStyle w:val="Quote"/>
        <w:rPr>
          <w:lang w:eastAsia="en-AU"/>
        </w:rPr>
      </w:pPr>
      <w:r w:rsidRPr="00C07E17">
        <w:rPr>
          <w:lang w:eastAsia="en-AU"/>
        </w:rPr>
        <w:t>Government also needs to understand that integration/collaboration/partnerships cost money and that this is adequately provided for in procurement and funding agreements. It is a requirement that we do this, and we know it is better for client outcomes, but service resources are inadequately funded now and can't also absorb the costs of partnership/relationship management, co-design/co-creation, etc.</w:t>
      </w:r>
    </w:p>
    <w:p w14:paraId="04D796A3" w14:textId="0CD93F96" w:rsidR="002A5C2E" w:rsidRDefault="002A5C2E" w:rsidP="002A5C2E">
      <w:pPr>
        <w:pStyle w:val="BodyText"/>
      </w:pPr>
      <w:proofErr w:type="gramStart"/>
      <w:r>
        <w:t>In light of</w:t>
      </w:r>
      <w:proofErr w:type="gramEnd"/>
      <w:r>
        <w:t xml:space="preserve"> evidence of systemic under-resourcing, funding agreements across government require review to ensure full coverage of all reasonable costs that are incurred in the course of delivering high quality services.  Funding levels should be sufficient in all programs to ensure decent work for paid staff, including ensuring job security and continuity (and avert costs associated with turnover); skill development, training; and pay rates that enable progression and are competitive in the ACT. Better funding levels should end the unsustainable juggle </w:t>
      </w:r>
      <w:r w:rsidR="00E91342">
        <w:t xml:space="preserve">so that </w:t>
      </w:r>
      <w:r>
        <w:t xml:space="preserve">organisations </w:t>
      </w:r>
      <w:r w:rsidR="00E91342">
        <w:t xml:space="preserve">can </w:t>
      </w:r>
      <w:r w:rsidR="001150EA">
        <w:t xml:space="preserve">instead </w:t>
      </w:r>
      <w:r w:rsidR="00E91342">
        <w:t xml:space="preserve">adequately provide for </w:t>
      </w:r>
      <w:r>
        <w:t xml:space="preserve">the needs of clients, staff, volunteers, and maintaining suitable infrastructure and business services. </w:t>
      </w:r>
      <w:r w:rsidR="008F0402">
        <w:t xml:space="preserve">Leaders noted that often, one essential area of their operations </w:t>
      </w:r>
      <w:proofErr w:type="gramStart"/>
      <w:r w:rsidR="008F0402">
        <w:t>has to</w:t>
      </w:r>
      <w:proofErr w:type="gramEnd"/>
      <w:r w:rsidR="008F0402">
        <w:t xml:space="preserve"> lose out to another</w:t>
      </w:r>
      <w:r>
        <w:t>. However, c</w:t>
      </w:r>
      <w:r w:rsidRPr="00C07E17">
        <w:t>lients</w:t>
      </w:r>
      <w:r>
        <w:t xml:space="preserve">, </w:t>
      </w:r>
      <w:r w:rsidRPr="00C07E17">
        <w:t xml:space="preserve">staff </w:t>
      </w:r>
      <w:r>
        <w:t xml:space="preserve">and volunteers </w:t>
      </w:r>
      <w:r w:rsidRPr="00C07E17">
        <w:t>should not suffer the consequences of funding models that do not adequately cover infrastructure and other essential costs</w:t>
      </w:r>
      <w:r>
        <w:t xml:space="preserve">, and funding should ensure organisations are robust and sustainable for the future. </w:t>
      </w:r>
    </w:p>
    <w:p w14:paraId="5CE22CE6" w14:textId="6886317F" w:rsidR="002A5C2E" w:rsidRPr="00BE3180" w:rsidRDefault="002A5C2E" w:rsidP="006E6C6C">
      <w:pPr>
        <w:pStyle w:val="Heading2"/>
      </w:pPr>
      <w:bookmarkStart w:id="115" w:name="_Toc90019574"/>
      <w:bookmarkStart w:id="116" w:name="_Toc88753143"/>
      <w:r w:rsidRPr="00BE3180">
        <w:t>Cross-subsidisation</w:t>
      </w:r>
      <w:bookmarkEnd w:id="115"/>
      <w:r w:rsidRPr="00BE3180">
        <w:t xml:space="preserve"> </w:t>
      </w:r>
      <w:bookmarkEnd w:id="116"/>
    </w:p>
    <w:p w14:paraId="6BE16C69" w14:textId="09DC359C" w:rsidR="002A5C2E" w:rsidRPr="00C07E17" w:rsidRDefault="002A5C2E" w:rsidP="002A5C2E">
      <w:pPr>
        <w:pStyle w:val="BodyText"/>
      </w:pPr>
      <w:r>
        <w:t xml:space="preserve">As shown in </w:t>
      </w:r>
      <w:r w:rsidRPr="007E60DD">
        <w:t>Section</w:t>
      </w:r>
      <w:r w:rsidR="00461223" w:rsidRPr="007E60DD">
        <w:t xml:space="preserve"> </w:t>
      </w:r>
      <w:r w:rsidR="00461223" w:rsidRPr="007E60DD">
        <w:fldChar w:fldCharType="begin"/>
      </w:r>
      <w:r w:rsidR="00461223" w:rsidRPr="007E60DD">
        <w:instrText xml:space="preserve"> REF _Ref88750944 \r \h </w:instrText>
      </w:r>
      <w:r w:rsidR="007E60DD">
        <w:instrText xml:space="preserve"> \* MERGEFORMAT </w:instrText>
      </w:r>
      <w:r w:rsidR="00461223" w:rsidRPr="007E60DD">
        <w:fldChar w:fldCharType="separate"/>
      </w:r>
      <w:r w:rsidR="00E405AF">
        <w:t>6</w:t>
      </w:r>
      <w:r w:rsidR="00461223" w:rsidRPr="007E60DD">
        <w:fldChar w:fldCharType="end"/>
      </w:r>
      <w:r>
        <w:t xml:space="preserve">, cross-subsidising is a common practice in the ACT. It </w:t>
      </w:r>
      <w:r w:rsidR="001150EA">
        <w:t xml:space="preserve">allows </w:t>
      </w:r>
      <w:r>
        <w:t xml:space="preserve">organisations </w:t>
      </w:r>
      <w:r w:rsidR="001150EA">
        <w:t xml:space="preserve">to </w:t>
      </w:r>
      <w:r>
        <w:t xml:space="preserve">cover shortfalls in </w:t>
      </w:r>
      <w:proofErr w:type="gramStart"/>
      <w:r>
        <w:t>funding, and</w:t>
      </w:r>
      <w:proofErr w:type="gramEnd"/>
      <w:r w:rsidR="00DA2E13">
        <w:t xml:space="preserve"> is</w:t>
      </w:r>
      <w:r>
        <w:t xml:space="preserve"> a </w:t>
      </w:r>
      <w:r w:rsidR="001150EA">
        <w:t xml:space="preserve">means to </w:t>
      </w:r>
      <w:r>
        <w:t>add value to local programs. While s</w:t>
      </w:r>
      <w:r w:rsidRPr="00C07E17">
        <w:t xml:space="preserve">ome organisations may be </w:t>
      </w:r>
      <w:proofErr w:type="gramStart"/>
      <w:r w:rsidRPr="00C07E17">
        <w:t>in a position</w:t>
      </w:r>
      <w:proofErr w:type="gramEnd"/>
      <w:r w:rsidRPr="00C07E17">
        <w:t xml:space="preserve"> to </w:t>
      </w:r>
      <w:r>
        <w:t xml:space="preserve">shift </w:t>
      </w:r>
      <w:r w:rsidRPr="00C07E17">
        <w:t xml:space="preserve">funds </w:t>
      </w:r>
      <w:r>
        <w:t>across their operations</w:t>
      </w:r>
      <w:r w:rsidRPr="00C07E17">
        <w:t xml:space="preserve">, </w:t>
      </w:r>
      <w:r>
        <w:t xml:space="preserve">this </w:t>
      </w:r>
      <w:r w:rsidRPr="00C07E17">
        <w:t>cannot be assumed</w:t>
      </w:r>
      <w:r>
        <w:t xml:space="preserve"> or expected</w:t>
      </w:r>
      <w:r w:rsidRPr="00C07E17">
        <w:t xml:space="preserve">. </w:t>
      </w:r>
      <w:r>
        <w:t>Small, specialised organisations with a strong local basis</w:t>
      </w:r>
      <w:proofErr w:type="gramStart"/>
      <w:r w:rsidR="001150EA">
        <w:t>,</w:t>
      </w:r>
      <w:r>
        <w:t xml:space="preserve"> in particular</w:t>
      </w:r>
      <w:r w:rsidR="001150EA">
        <w:t>,</w:t>
      </w:r>
      <w:r>
        <w:t xml:space="preserve"> may</w:t>
      </w:r>
      <w:proofErr w:type="gramEnd"/>
      <w:r>
        <w:t xml:space="preserve"> lack capacity. It may be </w:t>
      </w:r>
      <w:r w:rsidRPr="00C07E17">
        <w:t xml:space="preserve">inappropriate for </w:t>
      </w:r>
      <w:r>
        <w:t xml:space="preserve">some </w:t>
      </w:r>
      <w:r w:rsidRPr="00C07E17">
        <w:t xml:space="preserve">types of </w:t>
      </w:r>
      <w:proofErr w:type="gramStart"/>
      <w:r w:rsidRPr="00C07E17">
        <w:t>services</w:t>
      </w:r>
      <w:r>
        <w:t>, and</w:t>
      </w:r>
      <w:proofErr w:type="gramEnd"/>
      <w:r>
        <w:t xml:space="preserve"> can be insecure as p</w:t>
      </w:r>
      <w:r w:rsidRPr="00C07E17">
        <w:t xml:space="preserve">hilanthropy </w:t>
      </w:r>
      <w:r>
        <w:t xml:space="preserve">and commercial revenue </w:t>
      </w:r>
      <w:r w:rsidRPr="00C07E17">
        <w:t>fluctuates</w:t>
      </w:r>
      <w:r>
        <w:t>, as the pandemic demonstrated</w:t>
      </w:r>
      <w:r w:rsidRPr="00C07E17">
        <w:t xml:space="preserve">. Leaders outlined </w:t>
      </w:r>
      <w:r>
        <w:t xml:space="preserve">that in the long-term, fundraising cannot be expected to help sustain </w:t>
      </w:r>
      <w:r w:rsidRPr="00C07E17">
        <w:t>government programs:</w:t>
      </w:r>
    </w:p>
    <w:p w14:paraId="4208F7D3" w14:textId="77777777" w:rsidR="002A5C2E" w:rsidRPr="00C07E17" w:rsidRDefault="002A5C2E" w:rsidP="002A5C2E">
      <w:pPr>
        <w:pStyle w:val="Quote"/>
        <w:rPr>
          <w:lang w:eastAsia="en-AU"/>
        </w:rPr>
      </w:pPr>
      <w:r w:rsidRPr="00C07E17">
        <w:rPr>
          <w:lang w:eastAsia="en-AU"/>
        </w:rPr>
        <w:t xml:space="preserve">It's </w:t>
      </w:r>
      <w:proofErr w:type="gramStart"/>
      <w:r w:rsidRPr="00C07E17">
        <w:rPr>
          <w:lang w:eastAsia="en-AU"/>
        </w:rPr>
        <w:t>really hard</w:t>
      </w:r>
      <w:proofErr w:type="gramEnd"/>
      <w:r w:rsidRPr="00C07E17">
        <w:rPr>
          <w:lang w:eastAsia="en-AU"/>
        </w:rPr>
        <w:t xml:space="preserve"> when you don't work in a 'sexy' area or are not aligned with a larger group who can raise your profile to bring in philanthropic funds.  We don't focus on fundraising as this is a specialty that we don't </w:t>
      </w:r>
      <w:proofErr w:type="gramStart"/>
      <w:r w:rsidRPr="00C07E17">
        <w:rPr>
          <w:lang w:eastAsia="en-AU"/>
        </w:rPr>
        <w:t>have</w:t>
      </w:r>
      <w:proofErr w:type="gramEnd"/>
      <w:r w:rsidRPr="00C07E17">
        <w:rPr>
          <w:lang w:eastAsia="en-AU"/>
        </w:rPr>
        <w:t xml:space="preserve"> and we can't afford to bring in (it is too risky and we have been bitten in the past).  Our business is in providing health care/support to mostly </w:t>
      </w:r>
      <w:proofErr w:type="gramStart"/>
      <w:r w:rsidRPr="00C07E17">
        <w:rPr>
          <w:lang w:eastAsia="en-AU"/>
        </w:rPr>
        <w:t>low income</w:t>
      </w:r>
      <w:proofErr w:type="gramEnd"/>
      <w:r w:rsidRPr="00C07E17">
        <w:rPr>
          <w:lang w:eastAsia="en-AU"/>
        </w:rPr>
        <w:t xml:space="preserve"> people.  This shouldn't have to be fundraised for.  It is cheaper to outsource this work and that is why Government does so, therefore it should be properly resourced.  Poor people shouldn't have to settle for less just because of their income status.</w:t>
      </w:r>
    </w:p>
    <w:p w14:paraId="6D1820E8" w14:textId="77777777" w:rsidR="002A5C2E" w:rsidRPr="00C07E17" w:rsidRDefault="002A5C2E" w:rsidP="002A5C2E">
      <w:pPr>
        <w:pStyle w:val="Quote"/>
        <w:rPr>
          <w:lang w:eastAsia="en-AU"/>
        </w:rPr>
      </w:pPr>
      <w:r w:rsidRPr="00C07E17">
        <w:rPr>
          <w:lang w:eastAsia="en-AU"/>
        </w:rPr>
        <w:t xml:space="preserve">Philanthropic support is always welcomed but is not adequate to sustain programs. Many grants and opportunities are available for the </w:t>
      </w:r>
      <w:proofErr w:type="spellStart"/>
      <w:r w:rsidRPr="00C07E17">
        <w:rPr>
          <w:lang w:eastAsia="en-AU"/>
        </w:rPr>
        <w:t>set up</w:t>
      </w:r>
      <w:proofErr w:type="spellEnd"/>
      <w:r w:rsidRPr="00C07E17">
        <w:rPr>
          <w:lang w:eastAsia="en-AU"/>
        </w:rPr>
        <w:t xml:space="preserve"> of programs but do not support the continuity and ongoing costs of these programs or existing programs that were started up </w:t>
      </w:r>
      <w:r w:rsidRPr="00C07E17">
        <w:rPr>
          <w:lang w:eastAsia="en-AU"/>
        </w:rPr>
        <w:lastRenderedPageBreak/>
        <w:t>from the grants. Sustainability of programs and services in the Community Services Sector is critical, service users and participants need security of support services.</w:t>
      </w:r>
    </w:p>
    <w:p w14:paraId="51B35A84" w14:textId="18D6F62F" w:rsidR="002A5C2E" w:rsidRDefault="002A5C2E" w:rsidP="002A5C2E">
      <w:pPr>
        <w:pStyle w:val="Quote"/>
        <w:rPr>
          <w:lang w:eastAsia="en-AU"/>
        </w:rPr>
      </w:pPr>
      <w:bookmarkStart w:id="117" w:name="_Hlk88573860"/>
      <w:r w:rsidRPr="00C07E17">
        <w:rPr>
          <w:lang w:eastAsia="en-AU"/>
        </w:rPr>
        <w:t>The economic fallout from COVID19 reminded us it is dangerous to rely on both cross-subsidisation and corporate philanthropy to fund service delivery as this evaporates when the economy falters, at the very time demand for community services surges. We need to accept reliance on the market to fix market failure is a false</w:t>
      </w:r>
      <w:r>
        <w:rPr>
          <w:lang w:eastAsia="en-AU"/>
        </w:rPr>
        <w:t xml:space="preserve"> economy</w:t>
      </w:r>
    </w:p>
    <w:p w14:paraId="6A2B59E7" w14:textId="3FE46099" w:rsidR="00DA2E13" w:rsidRPr="00DA2E13" w:rsidRDefault="00DA2E13" w:rsidP="00DA2E13">
      <w:pPr>
        <w:pStyle w:val="BodyText"/>
      </w:pPr>
      <w:r>
        <w:t>Another leader reported that their organisation had no choice but to make their own contributions to filling systemic gaps in provision. These gaps meant they attended to numerous calls for support from people who were not directly part of the community cohort the service was funded to support, but who presented with high needs. The leader estimated that this amounted to around 0.2FTE.</w:t>
      </w:r>
    </w:p>
    <w:p w14:paraId="68A46C11" w14:textId="24F1A750" w:rsidR="002A5C2E" w:rsidRPr="00BE3180" w:rsidRDefault="00611687" w:rsidP="006E6C6C">
      <w:pPr>
        <w:pStyle w:val="Heading2"/>
      </w:pPr>
      <w:bookmarkStart w:id="118" w:name="_Toc88753144"/>
      <w:bookmarkStart w:id="119" w:name="_Ref88833175"/>
      <w:bookmarkStart w:id="120" w:name="_Toc90019575"/>
      <w:bookmarkEnd w:id="117"/>
      <w:r>
        <w:t>F</w:t>
      </w:r>
      <w:r w:rsidR="002A5C2E" w:rsidRPr="00BE3180">
        <w:t>ind</w:t>
      </w:r>
      <w:r>
        <w:t>ing</w:t>
      </w:r>
      <w:r w:rsidR="002A5C2E" w:rsidRPr="00BE3180">
        <w:t xml:space="preserve"> further cost efficiencies</w:t>
      </w:r>
      <w:bookmarkEnd w:id="118"/>
      <w:bookmarkEnd w:id="119"/>
      <w:bookmarkEnd w:id="120"/>
    </w:p>
    <w:p w14:paraId="06D2BA85" w14:textId="0CBE1000" w:rsidR="002A5C2E" w:rsidRDefault="002A5C2E" w:rsidP="002A5C2E">
      <w:pPr>
        <w:pStyle w:val="BodyText"/>
      </w:pPr>
      <w:r w:rsidRPr="00C07E17">
        <w:t xml:space="preserve">Some further efficiencies may </w:t>
      </w:r>
      <w:r>
        <w:t xml:space="preserve">be possible, through reduced red-tape and unnecessary reporting, for example, and through better collaboration; </w:t>
      </w:r>
      <w:r w:rsidRPr="00C07E17">
        <w:t>mergers or amalgamations</w:t>
      </w:r>
      <w:r>
        <w:t>;</w:t>
      </w:r>
      <w:r w:rsidRPr="00C07E17">
        <w:t xml:space="preserve"> shared back-office functions</w:t>
      </w:r>
      <w:r>
        <w:t>; and technology</w:t>
      </w:r>
      <w:r w:rsidRPr="00C07E17">
        <w:t xml:space="preserve">.  </w:t>
      </w:r>
      <w:r>
        <w:t xml:space="preserve">However, many </w:t>
      </w:r>
      <w:r w:rsidRPr="00C07E17">
        <w:t>strategies have already been tried</w:t>
      </w:r>
      <w:r>
        <w:t>, in response to the pressures felt by the sector in recent years. Changes in processes can be costly, can distract from organisations’ focus on clients and communities, and may not resolve resource pressures. Some</w:t>
      </w:r>
      <w:r w:rsidR="00FA358F">
        <w:t> </w:t>
      </w:r>
      <w:r>
        <w:t>efficiencies come at the cost of quality, and ‘cheap’ solutions can be ineffective and generate further costs:</w:t>
      </w:r>
    </w:p>
    <w:p w14:paraId="5D4A3AD5" w14:textId="77777777" w:rsidR="002A5C2E" w:rsidRDefault="002A5C2E" w:rsidP="002A5C2E">
      <w:pPr>
        <w:pStyle w:val="Quote"/>
        <w:rPr>
          <w:lang w:eastAsia="en-AU"/>
        </w:rPr>
      </w:pPr>
      <w:r w:rsidRPr="00135EF0">
        <w:rPr>
          <w:lang w:eastAsia="en-AU"/>
        </w:rPr>
        <w:t>Funding levels mean we often chose cheap solutions to things like databases that then are not fit for purpose. There needs to be adequate funding for infrastructure to support org</w:t>
      </w:r>
      <w:r>
        <w:rPr>
          <w:lang w:eastAsia="en-AU"/>
        </w:rPr>
        <w:t>anisation</w:t>
      </w:r>
      <w:r w:rsidRPr="00135EF0">
        <w:rPr>
          <w:lang w:eastAsia="en-AU"/>
        </w:rPr>
        <w:t>s to work more effectively</w:t>
      </w:r>
      <w:r>
        <w:rPr>
          <w:lang w:eastAsia="en-AU"/>
        </w:rPr>
        <w:t>.</w:t>
      </w:r>
    </w:p>
    <w:p w14:paraId="03BFF844" w14:textId="77777777" w:rsidR="002A5C2E" w:rsidRPr="00C07E17" w:rsidRDefault="002A5C2E" w:rsidP="002A5C2E">
      <w:pPr>
        <w:pStyle w:val="BodyText"/>
      </w:pPr>
      <w:r>
        <w:t xml:space="preserve">Leaders were sceptical about the efficiencies likely to be </w:t>
      </w:r>
      <w:r w:rsidRPr="00C07E17">
        <w:t>achieved by underfunded organisations:</w:t>
      </w:r>
    </w:p>
    <w:p w14:paraId="76A3F7FB" w14:textId="77777777" w:rsidR="002A5C2E" w:rsidRDefault="002A5C2E" w:rsidP="002A5C2E">
      <w:pPr>
        <w:pStyle w:val="Quote"/>
        <w:rPr>
          <w:lang w:eastAsia="en-AU"/>
        </w:rPr>
      </w:pPr>
      <w:r w:rsidRPr="00C07E17">
        <w:rPr>
          <w:lang w:eastAsia="en-AU"/>
        </w:rPr>
        <w:t xml:space="preserve">Organisations are already running on inadequate funding so it is difficult to find resources to do modelling, find efficiencies, invest in </w:t>
      </w:r>
      <w:bookmarkStart w:id="121" w:name="_Hlk88655234"/>
      <w:r w:rsidRPr="00C07E17">
        <w:rPr>
          <w:lang w:eastAsia="en-AU"/>
        </w:rPr>
        <w:t>new</w:t>
      </w:r>
      <w:bookmarkEnd w:id="121"/>
      <w:r w:rsidRPr="00C07E17">
        <w:rPr>
          <w:lang w:eastAsia="en-AU"/>
        </w:rPr>
        <w:t xml:space="preserve"> systems that will reduce costs…. Can look at shared back of house services but these can also cost money and time in the initial set up. </w:t>
      </w:r>
    </w:p>
    <w:p w14:paraId="0B6D49A1" w14:textId="77777777" w:rsidR="002A5C2E" w:rsidRPr="00C07E17" w:rsidRDefault="002A5C2E" w:rsidP="002A5C2E">
      <w:pPr>
        <w:pStyle w:val="BodyText"/>
      </w:pPr>
      <w:r>
        <w:t>Si</w:t>
      </w:r>
      <w:r w:rsidRPr="00C07E17">
        <w:t>gnificant frustration and fatigue w</w:t>
      </w:r>
      <w:r>
        <w:t>ere</w:t>
      </w:r>
      <w:r w:rsidRPr="00C07E17">
        <w:t xml:space="preserve"> evident</w:t>
      </w:r>
      <w:r>
        <w:t xml:space="preserve"> among leaders, </w:t>
      </w:r>
      <w:r w:rsidRPr="00C07E17">
        <w:t>for example</w:t>
      </w:r>
      <w:r>
        <w:t>, who were already been stretched to the limit to find efficiencies</w:t>
      </w:r>
      <w:r w:rsidRPr="00C07E17">
        <w:t>:</w:t>
      </w:r>
    </w:p>
    <w:p w14:paraId="7AAE5943" w14:textId="77777777" w:rsidR="002A5C2E" w:rsidRPr="00C07E17" w:rsidRDefault="002A5C2E" w:rsidP="002A5C2E">
      <w:pPr>
        <w:pStyle w:val="Quote"/>
        <w:rPr>
          <w:lang w:eastAsia="en-AU"/>
        </w:rPr>
      </w:pPr>
      <w:r w:rsidRPr="00C07E17">
        <w:rPr>
          <w:lang w:eastAsia="en-AU"/>
        </w:rPr>
        <w:t xml:space="preserve">We have worked hard to become as efficient, </w:t>
      </w:r>
      <w:proofErr w:type="gramStart"/>
      <w:r w:rsidRPr="00C07E17">
        <w:rPr>
          <w:lang w:eastAsia="en-AU"/>
        </w:rPr>
        <w:t>effective</w:t>
      </w:r>
      <w:proofErr w:type="gramEnd"/>
      <w:r w:rsidRPr="00C07E17">
        <w:rPr>
          <w:lang w:eastAsia="en-AU"/>
        </w:rPr>
        <w:t xml:space="preserve"> and sustainable as we can. It is offensive to suggest we could or should do more.</w:t>
      </w:r>
    </w:p>
    <w:p w14:paraId="0DA34CE3" w14:textId="77777777" w:rsidR="002A5C2E" w:rsidRPr="00C07E17" w:rsidRDefault="002A5C2E" w:rsidP="002A5C2E">
      <w:pPr>
        <w:pStyle w:val="Quote"/>
        <w:rPr>
          <w:lang w:eastAsia="en-AU"/>
        </w:rPr>
      </w:pPr>
      <w:r w:rsidRPr="00C07E17">
        <w:rPr>
          <w:lang w:eastAsia="en-AU"/>
        </w:rPr>
        <w:t xml:space="preserve">I will be honest - I'm getting tired of this fight.  I could put up fees but then I'd just drive away the people that need my </w:t>
      </w:r>
      <w:proofErr w:type="gramStart"/>
      <w:r w:rsidRPr="00C07E17">
        <w:rPr>
          <w:lang w:eastAsia="en-AU"/>
        </w:rPr>
        <w:t>service</w:t>
      </w:r>
      <w:proofErr w:type="gramEnd"/>
      <w:r w:rsidRPr="00C07E17">
        <w:rPr>
          <w:lang w:eastAsia="en-AU"/>
        </w:rPr>
        <w:t xml:space="preserve"> so it defeats the purpose.  We deliver more than twice what we are funded </w:t>
      </w:r>
      <w:proofErr w:type="gramStart"/>
      <w:r w:rsidRPr="00C07E17">
        <w:rPr>
          <w:lang w:eastAsia="en-AU"/>
        </w:rPr>
        <w:t>for</w:t>
      </w:r>
      <w:proofErr w:type="gramEnd"/>
      <w:r w:rsidRPr="00C07E17">
        <w:rPr>
          <w:lang w:eastAsia="en-AU"/>
        </w:rPr>
        <w:t xml:space="preserve"> and we could deliver twice this again if it was funded.  There are only so many hours of unpaid labour that you can ask your staff to deliver.</w:t>
      </w:r>
    </w:p>
    <w:p w14:paraId="4CC96985" w14:textId="77777777" w:rsidR="002A5C2E" w:rsidRDefault="002A5C2E" w:rsidP="002A5C2E">
      <w:pPr>
        <w:pStyle w:val="BodyText"/>
      </w:pPr>
      <w:r w:rsidRPr="00033EC4">
        <w:t xml:space="preserve">Other suggestions included </w:t>
      </w:r>
      <w:r>
        <w:t xml:space="preserve">efficiencies from </w:t>
      </w:r>
      <w:r w:rsidRPr="00033EC4">
        <w:t xml:space="preserve">working collectively to </w:t>
      </w:r>
      <w:r>
        <w:t xml:space="preserve">negotiate </w:t>
      </w:r>
      <w:r w:rsidRPr="00033EC4">
        <w:t xml:space="preserve">vendor discounts on </w:t>
      </w:r>
      <w:r>
        <w:t xml:space="preserve">goods or </w:t>
      </w:r>
      <w:r w:rsidRPr="00033EC4">
        <w:t>services like insurance</w:t>
      </w:r>
      <w:r>
        <w:t>, IT or PPE. It is also important to recognise that the sector has benefited from government support to upgrade technology during the pandemic, however, further support may be required to transition to new systems and generate future efficiencies.</w:t>
      </w:r>
    </w:p>
    <w:p w14:paraId="27E6829C" w14:textId="34C26E35" w:rsidR="002A5C2E" w:rsidRPr="00BE3180" w:rsidRDefault="002A5C2E" w:rsidP="006E6C6C">
      <w:pPr>
        <w:pStyle w:val="Heading2"/>
      </w:pPr>
      <w:bookmarkStart w:id="122" w:name="_Toc88753145"/>
      <w:bookmarkStart w:id="123" w:name="_Toc90019576"/>
      <w:r w:rsidRPr="00BE3180">
        <w:lastRenderedPageBreak/>
        <w:t>Accurate service costing</w:t>
      </w:r>
      <w:bookmarkEnd w:id="122"/>
      <w:bookmarkEnd w:id="123"/>
    </w:p>
    <w:p w14:paraId="512D61B4" w14:textId="283D9584" w:rsidR="002A5C2E" w:rsidRPr="00C07E17" w:rsidRDefault="002A5C2E" w:rsidP="002A5C2E">
      <w:pPr>
        <w:pStyle w:val="BodyText"/>
      </w:pPr>
      <w:r>
        <w:t>Some pressures may be reduced if community organisations had better capacity to cost services and were forthright in communicating full costs to government</w:t>
      </w:r>
      <w:r w:rsidRPr="00C07E17">
        <w:t>. However</w:t>
      </w:r>
      <w:r w:rsidR="0029001C">
        <w:t>,</w:t>
      </w:r>
      <w:r>
        <w:t xml:space="preserve"> </w:t>
      </w:r>
      <w:r w:rsidR="005C0659">
        <w:t>the Service Costing survey</w:t>
      </w:r>
      <w:r>
        <w:t xml:space="preserve"> showed</w:t>
      </w:r>
      <w:r w:rsidRPr="00C07E17">
        <w:t>:</w:t>
      </w:r>
    </w:p>
    <w:p w14:paraId="550A17B9" w14:textId="77777777" w:rsidR="002A5C2E" w:rsidRPr="00C07E17" w:rsidRDefault="002A5C2E" w:rsidP="002A5C2E">
      <w:pPr>
        <w:pStyle w:val="BodyText"/>
        <w:numPr>
          <w:ilvl w:val="0"/>
          <w:numId w:val="21"/>
        </w:numPr>
      </w:pPr>
      <w:r w:rsidRPr="00C07E17">
        <w:t xml:space="preserve">Most leaders agree that their organisation has the information, and the internal expertise required, to accurately cost their services (72% and 67% respectively). </w:t>
      </w:r>
    </w:p>
    <w:p w14:paraId="7F3CEC2B" w14:textId="77777777" w:rsidR="002A5C2E" w:rsidRPr="00C07E17" w:rsidRDefault="002A5C2E" w:rsidP="002A5C2E">
      <w:pPr>
        <w:pStyle w:val="BodyText"/>
        <w:numPr>
          <w:ilvl w:val="0"/>
          <w:numId w:val="21"/>
        </w:numPr>
      </w:pPr>
      <w:r w:rsidRPr="00C07E17">
        <w:t xml:space="preserve">A bigger constraint is time: </w:t>
      </w:r>
      <w:r>
        <w:t>o</w:t>
      </w:r>
      <w:r w:rsidRPr="00C07E17">
        <w:t xml:space="preserve">nly a minority agreed they had the time to analyse costs (44%). </w:t>
      </w:r>
    </w:p>
    <w:p w14:paraId="5F3D3743" w14:textId="77777777" w:rsidR="002A5C2E" w:rsidRPr="00C07E17" w:rsidRDefault="002A5C2E" w:rsidP="002A5C2E">
      <w:pPr>
        <w:pStyle w:val="BodyText"/>
        <w:numPr>
          <w:ilvl w:val="0"/>
          <w:numId w:val="21"/>
        </w:numPr>
      </w:pPr>
      <w:r w:rsidRPr="00C07E17">
        <w:t xml:space="preserve">Very few said they understand how other community organisations cost their services (20%), suggesting scope within the sector to learn from each other. </w:t>
      </w:r>
    </w:p>
    <w:p w14:paraId="4A7DF91B" w14:textId="787082C5" w:rsidR="002A5C2E" w:rsidRPr="00C07E17" w:rsidRDefault="002A5C2E" w:rsidP="002A5C2E">
      <w:pPr>
        <w:pStyle w:val="BodyText"/>
      </w:pPr>
      <w:r w:rsidRPr="00C07E17">
        <w:t xml:space="preserve">Notably, larger organisations (annual incomes over $5 million) have better access to information, </w:t>
      </w:r>
      <w:proofErr w:type="gramStart"/>
      <w:r w:rsidRPr="00C07E17">
        <w:t>expertise</w:t>
      </w:r>
      <w:proofErr w:type="gramEnd"/>
      <w:r w:rsidRPr="00C07E17">
        <w:t xml:space="preserve"> and resources to cost services compared with small organisations (</w:t>
      </w:r>
      <w:r w:rsidR="005A1A69">
        <w:fldChar w:fldCharType="begin"/>
      </w:r>
      <w:r w:rsidR="005A1A69">
        <w:instrText xml:space="preserve"> REF _Ref88810760 \h </w:instrText>
      </w:r>
      <w:r w:rsidR="005A1A69">
        <w:fldChar w:fldCharType="separate"/>
      </w:r>
      <w:r w:rsidR="00E405AF">
        <w:t xml:space="preserve">Table C. </w:t>
      </w:r>
      <w:r w:rsidR="00E405AF">
        <w:rPr>
          <w:noProof/>
        </w:rPr>
        <w:t>8</w:t>
      </w:r>
      <w:r w:rsidR="005A1A69">
        <w:fldChar w:fldCharType="end"/>
      </w:r>
      <w:r w:rsidRPr="00C07E17">
        <w:t xml:space="preserve">). </w:t>
      </w:r>
    </w:p>
    <w:p w14:paraId="310CEDA8" w14:textId="529E6F5A" w:rsidR="002A5C2E" w:rsidRDefault="002A5C2E" w:rsidP="002A5C2E">
      <w:pPr>
        <w:pStyle w:val="BodyText"/>
      </w:pPr>
      <w:r w:rsidRPr="00C07E17">
        <w:t>Comments left by leaders</w:t>
      </w:r>
      <w:r w:rsidR="00AF34BF">
        <w:t xml:space="preserve"> (</w:t>
      </w:r>
      <w:r w:rsidR="00AF34BF">
        <w:fldChar w:fldCharType="begin"/>
      </w:r>
      <w:r w:rsidR="00AF34BF">
        <w:instrText xml:space="preserve"> REF _Ref89795507 \h </w:instrText>
      </w:r>
      <w:r w:rsidR="00AF34BF">
        <w:fldChar w:fldCharType="separate"/>
      </w:r>
      <w:r w:rsidR="00E405AF">
        <w:t xml:space="preserve">Table </w:t>
      </w:r>
      <w:r w:rsidR="00E405AF">
        <w:rPr>
          <w:noProof/>
        </w:rPr>
        <w:t>7</w:t>
      </w:r>
      <w:r w:rsidR="00E405AF">
        <w:t>.</w:t>
      </w:r>
      <w:r w:rsidR="00E405AF">
        <w:rPr>
          <w:noProof/>
        </w:rPr>
        <w:t>2</w:t>
      </w:r>
      <w:r w:rsidR="00AF34BF">
        <w:fldChar w:fldCharType="end"/>
      </w:r>
      <w:r w:rsidR="00AF34BF">
        <w:t>)</w:t>
      </w:r>
      <w:r w:rsidRPr="00C07E17">
        <w:t xml:space="preserve"> acknowledged the importance of accurate costings, without which organisations would be left disadvantaged</w:t>
      </w:r>
      <w:r>
        <w:t xml:space="preserve">. Some managers and boards have sophisticated skills for costing, some organisations have access to pro bono support, but there is wide range of capacities across the sector, and some do not have access to relevant expertise.  There is scope to build capacity and overcome the </w:t>
      </w:r>
      <w:r w:rsidRPr="00C07E17">
        <w:t xml:space="preserve">inequities and barriers </w:t>
      </w:r>
      <w:r>
        <w:t xml:space="preserve">that </w:t>
      </w:r>
      <w:r w:rsidRPr="00C07E17">
        <w:t>some organisations</w:t>
      </w:r>
      <w:r>
        <w:t xml:space="preserve"> face. </w:t>
      </w:r>
    </w:p>
    <w:p w14:paraId="58061AED" w14:textId="6F99BF5E" w:rsidR="002A5C2E" w:rsidRDefault="006D6044" w:rsidP="006D6044">
      <w:pPr>
        <w:pStyle w:val="Caption"/>
      </w:pPr>
      <w:bookmarkStart w:id="124" w:name="_Ref89795507"/>
      <w:bookmarkStart w:id="125" w:name="_Toc90019593"/>
      <w:r>
        <w:t xml:space="preserve">Table </w:t>
      </w:r>
      <w:fldSimple w:instr=" STYLEREF 1 \s ">
        <w:r w:rsidR="00E405AF">
          <w:rPr>
            <w:noProof/>
          </w:rPr>
          <w:t>7</w:t>
        </w:r>
      </w:fldSimple>
      <w:r w:rsidR="00911AB3">
        <w:t>.</w:t>
      </w:r>
      <w:fldSimple w:instr=" SEQ Table \* ARABIC \s 1 ">
        <w:r w:rsidR="00E405AF">
          <w:rPr>
            <w:noProof/>
          </w:rPr>
          <w:t>2</w:t>
        </w:r>
      </w:fldSimple>
      <w:bookmarkEnd w:id="124"/>
      <w:r w:rsidR="00FE348F">
        <w:tab/>
        <w:t>Leaders’ comments on accurate service costings</w:t>
      </w:r>
      <w:bookmarkEnd w:id="125"/>
    </w:p>
    <w:tbl>
      <w:tblPr>
        <w:tblStyle w:val="Style3"/>
        <w:tblW w:w="0" w:type="auto"/>
        <w:tblLook w:val="04A0" w:firstRow="1" w:lastRow="0" w:firstColumn="1" w:lastColumn="0" w:noHBand="0" w:noVBand="1"/>
      </w:tblPr>
      <w:tblGrid>
        <w:gridCol w:w="2689"/>
        <w:gridCol w:w="6945"/>
      </w:tblGrid>
      <w:tr w:rsidR="006D6044" w:rsidRPr="003A638C" w14:paraId="365265A6" w14:textId="77777777" w:rsidTr="003A6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43C837" w14:textId="2DD9165A" w:rsidR="006D6044" w:rsidRPr="003A638C" w:rsidRDefault="006D6044" w:rsidP="006D6044">
            <w:pPr>
              <w:pStyle w:val="BodyText"/>
              <w:rPr>
                <w:sz w:val="20"/>
                <w:szCs w:val="20"/>
              </w:rPr>
            </w:pPr>
            <w:r w:rsidRPr="003A638C">
              <w:rPr>
                <w:b/>
                <w:bCs/>
                <w:color w:val="FFFFFF" w:themeColor="background1"/>
                <w:sz w:val="20"/>
                <w:szCs w:val="20"/>
                <w:lang w:eastAsia="en-AU"/>
              </w:rPr>
              <w:t>Issue</w:t>
            </w:r>
          </w:p>
        </w:tc>
        <w:tc>
          <w:tcPr>
            <w:tcW w:w="6945" w:type="dxa"/>
          </w:tcPr>
          <w:p w14:paraId="2C64E92E" w14:textId="0932B3F3" w:rsidR="006D6044" w:rsidRPr="003A638C" w:rsidRDefault="006D6044" w:rsidP="006D6044">
            <w:pPr>
              <w:pStyle w:val="BodyText"/>
              <w:cnfStyle w:val="100000000000" w:firstRow="1" w:lastRow="0" w:firstColumn="0" w:lastColumn="0" w:oddVBand="0" w:evenVBand="0" w:oddHBand="0" w:evenHBand="0" w:firstRowFirstColumn="0" w:firstRowLastColumn="0" w:lastRowFirstColumn="0" w:lastRowLastColumn="0"/>
              <w:rPr>
                <w:sz w:val="20"/>
                <w:szCs w:val="20"/>
              </w:rPr>
            </w:pPr>
            <w:r w:rsidRPr="003A638C">
              <w:rPr>
                <w:b/>
                <w:bCs/>
                <w:color w:val="FFFFFF" w:themeColor="background1"/>
                <w:sz w:val="20"/>
                <w:szCs w:val="20"/>
                <w:lang w:eastAsia="en-AU"/>
              </w:rPr>
              <w:t>Example of comment</w:t>
            </w:r>
          </w:p>
        </w:tc>
      </w:tr>
      <w:tr w:rsidR="002A5C2E" w:rsidRPr="003A638C" w14:paraId="491F1B08" w14:textId="77777777" w:rsidTr="003A6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126647" w14:textId="77777777" w:rsidR="002A5C2E" w:rsidRPr="003A638C" w:rsidRDefault="002A5C2E" w:rsidP="003439F2">
            <w:pPr>
              <w:pStyle w:val="BodyText"/>
              <w:rPr>
                <w:sz w:val="20"/>
                <w:szCs w:val="20"/>
              </w:rPr>
            </w:pPr>
            <w:r w:rsidRPr="003A638C">
              <w:rPr>
                <w:sz w:val="20"/>
                <w:szCs w:val="20"/>
              </w:rPr>
              <w:t>Costing is time consuming but essential</w:t>
            </w:r>
          </w:p>
        </w:tc>
        <w:tc>
          <w:tcPr>
            <w:tcW w:w="6945" w:type="dxa"/>
          </w:tcPr>
          <w:p w14:paraId="66EA6484" w14:textId="77777777" w:rsidR="002A5C2E" w:rsidRPr="003A638C" w:rsidRDefault="002A5C2E" w:rsidP="003439F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 xml:space="preserve">Costing our work is highly time-consuming, but if we don't do this </w:t>
            </w:r>
            <w:proofErr w:type="gramStart"/>
            <w:r w:rsidRPr="003A638C">
              <w:rPr>
                <w:sz w:val="20"/>
                <w:szCs w:val="20"/>
                <w:lang w:eastAsia="en-AU"/>
              </w:rPr>
              <w:t>well</w:t>
            </w:r>
            <w:proofErr w:type="gramEnd"/>
            <w:r w:rsidRPr="003A638C">
              <w:rPr>
                <w:sz w:val="20"/>
                <w:szCs w:val="20"/>
                <w:lang w:eastAsia="en-AU"/>
              </w:rPr>
              <w:t xml:space="preserve"> we further disadvantage ourselves by applying for too little funding. Capacity building in this area should be a part of core funding.</w:t>
            </w:r>
          </w:p>
        </w:tc>
      </w:tr>
      <w:tr w:rsidR="002A5C2E" w:rsidRPr="003A638C" w14:paraId="4CA1C4D2" w14:textId="77777777" w:rsidTr="003A6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5CDE25" w14:textId="45CAB5E3" w:rsidR="002A5C2E" w:rsidRPr="003A638C" w:rsidRDefault="002A5C2E" w:rsidP="003439F2">
            <w:pPr>
              <w:pStyle w:val="BodyText"/>
              <w:rPr>
                <w:sz w:val="20"/>
                <w:szCs w:val="20"/>
              </w:rPr>
            </w:pPr>
            <w:r w:rsidRPr="003A638C">
              <w:rPr>
                <w:sz w:val="20"/>
                <w:szCs w:val="20"/>
              </w:rPr>
              <w:t>Across the sector, there is a wide range of capacities and resources for costing.</w:t>
            </w:r>
          </w:p>
        </w:tc>
        <w:tc>
          <w:tcPr>
            <w:tcW w:w="6945" w:type="dxa"/>
          </w:tcPr>
          <w:p w14:paraId="0AC2FBEC" w14:textId="77777777" w:rsidR="002A5C2E" w:rsidRPr="003A638C" w:rsidRDefault="002A5C2E" w:rsidP="003439F2">
            <w:pPr>
              <w:pStyle w:val="Quote"/>
              <w:ind w:left="36"/>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 xml:space="preserve">We have a sophisticated patient management system that does allow us to cost all our services </w:t>
            </w:r>
            <w:proofErr w:type="gramStart"/>
            <w:r w:rsidRPr="003A638C">
              <w:rPr>
                <w:sz w:val="20"/>
                <w:szCs w:val="20"/>
                <w:lang w:eastAsia="en-AU"/>
              </w:rPr>
              <w:t>really accurately</w:t>
            </w:r>
            <w:proofErr w:type="gramEnd"/>
            <w:r w:rsidRPr="003A638C">
              <w:rPr>
                <w:sz w:val="20"/>
                <w:szCs w:val="20"/>
                <w:lang w:eastAsia="en-AU"/>
              </w:rPr>
              <w:t xml:space="preserve"> (and we pay for this dearly - out of our own reserves!).</w:t>
            </w:r>
          </w:p>
          <w:p w14:paraId="75475556" w14:textId="77777777" w:rsidR="002A5C2E" w:rsidRPr="003A638C" w:rsidRDefault="002A5C2E" w:rsidP="003439F2">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 xml:space="preserve">We are not-for-profit and we have no idea how other community organisations cost their services. … Our organisation does not have any internal expertise to help us with these things. Our Board is made up of volunteers who are elected annually. They are …not experts on any of these things </w:t>
            </w:r>
          </w:p>
        </w:tc>
      </w:tr>
      <w:tr w:rsidR="002A5C2E" w:rsidRPr="003A638C" w14:paraId="5ED9825A" w14:textId="77777777" w:rsidTr="003A6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087A70" w14:textId="77777777" w:rsidR="002A5C2E" w:rsidRPr="003A638C" w:rsidRDefault="002A5C2E" w:rsidP="003439F2">
            <w:pPr>
              <w:pStyle w:val="BodyText"/>
              <w:rPr>
                <w:sz w:val="20"/>
                <w:szCs w:val="20"/>
              </w:rPr>
            </w:pPr>
            <w:r w:rsidRPr="003A638C">
              <w:rPr>
                <w:sz w:val="20"/>
                <w:szCs w:val="20"/>
              </w:rPr>
              <w:t xml:space="preserve">Some draw on pro-bono support </w:t>
            </w:r>
          </w:p>
        </w:tc>
        <w:tc>
          <w:tcPr>
            <w:tcW w:w="6945" w:type="dxa"/>
          </w:tcPr>
          <w:p w14:paraId="614E05D5" w14:textId="77777777" w:rsidR="002A5C2E" w:rsidRPr="003A638C" w:rsidRDefault="002A5C2E" w:rsidP="003439F2">
            <w:pPr>
              <w:pStyle w:val="Quote"/>
              <w:ind w:left="36"/>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If not for the luck of obtaining pro bono short-term legal and tendering support, our capacity to cost services would be extremely low.</w:t>
            </w:r>
          </w:p>
          <w:p w14:paraId="0942B2FE" w14:textId="77777777" w:rsidR="002A5C2E" w:rsidRPr="003A638C" w:rsidRDefault="002A5C2E" w:rsidP="003439F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With private funding, we have sourced expert external consultants who assist us with costing our services. The time we can invest in this reflective and analytical work is always the hardest part. We rely on pro bono contributions from these providers also.</w:t>
            </w:r>
          </w:p>
        </w:tc>
      </w:tr>
    </w:tbl>
    <w:p w14:paraId="55358B83" w14:textId="04F17D26" w:rsidR="00FE348F" w:rsidRDefault="00FE348F" w:rsidP="00FE348F">
      <w:pPr>
        <w:pStyle w:val="Tablenotes"/>
        <w:ind w:left="0" w:firstLine="0"/>
      </w:pPr>
      <w:r w:rsidRPr="00554250">
        <w:t>Source: ACT Service Costing Survey, 2021</w:t>
      </w:r>
    </w:p>
    <w:p w14:paraId="1C68B225" w14:textId="04D452AD" w:rsidR="002507AB" w:rsidRDefault="002507AB" w:rsidP="002507AB">
      <w:pPr>
        <w:pStyle w:val="BodyText"/>
      </w:pPr>
      <w:r w:rsidRPr="00C07E17">
        <w:lastRenderedPageBreak/>
        <w:t xml:space="preserve">The non-profit starvation cycle </w:t>
      </w:r>
      <w:r w:rsidRPr="000354C6">
        <w:t xml:space="preserve">described in Section </w:t>
      </w:r>
      <w:r w:rsidRPr="000354C6">
        <w:fldChar w:fldCharType="begin"/>
      </w:r>
      <w:r w:rsidRPr="000354C6">
        <w:instrText xml:space="preserve"> REF _Ref88751489 \r \h </w:instrText>
      </w:r>
      <w:r>
        <w:instrText xml:space="preserve"> \* MERGEFORMAT </w:instrText>
      </w:r>
      <w:r w:rsidRPr="000354C6">
        <w:fldChar w:fldCharType="separate"/>
      </w:r>
      <w:r w:rsidR="00E405AF">
        <w:t>2.2</w:t>
      </w:r>
      <w:r w:rsidRPr="000354C6">
        <w:fldChar w:fldCharType="end"/>
      </w:r>
      <w:r w:rsidRPr="000354C6">
        <w:t xml:space="preserve"> describes a process of lowering costs that spirals ever lower, driven in part by organisations playing to funders’ expectations that overheads will be low. There was concern among some ACT leaders of a ‘race to the bottom’ as services compete to provide lower cost services, including through competitive tendering processes. One</w:t>
      </w:r>
      <w:r w:rsidR="00FA358F">
        <w:t> </w:t>
      </w:r>
      <w:r w:rsidRPr="000354C6">
        <w:t>highlighted the need to end this unhelpful</w:t>
      </w:r>
      <w:r>
        <w:t xml:space="preserve"> cycle:</w:t>
      </w:r>
    </w:p>
    <w:p w14:paraId="7787029D" w14:textId="77777777" w:rsidR="002507AB" w:rsidRDefault="002507AB" w:rsidP="002507AB">
      <w:pPr>
        <w:pStyle w:val="Quote"/>
        <w:rPr>
          <w:lang w:eastAsia="en-AU"/>
        </w:rPr>
      </w:pPr>
      <w:r w:rsidRPr="001726FC">
        <w:rPr>
          <w:lang w:eastAsia="en-AU"/>
        </w:rPr>
        <w:t>We must understand the true cost of delivering the service we deliver and price accordingly. Collaboration is required so the sector does not start to in fight to cost match or beat each other in the bid for funding.</w:t>
      </w:r>
    </w:p>
    <w:p w14:paraId="3F5AE0A3" w14:textId="117C44B0" w:rsidR="002507AB" w:rsidRPr="002507AB" w:rsidRDefault="002507AB" w:rsidP="002507AB">
      <w:pPr>
        <w:pStyle w:val="BodyText"/>
      </w:pPr>
      <w:r>
        <w:t>Indeed, a</w:t>
      </w:r>
      <w:r w:rsidRPr="00C07E17">
        <w:t xml:space="preserve"> quarter of service leaders said they had offered services below cost </w:t>
      </w:r>
      <w:proofErr w:type="gramStart"/>
      <w:r w:rsidRPr="00C07E17">
        <w:t>in order to</w:t>
      </w:r>
      <w:proofErr w:type="gramEnd"/>
      <w:r w:rsidRPr="00C07E17">
        <w:t xml:space="preserve"> be competitive for funding. Workers also discussed adversity for workers and clients of what was perceived as an over-emphasis on cost competition in tendering processes. But there were also calls to collaborate to ensure that services and government understand and act on the true cost of service delivery. Collaboration and a commitment to </w:t>
      </w:r>
      <w:r>
        <w:t xml:space="preserve">the </w:t>
      </w:r>
      <w:r w:rsidRPr="00C07E17">
        <w:t xml:space="preserve">collective endeavour </w:t>
      </w:r>
      <w:r>
        <w:t xml:space="preserve">of accurately communicating costs </w:t>
      </w:r>
      <w:r w:rsidRPr="00C07E17">
        <w:t>is particularly important in a context of competitive funding rounds. The true cost of service delivery is most likely to be recognised and funded by government when it is routinely conveyed by most community service organisations in their funding applications.</w:t>
      </w:r>
    </w:p>
    <w:p w14:paraId="428B945D" w14:textId="21C3B99C" w:rsidR="002A5C2E" w:rsidRPr="00C07E17" w:rsidRDefault="002A5C2E" w:rsidP="006E6C6C">
      <w:pPr>
        <w:pStyle w:val="Heading2"/>
      </w:pPr>
      <w:bookmarkStart w:id="126" w:name="_Toc88753146"/>
      <w:bookmarkStart w:id="127" w:name="_Toc90019577"/>
      <w:r>
        <w:t>Resourcing quality early intervention and prevention</w:t>
      </w:r>
      <w:bookmarkEnd w:id="126"/>
      <w:bookmarkEnd w:id="127"/>
    </w:p>
    <w:p w14:paraId="7FC78049" w14:textId="5D5925BD" w:rsidR="002A5C2E" w:rsidRDefault="002A5C2E" w:rsidP="002A5C2E">
      <w:pPr>
        <w:pStyle w:val="BodyText"/>
      </w:pPr>
      <w:r w:rsidRPr="00C07E17">
        <w:t xml:space="preserve">A key priority should be to ensure that early intervention and prevention is fully resourced, to stem growing need and complexity in the community, and to reduce the risks of </w:t>
      </w:r>
      <w:r>
        <w:t>subsequent costs arising and escalating later</w:t>
      </w:r>
      <w:r w:rsidRPr="00C07E17">
        <w:t xml:space="preserve">. </w:t>
      </w:r>
      <w:r>
        <w:t xml:space="preserve">This is a shared priority of government, community sector leaders and workers. </w:t>
      </w:r>
    </w:p>
    <w:p w14:paraId="2B8F2162" w14:textId="0A904FAA" w:rsidR="00A421BE" w:rsidRDefault="000354C6" w:rsidP="002A5C2E">
      <w:pPr>
        <w:pStyle w:val="BodyText"/>
      </w:pPr>
      <w:r>
        <w:t>S</w:t>
      </w:r>
      <w:r w:rsidR="002A5C2E">
        <w:t xml:space="preserve">ector leaders identified the need to continue to improve recognition of the effectiveness, costs and benefits of early intervention and preventative measures, to demonstrate the return on investment, and continue to shift the sector from reactive, crisis-driven models. </w:t>
      </w:r>
    </w:p>
    <w:p w14:paraId="678AF6F0" w14:textId="03709989" w:rsidR="00A421BE" w:rsidRPr="00C07E17" w:rsidRDefault="00A421BE" w:rsidP="006E6C6C">
      <w:pPr>
        <w:pStyle w:val="Heading2"/>
      </w:pPr>
      <w:bookmarkStart w:id="128" w:name="_Toc88753147"/>
      <w:bookmarkStart w:id="129" w:name="_Toc90019578"/>
      <w:r>
        <w:t>Monitoring population needs</w:t>
      </w:r>
      <w:bookmarkEnd w:id="128"/>
      <w:bookmarkEnd w:id="129"/>
      <w:r>
        <w:t xml:space="preserve"> </w:t>
      </w:r>
    </w:p>
    <w:p w14:paraId="12A42C63" w14:textId="65056279" w:rsidR="002A5C2E" w:rsidRDefault="00A421BE" w:rsidP="00424C46">
      <w:pPr>
        <w:pStyle w:val="BodyText"/>
      </w:pPr>
      <w:r>
        <w:t>To ensure capacity to intervene early and respond to demand, ongoing n</w:t>
      </w:r>
      <w:r w:rsidR="002A5C2E">
        <w:t>eeds analysis, including m</w:t>
      </w:r>
      <w:r w:rsidR="002A5C2E" w:rsidRPr="00C07E17">
        <w:t>onitoring population trends and community needs</w:t>
      </w:r>
      <w:r w:rsidR="002A5C2E">
        <w:t xml:space="preserve"> across Canberra</w:t>
      </w:r>
      <w:r>
        <w:t xml:space="preserve"> are priorities. Information to identify pressures early</w:t>
      </w:r>
      <w:r w:rsidR="00984B61">
        <w:t>, and drawing on sector input,</w:t>
      </w:r>
      <w:r>
        <w:t xml:space="preserve"> will help ensure government and the sector are </w:t>
      </w:r>
      <w:r w:rsidR="002A5C2E">
        <w:t xml:space="preserve">well positioned to direct resources to </w:t>
      </w:r>
      <w:r w:rsidR="002A5C2E" w:rsidRPr="00C07E17">
        <w:t xml:space="preserve">emerging areas. </w:t>
      </w:r>
      <w:r w:rsidR="002A5C2E">
        <w:t>Importantly,</w:t>
      </w:r>
      <w:r w:rsidR="00B6697E">
        <w:t xml:space="preserve"> leaders noted that </w:t>
      </w:r>
      <w:r w:rsidR="002A5C2E">
        <w:t xml:space="preserve">consultation on </w:t>
      </w:r>
      <w:r w:rsidR="00B6697E">
        <w:t xml:space="preserve">emerging need and how to address it early </w:t>
      </w:r>
      <w:r w:rsidR="002A5C2E">
        <w:t xml:space="preserve">should include unfunded organisations, who may have different intelligence about population trends and needs than those funded to address previously identified needs. Again, the shift to a commissioning approach should provide a mechanism for strengthening needs assessment and capacity to intervene early. </w:t>
      </w:r>
      <w:r w:rsidR="00A14EC2">
        <w:t xml:space="preserve">The ACT Wellbeing Framework provides a platform for ongoing </w:t>
      </w:r>
      <w:proofErr w:type="gramStart"/>
      <w:r w:rsidR="00A14EC2">
        <w:t>monitoring,</w:t>
      </w:r>
      <w:proofErr w:type="gramEnd"/>
      <w:r w:rsidR="00A14EC2">
        <w:t xml:space="preserve"> however indicator data </w:t>
      </w:r>
      <w:r w:rsidR="00984B61">
        <w:t xml:space="preserve">may lag behind trends evident to community organisations on the ground. </w:t>
      </w:r>
    </w:p>
    <w:p w14:paraId="7E800694" w14:textId="77777777" w:rsidR="000012EE" w:rsidRPr="00C07E17" w:rsidRDefault="000012EE" w:rsidP="00D349D1">
      <w:pPr>
        <w:pStyle w:val="sprcheading1"/>
      </w:pPr>
      <w:bookmarkStart w:id="130" w:name="_Ref84496236"/>
      <w:bookmarkStart w:id="131" w:name="_Toc90019579"/>
      <w:r w:rsidRPr="00C07E17">
        <w:lastRenderedPageBreak/>
        <w:t>Recommendations</w:t>
      </w:r>
      <w:bookmarkEnd w:id="130"/>
      <w:bookmarkEnd w:id="131"/>
    </w:p>
    <w:p w14:paraId="05A0B741" w14:textId="754B1BDF" w:rsidR="000012EE" w:rsidRPr="00C07E17" w:rsidRDefault="00D349D1" w:rsidP="000012EE">
      <w:pPr>
        <w:pStyle w:val="BodyText"/>
      </w:pPr>
      <w:bookmarkStart w:id="132" w:name="_Hlk88751877"/>
      <w:r>
        <w:t xml:space="preserve">The report has shown evidence that the ACT community sector is </w:t>
      </w:r>
      <w:r w:rsidR="000012EE">
        <w:t xml:space="preserve">grappling </w:t>
      </w:r>
      <w:r>
        <w:t xml:space="preserve">with </w:t>
      </w:r>
      <w:r w:rsidR="000012EE">
        <w:t xml:space="preserve">challenges of increasing </w:t>
      </w:r>
      <w:r w:rsidR="000012EE" w:rsidRPr="00C07E17">
        <w:t>demand and rising costs</w:t>
      </w:r>
      <w:r w:rsidR="000012EE">
        <w:t xml:space="preserve">. </w:t>
      </w:r>
      <w:r w:rsidR="000012EE" w:rsidRPr="00C07E17">
        <w:t xml:space="preserve">This </w:t>
      </w:r>
      <w:r w:rsidR="000012EE">
        <w:t xml:space="preserve">is </w:t>
      </w:r>
      <w:r w:rsidR="000012EE" w:rsidRPr="00C07E17">
        <w:t>impact</w:t>
      </w:r>
      <w:r w:rsidR="000012EE">
        <w:t>ing</w:t>
      </w:r>
      <w:r w:rsidR="000012EE" w:rsidRPr="00C07E17">
        <w:t xml:space="preserve"> on how organisations do their work, and for some, their willingness to partner with government. </w:t>
      </w:r>
    </w:p>
    <w:bookmarkEnd w:id="132"/>
    <w:p w14:paraId="6B684C37" w14:textId="6E2858BF" w:rsidR="000012EE" w:rsidRPr="00C07E17" w:rsidRDefault="00D349D1" w:rsidP="000012EE">
      <w:pPr>
        <w:pStyle w:val="BodyText"/>
      </w:pPr>
      <w:r>
        <w:t xml:space="preserve">How to respond </w:t>
      </w:r>
      <w:bookmarkStart w:id="133" w:name="_Hlk88751907"/>
      <w:r>
        <w:t xml:space="preserve">inevitably rests on </w:t>
      </w:r>
      <w:r w:rsidR="000012EE" w:rsidRPr="00C07E17">
        <w:t>political judgements</w:t>
      </w:r>
      <w:r w:rsidR="000012EE">
        <w:t xml:space="preserve"> and choices</w:t>
      </w:r>
      <w:r w:rsidR="000012EE" w:rsidRPr="00C07E17">
        <w:t>, about</w:t>
      </w:r>
      <w:r w:rsidR="000012EE">
        <w:t xml:space="preserve"> the </w:t>
      </w:r>
      <w:r w:rsidR="000012EE" w:rsidRPr="00C07E17">
        <w:t xml:space="preserve">standards of support </w:t>
      </w:r>
      <w:r w:rsidR="000012EE">
        <w:t xml:space="preserve">that are appropriate, </w:t>
      </w:r>
      <w:r w:rsidR="000012EE" w:rsidRPr="00C07E17">
        <w:t xml:space="preserve">and </w:t>
      </w:r>
      <w:r w:rsidR="000012EE">
        <w:t xml:space="preserve">the </w:t>
      </w:r>
      <w:r w:rsidR="000012EE" w:rsidRPr="00C07E17">
        <w:t>levels of unmet need that government, and Canberrans, will accept.</w:t>
      </w:r>
      <w:r w:rsidR="000012EE">
        <w:t xml:space="preserve"> </w:t>
      </w:r>
      <w:r>
        <w:t xml:space="preserve">Responses will also reflect a </w:t>
      </w:r>
      <w:r w:rsidR="000012EE" w:rsidRPr="00C07E17">
        <w:t xml:space="preserve">vision of how government and the sector will work together; and who should bear the costs of responding to inequality and disadvantage. </w:t>
      </w:r>
    </w:p>
    <w:p w14:paraId="1B40C38F" w14:textId="17AEC451" w:rsidR="000012EE" w:rsidRPr="00C07E17" w:rsidRDefault="00D349D1" w:rsidP="000012EE">
      <w:pPr>
        <w:pStyle w:val="BodyText"/>
      </w:pPr>
      <w:r>
        <w:t>We</w:t>
      </w:r>
      <w:r w:rsidR="000012EE">
        <w:t xml:space="preserve"> suggest a set of a</w:t>
      </w:r>
      <w:r w:rsidR="000012EE" w:rsidRPr="00C07E17">
        <w:t xml:space="preserve">djustments in relation to </w:t>
      </w:r>
      <w:r w:rsidR="000012EE">
        <w:t xml:space="preserve">both </w:t>
      </w:r>
      <w:r w:rsidR="000012EE" w:rsidRPr="00C07E17">
        <w:t>rising costs, and rising demand</w:t>
      </w:r>
      <w:r w:rsidR="000012EE">
        <w:t>.</w:t>
      </w:r>
    </w:p>
    <w:p w14:paraId="0B7881CB" w14:textId="1260CD8D" w:rsidR="00D349D1" w:rsidRPr="00D349D1" w:rsidRDefault="00D349D1" w:rsidP="006E6C6C">
      <w:pPr>
        <w:pStyle w:val="Heading2"/>
      </w:pPr>
      <w:bookmarkStart w:id="134" w:name="_Toc88753148"/>
      <w:bookmarkStart w:id="135" w:name="_Toc90019580"/>
      <w:bookmarkEnd w:id="133"/>
      <w:r w:rsidRPr="00D349D1">
        <w:t>Adjustments to respond to rising costs</w:t>
      </w:r>
      <w:bookmarkEnd w:id="134"/>
      <w:bookmarkEnd w:id="135"/>
    </w:p>
    <w:p w14:paraId="2917F807" w14:textId="62040B79" w:rsidR="00D349D1" w:rsidRPr="00C07E17" w:rsidRDefault="00D349D1" w:rsidP="00D349D1">
      <w:pPr>
        <w:pStyle w:val="BodyText"/>
        <w:rPr>
          <w:b/>
          <w:bCs/>
        </w:rPr>
      </w:pPr>
      <w:r w:rsidRPr="00C07E17">
        <w:rPr>
          <w:b/>
          <w:bCs/>
        </w:rPr>
        <w:t xml:space="preserve">Recommendation 1: </w:t>
      </w:r>
      <w:r w:rsidR="000637EB" w:rsidRPr="005D7038">
        <w:rPr>
          <w:b/>
          <w:bCs/>
        </w:rPr>
        <w:t xml:space="preserve">Adopt a revised </w:t>
      </w:r>
      <w:r w:rsidR="00103988">
        <w:rPr>
          <w:b/>
          <w:bCs/>
        </w:rPr>
        <w:t>approach to i</w:t>
      </w:r>
      <w:r w:rsidRPr="00C07E17">
        <w:rPr>
          <w:b/>
          <w:bCs/>
        </w:rPr>
        <w:t>ndexation</w:t>
      </w:r>
    </w:p>
    <w:p w14:paraId="1792EFA0" w14:textId="7C02579B" w:rsidR="00D349D1" w:rsidRPr="00C07E17" w:rsidRDefault="00D349D1" w:rsidP="00D349D1">
      <w:pPr>
        <w:pStyle w:val="BodyText"/>
      </w:pPr>
      <w:r w:rsidRPr="00C07E17">
        <w:t xml:space="preserve">The ACT </w:t>
      </w:r>
      <w:r>
        <w:t>G</w:t>
      </w:r>
      <w:r w:rsidRPr="00C07E17">
        <w:t xml:space="preserve">overnment has shown </w:t>
      </w:r>
      <w:r w:rsidR="00DA67EA">
        <w:t xml:space="preserve">its responsiveness by committing to </w:t>
      </w:r>
      <w:r w:rsidR="007E60DD">
        <w:t>r</w:t>
      </w:r>
      <w:r w:rsidRPr="00C07E17">
        <w:t xml:space="preserve">eview indexation. The Community Sector Funding rate </w:t>
      </w:r>
      <w:r>
        <w:t xml:space="preserve">has </w:t>
      </w:r>
      <w:r w:rsidR="007E60DD">
        <w:t xml:space="preserve">resulted in falling </w:t>
      </w:r>
      <w:r>
        <w:t>purchasing power in the sector, over at least fifteen years.</w:t>
      </w:r>
      <w:r w:rsidRPr="00C07E17">
        <w:t xml:space="preserve"> Drawing on principles</w:t>
      </w:r>
      <w:r>
        <w:t xml:space="preserve"> that have helped </w:t>
      </w:r>
      <w:r w:rsidRPr="00C07E17">
        <w:t>maintain the value of the Age Pension over time, we recommend that</w:t>
      </w:r>
      <w:r>
        <w:t xml:space="preserve"> the Community Sector Funding rate be replaced with an approach that involves: </w:t>
      </w:r>
    </w:p>
    <w:p w14:paraId="7AFF80BF" w14:textId="77777777" w:rsidR="00D349D1" w:rsidRDefault="00D349D1" w:rsidP="00EA6EED">
      <w:pPr>
        <w:pStyle w:val="BodyText"/>
        <w:numPr>
          <w:ilvl w:val="0"/>
          <w:numId w:val="23"/>
        </w:numPr>
        <w:ind w:left="709"/>
      </w:pPr>
      <w:r>
        <w:t>Ensuring all ACT funding is indexed.</w:t>
      </w:r>
    </w:p>
    <w:p w14:paraId="36FB255C" w14:textId="56ED0141" w:rsidR="00D349D1" w:rsidRPr="00C07E17" w:rsidRDefault="00D349D1" w:rsidP="00EA6EED">
      <w:pPr>
        <w:pStyle w:val="BodyText"/>
        <w:numPr>
          <w:ilvl w:val="0"/>
          <w:numId w:val="23"/>
        </w:numPr>
        <w:ind w:left="709"/>
      </w:pPr>
      <w:r>
        <w:t>Applying indexation</w:t>
      </w:r>
      <w:r w:rsidRPr="00C07E17">
        <w:t xml:space="preserve"> </w:t>
      </w:r>
      <w:r>
        <w:t xml:space="preserve">cumulatively and </w:t>
      </w:r>
      <w:r w:rsidRPr="00C07E17">
        <w:t>every six months</w:t>
      </w:r>
      <w:r>
        <w:t>,</w:t>
      </w:r>
      <w:r w:rsidRPr="00C07E17">
        <w:t xml:space="preserve"> according to the CPI or WPI for </w:t>
      </w:r>
      <w:r w:rsidR="007B3510">
        <w:t>the ACT</w:t>
      </w:r>
      <w:r w:rsidRPr="00C07E17">
        <w:t xml:space="preserve">, </w:t>
      </w:r>
      <w:r w:rsidR="008952B1">
        <w:t xml:space="preserve">or the increase in SCHADS wage rates, </w:t>
      </w:r>
      <w:r w:rsidRPr="00C07E17">
        <w:t xml:space="preserve">whichever is highest. </w:t>
      </w:r>
    </w:p>
    <w:p w14:paraId="5BD50B91" w14:textId="5D55FC18" w:rsidR="00D349D1" w:rsidRDefault="00D349D1" w:rsidP="00EA6EED">
      <w:pPr>
        <w:pStyle w:val="BodyText"/>
        <w:numPr>
          <w:ilvl w:val="0"/>
          <w:numId w:val="23"/>
        </w:numPr>
        <w:ind w:left="709"/>
      </w:pPr>
      <w:r>
        <w:t>Incorporating other cost drivers as they arise and in full, for example legislated superannuation decisions</w:t>
      </w:r>
      <w:r w:rsidR="00A70E1C">
        <w:t>, or increased regulatory and compliance costs</w:t>
      </w:r>
      <w:r>
        <w:t xml:space="preserve">. </w:t>
      </w:r>
    </w:p>
    <w:p w14:paraId="1729AF04" w14:textId="77777777" w:rsidR="00D349D1" w:rsidRPr="00C07E17" w:rsidRDefault="00D349D1" w:rsidP="00D349D1">
      <w:pPr>
        <w:pStyle w:val="BodyText"/>
      </w:pPr>
      <w:r>
        <w:t xml:space="preserve">This </w:t>
      </w:r>
      <w:r w:rsidRPr="00C07E17">
        <w:t>approach will be simple</w:t>
      </w:r>
      <w:r>
        <w:t>r</w:t>
      </w:r>
      <w:r w:rsidRPr="00C07E17">
        <w:t xml:space="preserve"> to administer and give stronger guarantee</w:t>
      </w:r>
      <w:r>
        <w:t>s</w:t>
      </w:r>
      <w:r w:rsidRPr="00C07E17">
        <w:t xml:space="preserve"> to the sector that the value of their funding will </w:t>
      </w:r>
      <w:r>
        <w:t>keep pace with costs</w:t>
      </w:r>
      <w:r w:rsidRPr="00C07E17">
        <w:t>.</w:t>
      </w:r>
      <w:r w:rsidRPr="00A1580A">
        <w:t xml:space="preserve"> </w:t>
      </w:r>
      <w:r>
        <w:t>I</w:t>
      </w:r>
      <w:r w:rsidRPr="00C07E17">
        <w:t>ndex</w:t>
      </w:r>
      <w:r>
        <w:t>ation</w:t>
      </w:r>
      <w:r w:rsidRPr="00C07E17">
        <w:t xml:space="preserve"> </w:t>
      </w:r>
      <w:r>
        <w:t xml:space="preserve">every six months will reduce the impact of </w:t>
      </w:r>
      <w:r w:rsidRPr="00C07E17">
        <w:t>lag</w:t>
      </w:r>
      <w:r>
        <w:t>,</w:t>
      </w:r>
      <w:r w:rsidRPr="00C07E17">
        <w:t xml:space="preserve"> where</w:t>
      </w:r>
      <w:r>
        <w:t>by</w:t>
      </w:r>
      <w:r w:rsidRPr="00C07E17">
        <w:t xml:space="preserve"> organisations </w:t>
      </w:r>
      <w:r>
        <w:t xml:space="preserve">have </w:t>
      </w:r>
      <w:r w:rsidRPr="00C07E17">
        <w:t>face</w:t>
      </w:r>
      <w:r>
        <w:t>d</w:t>
      </w:r>
      <w:r w:rsidRPr="00C07E17">
        <w:t xml:space="preserve"> higher costs for more than a year before </w:t>
      </w:r>
      <w:r>
        <w:t>receiving increased funds</w:t>
      </w:r>
      <w:r w:rsidRPr="00C07E17">
        <w:t xml:space="preserve">. </w:t>
      </w:r>
    </w:p>
    <w:p w14:paraId="352BF12A" w14:textId="77777777" w:rsidR="00D349D1" w:rsidRDefault="00D349D1" w:rsidP="00D349D1">
      <w:pPr>
        <w:pStyle w:val="BodyText"/>
      </w:pPr>
      <w:r>
        <w:t>As a mechanism for review, we recommend:</w:t>
      </w:r>
    </w:p>
    <w:p w14:paraId="71CFA163" w14:textId="77777777" w:rsidR="00D349D1" w:rsidRDefault="00D349D1" w:rsidP="00EA6EED">
      <w:pPr>
        <w:pStyle w:val="BodyText"/>
        <w:numPr>
          <w:ilvl w:val="0"/>
          <w:numId w:val="23"/>
        </w:numPr>
        <w:ind w:left="709"/>
      </w:pPr>
      <w:r>
        <w:t>resources be provided to the community sector to review this approach and monitor its impacts annually.</w:t>
      </w:r>
    </w:p>
    <w:p w14:paraId="456F3798" w14:textId="4CECD9A8" w:rsidR="00D349D1" w:rsidRDefault="00D349D1" w:rsidP="00EA6EED">
      <w:pPr>
        <w:pStyle w:val="BodyText"/>
        <w:numPr>
          <w:ilvl w:val="0"/>
          <w:numId w:val="23"/>
        </w:numPr>
        <w:ind w:left="709"/>
      </w:pPr>
      <w:r>
        <w:t xml:space="preserve">A comprehensive, formal review of the approach be conducted </w:t>
      </w:r>
      <w:r w:rsidR="00A14EC2">
        <w:t xml:space="preserve">by </w:t>
      </w:r>
      <w:r>
        <w:t xml:space="preserve">its fourth year, to consider all progress to date and recommend any further revisions to ensure it is fit for purpose in an emerging operational environment. </w:t>
      </w:r>
      <w:r w:rsidR="00C02382">
        <w:t xml:space="preserve">This could be undertaken through existing governance arrangements, such as the JCGRG or ISSG. </w:t>
      </w:r>
    </w:p>
    <w:p w14:paraId="4F400A48" w14:textId="77777777" w:rsidR="00846E4A" w:rsidRDefault="00846E4A" w:rsidP="00846E4A">
      <w:pPr>
        <w:pStyle w:val="BodyText"/>
        <w:ind w:left="709"/>
      </w:pPr>
    </w:p>
    <w:p w14:paraId="49511567" w14:textId="53C33795" w:rsidR="007E60DD" w:rsidRDefault="007E60DD" w:rsidP="007E60DD">
      <w:pPr>
        <w:pStyle w:val="BodyText"/>
        <w:rPr>
          <w:b/>
          <w:bCs/>
        </w:rPr>
      </w:pPr>
      <w:r w:rsidRPr="00C07E17">
        <w:rPr>
          <w:b/>
          <w:bCs/>
        </w:rPr>
        <w:lastRenderedPageBreak/>
        <w:t xml:space="preserve">Recommendation 2: </w:t>
      </w:r>
      <w:r>
        <w:rPr>
          <w:b/>
          <w:bCs/>
        </w:rPr>
        <w:t>Review ACT funding streams to ensure full cost coverage</w:t>
      </w:r>
    </w:p>
    <w:p w14:paraId="385CD49E" w14:textId="41120FF7" w:rsidR="00323CC6" w:rsidRDefault="007E60DD" w:rsidP="007E60DD">
      <w:pPr>
        <w:pStyle w:val="BodyText"/>
      </w:pPr>
      <w:r w:rsidRPr="00C07E17">
        <w:t xml:space="preserve">Funding levels </w:t>
      </w:r>
      <w:r>
        <w:t xml:space="preserve">in all ACT funding streams require review to ensure they </w:t>
      </w:r>
      <w:r w:rsidRPr="00C07E17">
        <w:t xml:space="preserve">recognise and cover the full costs that </w:t>
      </w:r>
      <w:r>
        <w:t xml:space="preserve">community </w:t>
      </w:r>
      <w:r w:rsidRPr="00C07E17">
        <w:t xml:space="preserve">organisations incur in delivering </w:t>
      </w:r>
      <w:r>
        <w:t xml:space="preserve">ACT programs.  </w:t>
      </w:r>
    </w:p>
    <w:p w14:paraId="46AEF0C7" w14:textId="35E59708" w:rsidR="007E60DD" w:rsidRDefault="007E60DD" w:rsidP="007E60DD">
      <w:pPr>
        <w:pStyle w:val="BodyText"/>
      </w:pPr>
      <w:r>
        <w:t xml:space="preserve">Government expectations </w:t>
      </w:r>
      <w:r w:rsidR="00323CC6">
        <w:t xml:space="preserve">for contracted services </w:t>
      </w:r>
      <w:r>
        <w:t xml:space="preserve">should be clearly set out in funding agreements.  </w:t>
      </w:r>
      <w:r w:rsidRPr="00C07E17">
        <w:t xml:space="preserve">Funding and contract duration should be </w:t>
      </w:r>
      <w:r>
        <w:t xml:space="preserve">sufficient </w:t>
      </w:r>
      <w:r w:rsidRPr="00C07E17">
        <w:t xml:space="preserve">to ensure </w:t>
      </w:r>
      <w:r>
        <w:t xml:space="preserve">qualified staff can be recruited and retained at classification levels suited to job tasks; and which allow organisations to provide quality professional development, </w:t>
      </w:r>
      <w:proofErr w:type="gramStart"/>
      <w:r w:rsidRPr="00C07E17">
        <w:t>supervision</w:t>
      </w:r>
      <w:proofErr w:type="gramEnd"/>
      <w:r w:rsidRPr="00C07E17">
        <w:t xml:space="preserve"> </w:t>
      </w:r>
      <w:r>
        <w:t xml:space="preserve">and other supports, and </w:t>
      </w:r>
      <w:r w:rsidR="00323CC6">
        <w:t xml:space="preserve">which </w:t>
      </w:r>
      <w:r>
        <w:t xml:space="preserve">enable </w:t>
      </w:r>
      <w:r w:rsidRPr="00C07E17">
        <w:t xml:space="preserve">career progression that keep skilled workers at the frontline. </w:t>
      </w:r>
      <w:r>
        <w:t xml:space="preserve">Funding levels should </w:t>
      </w:r>
      <w:r w:rsidR="00323CC6">
        <w:t xml:space="preserve">also </w:t>
      </w:r>
      <w:r>
        <w:t>ensure resources are sufficient to cover reporting</w:t>
      </w:r>
      <w:r w:rsidR="00323CC6">
        <w:t xml:space="preserve">; </w:t>
      </w:r>
      <w:r>
        <w:t>administrati</w:t>
      </w:r>
      <w:r w:rsidR="00323CC6">
        <w:t>on;</w:t>
      </w:r>
      <w:r>
        <w:t xml:space="preserve"> technology</w:t>
      </w:r>
      <w:r w:rsidR="00323CC6">
        <w:t>;</w:t>
      </w:r>
      <w:r>
        <w:t xml:space="preserve"> </w:t>
      </w:r>
      <w:r w:rsidR="00323CC6">
        <w:t xml:space="preserve">innovation, planning and service improvement; </w:t>
      </w:r>
      <w:r>
        <w:t>auditing, legal and other necessary business activities</w:t>
      </w:r>
      <w:r w:rsidR="00323CC6">
        <w:t>;</w:t>
      </w:r>
      <w:r>
        <w:t xml:space="preserve"> along with co-design and involving people with lived experience</w:t>
      </w:r>
      <w:r w:rsidR="00323CC6">
        <w:t>; consultation and policy input; advocacy; and</w:t>
      </w:r>
      <w:r>
        <w:t xml:space="preserve"> evaluation</w:t>
      </w:r>
      <w:r w:rsidR="00323CC6">
        <w:t>. The shift to a commissioning approach is an important development. The full costs of a</w:t>
      </w:r>
      <w:r>
        <w:t xml:space="preserve">djusting to and participating in </w:t>
      </w:r>
      <w:r w:rsidR="00323CC6">
        <w:t xml:space="preserve">this </w:t>
      </w:r>
      <w:r>
        <w:t xml:space="preserve">new </w:t>
      </w:r>
      <w:r w:rsidR="00323CC6">
        <w:t xml:space="preserve">model </w:t>
      </w:r>
      <w:r>
        <w:t>approach</w:t>
      </w:r>
      <w:r w:rsidR="00323CC6">
        <w:t xml:space="preserve"> should be covered</w:t>
      </w:r>
      <w:r>
        <w:t xml:space="preserve">. </w:t>
      </w:r>
    </w:p>
    <w:p w14:paraId="401E01FC" w14:textId="161A8DA9" w:rsidR="007E60DD" w:rsidRDefault="00323CC6" w:rsidP="00424C46">
      <w:pPr>
        <w:pStyle w:val="BodyText"/>
      </w:pPr>
      <w:r>
        <w:t xml:space="preserve">Where </w:t>
      </w:r>
      <w:r w:rsidR="004D2E65">
        <w:t xml:space="preserve">it is deemed inappropriate for </w:t>
      </w:r>
      <w:r>
        <w:t xml:space="preserve">government </w:t>
      </w:r>
      <w:r w:rsidR="004D2E65">
        <w:t>to cover full costs</w:t>
      </w:r>
      <w:r>
        <w:t xml:space="preserve">, </w:t>
      </w:r>
      <w:r w:rsidR="004D2E65">
        <w:t xml:space="preserve">the rationale for providing funding on a contribution basis should be clear and transparent. </w:t>
      </w:r>
    </w:p>
    <w:p w14:paraId="63FA4F4A" w14:textId="3A0E8E9B" w:rsidR="004D2E65" w:rsidRDefault="004D2E65" w:rsidP="004D2E65">
      <w:pPr>
        <w:pStyle w:val="BodyText"/>
        <w:rPr>
          <w:b/>
          <w:bCs/>
        </w:rPr>
      </w:pPr>
      <w:r>
        <w:rPr>
          <w:b/>
          <w:bCs/>
        </w:rPr>
        <w:t>Recommendation 3: Continue to encourage efficiencies to reduce cost pressures</w:t>
      </w:r>
    </w:p>
    <w:p w14:paraId="14C0A97F" w14:textId="7F185CED" w:rsidR="004D2E65" w:rsidRPr="00F72F94" w:rsidRDefault="004D2E65" w:rsidP="004D2E65">
      <w:pPr>
        <w:pStyle w:val="BodyText"/>
      </w:pPr>
      <w:r>
        <w:t xml:space="preserve">The sector has faced significant pressure to find efficiencies under circumstances of underfunding, and </w:t>
      </w:r>
      <w:r w:rsidR="00A14EC2">
        <w:t xml:space="preserve">capacity </w:t>
      </w:r>
      <w:r>
        <w:t xml:space="preserve">for further efficiencies appear limited. </w:t>
      </w:r>
      <w:r w:rsidR="00C96142">
        <w:t>Strategies to stretch funds can only go so far; government initiatives to address underlying issues such as lack of social housing and inadequate rates of income support will be more effective. However, w</w:t>
      </w:r>
      <w:r>
        <w:t xml:space="preserve">here efficiencies are possible, and can be introduced without impacting on quality, they may help relieve some cost pressures. Such initiatives may include </w:t>
      </w:r>
      <w:r w:rsidRPr="00F72F94">
        <w:t xml:space="preserve">collective negotiation of </w:t>
      </w:r>
      <w:r>
        <w:t>service</w:t>
      </w:r>
      <w:r w:rsidR="00C96142">
        <w:t xml:space="preserve"> costs</w:t>
      </w:r>
      <w:r>
        <w:t xml:space="preserve">, for example a </w:t>
      </w:r>
      <w:r w:rsidRPr="00C07E17">
        <w:t>group of service</w:t>
      </w:r>
      <w:r w:rsidR="00C96142">
        <w:t>s</w:t>
      </w:r>
      <w:r w:rsidRPr="00C07E17">
        <w:t xml:space="preserve"> could collectively negotiate discounted rates for insurance</w:t>
      </w:r>
      <w:r w:rsidR="00C96142">
        <w:t xml:space="preserve">, </w:t>
      </w:r>
      <w:proofErr w:type="gramStart"/>
      <w:r w:rsidRPr="00C07E17">
        <w:t>auditing</w:t>
      </w:r>
      <w:proofErr w:type="gramEnd"/>
      <w:r w:rsidR="00C96142">
        <w:t xml:space="preserve"> or other services</w:t>
      </w:r>
      <w:r>
        <w:t xml:space="preserve">. </w:t>
      </w:r>
      <w:r w:rsidR="00C96142">
        <w:t>E</w:t>
      </w:r>
      <w:r>
        <w:t xml:space="preserve">fficiencies </w:t>
      </w:r>
      <w:r w:rsidR="00C96142">
        <w:t xml:space="preserve">would also result from </w:t>
      </w:r>
      <w:r>
        <w:t xml:space="preserve">longer contracts that reduce costs of retendering; and removing unnecessary red-tape or reporting requirements. </w:t>
      </w:r>
    </w:p>
    <w:p w14:paraId="19F4506A" w14:textId="62D07E5B" w:rsidR="00C96142" w:rsidRPr="00F72F94" w:rsidRDefault="00C96142" w:rsidP="00C96142">
      <w:pPr>
        <w:pStyle w:val="BodyText"/>
        <w:rPr>
          <w:b/>
          <w:bCs/>
        </w:rPr>
      </w:pPr>
      <w:r w:rsidRPr="00C07E17">
        <w:rPr>
          <w:b/>
          <w:bCs/>
        </w:rPr>
        <w:t xml:space="preserve">Recommendation </w:t>
      </w:r>
      <w:r>
        <w:rPr>
          <w:b/>
          <w:bCs/>
        </w:rPr>
        <w:t>4</w:t>
      </w:r>
      <w:r w:rsidRPr="00C07E17">
        <w:rPr>
          <w:b/>
          <w:bCs/>
        </w:rPr>
        <w:t>:</w:t>
      </w:r>
      <w:r>
        <w:rPr>
          <w:b/>
          <w:bCs/>
        </w:rPr>
        <w:t xml:space="preserve"> Build </w:t>
      </w:r>
      <w:r w:rsidR="00103988">
        <w:rPr>
          <w:b/>
          <w:bCs/>
        </w:rPr>
        <w:t xml:space="preserve">sector </w:t>
      </w:r>
      <w:r>
        <w:rPr>
          <w:b/>
          <w:bCs/>
        </w:rPr>
        <w:t xml:space="preserve">capacity to </w:t>
      </w:r>
      <w:r w:rsidR="00103988">
        <w:rPr>
          <w:b/>
          <w:bCs/>
        </w:rPr>
        <w:t xml:space="preserve">accurately </w:t>
      </w:r>
      <w:r>
        <w:rPr>
          <w:b/>
          <w:bCs/>
        </w:rPr>
        <w:t>cost services</w:t>
      </w:r>
    </w:p>
    <w:p w14:paraId="6B32C556" w14:textId="3DCC014C" w:rsidR="00C96142" w:rsidRPr="00C07E17" w:rsidRDefault="00D772C9" w:rsidP="00D772C9">
      <w:pPr>
        <w:pStyle w:val="BodyText"/>
      </w:pPr>
      <w:r>
        <w:t xml:space="preserve">Building capacity to accurately cost services will help ensure unfunded expenses are identified and accounted for. Smaller organisations in particularly are likely to benefit from access to expertise to support accurate costings, and from sharing </w:t>
      </w:r>
      <w:r w:rsidR="00063BA4">
        <w:t xml:space="preserve">skills, </w:t>
      </w:r>
      <w:proofErr w:type="gramStart"/>
      <w:r w:rsidR="00063BA4">
        <w:t>processes</w:t>
      </w:r>
      <w:proofErr w:type="gramEnd"/>
      <w:r w:rsidR="00063BA4">
        <w:t xml:space="preserve"> and systems for costing services, </w:t>
      </w:r>
      <w:r>
        <w:t xml:space="preserve">across the sector. Further, the sector should collectively </w:t>
      </w:r>
      <w:r w:rsidR="00C96142" w:rsidRPr="00C07E17">
        <w:t>engage in processes that signal the true costs of service delivery</w:t>
      </w:r>
      <w:r>
        <w:t>, including their overhead costs, and ensure these are reflected in funding applications.</w:t>
      </w:r>
    </w:p>
    <w:p w14:paraId="522EA9EE" w14:textId="21035545" w:rsidR="00063BA4" w:rsidRPr="00C07E17" w:rsidRDefault="00611687" w:rsidP="006E6C6C">
      <w:pPr>
        <w:pStyle w:val="Heading2"/>
      </w:pPr>
      <w:bookmarkStart w:id="136" w:name="_Toc88496245"/>
      <w:bookmarkStart w:id="137" w:name="_Toc90019581"/>
      <w:r>
        <w:t>A</w:t>
      </w:r>
      <w:r w:rsidR="00063BA4" w:rsidRPr="00C07E17">
        <w:t>djustments</w:t>
      </w:r>
      <w:bookmarkEnd w:id="136"/>
      <w:r>
        <w:t xml:space="preserve"> to respond to rising demand and unmet need</w:t>
      </w:r>
      <w:bookmarkEnd w:id="137"/>
    </w:p>
    <w:p w14:paraId="14B8E852" w14:textId="79151BE3" w:rsidR="00063BA4" w:rsidRPr="00063BA4" w:rsidRDefault="00063BA4" w:rsidP="00063BA4">
      <w:pPr>
        <w:pStyle w:val="BodyText"/>
        <w:rPr>
          <w:b/>
          <w:bCs/>
        </w:rPr>
      </w:pPr>
      <w:r w:rsidRPr="00063BA4">
        <w:rPr>
          <w:b/>
          <w:bCs/>
        </w:rPr>
        <w:t xml:space="preserve">Recommendation </w:t>
      </w:r>
      <w:r>
        <w:rPr>
          <w:b/>
          <w:bCs/>
        </w:rPr>
        <w:t>5</w:t>
      </w:r>
      <w:r w:rsidRPr="00063BA4">
        <w:rPr>
          <w:b/>
          <w:bCs/>
        </w:rPr>
        <w:t xml:space="preserve">: Boost funding for </w:t>
      </w:r>
      <w:r w:rsidR="007B6F4C">
        <w:rPr>
          <w:b/>
          <w:bCs/>
        </w:rPr>
        <w:t>areas of unmet need</w:t>
      </w:r>
    </w:p>
    <w:p w14:paraId="14B5614A" w14:textId="12E28995" w:rsidR="00063BA4" w:rsidRDefault="00063BA4" w:rsidP="00063BA4">
      <w:pPr>
        <w:pStyle w:val="BodyText"/>
      </w:pPr>
      <w:r>
        <w:t>Improving indexation, cost coverage, and costing capacity will have gradual impacts, and will not address the issue of increased demand.  Recognising that</w:t>
      </w:r>
      <w:r w:rsidR="00FE7157">
        <w:t xml:space="preserve"> unmet</w:t>
      </w:r>
      <w:r>
        <w:t xml:space="preserve"> need has accumulated in Canberra, and that the complexity of service user cohorts is increasing, funding boosts </w:t>
      </w:r>
      <w:r w:rsidR="00FE7157">
        <w:t xml:space="preserve">are </w:t>
      </w:r>
      <w:r>
        <w:t xml:space="preserve">required to increase </w:t>
      </w:r>
      <w:r w:rsidR="00103988">
        <w:t xml:space="preserve">the </w:t>
      </w:r>
      <w:r>
        <w:t>scale of provision</w:t>
      </w:r>
      <w:r w:rsidR="0044245B">
        <w:t xml:space="preserve"> and address unmet need;</w:t>
      </w:r>
      <w:r>
        <w:t xml:space="preserve"> </w:t>
      </w:r>
      <w:r w:rsidR="00103988">
        <w:t>restore intervention fidelity (</w:t>
      </w:r>
      <w:proofErr w:type="gramStart"/>
      <w:r w:rsidR="00103988">
        <w:t>e.g.</w:t>
      </w:r>
      <w:proofErr w:type="gramEnd"/>
      <w:r w:rsidR="00103988">
        <w:t xml:space="preserve"> where </w:t>
      </w:r>
      <w:r w:rsidR="00103988">
        <w:lastRenderedPageBreak/>
        <w:t xml:space="preserve">programs have been delivered with reduced ‘dosage’ </w:t>
      </w:r>
      <w:r w:rsidR="00A14EC2">
        <w:t xml:space="preserve">or inadequate staffing </w:t>
      </w:r>
      <w:r w:rsidR="00103988">
        <w:t>due to funding issues)</w:t>
      </w:r>
      <w:r w:rsidR="0044245B">
        <w:t>;</w:t>
      </w:r>
      <w:r w:rsidR="00103988">
        <w:t xml:space="preserve"> </w:t>
      </w:r>
      <w:r>
        <w:t xml:space="preserve">and reduce waiting lists. </w:t>
      </w:r>
      <w:r w:rsidR="0044245B">
        <w:t>F</w:t>
      </w:r>
      <w:r>
        <w:t xml:space="preserve">unding boosts could be directed to priority sub-sectors, or </w:t>
      </w:r>
      <w:r w:rsidR="00FE7157">
        <w:t xml:space="preserve">through applications from </w:t>
      </w:r>
      <w:r>
        <w:t>specific organisations facing demand pressures</w:t>
      </w:r>
      <w:r w:rsidR="002D38BF">
        <w:t xml:space="preserve"> and responding to unmet need</w:t>
      </w:r>
      <w:r>
        <w:t xml:space="preserve">. </w:t>
      </w:r>
      <w:r w:rsidR="002D38BF">
        <w:t xml:space="preserve">This requires capacity for early identification of unmet need, and can be supported by quality monitoring of social, </w:t>
      </w:r>
      <w:proofErr w:type="gramStart"/>
      <w:r w:rsidR="002D38BF">
        <w:t>demographic</w:t>
      </w:r>
      <w:proofErr w:type="gramEnd"/>
      <w:r w:rsidR="002D38BF">
        <w:t xml:space="preserve"> and economic trends in Canberra</w:t>
      </w:r>
      <w:r w:rsidR="00057BE7">
        <w:t>, as per the ACT Wellbeing Framework</w:t>
      </w:r>
      <w:r w:rsidR="00BC0A7F">
        <w:t>, needs assessments as part of commissioning and procurement framework processes or advice from peak bodies</w:t>
      </w:r>
      <w:r w:rsidR="002D38BF">
        <w:t xml:space="preserve">. </w:t>
      </w:r>
      <w:r w:rsidR="00FE7157">
        <w:t>Programs to boost funding to address rising demand unmet need will continue to be required into the future.</w:t>
      </w:r>
    </w:p>
    <w:p w14:paraId="0D622303" w14:textId="70350FE4" w:rsidR="00063BA4" w:rsidRPr="00391241" w:rsidRDefault="00063BA4" w:rsidP="00063BA4">
      <w:pPr>
        <w:pStyle w:val="BodyText"/>
        <w:rPr>
          <w:b/>
          <w:bCs/>
        </w:rPr>
      </w:pPr>
      <w:r w:rsidRPr="00391241">
        <w:rPr>
          <w:b/>
          <w:bCs/>
        </w:rPr>
        <w:t xml:space="preserve">Recommendation </w:t>
      </w:r>
      <w:r w:rsidR="00391241">
        <w:rPr>
          <w:b/>
          <w:bCs/>
        </w:rPr>
        <w:t>6</w:t>
      </w:r>
      <w:r w:rsidRPr="00391241">
        <w:rPr>
          <w:b/>
          <w:bCs/>
        </w:rPr>
        <w:t>: Prioritise early intervention and prevention</w:t>
      </w:r>
    </w:p>
    <w:p w14:paraId="08E5D660" w14:textId="1DD790B3" w:rsidR="00063BA4" w:rsidRDefault="00103988" w:rsidP="00103988">
      <w:pPr>
        <w:pStyle w:val="BodyText"/>
      </w:pPr>
      <w:r>
        <w:t xml:space="preserve">The ACT should continue to prioritise early intervention and preventative models, recognising </w:t>
      </w:r>
      <w:r w:rsidR="00063BA4">
        <w:t>that capacity to respond to risks early reduces subsequent resource requirements and pressures.</w:t>
      </w:r>
    </w:p>
    <w:p w14:paraId="4F15F3FC" w14:textId="183DED28" w:rsidR="007B6F4C" w:rsidRDefault="007B6F4C" w:rsidP="00063BA4">
      <w:pPr>
        <w:pStyle w:val="BodyText"/>
      </w:pPr>
    </w:p>
    <w:p w14:paraId="77A1673C" w14:textId="77777777" w:rsidR="002D38BF" w:rsidRPr="006B1988" w:rsidRDefault="002D38BF" w:rsidP="006E6C6C">
      <w:pPr>
        <w:pStyle w:val="Heading2"/>
      </w:pPr>
      <w:bookmarkStart w:id="138" w:name="_Toc90019582"/>
      <w:bookmarkStart w:id="139" w:name="_Ref87951247"/>
      <w:bookmarkStart w:id="140" w:name="_Ref87951250"/>
      <w:bookmarkStart w:id="141" w:name="_Toc88753149"/>
      <w:r w:rsidRPr="006B1988">
        <w:t>Conclusion</w:t>
      </w:r>
      <w:bookmarkEnd w:id="138"/>
    </w:p>
    <w:p w14:paraId="060257C5" w14:textId="77777777" w:rsidR="002D38BF" w:rsidRPr="00035635" w:rsidRDefault="002D38BF" w:rsidP="002D38BF">
      <w:pPr>
        <w:pStyle w:val="BodyText"/>
      </w:pPr>
      <w:r w:rsidRPr="00035635">
        <w:t xml:space="preserve">The report attests to the commitment of the ACT Government and the community sector to work in fair partnerships to ensure clients and communities receive good quality services. However, too often, funds do not fully cover all that is needed to meet needs. Financial pressures have accumulated, and organisations now juggle too many competing needs and make too many compromises. </w:t>
      </w:r>
    </w:p>
    <w:p w14:paraId="22EDD47E" w14:textId="77777777" w:rsidR="002D38BF" w:rsidRPr="00035635" w:rsidRDefault="002D38BF" w:rsidP="002D38BF">
      <w:pPr>
        <w:pStyle w:val="BodyText"/>
      </w:pPr>
      <w:r w:rsidRPr="00035635">
        <w:t xml:space="preserve">These challenges have impacted on how organisations do their work, and for some, their willingness to partner with the ACT Government. </w:t>
      </w:r>
    </w:p>
    <w:p w14:paraId="18FDBAE5" w14:textId="77777777" w:rsidR="002D38BF" w:rsidRPr="00467AD1" w:rsidRDefault="002D38BF" w:rsidP="002D38BF">
      <w:pPr>
        <w:pStyle w:val="BodyText"/>
      </w:pPr>
      <w:r w:rsidRPr="00035635">
        <w:t>Working together is essential to resolving these entrenched issues. The sector has expressed a desire to co-operate and work with government to ensure that services can be delivered efficiently and effectively to community members when they are in need, and without staff or volunteers having to unfairly carry the costs. The ACT Government has demonstrated impressive initiative to address these issues, recognising that decent funding arrangements and appropriate indexation are essential for addressing need in the ACT.</w:t>
      </w:r>
    </w:p>
    <w:p w14:paraId="592A3DDE" w14:textId="4ECC3E67" w:rsidR="007953A2" w:rsidRDefault="007953A2" w:rsidP="007953A2">
      <w:pPr>
        <w:pStyle w:val="Heading1"/>
        <w:ind w:left="360" w:hanging="360"/>
      </w:pPr>
      <w:bookmarkStart w:id="142" w:name="_Toc90019583"/>
      <w:r w:rsidRPr="00A03F81">
        <w:lastRenderedPageBreak/>
        <w:t>Appendix</w:t>
      </w:r>
      <w:r>
        <w:t xml:space="preserve"> </w:t>
      </w:r>
      <w:proofErr w:type="spellStart"/>
      <w:r>
        <w:t>A</w:t>
      </w:r>
      <w:proofErr w:type="spellEnd"/>
      <w:r>
        <w:tab/>
        <w:t>Information about methods</w:t>
      </w:r>
      <w:bookmarkEnd w:id="139"/>
      <w:bookmarkEnd w:id="140"/>
      <w:bookmarkEnd w:id="141"/>
      <w:bookmarkEnd w:id="142"/>
    </w:p>
    <w:p w14:paraId="745D2F92" w14:textId="7C2D97EA" w:rsidR="007953A2" w:rsidRDefault="007953A2" w:rsidP="007953A2">
      <w:pPr>
        <w:pStyle w:val="BodyText"/>
      </w:pPr>
      <w:r>
        <w:t>Information was collected from multiple sources, and included:</w:t>
      </w:r>
    </w:p>
    <w:p w14:paraId="39D6FD21" w14:textId="75305306" w:rsidR="007953A2" w:rsidRPr="007953A2" w:rsidRDefault="007953A2" w:rsidP="00905774">
      <w:pPr>
        <w:numPr>
          <w:ilvl w:val="0"/>
          <w:numId w:val="12"/>
        </w:numPr>
        <w:autoSpaceDE/>
        <w:autoSpaceDN/>
        <w:adjustRightInd/>
        <w:spacing w:line="288" w:lineRule="auto"/>
        <w:ind w:left="426" w:right="0"/>
        <w:contextualSpacing/>
        <w:rPr>
          <w:rFonts w:ascii="Arial" w:hAnsi="Arial" w:cs="Arial"/>
          <w:sz w:val="22"/>
          <w:szCs w:val="22"/>
        </w:rPr>
      </w:pPr>
      <w:r w:rsidRPr="007953A2">
        <w:rPr>
          <w:rFonts w:ascii="Arial" w:hAnsi="Arial" w:cs="Arial"/>
          <w:sz w:val="22"/>
          <w:szCs w:val="22"/>
        </w:rPr>
        <w:t>Analysis of cost drivers in the ACT including changes in population composition, community need</w:t>
      </w:r>
      <w:r w:rsidR="001E4E1B">
        <w:rPr>
          <w:rFonts w:ascii="Arial" w:hAnsi="Arial" w:cs="Arial"/>
          <w:sz w:val="22"/>
          <w:szCs w:val="22"/>
        </w:rPr>
        <w:t xml:space="preserve"> and </w:t>
      </w:r>
      <w:r w:rsidR="0072513F">
        <w:rPr>
          <w:rFonts w:ascii="Arial" w:hAnsi="Arial" w:cs="Arial"/>
          <w:sz w:val="22"/>
          <w:szCs w:val="22"/>
        </w:rPr>
        <w:t xml:space="preserve">the </w:t>
      </w:r>
      <w:r w:rsidR="001E4E1B">
        <w:rPr>
          <w:rFonts w:ascii="Arial" w:hAnsi="Arial" w:cs="Arial"/>
          <w:sz w:val="22"/>
          <w:szCs w:val="22"/>
        </w:rPr>
        <w:t>workforce</w:t>
      </w:r>
      <w:r w:rsidR="00FF5777">
        <w:rPr>
          <w:rFonts w:ascii="Arial" w:hAnsi="Arial" w:cs="Arial"/>
          <w:sz w:val="22"/>
          <w:szCs w:val="22"/>
        </w:rPr>
        <w:t>.</w:t>
      </w:r>
    </w:p>
    <w:p w14:paraId="3136E600" w14:textId="34F04261" w:rsidR="00C474F6" w:rsidRDefault="00C474F6" w:rsidP="00905774">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 xml:space="preserve">Analysis of </w:t>
      </w:r>
      <w:r w:rsidR="00FF5777">
        <w:rPr>
          <w:rFonts w:ascii="Arial" w:hAnsi="Arial" w:cs="Arial"/>
          <w:sz w:val="22"/>
          <w:szCs w:val="22"/>
        </w:rPr>
        <w:t xml:space="preserve">expenditure </w:t>
      </w:r>
      <w:r w:rsidR="003158AD">
        <w:rPr>
          <w:rFonts w:ascii="Arial" w:hAnsi="Arial" w:cs="Arial"/>
          <w:sz w:val="22"/>
          <w:szCs w:val="22"/>
        </w:rPr>
        <w:t>from the Annual Information Statements</w:t>
      </w:r>
      <w:r w:rsidR="00E93573">
        <w:rPr>
          <w:rFonts w:ascii="Arial" w:hAnsi="Arial" w:cs="Arial"/>
          <w:sz w:val="22"/>
          <w:szCs w:val="22"/>
        </w:rPr>
        <w:t xml:space="preserve"> provided to the </w:t>
      </w:r>
      <w:r>
        <w:rPr>
          <w:rFonts w:ascii="Arial" w:hAnsi="Arial" w:cs="Arial"/>
          <w:sz w:val="22"/>
          <w:szCs w:val="22"/>
        </w:rPr>
        <w:t xml:space="preserve">Australian Charities and Not-For-Profits Commission </w:t>
      </w:r>
      <w:r w:rsidR="00FF5777">
        <w:rPr>
          <w:rFonts w:ascii="Arial" w:hAnsi="Arial" w:cs="Arial"/>
          <w:sz w:val="22"/>
          <w:szCs w:val="22"/>
        </w:rPr>
        <w:t xml:space="preserve">in 2019 </w:t>
      </w:r>
      <w:r w:rsidR="003158AD">
        <w:rPr>
          <w:rFonts w:ascii="Arial" w:hAnsi="Arial" w:cs="Arial"/>
          <w:sz w:val="22"/>
          <w:szCs w:val="22"/>
        </w:rPr>
        <w:t xml:space="preserve">by </w:t>
      </w:r>
      <w:r w:rsidR="00E93573">
        <w:rPr>
          <w:rFonts w:ascii="Arial" w:hAnsi="Arial" w:cs="Arial"/>
          <w:sz w:val="22"/>
          <w:szCs w:val="22"/>
        </w:rPr>
        <w:t xml:space="preserve">105 </w:t>
      </w:r>
      <w:r>
        <w:rPr>
          <w:rFonts w:ascii="Arial" w:hAnsi="Arial" w:cs="Arial"/>
          <w:sz w:val="22"/>
          <w:szCs w:val="22"/>
        </w:rPr>
        <w:t>ACT</w:t>
      </w:r>
      <w:r w:rsidR="00E93573">
        <w:rPr>
          <w:rFonts w:ascii="Arial" w:hAnsi="Arial" w:cs="Arial"/>
          <w:sz w:val="22"/>
          <w:szCs w:val="22"/>
        </w:rPr>
        <w:t xml:space="preserve"> </w:t>
      </w:r>
      <w:r w:rsidR="00FF5777">
        <w:rPr>
          <w:rFonts w:ascii="Arial" w:hAnsi="Arial" w:cs="Arial"/>
          <w:sz w:val="22"/>
          <w:szCs w:val="22"/>
        </w:rPr>
        <w:t>community service</w:t>
      </w:r>
      <w:r w:rsidR="00E93573">
        <w:rPr>
          <w:rFonts w:ascii="Arial" w:hAnsi="Arial" w:cs="Arial"/>
          <w:sz w:val="22"/>
          <w:szCs w:val="22"/>
        </w:rPr>
        <w:t xml:space="preserve"> charities </w:t>
      </w:r>
      <w:r w:rsidR="00FF5777">
        <w:rPr>
          <w:rFonts w:ascii="Arial" w:hAnsi="Arial" w:cs="Arial"/>
          <w:sz w:val="22"/>
          <w:szCs w:val="22"/>
        </w:rPr>
        <w:t>who received</w:t>
      </w:r>
      <w:r w:rsidR="00E93573">
        <w:rPr>
          <w:rFonts w:ascii="Arial" w:hAnsi="Arial" w:cs="Arial"/>
          <w:sz w:val="22"/>
          <w:szCs w:val="22"/>
        </w:rPr>
        <w:t xml:space="preserve"> government</w:t>
      </w:r>
      <w:r w:rsidR="00FF5777">
        <w:rPr>
          <w:rFonts w:ascii="Arial" w:hAnsi="Arial" w:cs="Arial"/>
          <w:sz w:val="22"/>
          <w:szCs w:val="22"/>
        </w:rPr>
        <w:t xml:space="preserve"> funding and employed staff</w:t>
      </w:r>
      <w:r w:rsidR="00E93573">
        <w:rPr>
          <w:rFonts w:ascii="Arial" w:hAnsi="Arial" w:cs="Arial"/>
          <w:sz w:val="22"/>
          <w:szCs w:val="22"/>
        </w:rPr>
        <w:t xml:space="preserve">. </w:t>
      </w:r>
    </w:p>
    <w:p w14:paraId="42BFBA95" w14:textId="28B5747A" w:rsidR="004E0184" w:rsidRDefault="004E0184" w:rsidP="00905774">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Analysis of annual reports and financial statements</w:t>
      </w:r>
      <w:r w:rsidR="00E93573">
        <w:rPr>
          <w:rFonts w:ascii="Arial" w:hAnsi="Arial" w:cs="Arial"/>
          <w:sz w:val="22"/>
          <w:szCs w:val="22"/>
        </w:rPr>
        <w:t xml:space="preserve"> from government and community sector organisations</w:t>
      </w:r>
      <w:r w:rsidR="00FF5777">
        <w:rPr>
          <w:rFonts w:ascii="Arial" w:hAnsi="Arial" w:cs="Arial"/>
          <w:sz w:val="22"/>
          <w:szCs w:val="22"/>
        </w:rPr>
        <w:t>.</w:t>
      </w:r>
    </w:p>
    <w:p w14:paraId="54423826" w14:textId="398A4E13" w:rsidR="0072513F" w:rsidRDefault="0072513F" w:rsidP="00905774">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 xml:space="preserve">Evidence-based research and </w:t>
      </w:r>
      <w:r w:rsidR="00873ED8">
        <w:rPr>
          <w:rFonts w:ascii="Arial" w:hAnsi="Arial" w:cs="Arial"/>
          <w:sz w:val="22"/>
          <w:szCs w:val="22"/>
        </w:rPr>
        <w:t>policy documents</w:t>
      </w:r>
      <w:r>
        <w:rPr>
          <w:rFonts w:ascii="Arial" w:hAnsi="Arial" w:cs="Arial"/>
          <w:sz w:val="22"/>
          <w:szCs w:val="22"/>
        </w:rPr>
        <w:t>.</w:t>
      </w:r>
    </w:p>
    <w:p w14:paraId="62482184" w14:textId="18488B2F" w:rsidR="007953A2" w:rsidRPr="007953A2" w:rsidRDefault="0088173A" w:rsidP="00905774">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 xml:space="preserve">Initial sector </w:t>
      </w:r>
      <w:r w:rsidR="007953A2" w:rsidRPr="007953A2">
        <w:rPr>
          <w:rFonts w:ascii="Arial" w:hAnsi="Arial" w:cs="Arial"/>
          <w:sz w:val="22"/>
          <w:szCs w:val="22"/>
        </w:rPr>
        <w:t>interviews with three community organisations, to understand key issues and constraints</w:t>
      </w:r>
      <w:r w:rsidR="007953A2">
        <w:rPr>
          <w:rFonts w:ascii="Arial" w:hAnsi="Arial" w:cs="Arial"/>
          <w:sz w:val="22"/>
          <w:szCs w:val="22"/>
        </w:rPr>
        <w:t>,</w:t>
      </w:r>
      <w:r w:rsidR="007953A2" w:rsidRPr="007953A2">
        <w:rPr>
          <w:rFonts w:ascii="Arial" w:hAnsi="Arial" w:cs="Arial"/>
          <w:sz w:val="22"/>
          <w:szCs w:val="22"/>
        </w:rPr>
        <w:t xml:space="preserve"> and to inform the development of the </w:t>
      </w:r>
      <w:r w:rsidR="002D42F6">
        <w:rPr>
          <w:rFonts w:ascii="Arial" w:hAnsi="Arial" w:cs="Arial"/>
          <w:sz w:val="22"/>
          <w:szCs w:val="22"/>
        </w:rPr>
        <w:t>Service Costing survey</w:t>
      </w:r>
      <w:r w:rsidR="00FF5777">
        <w:rPr>
          <w:rFonts w:ascii="Arial" w:hAnsi="Arial" w:cs="Arial"/>
          <w:sz w:val="22"/>
          <w:szCs w:val="22"/>
        </w:rPr>
        <w:t>.</w:t>
      </w:r>
    </w:p>
    <w:p w14:paraId="07B9B043" w14:textId="59A5A45D" w:rsidR="007953A2" w:rsidRPr="007953A2" w:rsidRDefault="00FF5777" w:rsidP="00905774">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C</w:t>
      </w:r>
      <w:r w:rsidR="007953A2" w:rsidRPr="007953A2">
        <w:rPr>
          <w:rFonts w:ascii="Arial" w:hAnsi="Arial" w:cs="Arial"/>
          <w:sz w:val="22"/>
          <w:szCs w:val="22"/>
        </w:rPr>
        <w:t>onsultations with key stakeholders including ACTCOSS, the project advisory group and government representatives and training providers</w:t>
      </w:r>
      <w:r>
        <w:rPr>
          <w:rFonts w:ascii="Arial" w:hAnsi="Arial" w:cs="Arial"/>
          <w:sz w:val="22"/>
          <w:szCs w:val="22"/>
        </w:rPr>
        <w:t>.</w:t>
      </w:r>
    </w:p>
    <w:p w14:paraId="79ABA293" w14:textId="07F59629" w:rsidR="007953A2" w:rsidRPr="007953A2" w:rsidRDefault="00FF5777" w:rsidP="00905774">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A</w:t>
      </w:r>
      <w:r w:rsidR="007953A2" w:rsidRPr="007953A2">
        <w:rPr>
          <w:rFonts w:ascii="Arial" w:hAnsi="Arial" w:cs="Arial"/>
          <w:sz w:val="22"/>
          <w:szCs w:val="22"/>
        </w:rPr>
        <w:t>nalysis of contract templates</w:t>
      </w:r>
      <w:r w:rsidR="00F83731">
        <w:rPr>
          <w:rFonts w:ascii="Arial" w:hAnsi="Arial" w:cs="Arial"/>
          <w:sz w:val="22"/>
          <w:szCs w:val="22"/>
        </w:rPr>
        <w:t xml:space="preserve">, </w:t>
      </w:r>
      <w:r w:rsidR="007953A2" w:rsidRPr="007953A2">
        <w:rPr>
          <w:rFonts w:ascii="Arial" w:hAnsi="Arial" w:cs="Arial"/>
          <w:sz w:val="22"/>
          <w:szCs w:val="22"/>
        </w:rPr>
        <w:t xml:space="preserve">funding policies </w:t>
      </w:r>
      <w:r w:rsidR="00F83731">
        <w:rPr>
          <w:rFonts w:ascii="Arial" w:hAnsi="Arial" w:cs="Arial"/>
          <w:sz w:val="22"/>
          <w:szCs w:val="22"/>
        </w:rPr>
        <w:t xml:space="preserve">and funding information </w:t>
      </w:r>
      <w:r w:rsidR="007953A2" w:rsidRPr="007953A2">
        <w:rPr>
          <w:rFonts w:ascii="Arial" w:hAnsi="Arial" w:cs="Arial"/>
          <w:sz w:val="22"/>
          <w:szCs w:val="22"/>
        </w:rPr>
        <w:t>provided by the ACT government</w:t>
      </w:r>
      <w:r>
        <w:rPr>
          <w:rFonts w:ascii="Arial" w:hAnsi="Arial" w:cs="Arial"/>
          <w:sz w:val="22"/>
          <w:szCs w:val="22"/>
        </w:rPr>
        <w:t>.</w:t>
      </w:r>
    </w:p>
    <w:p w14:paraId="43A0475F" w14:textId="77777777" w:rsidR="007953A2" w:rsidRPr="007953A2" w:rsidRDefault="007953A2" w:rsidP="00905774">
      <w:pPr>
        <w:numPr>
          <w:ilvl w:val="0"/>
          <w:numId w:val="12"/>
        </w:numPr>
        <w:autoSpaceDE/>
        <w:autoSpaceDN/>
        <w:adjustRightInd/>
        <w:spacing w:line="288" w:lineRule="auto"/>
        <w:ind w:left="426" w:right="0"/>
        <w:contextualSpacing/>
        <w:rPr>
          <w:rFonts w:ascii="Arial" w:hAnsi="Arial" w:cs="Arial"/>
          <w:sz w:val="22"/>
          <w:szCs w:val="22"/>
        </w:rPr>
      </w:pPr>
      <w:r w:rsidRPr="007953A2">
        <w:rPr>
          <w:rFonts w:ascii="Arial" w:hAnsi="Arial" w:cs="Arial"/>
          <w:sz w:val="22"/>
          <w:szCs w:val="22"/>
        </w:rPr>
        <w:t>A forum with workers from the ACT community sector to explore their experiences and perspectives</w:t>
      </w:r>
    </w:p>
    <w:p w14:paraId="76DEEA44" w14:textId="46C34C22" w:rsidR="007953A2" w:rsidRPr="007953A2" w:rsidRDefault="007953A2" w:rsidP="00905774">
      <w:pPr>
        <w:numPr>
          <w:ilvl w:val="0"/>
          <w:numId w:val="12"/>
        </w:numPr>
        <w:autoSpaceDE/>
        <w:autoSpaceDN/>
        <w:adjustRightInd/>
        <w:spacing w:line="288" w:lineRule="auto"/>
        <w:ind w:left="426" w:right="0"/>
        <w:contextualSpacing/>
        <w:rPr>
          <w:rFonts w:ascii="Arial" w:hAnsi="Arial" w:cs="Arial"/>
          <w:sz w:val="22"/>
          <w:szCs w:val="22"/>
        </w:rPr>
      </w:pPr>
      <w:r w:rsidRPr="007953A2">
        <w:rPr>
          <w:rFonts w:ascii="Arial" w:hAnsi="Arial" w:cs="Arial"/>
          <w:sz w:val="22"/>
          <w:szCs w:val="22"/>
        </w:rPr>
        <w:t xml:space="preserve">In consultation with the advisory group, a survey design was developed to capture experiences and perceptions of funding adequacy, gaps, and experiences of partnering to deliver services in the ACT. </w:t>
      </w:r>
      <w:r w:rsidR="001E4E1B" w:rsidRPr="001E4E1B">
        <w:rPr>
          <w:rFonts w:ascii="Arial" w:hAnsi="Arial" w:cs="Arial"/>
          <w:sz w:val="22"/>
          <w:szCs w:val="22"/>
        </w:rPr>
        <w:t xml:space="preserve">The </w:t>
      </w:r>
      <w:r w:rsidR="00FF5777">
        <w:rPr>
          <w:rFonts w:ascii="Arial" w:hAnsi="Arial" w:cs="Arial"/>
          <w:sz w:val="22"/>
          <w:szCs w:val="22"/>
        </w:rPr>
        <w:t xml:space="preserve">ACT Service Costing </w:t>
      </w:r>
      <w:r w:rsidR="001E4E1B" w:rsidRPr="001E4E1B">
        <w:rPr>
          <w:rFonts w:ascii="Arial" w:hAnsi="Arial" w:cs="Arial"/>
          <w:sz w:val="22"/>
          <w:szCs w:val="22"/>
        </w:rPr>
        <w:t>survey captured perspectives of 88 community organisation leaders (mostly CEOs) who together provided information about 100 streams of ACT government funding (12 leaders provided information about 2 streams of funding).</w:t>
      </w:r>
    </w:p>
    <w:p w14:paraId="09A97F84" w14:textId="5C1233F0" w:rsidR="007953A2" w:rsidRDefault="00462F5F" w:rsidP="001E4E1B">
      <w:pPr>
        <w:pStyle w:val="BodyText"/>
      </w:pPr>
      <w:r>
        <w:t xml:space="preserve">Ethics clearance was obtained from the University of New South Wales Human Research Ethics Panel HC10638. </w:t>
      </w:r>
      <w:r w:rsidR="001E4E1B">
        <w:t xml:space="preserve">Data was collected in </w:t>
      </w:r>
      <w:r w:rsidR="007953A2">
        <w:t>mid</w:t>
      </w:r>
      <w:r w:rsidR="001E4E1B">
        <w:t>-</w:t>
      </w:r>
      <w:r w:rsidR="007953A2">
        <w:t xml:space="preserve">2021, just prior to the </w:t>
      </w:r>
      <w:r w:rsidR="001E4E1B">
        <w:t xml:space="preserve">August </w:t>
      </w:r>
      <w:r w:rsidR="007953A2">
        <w:t xml:space="preserve">lockdown which sought to contain the Delta wave of the COVID-19 pandemic.  </w:t>
      </w:r>
    </w:p>
    <w:p w14:paraId="3E04BFC6" w14:textId="5DAD2C0E" w:rsidR="007953A2" w:rsidRDefault="00462F5F" w:rsidP="007953A2">
      <w:pPr>
        <w:pStyle w:val="BodyText"/>
      </w:pPr>
      <w:r>
        <w:t xml:space="preserve">The </w:t>
      </w:r>
      <w:r w:rsidR="002D42F6">
        <w:t xml:space="preserve">Service Costing Survey, which captured information from </w:t>
      </w:r>
      <w:r w:rsidR="000916A0">
        <w:t>service leaders in the ACT</w:t>
      </w:r>
      <w:r w:rsidR="002D42F6">
        <w:t>,</w:t>
      </w:r>
      <w:r>
        <w:t xml:space="preserve"> is a key source of information</w:t>
      </w:r>
      <w:r w:rsidR="000916A0">
        <w:t xml:space="preserve">. The survey was conducted to help understand organisations’ perspectives on funding levels; the ways </w:t>
      </w:r>
      <w:r w:rsidR="000916A0" w:rsidRPr="008D02AE">
        <w:t>organisations determine costs</w:t>
      </w:r>
      <w:r w:rsidR="000916A0">
        <w:t>;</w:t>
      </w:r>
      <w:r w:rsidR="000916A0" w:rsidRPr="008D02AE">
        <w:t xml:space="preserve"> factors enabl</w:t>
      </w:r>
      <w:r w:rsidR="000916A0">
        <w:t>ing</w:t>
      </w:r>
      <w:r w:rsidR="000916A0" w:rsidRPr="008D02AE">
        <w:t xml:space="preserve"> organisations to cover costs</w:t>
      </w:r>
      <w:r w:rsidR="000916A0">
        <w:t>;</w:t>
      </w:r>
      <w:r w:rsidR="000916A0" w:rsidRPr="008D02AE">
        <w:t xml:space="preserve"> areas of operations which risk under</w:t>
      </w:r>
      <w:r w:rsidR="000916A0">
        <w:t>-</w:t>
      </w:r>
      <w:r w:rsidR="000916A0" w:rsidRPr="008D02AE">
        <w:t>costing</w:t>
      </w:r>
      <w:r w:rsidR="000916A0">
        <w:t>;</w:t>
      </w:r>
      <w:r w:rsidR="000916A0" w:rsidRPr="008D02AE">
        <w:t xml:space="preserve"> and strategies used to ensure viability</w:t>
      </w:r>
      <w:r w:rsidR="000916A0">
        <w:t xml:space="preserve"> and deliver value for money</w:t>
      </w:r>
      <w:r w:rsidR="000916A0" w:rsidRPr="008D02AE">
        <w:t xml:space="preserve">. </w:t>
      </w:r>
      <w:r w:rsidR="000916A0">
        <w:t>The study was conducted online from 3 to 23 August 2021, via Qualtrics. Content was developed following interviews with organisational leaders and in consultation with advisors from ISSG. It was distributed via ACTCOSS and CSD.  In total, 88 leaders provided input</w:t>
      </w:r>
      <w:r w:rsidR="006E6C6C">
        <w:t xml:space="preserve">. Each </w:t>
      </w:r>
      <w:r w:rsidR="00353446">
        <w:t xml:space="preserve">provided detailed information about their </w:t>
      </w:r>
      <w:proofErr w:type="gramStart"/>
      <w:r w:rsidR="00353446">
        <w:t>main stream</w:t>
      </w:r>
      <w:proofErr w:type="gramEnd"/>
      <w:r w:rsidR="00353446">
        <w:t xml:space="preserve"> of ACT funding, and 12 provided additional information about a second stream of ACT funding. Together, the information captured experiences with </w:t>
      </w:r>
      <w:r w:rsidR="000916A0">
        <w:t xml:space="preserve">100 streams of funding from the ACT Government. </w:t>
      </w:r>
    </w:p>
    <w:p w14:paraId="0F9202E9" w14:textId="03CCF2E0" w:rsidR="00323C97" w:rsidRDefault="00462F5F" w:rsidP="00873ED8">
      <w:pPr>
        <w:pStyle w:val="BodyText"/>
      </w:pPr>
      <w:r>
        <w:t>The worker</w:t>
      </w:r>
      <w:r w:rsidR="007953A2" w:rsidRPr="00462F5F">
        <w:t xml:space="preserve"> forum was co-organised by ACTCOSS and the </w:t>
      </w:r>
      <w:r w:rsidR="005C0EC1">
        <w:t>Australian Services Union</w:t>
      </w:r>
      <w:r>
        <w:t xml:space="preserve">. It </w:t>
      </w:r>
      <w:r w:rsidR="007953A2" w:rsidRPr="00462F5F">
        <w:t>brought together eight frontline workers in September 2021, who provided their experiences of the resource environment and cost coverage, and the impacts felt by workers when service costs are fully covered, or when services are financially stretched.</w:t>
      </w:r>
      <w:r w:rsidR="00323C97">
        <w:br w:type="page"/>
      </w:r>
    </w:p>
    <w:p w14:paraId="033CB324" w14:textId="23C03A06" w:rsidR="007D6A83" w:rsidRDefault="007D6A83" w:rsidP="007D6A83">
      <w:pPr>
        <w:pStyle w:val="Heading1"/>
        <w:ind w:left="360" w:hanging="360"/>
      </w:pPr>
      <w:bookmarkStart w:id="143" w:name="_Toc88753152"/>
      <w:bookmarkStart w:id="144" w:name="_Toc90019584"/>
      <w:r>
        <w:lastRenderedPageBreak/>
        <w:t>Appendix B</w:t>
      </w:r>
      <w:r>
        <w:tab/>
        <w:t>About participants</w:t>
      </w:r>
      <w:bookmarkEnd w:id="143"/>
      <w:r w:rsidR="00015CC0">
        <w:t xml:space="preserve"> in the ACT Service Costing Survey</w:t>
      </w:r>
      <w:bookmarkEnd w:id="144"/>
    </w:p>
    <w:p w14:paraId="4AB12A91" w14:textId="6BAAF733" w:rsidR="007D6A83" w:rsidRDefault="007D6A83" w:rsidP="007D6A83">
      <w:pPr>
        <w:pStyle w:val="BodyText"/>
      </w:pPr>
      <w:r>
        <w:t>Most participants (76%) were CEOs, Executive Directors, General Managers, or Chief Financial Officers, and a further 14% were other senior managers, such Territory managers, or service managers, and 10% were in other roles, such as Chairs or Presidents, or Treasurers. Participants were from organisation of varying sizes, 9% were very small (less than $50,000 in annual income), while 15% were from the largest organisations ($20 million or more) (</w:t>
      </w:r>
      <w:r w:rsidR="00540E6D">
        <w:t xml:space="preserve"> </w:t>
      </w:r>
      <w:r w:rsidR="00540E6D">
        <w:fldChar w:fldCharType="begin"/>
      </w:r>
      <w:r w:rsidR="00540E6D">
        <w:instrText xml:space="preserve"> REF _Ref88756568 \h </w:instrText>
      </w:r>
      <w:r w:rsidR="00540E6D">
        <w:fldChar w:fldCharType="separate"/>
      </w:r>
      <w:r w:rsidR="00E405AF">
        <w:t xml:space="preserve">Figure B. </w:t>
      </w:r>
      <w:r w:rsidR="00E405AF">
        <w:rPr>
          <w:noProof/>
        </w:rPr>
        <w:t>1</w:t>
      </w:r>
      <w:r w:rsidR="00540E6D">
        <w:fldChar w:fldCharType="end"/>
      </w:r>
      <w:r>
        <w:t xml:space="preserve">).  </w:t>
      </w:r>
    </w:p>
    <w:p w14:paraId="09BAE941" w14:textId="196B4D7A" w:rsidR="007D6A83" w:rsidRDefault="009A4546" w:rsidP="009A4546">
      <w:pPr>
        <w:pStyle w:val="Caption"/>
      </w:pPr>
      <w:bookmarkStart w:id="145" w:name="_Ref88756568"/>
      <w:bookmarkStart w:id="146" w:name="_Toc90019600"/>
      <w:r>
        <w:t xml:space="preserve">Figure B. </w:t>
      </w:r>
      <w:fldSimple w:instr=" SEQ Figure_B. \* ARABIC ">
        <w:r w:rsidR="00E405AF">
          <w:rPr>
            <w:noProof/>
          </w:rPr>
          <w:t>1</w:t>
        </w:r>
      </w:fldSimple>
      <w:bookmarkEnd w:id="145"/>
      <w:r w:rsidR="007D6A83">
        <w:tab/>
        <w:t>Size of participating organisations (annual income), n=88</w:t>
      </w:r>
      <w:bookmarkEnd w:id="146"/>
    </w:p>
    <w:p w14:paraId="62930E4B" w14:textId="273D1993" w:rsidR="007D6A83" w:rsidRDefault="007D6A83" w:rsidP="007D6A83">
      <w:pPr>
        <w:pStyle w:val="BodyText"/>
      </w:pPr>
      <w:r>
        <w:rPr>
          <w:noProof/>
        </w:rPr>
        <w:drawing>
          <wp:inline distT="0" distB="0" distL="0" distR="0" wp14:anchorId="70EB90C8" wp14:editId="7951BF43">
            <wp:extent cx="5727700" cy="1758462"/>
            <wp:effectExtent l="0" t="0" r="6350" b="0"/>
            <wp:docPr id="38" name="Chart 38" descr="Figure B.1 is a bar graph depicting the size of participating organisations (annual income) as percentages. &#10;&#10;The data is spread evenly across the graph categories, with the highest percentage sitting at the '$1 million up to $5 million'. category.  ">
              <a:extLst xmlns:a="http://schemas.openxmlformats.org/drawingml/2006/main">
                <a:ext uri="{FF2B5EF4-FFF2-40B4-BE49-F238E27FC236}">
                  <a16:creationId xmlns:a16="http://schemas.microsoft.com/office/drawing/2014/main" id="{9F240F66-A4D1-4013-AE81-D06E76006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E9A867" w14:textId="77777777" w:rsidR="00554250" w:rsidRPr="00554250" w:rsidRDefault="00554250" w:rsidP="00554250">
      <w:pPr>
        <w:pStyle w:val="BodyText"/>
        <w:rPr>
          <w:sz w:val="18"/>
          <w:szCs w:val="18"/>
        </w:rPr>
      </w:pPr>
      <w:r w:rsidRPr="00554250">
        <w:rPr>
          <w:sz w:val="18"/>
          <w:szCs w:val="18"/>
        </w:rPr>
        <w:t>Source: ACT Service Costing Survey, 2021</w:t>
      </w:r>
    </w:p>
    <w:p w14:paraId="742DDB4D" w14:textId="1139B8BB" w:rsidR="007D6A83" w:rsidRDefault="007D6A83" w:rsidP="007D6A83">
      <w:pPr>
        <w:pStyle w:val="BodyText"/>
      </w:pPr>
      <w:r>
        <w:t xml:space="preserve">All survey participants were in organisations which received some funding from an ACT Government Directorate. Just over half (46 organisations, or 52%) received funding from one Directorate only, while 26 organisations (30%) had funding relationships with two Directorates (see </w:t>
      </w:r>
      <w:r w:rsidR="00540E6D">
        <w:fldChar w:fldCharType="begin"/>
      </w:r>
      <w:r w:rsidR="00540E6D">
        <w:instrText xml:space="preserve"> REF _Ref88756648 \h </w:instrText>
      </w:r>
      <w:r w:rsidR="00540E6D">
        <w:fldChar w:fldCharType="separate"/>
      </w:r>
      <w:r w:rsidR="00E405AF">
        <w:t xml:space="preserve">Figure B. </w:t>
      </w:r>
      <w:r w:rsidR="00E405AF">
        <w:rPr>
          <w:noProof/>
        </w:rPr>
        <w:t>2</w:t>
      </w:r>
      <w:r w:rsidR="00540E6D">
        <w:fldChar w:fldCharType="end"/>
      </w:r>
      <w:r>
        <w:t xml:space="preserve">).  Most often this was Community Services and Health. </w:t>
      </w:r>
    </w:p>
    <w:p w14:paraId="1E430CF7" w14:textId="6AFFAAB4" w:rsidR="007D6A83" w:rsidRDefault="009A4546" w:rsidP="009A4546">
      <w:pPr>
        <w:pStyle w:val="Caption"/>
      </w:pPr>
      <w:bookmarkStart w:id="147" w:name="_Ref88756648"/>
      <w:bookmarkStart w:id="148" w:name="_Toc90019601"/>
      <w:r>
        <w:t xml:space="preserve">Figure B. </w:t>
      </w:r>
      <w:fldSimple w:instr=" SEQ Figure_B. \* ARABIC ">
        <w:r w:rsidR="00E405AF">
          <w:rPr>
            <w:noProof/>
          </w:rPr>
          <w:t>2</w:t>
        </w:r>
      </w:fldSimple>
      <w:bookmarkEnd w:id="147"/>
      <w:r w:rsidR="007D6A83">
        <w:tab/>
        <w:t>Number of ACT Directorates organisations received funds from, n=88</w:t>
      </w:r>
      <w:bookmarkEnd w:id="148"/>
    </w:p>
    <w:p w14:paraId="0D551A1A" w14:textId="0739A7E5" w:rsidR="007D6A83" w:rsidRDefault="007D6A83" w:rsidP="007D6A83">
      <w:pPr>
        <w:pStyle w:val="BodyText"/>
      </w:pPr>
      <w:r>
        <w:rPr>
          <w:noProof/>
        </w:rPr>
        <w:drawing>
          <wp:inline distT="0" distB="0" distL="0" distR="0" wp14:anchorId="5B262587" wp14:editId="53047D1F">
            <wp:extent cx="5868035" cy="1595535"/>
            <wp:effectExtent l="0" t="0" r="0" b="5080"/>
            <wp:docPr id="39" name="Chart 39" descr="Figure B.2 is a bar graph depicting the number of ACT Directorates organisations received funding from in 2021 as percentage figures. &#10;&#10;The graph demonstrates the majority of organisations receive funding from one Directorate only.  ">
              <a:extLst xmlns:a="http://schemas.openxmlformats.org/drawingml/2006/main">
                <a:ext uri="{FF2B5EF4-FFF2-40B4-BE49-F238E27FC236}">
                  <a16:creationId xmlns:a16="http://schemas.microsoft.com/office/drawing/2014/main" id="{4298C2AD-C8E2-4D00-AC41-61A70B397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FECEB5" w14:textId="77777777" w:rsidR="00554250" w:rsidRPr="00554250" w:rsidRDefault="00554250" w:rsidP="00554250">
      <w:pPr>
        <w:pStyle w:val="BodyText"/>
        <w:rPr>
          <w:sz w:val="18"/>
          <w:szCs w:val="18"/>
        </w:rPr>
      </w:pPr>
      <w:r w:rsidRPr="00554250">
        <w:rPr>
          <w:sz w:val="18"/>
          <w:szCs w:val="18"/>
        </w:rPr>
        <w:t>Source: ACT Service Costing Survey, 2021</w:t>
      </w:r>
    </w:p>
    <w:p w14:paraId="14D71E08" w14:textId="1AD7655F" w:rsidR="007D6A83" w:rsidRDefault="007D6A83" w:rsidP="007D6A83">
      <w:pPr>
        <w:pStyle w:val="BodyText"/>
      </w:pPr>
      <w:r>
        <w:t>Few organisations (6%) received funds from four or more Directorates.  While it may be expected that larger organisations might engage with multiple Directorates, the six who reported receiving funds from four or more Directorates included medium sized organisations with annual incomes in the $1-$5 million range, as well as very large organisations receiving $10 million or more. Some very large organisations engaged with only one ACT Directorate.</w:t>
      </w:r>
    </w:p>
    <w:p w14:paraId="1BA7D06E" w14:textId="1B5F4E82" w:rsidR="007D6A83" w:rsidRDefault="007D6A83" w:rsidP="007D6A83">
      <w:pPr>
        <w:pStyle w:val="BodyText"/>
      </w:pPr>
      <w:r>
        <w:lastRenderedPageBreak/>
        <w:t>On average, organisations received 49% of their income from ACT Government sources, however this varied.  For those whose main source of funding was from CSD, 44% of the organisation’s income, on average, came from the ACT Government, whereas for those whose main source from ACTHD, 54% of income came from the ACT, on average. On average, philanthropy and commercial income made only small contributions to organisational income, with many receiving no income from these private sources (</w:t>
      </w:r>
      <w:r w:rsidR="00540E6D">
        <w:t xml:space="preserve">see </w:t>
      </w:r>
      <w:r w:rsidR="002D42F6">
        <w:fldChar w:fldCharType="begin"/>
      </w:r>
      <w:r w:rsidR="002D42F6">
        <w:instrText xml:space="preserve"> REF _Ref88835351 \h </w:instrText>
      </w:r>
      <w:r w:rsidR="002D42F6">
        <w:fldChar w:fldCharType="separate"/>
      </w:r>
      <w:r w:rsidR="00E405AF">
        <w:t xml:space="preserve">Table C. </w:t>
      </w:r>
      <w:r w:rsidR="00E405AF">
        <w:rPr>
          <w:noProof/>
        </w:rPr>
        <w:t>1</w:t>
      </w:r>
      <w:r w:rsidR="002D42F6">
        <w:fldChar w:fldCharType="end"/>
      </w:r>
      <w:r>
        <w:t>).</w:t>
      </w:r>
    </w:p>
    <w:p w14:paraId="0FF3D64B" w14:textId="77777777" w:rsidR="007D6A83" w:rsidRPr="00BE3180" w:rsidRDefault="007D6A83" w:rsidP="00BE3180">
      <w:pPr>
        <w:pStyle w:val="BodyText"/>
        <w:rPr>
          <w:b/>
          <w:bCs/>
        </w:rPr>
      </w:pPr>
      <w:bookmarkStart w:id="149" w:name="_Toc88753154"/>
      <w:r w:rsidRPr="00BE3180">
        <w:rPr>
          <w:b/>
          <w:bCs/>
        </w:rPr>
        <w:t>Core and project funding</w:t>
      </w:r>
      <w:bookmarkEnd w:id="149"/>
    </w:p>
    <w:p w14:paraId="1870B5EB" w14:textId="3780D33C" w:rsidR="007D6A83" w:rsidRDefault="007D6A83" w:rsidP="002E6100">
      <w:pPr>
        <w:pStyle w:val="BodyText"/>
      </w:pPr>
      <w:r>
        <w:t>Organisations were asked if they received core and/or project funding from each Directorate. 88% of participating organisations received some core (</w:t>
      </w:r>
      <w:proofErr w:type="gramStart"/>
      <w:r>
        <w:t>i.e.</w:t>
      </w:r>
      <w:proofErr w:type="gramEnd"/>
      <w:r>
        <w:t xml:space="preserve"> ongoing or renewable) funding, and 64% received some project funding. The proportions receiving core and project funding from each Directorate is shown in </w:t>
      </w:r>
      <w:r w:rsidR="00540E6D">
        <w:fldChar w:fldCharType="begin"/>
      </w:r>
      <w:r w:rsidR="00540E6D">
        <w:instrText xml:space="preserve"> REF _Ref88756832 \h </w:instrText>
      </w:r>
      <w:r w:rsidR="00540E6D">
        <w:fldChar w:fldCharType="separate"/>
      </w:r>
      <w:r w:rsidR="00E405AF">
        <w:t xml:space="preserve">Table B. </w:t>
      </w:r>
      <w:r w:rsidR="00E405AF">
        <w:rPr>
          <w:noProof/>
        </w:rPr>
        <w:t>1</w:t>
      </w:r>
      <w:r w:rsidR="00540E6D">
        <w:fldChar w:fldCharType="end"/>
      </w:r>
      <w:r>
        <w:t>.</w:t>
      </w:r>
      <w:r w:rsidR="006D0CF7">
        <w:t xml:space="preserve"> Further information</w:t>
      </w:r>
      <w:r w:rsidR="002E6100">
        <w:t xml:space="preserve"> about the number of Directorates organisations received core and project funding from</w:t>
      </w:r>
      <w:r w:rsidR="006D0CF7">
        <w:t xml:space="preserve"> is in</w:t>
      </w:r>
      <w:r w:rsidR="002E6100">
        <w:t xml:space="preserve"> </w:t>
      </w:r>
      <w:r w:rsidR="002E6100">
        <w:fldChar w:fldCharType="begin"/>
      </w:r>
      <w:r w:rsidR="002E6100">
        <w:instrText xml:space="preserve"> REF _Ref88840015 \h </w:instrText>
      </w:r>
      <w:r w:rsidR="002E6100">
        <w:fldChar w:fldCharType="separate"/>
      </w:r>
      <w:r w:rsidR="00E405AF">
        <w:t xml:space="preserve">Table B. </w:t>
      </w:r>
      <w:r w:rsidR="00E405AF">
        <w:rPr>
          <w:noProof/>
        </w:rPr>
        <w:t>2</w:t>
      </w:r>
      <w:r w:rsidR="002E6100">
        <w:fldChar w:fldCharType="end"/>
      </w:r>
      <w:r w:rsidR="002E6100">
        <w:t xml:space="preserve">, </w:t>
      </w:r>
      <w:r w:rsidR="006D0CF7">
        <w:fldChar w:fldCharType="begin"/>
      </w:r>
      <w:r w:rsidR="006D0CF7">
        <w:instrText xml:space="preserve"> REF _Ref88756971 \h </w:instrText>
      </w:r>
      <w:r w:rsidR="006D0CF7">
        <w:fldChar w:fldCharType="separate"/>
      </w:r>
      <w:r w:rsidR="00E405AF">
        <w:t xml:space="preserve">Figure B. </w:t>
      </w:r>
      <w:r w:rsidR="00E405AF">
        <w:rPr>
          <w:noProof/>
        </w:rPr>
        <w:t>3</w:t>
      </w:r>
      <w:r w:rsidR="006D0CF7">
        <w:fldChar w:fldCharType="end"/>
      </w:r>
      <w:r w:rsidR="006D0CF7">
        <w:t xml:space="preserve"> and </w:t>
      </w:r>
      <w:r w:rsidR="006D0CF7">
        <w:fldChar w:fldCharType="begin"/>
      </w:r>
      <w:r w:rsidR="006D0CF7">
        <w:instrText xml:space="preserve"> REF _Ref88756972 \h </w:instrText>
      </w:r>
      <w:r w:rsidR="006D0CF7">
        <w:fldChar w:fldCharType="separate"/>
      </w:r>
      <w:r w:rsidR="00E405AF">
        <w:t xml:space="preserve">Figure B. </w:t>
      </w:r>
      <w:r w:rsidR="00E405AF">
        <w:rPr>
          <w:noProof/>
        </w:rPr>
        <w:t>4</w:t>
      </w:r>
      <w:r w:rsidR="006D0CF7">
        <w:fldChar w:fldCharType="end"/>
      </w:r>
      <w:r w:rsidR="002E6100">
        <w:t>.</w:t>
      </w:r>
    </w:p>
    <w:p w14:paraId="36FFB477" w14:textId="09E034CC" w:rsidR="007D6A83" w:rsidRDefault="009A4546" w:rsidP="009A4546">
      <w:pPr>
        <w:pStyle w:val="Caption"/>
      </w:pPr>
      <w:bookmarkStart w:id="150" w:name="_Ref88756832"/>
      <w:bookmarkStart w:id="151" w:name="_Toc90019604"/>
      <w:r>
        <w:t xml:space="preserve">Table B. </w:t>
      </w:r>
      <w:fldSimple w:instr=" SEQ Table_B. \* ARABIC ">
        <w:r w:rsidR="00E405AF">
          <w:rPr>
            <w:noProof/>
          </w:rPr>
          <w:t>1</w:t>
        </w:r>
      </w:fldSimple>
      <w:bookmarkEnd w:id="150"/>
      <w:r w:rsidR="007D6A83">
        <w:tab/>
        <w:t>Number of participating organisations who received core and project funding from each Directorate, n=88</w:t>
      </w:r>
      <w:bookmarkEnd w:id="151"/>
    </w:p>
    <w:tbl>
      <w:tblPr>
        <w:tblStyle w:val="Style3"/>
        <w:tblW w:w="6658" w:type="dxa"/>
        <w:tblLook w:val="04A0" w:firstRow="1" w:lastRow="0" w:firstColumn="1" w:lastColumn="0" w:noHBand="0" w:noVBand="1"/>
      </w:tblPr>
      <w:tblGrid>
        <w:gridCol w:w="3114"/>
        <w:gridCol w:w="1417"/>
        <w:gridCol w:w="993"/>
        <w:gridCol w:w="1134"/>
      </w:tblGrid>
      <w:tr w:rsidR="007D6A83" w:rsidRPr="006D34D5" w14:paraId="76AF7749" w14:textId="77777777" w:rsidTr="002E73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ABB06A3" w14:textId="77777777" w:rsidR="007D6A83" w:rsidRPr="006D34D5" w:rsidRDefault="007D6A83" w:rsidP="002E732B">
            <w:pPr>
              <w:autoSpaceDE/>
              <w:autoSpaceDN/>
              <w:adjustRightInd/>
              <w:spacing w:after="0"/>
              <w:ind w:right="0"/>
              <w:rPr>
                <w:rFonts w:ascii="Calibri" w:eastAsia="Times New Roman" w:hAnsi="Calibri" w:cs="Calibri"/>
                <w:b/>
                <w:bCs/>
                <w:color w:val="FFFFFF"/>
                <w:sz w:val="22"/>
                <w:szCs w:val="22"/>
                <w:lang w:eastAsia="en-AU"/>
              </w:rPr>
            </w:pPr>
            <w:r w:rsidRPr="006D34D5">
              <w:rPr>
                <w:rFonts w:ascii="Calibri" w:eastAsia="Times New Roman" w:hAnsi="Calibri" w:cs="Calibri"/>
                <w:b/>
                <w:bCs/>
                <w:color w:val="FFFFFF"/>
                <w:sz w:val="22"/>
                <w:szCs w:val="22"/>
                <w:lang w:eastAsia="en-AU"/>
              </w:rPr>
              <w:t>Directorate</w:t>
            </w:r>
          </w:p>
        </w:tc>
        <w:tc>
          <w:tcPr>
            <w:tcW w:w="1417" w:type="dxa"/>
            <w:noWrap/>
            <w:hideMark/>
          </w:tcPr>
          <w:p w14:paraId="43FA40AE" w14:textId="77777777" w:rsidR="007D6A83" w:rsidRPr="006D34D5" w:rsidRDefault="007D6A83" w:rsidP="002E732B">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sz w:val="22"/>
                <w:szCs w:val="22"/>
                <w:lang w:eastAsia="en-AU"/>
              </w:rPr>
            </w:pPr>
            <w:r w:rsidRPr="006D34D5">
              <w:rPr>
                <w:rFonts w:ascii="Calibri" w:eastAsia="Times New Roman" w:hAnsi="Calibri" w:cs="Calibri"/>
                <w:b/>
                <w:bCs/>
                <w:color w:val="FFFFFF"/>
                <w:sz w:val="22"/>
                <w:szCs w:val="22"/>
                <w:lang w:eastAsia="en-AU"/>
              </w:rPr>
              <w:t> </w:t>
            </w:r>
          </w:p>
        </w:tc>
        <w:tc>
          <w:tcPr>
            <w:tcW w:w="993" w:type="dxa"/>
            <w:noWrap/>
            <w:hideMark/>
          </w:tcPr>
          <w:p w14:paraId="72902627" w14:textId="77777777" w:rsidR="007D6A83" w:rsidRPr="006D34D5" w:rsidRDefault="007D6A83" w:rsidP="002E732B">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sz w:val="22"/>
                <w:szCs w:val="22"/>
                <w:lang w:eastAsia="en-AU"/>
              </w:rPr>
            </w:pPr>
            <w:r w:rsidRPr="006D34D5">
              <w:rPr>
                <w:rFonts w:ascii="Calibri" w:eastAsia="Times New Roman" w:hAnsi="Calibri" w:cs="Calibri"/>
                <w:b/>
                <w:bCs/>
                <w:color w:val="FFFFFF"/>
                <w:sz w:val="22"/>
                <w:szCs w:val="22"/>
                <w:lang w:eastAsia="en-AU"/>
              </w:rPr>
              <w:t>n</w:t>
            </w:r>
          </w:p>
        </w:tc>
        <w:tc>
          <w:tcPr>
            <w:tcW w:w="1134" w:type="dxa"/>
            <w:noWrap/>
            <w:hideMark/>
          </w:tcPr>
          <w:p w14:paraId="1F14A94B" w14:textId="77777777" w:rsidR="007D6A83" w:rsidRPr="006D34D5" w:rsidRDefault="007D6A83" w:rsidP="002E732B">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sz w:val="22"/>
                <w:szCs w:val="22"/>
                <w:lang w:eastAsia="en-AU"/>
              </w:rPr>
            </w:pPr>
            <w:r w:rsidRPr="006D34D5">
              <w:rPr>
                <w:rFonts w:ascii="Calibri" w:eastAsia="Times New Roman" w:hAnsi="Calibri" w:cs="Calibri"/>
                <w:b/>
                <w:bCs/>
                <w:color w:val="FFFFFF"/>
                <w:sz w:val="22"/>
                <w:szCs w:val="22"/>
                <w:lang w:eastAsia="en-AU"/>
              </w:rPr>
              <w:t>%</w:t>
            </w:r>
          </w:p>
        </w:tc>
      </w:tr>
      <w:tr w:rsidR="007D6A83" w:rsidRPr="006D34D5" w14:paraId="76EDE3C3" w14:textId="77777777" w:rsidTr="002E7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448031F1"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r w:rsidRPr="006D34D5">
              <w:rPr>
                <w:rFonts w:ascii="Calibri" w:eastAsia="Times New Roman" w:hAnsi="Calibri" w:cs="Calibri"/>
                <w:b/>
                <w:bCs/>
                <w:sz w:val="22"/>
                <w:szCs w:val="22"/>
                <w:lang w:eastAsia="en-AU"/>
              </w:rPr>
              <w:t>Community Services</w:t>
            </w:r>
          </w:p>
        </w:tc>
        <w:tc>
          <w:tcPr>
            <w:tcW w:w="1417" w:type="dxa"/>
            <w:noWrap/>
            <w:hideMark/>
          </w:tcPr>
          <w:p w14:paraId="0508BF4C" w14:textId="77777777" w:rsidR="007D6A83" w:rsidRPr="006D34D5" w:rsidRDefault="007D6A83" w:rsidP="002E732B">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Core</w:t>
            </w:r>
          </w:p>
        </w:tc>
        <w:tc>
          <w:tcPr>
            <w:tcW w:w="993" w:type="dxa"/>
            <w:noWrap/>
            <w:hideMark/>
          </w:tcPr>
          <w:p w14:paraId="3B9F8ACB"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48</w:t>
            </w:r>
          </w:p>
        </w:tc>
        <w:tc>
          <w:tcPr>
            <w:tcW w:w="1134" w:type="dxa"/>
            <w:noWrap/>
            <w:hideMark/>
          </w:tcPr>
          <w:p w14:paraId="729C72D2"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55%</w:t>
            </w:r>
          </w:p>
        </w:tc>
      </w:tr>
      <w:tr w:rsidR="007D6A83" w:rsidRPr="006D34D5" w14:paraId="6BA5ED43" w14:textId="77777777" w:rsidTr="002E7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1F47AB40"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p>
        </w:tc>
        <w:tc>
          <w:tcPr>
            <w:tcW w:w="1417" w:type="dxa"/>
            <w:noWrap/>
            <w:hideMark/>
          </w:tcPr>
          <w:p w14:paraId="1B817006" w14:textId="77777777" w:rsidR="007D6A83" w:rsidRPr="006D34D5" w:rsidRDefault="007D6A83" w:rsidP="002E732B">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Project</w:t>
            </w:r>
          </w:p>
        </w:tc>
        <w:tc>
          <w:tcPr>
            <w:tcW w:w="993" w:type="dxa"/>
            <w:noWrap/>
            <w:hideMark/>
          </w:tcPr>
          <w:p w14:paraId="4FB34B61"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37</w:t>
            </w:r>
          </w:p>
        </w:tc>
        <w:tc>
          <w:tcPr>
            <w:tcW w:w="1134" w:type="dxa"/>
            <w:noWrap/>
            <w:hideMark/>
          </w:tcPr>
          <w:p w14:paraId="2C5FA0BB"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42%</w:t>
            </w:r>
          </w:p>
        </w:tc>
      </w:tr>
      <w:tr w:rsidR="007D6A83" w:rsidRPr="006D34D5" w14:paraId="3514E99F" w14:textId="77777777" w:rsidTr="002E7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578C208B"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r w:rsidRPr="006D34D5">
              <w:rPr>
                <w:rFonts w:ascii="Calibri" w:eastAsia="Times New Roman" w:hAnsi="Calibri" w:cs="Calibri"/>
                <w:b/>
                <w:bCs/>
                <w:sz w:val="22"/>
                <w:szCs w:val="22"/>
                <w:lang w:eastAsia="en-AU"/>
              </w:rPr>
              <w:t>Health</w:t>
            </w:r>
          </w:p>
        </w:tc>
        <w:tc>
          <w:tcPr>
            <w:tcW w:w="1417" w:type="dxa"/>
            <w:noWrap/>
            <w:hideMark/>
          </w:tcPr>
          <w:p w14:paraId="35C9626B" w14:textId="77777777" w:rsidR="007D6A83" w:rsidRPr="006D34D5" w:rsidRDefault="007D6A83" w:rsidP="002E732B">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Core</w:t>
            </w:r>
          </w:p>
        </w:tc>
        <w:tc>
          <w:tcPr>
            <w:tcW w:w="993" w:type="dxa"/>
            <w:noWrap/>
            <w:hideMark/>
          </w:tcPr>
          <w:p w14:paraId="09D16842"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41</w:t>
            </w:r>
          </w:p>
        </w:tc>
        <w:tc>
          <w:tcPr>
            <w:tcW w:w="1134" w:type="dxa"/>
            <w:noWrap/>
            <w:hideMark/>
          </w:tcPr>
          <w:p w14:paraId="41996718"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47%</w:t>
            </w:r>
          </w:p>
        </w:tc>
      </w:tr>
      <w:tr w:rsidR="007D6A83" w:rsidRPr="006D34D5" w14:paraId="1F70FE1D" w14:textId="77777777" w:rsidTr="002E7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7E5353CC"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p>
        </w:tc>
        <w:tc>
          <w:tcPr>
            <w:tcW w:w="1417" w:type="dxa"/>
            <w:noWrap/>
            <w:hideMark/>
          </w:tcPr>
          <w:p w14:paraId="5DC2AD8C" w14:textId="77777777" w:rsidR="007D6A83" w:rsidRPr="006D34D5" w:rsidRDefault="007D6A83" w:rsidP="002E732B">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Project</w:t>
            </w:r>
          </w:p>
        </w:tc>
        <w:tc>
          <w:tcPr>
            <w:tcW w:w="993" w:type="dxa"/>
            <w:noWrap/>
            <w:hideMark/>
          </w:tcPr>
          <w:p w14:paraId="1088B831"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22</w:t>
            </w:r>
          </w:p>
        </w:tc>
        <w:tc>
          <w:tcPr>
            <w:tcW w:w="1134" w:type="dxa"/>
            <w:noWrap/>
            <w:hideMark/>
          </w:tcPr>
          <w:p w14:paraId="680EEB97"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25%</w:t>
            </w:r>
          </w:p>
        </w:tc>
      </w:tr>
      <w:tr w:rsidR="007D6A83" w:rsidRPr="006D34D5" w14:paraId="73D33B52" w14:textId="77777777" w:rsidTr="002E7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4CD1547C"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r w:rsidRPr="006D34D5">
              <w:rPr>
                <w:rFonts w:ascii="Calibri" w:eastAsia="Times New Roman" w:hAnsi="Calibri" w:cs="Calibri"/>
                <w:b/>
                <w:bCs/>
                <w:sz w:val="22"/>
                <w:szCs w:val="22"/>
                <w:lang w:eastAsia="en-AU"/>
              </w:rPr>
              <w:t xml:space="preserve">Justice and Community Safety </w:t>
            </w:r>
          </w:p>
        </w:tc>
        <w:tc>
          <w:tcPr>
            <w:tcW w:w="1417" w:type="dxa"/>
            <w:noWrap/>
            <w:hideMark/>
          </w:tcPr>
          <w:p w14:paraId="15A2EA7F" w14:textId="77777777" w:rsidR="007D6A83" w:rsidRPr="006D34D5" w:rsidRDefault="007D6A83" w:rsidP="002E732B">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Core</w:t>
            </w:r>
          </w:p>
        </w:tc>
        <w:tc>
          <w:tcPr>
            <w:tcW w:w="993" w:type="dxa"/>
            <w:noWrap/>
            <w:hideMark/>
          </w:tcPr>
          <w:p w14:paraId="260ACEA0"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5</w:t>
            </w:r>
          </w:p>
        </w:tc>
        <w:tc>
          <w:tcPr>
            <w:tcW w:w="1134" w:type="dxa"/>
            <w:noWrap/>
            <w:hideMark/>
          </w:tcPr>
          <w:p w14:paraId="07A5845B"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6%</w:t>
            </w:r>
          </w:p>
        </w:tc>
      </w:tr>
      <w:tr w:rsidR="007D6A83" w:rsidRPr="006D34D5" w14:paraId="4F07D408" w14:textId="77777777" w:rsidTr="002E7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0997B5B3"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p>
        </w:tc>
        <w:tc>
          <w:tcPr>
            <w:tcW w:w="1417" w:type="dxa"/>
            <w:noWrap/>
            <w:hideMark/>
          </w:tcPr>
          <w:p w14:paraId="1C223FB7" w14:textId="77777777" w:rsidR="007D6A83" w:rsidRPr="006D34D5" w:rsidRDefault="007D6A83" w:rsidP="002E732B">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Project</w:t>
            </w:r>
          </w:p>
        </w:tc>
        <w:tc>
          <w:tcPr>
            <w:tcW w:w="993" w:type="dxa"/>
            <w:noWrap/>
            <w:hideMark/>
          </w:tcPr>
          <w:p w14:paraId="68F2FEFC"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6</w:t>
            </w:r>
          </w:p>
        </w:tc>
        <w:tc>
          <w:tcPr>
            <w:tcW w:w="1134" w:type="dxa"/>
            <w:noWrap/>
            <w:hideMark/>
          </w:tcPr>
          <w:p w14:paraId="4D2CE988"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7%</w:t>
            </w:r>
          </w:p>
        </w:tc>
      </w:tr>
      <w:tr w:rsidR="007D6A83" w:rsidRPr="006D34D5" w14:paraId="7D970D5B" w14:textId="77777777" w:rsidTr="002E7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7A5E17A3"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r w:rsidRPr="006D34D5">
              <w:rPr>
                <w:rFonts w:ascii="Calibri" w:eastAsia="Times New Roman" w:hAnsi="Calibri" w:cs="Calibri"/>
                <w:b/>
                <w:bCs/>
                <w:sz w:val="22"/>
                <w:szCs w:val="22"/>
                <w:lang w:eastAsia="en-AU"/>
              </w:rPr>
              <w:t>Education</w:t>
            </w:r>
          </w:p>
        </w:tc>
        <w:tc>
          <w:tcPr>
            <w:tcW w:w="1417" w:type="dxa"/>
            <w:noWrap/>
            <w:hideMark/>
          </w:tcPr>
          <w:p w14:paraId="06BDB52A" w14:textId="77777777" w:rsidR="007D6A83" w:rsidRPr="006D34D5" w:rsidRDefault="007D6A83" w:rsidP="002E732B">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Core</w:t>
            </w:r>
          </w:p>
        </w:tc>
        <w:tc>
          <w:tcPr>
            <w:tcW w:w="993" w:type="dxa"/>
            <w:noWrap/>
            <w:hideMark/>
          </w:tcPr>
          <w:p w14:paraId="36DBC3EE"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5</w:t>
            </w:r>
          </w:p>
        </w:tc>
        <w:tc>
          <w:tcPr>
            <w:tcW w:w="1134" w:type="dxa"/>
            <w:noWrap/>
            <w:hideMark/>
          </w:tcPr>
          <w:p w14:paraId="27F859BA"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6%</w:t>
            </w:r>
          </w:p>
        </w:tc>
      </w:tr>
      <w:tr w:rsidR="007D6A83" w:rsidRPr="006D34D5" w14:paraId="0F8FBF9A" w14:textId="77777777" w:rsidTr="002E7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26E865A1"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p>
        </w:tc>
        <w:tc>
          <w:tcPr>
            <w:tcW w:w="1417" w:type="dxa"/>
            <w:noWrap/>
            <w:hideMark/>
          </w:tcPr>
          <w:p w14:paraId="3C8F97D9" w14:textId="77777777" w:rsidR="007D6A83" w:rsidRPr="006D34D5" w:rsidRDefault="007D6A83" w:rsidP="002E732B">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Project</w:t>
            </w:r>
          </w:p>
        </w:tc>
        <w:tc>
          <w:tcPr>
            <w:tcW w:w="993" w:type="dxa"/>
            <w:noWrap/>
            <w:hideMark/>
          </w:tcPr>
          <w:p w14:paraId="6BC128CF"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4</w:t>
            </w:r>
          </w:p>
        </w:tc>
        <w:tc>
          <w:tcPr>
            <w:tcW w:w="1134" w:type="dxa"/>
            <w:noWrap/>
            <w:hideMark/>
          </w:tcPr>
          <w:p w14:paraId="6C478A41"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5%</w:t>
            </w:r>
          </w:p>
        </w:tc>
      </w:tr>
      <w:tr w:rsidR="007D6A83" w:rsidRPr="006D34D5" w14:paraId="09D61B19" w14:textId="77777777" w:rsidTr="002E7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18B61E49"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r w:rsidRPr="006D34D5">
              <w:rPr>
                <w:rFonts w:ascii="Calibri" w:eastAsia="Times New Roman" w:hAnsi="Calibri" w:cs="Calibri"/>
                <w:b/>
                <w:bCs/>
                <w:sz w:val="22"/>
                <w:szCs w:val="22"/>
                <w:lang w:eastAsia="en-AU"/>
              </w:rPr>
              <w:t xml:space="preserve">Environment and Sustainable Development </w:t>
            </w:r>
          </w:p>
        </w:tc>
        <w:tc>
          <w:tcPr>
            <w:tcW w:w="1417" w:type="dxa"/>
            <w:noWrap/>
            <w:hideMark/>
          </w:tcPr>
          <w:p w14:paraId="1DB497DC" w14:textId="77777777" w:rsidR="007D6A83" w:rsidRPr="006D34D5" w:rsidRDefault="007D6A83" w:rsidP="002E732B">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Core</w:t>
            </w:r>
          </w:p>
        </w:tc>
        <w:tc>
          <w:tcPr>
            <w:tcW w:w="993" w:type="dxa"/>
            <w:noWrap/>
            <w:hideMark/>
          </w:tcPr>
          <w:p w14:paraId="34329562"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1</w:t>
            </w:r>
          </w:p>
        </w:tc>
        <w:tc>
          <w:tcPr>
            <w:tcW w:w="1134" w:type="dxa"/>
            <w:noWrap/>
            <w:hideMark/>
          </w:tcPr>
          <w:p w14:paraId="1399AEDD"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1%</w:t>
            </w:r>
          </w:p>
        </w:tc>
      </w:tr>
      <w:tr w:rsidR="007D6A83" w:rsidRPr="006D34D5" w14:paraId="55143049" w14:textId="77777777" w:rsidTr="002E7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75DA3425"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p>
        </w:tc>
        <w:tc>
          <w:tcPr>
            <w:tcW w:w="1417" w:type="dxa"/>
            <w:noWrap/>
            <w:hideMark/>
          </w:tcPr>
          <w:p w14:paraId="4F0F53C5" w14:textId="77777777" w:rsidR="007D6A83" w:rsidRPr="006D34D5" w:rsidRDefault="007D6A83" w:rsidP="002E732B">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Project</w:t>
            </w:r>
          </w:p>
        </w:tc>
        <w:tc>
          <w:tcPr>
            <w:tcW w:w="993" w:type="dxa"/>
            <w:noWrap/>
            <w:hideMark/>
          </w:tcPr>
          <w:p w14:paraId="1A0D8ECD"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5</w:t>
            </w:r>
          </w:p>
        </w:tc>
        <w:tc>
          <w:tcPr>
            <w:tcW w:w="1134" w:type="dxa"/>
            <w:noWrap/>
            <w:hideMark/>
          </w:tcPr>
          <w:p w14:paraId="152C06F9"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6%</w:t>
            </w:r>
          </w:p>
        </w:tc>
      </w:tr>
      <w:tr w:rsidR="007D6A83" w:rsidRPr="006D34D5" w14:paraId="5FD74B7E" w14:textId="77777777" w:rsidTr="002E7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028D3258"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r w:rsidRPr="006D34D5">
              <w:rPr>
                <w:rFonts w:ascii="Calibri" w:eastAsia="Times New Roman" w:hAnsi="Calibri" w:cs="Calibri"/>
                <w:b/>
                <w:bCs/>
                <w:sz w:val="22"/>
                <w:szCs w:val="22"/>
                <w:lang w:eastAsia="en-AU"/>
              </w:rPr>
              <w:t xml:space="preserve">Chief Minister, Treasury and Economic Development </w:t>
            </w:r>
          </w:p>
        </w:tc>
        <w:tc>
          <w:tcPr>
            <w:tcW w:w="1417" w:type="dxa"/>
            <w:noWrap/>
            <w:hideMark/>
          </w:tcPr>
          <w:p w14:paraId="7DD11AEE" w14:textId="77777777" w:rsidR="007D6A83" w:rsidRPr="006D34D5" w:rsidRDefault="007D6A83" w:rsidP="002E732B">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Core</w:t>
            </w:r>
          </w:p>
        </w:tc>
        <w:tc>
          <w:tcPr>
            <w:tcW w:w="993" w:type="dxa"/>
            <w:noWrap/>
            <w:hideMark/>
          </w:tcPr>
          <w:p w14:paraId="5A0308CF"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4</w:t>
            </w:r>
          </w:p>
        </w:tc>
        <w:tc>
          <w:tcPr>
            <w:tcW w:w="1134" w:type="dxa"/>
            <w:noWrap/>
            <w:hideMark/>
          </w:tcPr>
          <w:p w14:paraId="4175D0C7"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5%</w:t>
            </w:r>
          </w:p>
        </w:tc>
      </w:tr>
      <w:tr w:rsidR="007D6A83" w:rsidRPr="006D34D5" w14:paraId="22C72C4E" w14:textId="77777777" w:rsidTr="002E7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6177FB83"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p>
        </w:tc>
        <w:tc>
          <w:tcPr>
            <w:tcW w:w="1417" w:type="dxa"/>
            <w:noWrap/>
            <w:hideMark/>
          </w:tcPr>
          <w:p w14:paraId="52F8A927" w14:textId="77777777" w:rsidR="007D6A83" w:rsidRPr="006D34D5" w:rsidRDefault="007D6A83" w:rsidP="002E732B">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Project</w:t>
            </w:r>
          </w:p>
        </w:tc>
        <w:tc>
          <w:tcPr>
            <w:tcW w:w="993" w:type="dxa"/>
            <w:noWrap/>
            <w:hideMark/>
          </w:tcPr>
          <w:p w14:paraId="287E31D5"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12</w:t>
            </w:r>
          </w:p>
        </w:tc>
        <w:tc>
          <w:tcPr>
            <w:tcW w:w="1134" w:type="dxa"/>
            <w:noWrap/>
            <w:hideMark/>
          </w:tcPr>
          <w:p w14:paraId="0C4A8B1A"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14%</w:t>
            </w:r>
          </w:p>
        </w:tc>
      </w:tr>
      <w:tr w:rsidR="007D6A83" w:rsidRPr="006D34D5" w14:paraId="604D810A" w14:textId="77777777" w:rsidTr="002E7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4DFB673B"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r w:rsidRPr="006D34D5">
              <w:rPr>
                <w:rFonts w:ascii="Calibri" w:eastAsia="Times New Roman" w:hAnsi="Calibri" w:cs="Calibri"/>
                <w:b/>
                <w:bCs/>
                <w:sz w:val="22"/>
                <w:szCs w:val="22"/>
                <w:lang w:eastAsia="en-AU"/>
              </w:rPr>
              <w:t>Transport</w:t>
            </w:r>
          </w:p>
        </w:tc>
        <w:tc>
          <w:tcPr>
            <w:tcW w:w="1417" w:type="dxa"/>
            <w:noWrap/>
            <w:hideMark/>
          </w:tcPr>
          <w:p w14:paraId="40B4136E" w14:textId="77777777" w:rsidR="007D6A83" w:rsidRPr="006D34D5" w:rsidRDefault="007D6A83" w:rsidP="002E732B">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Core</w:t>
            </w:r>
          </w:p>
        </w:tc>
        <w:tc>
          <w:tcPr>
            <w:tcW w:w="993" w:type="dxa"/>
            <w:noWrap/>
            <w:hideMark/>
          </w:tcPr>
          <w:p w14:paraId="575A4A5C"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0</w:t>
            </w:r>
          </w:p>
        </w:tc>
        <w:tc>
          <w:tcPr>
            <w:tcW w:w="1134" w:type="dxa"/>
            <w:noWrap/>
            <w:hideMark/>
          </w:tcPr>
          <w:p w14:paraId="3DE39EBD" w14:textId="77777777" w:rsidR="007D6A83" w:rsidRPr="006D34D5" w:rsidRDefault="007D6A83" w:rsidP="002E73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0%</w:t>
            </w:r>
          </w:p>
        </w:tc>
      </w:tr>
      <w:tr w:rsidR="007D6A83" w:rsidRPr="006D34D5" w14:paraId="2AAFB04E" w14:textId="77777777" w:rsidTr="002E7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185C484F" w14:textId="77777777" w:rsidR="007D6A83" w:rsidRPr="006D34D5" w:rsidRDefault="007D6A83" w:rsidP="002E732B">
            <w:pPr>
              <w:autoSpaceDE/>
              <w:autoSpaceDN/>
              <w:adjustRightInd/>
              <w:spacing w:after="0"/>
              <w:ind w:right="0"/>
              <w:rPr>
                <w:rFonts w:ascii="Calibri" w:eastAsia="Times New Roman" w:hAnsi="Calibri" w:cs="Calibri"/>
                <w:b/>
                <w:bCs/>
                <w:sz w:val="22"/>
                <w:szCs w:val="22"/>
                <w:lang w:eastAsia="en-AU"/>
              </w:rPr>
            </w:pPr>
          </w:p>
        </w:tc>
        <w:tc>
          <w:tcPr>
            <w:tcW w:w="1417" w:type="dxa"/>
            <w:noWrap/>
            <w:hideMark/>
          </w:tcPr>
          <w:p w14:paraId="274EB2DA" w14:textId="77777777" w:rsidR="007D6A83" w:rsidRPr="006D34D5" w:rsidRDefault="007D6A83" w:rsidP="002E732B">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Project</w:t>
            </w:r>
          </w:p>
        </w:tc>
        <w:tc>
          <w:tcPr>
            <w:tcW w:w="993" w:type="dxa"/>
            <w:noWrap/>
            <w:hideMark/>
          </w:tcPr>
          <w:p w14:paraId="113018DC"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5</w:t>
            </w:r>
          </w:p>
        </w:tc>
        <w:tc>
          <w:tcPr>
            <w:tcW w:w="1134" w:type="dxa"/>
            <w:noWrap/>
            <w:hideMark/>
          </w:tcPr>
          <w:p w14:paraId="7D366438" w14:textId="77777777" w:rsidR="007D6A83" w:rsidRPr="006D34D5" w:rsidRDefault="007D6A83" w:rsidP="002E732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D34D5">
              <w:rPr>
                <w:rFonts w:ascii="Calibri" w:eastAsia="Times New Roman" w:hAnsi="Calibri" w:cs="Calibri"/>
                <w:sz w:val="22"/>
                <w:szCs w:val="22"/>
                <w:lang w:eastAsia="en-AU"/>
              </w:rPr>
              <w:t>6%</w:t>
            </w:r>
          </w:p>
        </w:tc>
      </w:tr>
    </w:tbl>
    <w:p w14:paraId="5DC4D1CD" w14:textId="77777777" w:rsidR="00554250" w:rsidRPr="00554250" w:rsidRDefault="00554250" w:rsidP="00554250">
      <w:pPr>
        <w:pStyle w:val="BodyText"/>
        <w:rPr>
          <w:sz w:val="18"/>
          <w:szCs w:val="18"/>
        </w:rPr>
      </w:pPr>
      <w:r w:rsidRPr="00554250">
        <w:rPr>
          <w:sz w:val="18"/>
          <w:szCs w:val="18"/>
        </w:rPr>
        <w:t>Source: ACT Service Costing Survey, 2021</w:t>
      </w:r>
    </w:p>
    <w:p w14:paraId="144BA9E7" w14:textId="75A56ED9" w:rsidR="002E6100" w:rsidRPr="00C602A5" w:rsidRDefault="002E6100" w:rsidP="002E6100">
      <w:pPr>
        <w:pStyle w:val="Caption"/>
      </w:pPr>
      <w:bookmarkStart w:id="152" w:name="_Ref88840015"/>
      <w:bookmarkStart w:id="153" w:name="_Toc90019605"/>
      <w:r>
        <w:t xml:space="preserve">Table B. </w:t>
      </w:r>
      <w:fldSimple w:instr=" SEQ Table_B. \* ARABIC ">
        <w:r w:rsidR="00E405AF">
          <w:rPr>
            <w:noProof/>
          </w:rPr>
          <w:t>2</w:t>
        </w:r>
      </w:fldSimple>
      <w:bookmarkEnd w:id="152"/>
      <w:r>
        <w:tab/>
        <w:t>Number of ACT Directorates that organisations received funding from, by size of organisation (annual revenue)</w:t>
      </w:r>
      <w:bookmarkEnd w:id="153"/>
    </w:p>
    <w:tbl>
      <w:tblPr>
        <w:tblStyle w:val="Style3"/>
        <w:tblW w:w="8075" w:type="dxa"/>
        <w:tblLook w:val="04A0" w:firstRow="1" w:lastRow="0" w:firstColumn="1" w:lastColumn="0" w:noHBand="0" w:noVBand="1"/>
      </w:tblPr>
      <w:tblGrid>
        <w:gridCol w:w="1980"/>
        <w:gridCol w:w="1843"/>
        <w:gridCol w:w="1842"/>
        <w:gridCol w:w="2410"/>
      </w:tblGrid>
      <w:tr w:rsidR="002E6100" w:rsidRPr="00692FAD" w14:paraId="0CB5CF6D" w14:textId="77777777" w:rsidTr="000F41B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5C1D245" w14:textId="77777777" w:rsidR="002E6100" w:rsidRPr="00692FAD" w:rsidRDefault="002E6100" w:rsidP="000F41BE">
            <w:pPr>
              <w:autoSpaceDE/>
              <w:autoSpaceDN/>
              <w:adjustRightInd/>
              <w:spacing w:after="0"/>
              <w:ind w:right="0"/>
              <w:jc w:val="center"/>
              <w:rPr>
                <w:rFonts w:ascii="Times New Roman" w:eastAsia="Times New Roman" w:hAnsi="Times New Roman" w:cs="Times New Roman"/>
                <w:b/>
                <w:bCs/>
                <w:color w:val="FFFFFF" w:themeColor="background1"/>
                <w:sz w:val="20"/>
                <w:szCs w:val="20"/>
                <w:lang w:eastAsia="en-AU"/>
              </w:rPr>
            </w:pPr>
          </w:p>
        </w:tc>
        <w:tc>
          <w:tcPr>
            <w:tcW w:w="1843" w:type="dxa"/>
            <w:noWrap/>
            <w:hideMark/>
          </w:tcPr>
          <w:p w14:paraId="67AC6240" w14:textId="77777777" w:rsidR="002E6100" w:rsidRPr="00692FAD" w:rsidRDefault="002E6100" w:rsidP="000F41B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692FAD">
              <w:rPr>
                <w:rFonts w:ascii="Calibri" w:eastAsia="Times New Roman" w:hAnsi="Calibri" w:cs="Calibri"/>
                <w:b/>
                <w:bCs/>
                <w:color w:val="FFFFFF" w:themeColor="background1"/>
                <w:sz w:val="22"/>
                <w:szCs w:val="22"/>
                <w:lang w:eastAsia="en-AU"/>
              </w:rPr>
              <w:t>Less than $1 million (n=35)</w:t>
            </w:r>
          </w:p>
        </w:tc>
        <w:tc>
          <w:tcPr>
            <w:tcW w:w="1842" w:type="dxa"/>
            <w:noWrap/>
            <w:hideMark/>
          </w:tcPr>
          <w:p w14:paraId="5B423280" w14:textId="77777777" w:rsidR="002E6100" w:rsidRPr="00692FAD" w:rsidRDefault="002E6100" w:rsidP="000F41B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692FAD">
              <w:rPr>
                <w:rFonts w:ascii="Calibri" w:eastAsia="Times New Roman" w:hAnsi="Calibri" w:cs="Calibri"/>
                <w:b/>
                <w:bCs/>
                <w:color w:val="FFFFFF" w:themeColor="background1"/>
                <w:sz w:val="22"/>
                <w:szCs w:val="22"/>
                <w:lang w:eastAsia="en-AU"/>
              </w:rPr>
              <w:t>$1 to $5 million (n=25)</w:t>
            </w:r>
          </w:p>
        </w:tc>
        <w:tc>
          <w:tcPr>
            <w:tcW w:w="2410" w:type="dxa"/>
            <w:noWrap/>
            <w:hideMark/>
          </w:tcPr>
          <w:p w14:paraId="15983F01" w14:textId="77777777" w:rsidR="002E6100" w:rsidRPr="00692FAD" w:rsidRDefault="002E6100" w:rsidP="000F41B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692FAD">
              <w:rPr>
                <w:rFonts w:ascii="Calibri" w:eastAsia="Times New Roman" w:hAnsi="Calibri" w:cs="Calibri"/>
                <w:b/>
                <w:bCs/>
                <w:color w:val="FFFFFF" w:themeColor="background1"/>
                <w:sz w:val="22"/>
                <w:szCs w:val="22"/>
                <w:lang w:eastAsia="en-AU"/>
              </w:rPr>
              <w:t>More than $5 million (n=25)</w:t>
            </w:r>
          </w:p>
        </w:tc>
      </w:tr>
      <w:tr w:rsidR="002E6100" w:rsidRPr="00692FAD" w14:paraId="2C7C7CEC"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5E335B5" w14:textId="77777777" w:rsidR="002E6100" w:rsidRPr="00692FAD" w:rsidRDefault="002E6100" w:rsidP="000F41BE">
            <w:pPr>
              <w:autoSpaceDE/>
              <w:autoSpaceDN/>
              <w:adjustRightInd/>
              <w:spacing w:after="0"/>
              <w:ind w:right="0"/>
              <w:jc w:val="right"/>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One Directorate only</w:t>
            </w:r>
          </w:p>
        </w:tc>
        <w:tc>
          <w:tcPr>
            <w:tcW w:w="1843" w:type="dxa"/>
            <w:noWrap/>
            <w:hideMark/>
          </w:tcPr>
          <w:p w14:paraId="68902191"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63%</w:t>
            </w:r>
          </w:p>
        </w:tc>
        <w:tc>
          <w:tcPr>
            <w:tcW w:w="1842" w:type="dxa"/>
            <w:noWrap/>
            <w:hideMark/>
          </w:tcPr>
          <w:p w14:paraId="7C649615"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40%</w:t>
            </w:r>
          </w:p>
        </w:tc>
        <w:tc>
          <w:tcPr>
            <w:tcW w:w="2410" w:type="dxa"/>
            <w:noWrap/>
            <w:hideMark/>
          </w:tcPr>
          <w:p w14:paraId="39DE9EBD"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52%</w:t>
            </w:r>
          </w:p>
        </w:tc>
      </w:tr>
      <w:tr w:rsidR="002E6100" w:rsidRPr="00692FAD" w14:paraId="283A5074"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ED12F6B" w14:textId="77777777" w:rsidR="002E6100" w:rsidRPr="00692FAD" w:rsidRDefault="002E6100" w:rsidP="000F41BE">
            <w:pPr>
              <w:autoSpaceDE/>
              <w:autoSpaceDN/>
              <w:adjustRightInd/>
              <w:spacing w:after="0"/>
              <w:ind w:right="0"/>
              <w:jc w:val="right"/>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Two Directorates</w:t>
            </w:r>
          </w:p>
        </w:tc>
        <w:tc>
          <w:tcPr>
            <w:tcW w:w="1843" w:type="dxa"/>
            <w:noWrap/>
            <w:hideMark/>
          </w:tcPr>
          <w:p w14:paraId="7A14F2DC"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31%</w:t>
            </w:r>
          </w:p>
        </w:tc>
        <w:tc>
          <w:tcPr>
            <w:tcW w:w="1842" w:type="dxa"/>
            <w:noWrap/>
            <w:hideMark/>
          </w:tcPr>
          <w:p w14:paraId="10B5DDB5"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28%</w:t>
            </w:r>
          </w:p>
        </w:tc>
        <w:tc>
          <w:tcPr>
            <w:tcW w:w="2410" w:type="dxa"/>
            <w:noWrap/>
            <w:hideMark/>
          </w:tcPr>
          <w:p w14:paraId="2C071EEE"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24%</w:t>
            </w:r>
          </w:p>
        </w:tc>
      </w:tr>
      <w:tr w:rsidR="002E6100" w:rsidRPr="00692FAD" w14:paraId="3D06BF91"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02D2A43" w14:textId="77777777" w:rsidR="002E6100" w:rsidRPr="00692FAD" w:rsidRDefault="002E6100" w:rsidP="000F41BE">
            <w:pPr>
              <w:autoSpaceDE/>
              <w:autoSpaceDN/>
              <w:adjustRightInd/>
              <w:spacing w:after="0"/>
              <w:ind w:right="0"/>
              <w:jc w:val="right"/>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Three Directorates</w:t>
            </w:r>
          </w:p>
        </w:tc>
        <w:tc>
          <w:tcPr>
            <w:tcW w:w="1843" w:type="dxa"/>
            <w:noWrap/>
            <w:hideMark/>
          </w:tcPr>
          <w:p w14:paraId="3FBB280D"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6%</w:t>
            </w:r>
          </w:p>
        </w:tc>
        <w:tc>
          <w:tcPr>
            <w:tcW w:w="1842" w:type="dxa"/>
            <w:noWrap/>
            <w:hideMark/>
          </w:tcPr>
          <w:p w14:paraId="09FC6127"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16%</w:t>
            </w:r>
          </w:p>
        </w:tc>
        <w:tc>
          <w:tcPr>
            <w:tcW w:w="2410" w:type="dxa"/>
            <w:noWrap/>
            <w:hideMark/>
          </w:tcPr>
          <w:p w14:paraId="3227D442"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16%</w:t>
            </w:r>
          </w:p>
        </w:tc>
      </w:tr>
      <w:tr w:rsidR="002E6100" w:rsidRPr="00692FAD" w14:paraId="240513EA"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6F0047A" w14:textId="77777777" w:rsidR="002E6100" w:rsidRPr="00692FAD" w:rsidRDefault="002E6100" w:rsidP="000F41BE">
            <w:pPr>
              <w:autoSpaceDE/>
              <w:autoSpaceDN/>
              <w:adjustRightInd/>
              <w:spacing w:after="0"/>
              <w:ind w:right="0"/>
              <w:jc w:val="right"/>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Four Directorates</w:t>
            </w:r>
          </w:p>
        </w:tc>
        <w:tc>
          <w:tcPr>
            <w:tcW w:w="1843" w:type="dxa"/>
            <w:noWrap/>
            <w:hideMark/>
          </w:tcPr>
          <w:p w14:paraId="00E89E41"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0%</w:t>
            </w:r>
          </w:p>
        </w:tc>
        <w:tc>
          <w:tcPr>
            <w:tcW w:w="1842" w:type="dxa"/>
            <w:noWrap/>
            <w:hideMark/>
          </w:tcPr>
          <w:p w14:paraId="770BE699"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12%</w:t>
            </w:r>
          </w:p>
        </w:tc>
        <w:tc>
          <w:tcPr>
            <w:tcW w:w="2410" w:type="dxa"/>
            <w:noWrap/>
            <w:hideMark/>
          </w:tcPr>
          <w:p w14:paraId="1E9A6443"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0%</w:t>
            </w:r>
          </w:p>
        </w:tc>
      </w:tr>
      <w:tr w:rsidR="002E6100" w:rsidRPr="00692FAD" w14:paraId="75A6AAC3"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D9CCF9" w14:textId="77777777" w:rsidR="002E6100" w:rsidRPr="00692FAD" w:rsidRDefault="002E6100" w:rsidP="000F41BE">
            <w:pPr>
              <w:autoSpaceDE/>
              <w:autoSpaceDN/>
              <w:adjustRightInd/>
              <w:spacing w:after="0"/>
              <w:ind w:right="0"/>
              <w:jc w:val="right"/>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Five Directorates</w:t>
            </w:r>
          </w:p>
        </w:tc>
        <w:tc>
          <w:tcPr>
            <w:tcW w:w="1843" w:type="dxa"/>
            <w:noWrap/>
            <w:hideMark/>
          </w:tcPr>
          <w:p w14:paraId="4B996BE9"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0%</w:t>
            </w:r>
          </w:p>
        </w:tc>
        <w:tc>
          <w:tcPr>
            <w:tcW w:w="1842" w:type="dxa"/>
            <w:noWrap/>
            <w:hideMark/>
          </w:tcPr>
          <w:p w14:paraId="57CDA26F"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4%</w:t>
            </w:r>
          </w:p>
        </w:tc>
        <w:tc>
          <w:tcPr>
            <w:tcW w:w="2410" w:type="dxa"/>
            <w:noWrap/>
            <w:hideMark/>
          </w:tcPr>
          <w:p w14:paraId="06DD5F88" w14:textId="77777777" w:rsidR="002E6100" w:rsidRPr="00692FAD" w:rsidRDefault="002E6100"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0%</w:t>
            </w:r>
          </w:p>
        </w:tc>
      </w:tr>
      <w:tr w:rsidR="002E6100" w:rsidRPr="00692FAD" w14:paraId="0904C5CE"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5F1EA30" w14:textId="77777777" w:rsidR="002E6100" w:rsidRPr="00692FAD" w:rsidRDefault="002E6100" w:rsidP="000F41BE">
            <w:pPr>
              <w:autoSpaceDE/>
              <w:autoSpaceDN/>
              <w:adjustRightInd/>
              <w:spacing w:after="0"/>
              <w:ind w:right="0"/>
              <w:jc w:val="right"/>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Six Directorates</w:t>
            </w:r>
          </w:p>
        </w:tc>
        <w:tc>
          <w:tcPr>
            <w:tcW w:w="1843" w:type="dxa"/>
            <w:noWrap/>
            <w:hideMark/>
          </w:tcPr>
          <w:p w14:paraId="7CB1E3EA"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0%</w:t>
            </w:r>
          </w:p>
        </w:tc>
        <w:tc>
          <w:tcPr>
            <w:tcW w:w="1842" w:type="dxa"/>
            <w:noWrap/>
            <w:hideMark/>
          </w:tcPr>
          <w:p w14:paraId="4F8175DA"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0%</w:t>
            </w:r>
          </w:p>
        </w:tc>
        <w:tc>
          <w:tcPr>
            <w:tcW w:w="2410" w:type="dxa"/>
            <w:noWrap/>
            <w:hideMark/>
          </w:tcPr>
          <w:p w14:paraId="34931120" w14:textId="77777777" w:rsidR="002E6100" w:rsidRPr="00692FAD" w:rsidRDefault="002E6100"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692FAD">
              <w:rPr>
                <w:rFonts w:ascii="Calibri" w:eastAsia="Times New Roman" w:hAnsi="Calibri" w:cs="Calibri"/>
                <w:sz w:val="22"/>
                <w:szCs w:val="22"/>
                <w:lang w:eastAsia="en-AU"/>
              </w:rPr>
              <w:t>8%</w:t>
            </w:r>
          </w:p>
        </w:tc>
      </w:tr>
    </w:tbl>
    <w:p w14:paraId="172526C3" w14:textId="77777777" w:rsidR="002E6100" w:rsidRDefault="002E6100" w:rsidP="002E6100">
      <w:pPr>
        <w:pStyle w:val="Tablenotes"/>
        <w:rPr>
          <w:sz w:val="22"/>
          <w:szCs w:val="22"/>
        </w:rPr>
      </w:pPr>
      <w:r w:rsidRPr="00554250">
        <w:rPr>
          <w:sz w:val="18"/>
          <w:szCs w:val="18"/>
        </w:rPr>
        <w:t>Source: ACT Service Costing Survey, 2021</w:t>
      </w:r>
      <w:r>
        <w:rPr>
          <w:sz w:val="18"/>
          <w:szCs w:val="18"/>
        </w:rPr>
        <w:t xml:space="preserve">. </w:t>
      </w:r>
      <w:r w:rsidRPr="005C0516">
        <w:rPr>
          <w:sz w:val="18"/>
          <w:szCs w:val="18"/>
        </w:rPr>
        <w:t>Note: 3 organisations for which size was not reported are excluded.</w:t>
      </w:r>
      <w:r>
        <w:t xml:space="preserve"> </w:t>
      </w:r>
    </w:p>
    <w:p w14:paraId="074CBFCA" w14:textId="77777777" w:rsidR="002E6100" w:rsidRDefault="002E6100" w:rsidP="002E6100">
      <w:pPr>
        <w:pStyle w:val="BodyText"/>
        <w:rPr>
          <w:b/>
          <w:bCs/>
        </w:rPr>
      </w:pPr>
    </w:p>
    <w:p w14:paraId="0E36E8C7" w14:textId="77777777" w:rsidR="002E6100" w:rsidRDefault="002E6100" w:rsidP="007D6A83">
      <w:pPr>
        <w:pStyle w:val="BodyText"/>
      </w:pPr>
    </w:p>
    <w:p w14:paraId="22A929EC" w14:textId="44AA2507" w:rsidR="007D6A83" w:rsidRDefault="009A4546" w:rsidP="007D6A83">
      <w:pPr>
        <w:pStyle w:val="Captiontable"/>
      </w:pPr>
      <w:bookmarkStart w:id="154" w:name="_Ref88756971"/>
      <w:bookmarkStart w:id="155" w:name="_Toc90019602"/>
      <w:r>
        <w:t xml:space="preserve">Figure B. </w:t>
      </w:r>
      <w:fldSimple w:instr=" SEQ Figure_B. \* ARABIC ">
        <w:r w:rsidR="00E405AF">
          <w:rPr>
            <w:noProof/>
          </w:rPr>
          <w:t>3</w:t>
        </w:r>
      </w:fldSimple>
      <w:bookmarkEnd w:id="154"/>
      <w:r w:rsidR="007D6A83">
        <w:tab/>
        <w:t>Number of Directorates from which core funding was received, n=88</w:t>
      </w:r>
      <w:bookmarkEnd w:id="155"/>
    </w:p>
    <w:p w14:paraId="4EBA129B" w14:textId="77777777" w:rsidR="007D6A83" w:rsidRPr="00554250" w:rsidRDefault="007D6A83" w:rsidP="007D6A83">
      <w:pPr>
        <w:pStyle w:val="BodyText"/>
        <w:jc w:val="center"/>
        <w:rPr>
          <w:b/>
          <w:bCs/>
        </w:rPr>
      </w:pPr>
      <w:r>
        <w:rPr>
          <w:noProof/>
        </w:rPr>
        <w:drawing>
          <wp:inline distT="0" distB="0" distL="0" distR="0" wp14:anchorId="38F56CA8" wp14:editId="0D3FF580">
            <wp:extent cx="4857008" cy="3384467"/>
            <wp:effectExtent l="0" t="0" r="1270" b="6985"/>
            <wp:docPr id="40" name="Chart 40" descr="Figure B.3 is a pie chart depicting the number of Directorates from which core funding was received.&#10;&#10;63% received funding from one Directorate, 19% received funding from two Directorates, 6% received funding from three Directorates and 12% received no core funding.  ">
              <a:extLst xmlns:a="http://schemas.openxmlformats.org/drawingml/2006/main">
                <a:ext uri="{FF2B5EF4-FFF2-40B4-BE49-F238E27FC236}">
                  <a16:creationId xmlns:a16="http://schemas.microsoft.com/office/drawing/2014/main" id="{99A372CD-87EF-4277-92BE-E07AE31D5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68B646" w14:textId="77777777" w:rsidR="007D6A83" w:rsidRDefault="007D6A83" w:rsidP="007D6A83">
      <w:pPr>
        <w:pStyle w:val="BodyText"/>
      </w:pPr>
    </w:p>
    <w:p w14:paraId="73257FD5" w14:textId="24B750A1" w:rsidR="007D6A83" w:rsidRDefault="009A4546" w:rsidP="007D6A83">
      <w:pPr>
        <w:pStyle w:val="Captiontable"/>
      </w:pPr>
      <w:bookmarkStart w:id="156" w:name="_Ref88756972"/>
      <w:bookmarkStart w:id="157" w:name="_Toc90019603"/>
      <w:r>
        <w:t xml:space="preserve">Figure B. </w:t>
      </w:r>
      <w:fldSimple w:instr=" SEQ Figure_B. \* ARABIC ">
        <w:r w:rsidR="00E405AF">
          <w:rPr>
            <w:noProof/>
          </w:rPr>
          <w:t>4</w:t>
        </w:r>
      </w:fldSimple>
      <w:bookmarkEnd w:id="156"/>
      <w:r w:rsidR="007D6A83">
        <w:tab/>
        <w:t>Number of Directorates from which project funding was received, n=88</w:t>
      </w:r>
      <w:bookmarkEnd w:id="157"/>
    </w:p>
    <w:p w14:paraId="00A5F782" w14:textId="77777777" w:rsidR="007D6A83" w:rsidRDefault="007D6A83" w:rsidP="007D6A83">
      <w:pPr>
        <w:pStyle w:val="BodyText"/>
        <w:jc w:val="center"/>
      </w:pPr>
      <w:r>
        <w:rPr>
          <w:noProof/>
        </w:rPr>
        <w:drawing>
          <wp:inline distT="0" distB="0" distL="0" distR="0" wp14:anchorId="1892AABB" wp14:editId="2C76F4FD">
            <wp:extent cx="4678878" cy="3610099"/>
            <wp:effectExtent l="0" t="0" r="7620" b="0"/>
            <wp:docPr id="41" name="Chart 41" descr="Figure B.4 is a pie chart depicting the number of Directorates from which project funding was received.&#10;&#10;39% received funding from one Directorate, 15% received funding from two Directorates, 10% received funding from three or more Directorates, and 36% received no project funding. &#10;">
              <a:extLst xmlns:a="http://schemas.openxmlformats.org/drawingml/2006/main">
                <a:ext uri="{FF2B5EF4-FFF2-40B4-BE49-F238E27FC236}">
                  <a16:creationId xmlns:a16="http://schemas.microsoft.com/office/drawing/2014/main" id="{8BF5354E-E049-4EDB-9F9A-53FDB1812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652CB1" w14:textId="77777777" w:rsidR="00554250" w:rsidRPr="00554250" w:rsidRDefault="00554250" w:rsidP="00554250">
      <w:pPr>
        <w:pStyle w:val="BodyText"/>
        <w:rPr>
          <w:sz w:val="18"/>
          <w:szCs w:val="18"/>
        </w:rPr>
      </w:pPr>
      <w:r w:rsidRPr="00554250">
        <w:rPr>
          <w:sz w:val="18"/>
          <w:szCs w:val="18"/>
        </w:rPr>
        <w:t>Source: ACT Service Costing Survey, 2021</w:t>
      </w:r>
    </w:p>
    <w:p w14:paraId="7A14E3B4" w14:textId="5CF09652" w:rsidR="007D6A83" w:rsidRDefault="007D6A83" w:rsidP="007D6A83">
      <w:pPr>
        <w:pStyle w:val="BodyText"/>
        <w:jc w:val="center"/>
        <w:rPr>
          <w:b/>
          <w:bCs/>
        </w:rPr>
      </w:pPr>
    </w:p>
    <w:p w14:paraId="14C3AA53" w14:textId="3169E029" w:rsidR="00EC19A1" w:rsidRDefault="00EC19A1" w:rsidP="007D6A83">
      <w:pPr>
        <w:pStyle w:val="BodyText"/>
        <w:jc w:val="center"/>
        <w:rPr>
          <w:b/>
          <w:bCs/>
        </w:rPr>
      </w:pPr>
    </w:p>
    <w:p w14:paraId="314FEC27" w14:textId="77777777" w:rsidR="002E6100" w:rsidRDefault="002E6100" w:rsidP="00BE3180">
      <w:pPr>
        <w:pStyle w:val="BodyText"/>
        <w:rPr>
          <w:b/>
          <w:bCs/>
        </w:rPr>
      </w:pPr>
      <w:bookmarkStart w:id="158" w:name="_Toc88753155"/>
    </w:p>
    <w:p w14:paraId="0E707A6A" w14:textId="7CC1C92E" w:rsidR="007D6A83" w:rsidRPr="00BE3180" w:rsidRDefault="007D6A83" w:rsidP="00BE3180">
      <w:pPr>
        <w:pStyle w:val="BodyText"/>
        <w:rPr>
          <w:b/>
          <w:bCs/>
        </w:rPr>
      </w:pPr>
      <w:r w:rsidRPr="00BE3180">
        <w:rPr>
          <w:b/>
          <w:bCs/>
        </w:rPr>
        <w:t>Main sources of ACT government funding</w:t>
      </w:r>
      <w:bookmarkEnd w:id="158"/>
    </w:p>
    <w:p w14:paraId="0C14E37E" w14:textId="251D37A5" w:rsidR="007D6A83" w:rsidRDefault="006D0CF7" w:rsidP="00BE3180">
      <w:pPr>
        <w:pStyle w:val="BodyText"/>
      </w:pPr>
      <w:r>
        <w:t>P</w:t>
      </w:r>
      <w:r w:rsidR="007D6A83">
        <w:t>articipants nominate</w:t>
      </w:r>
      <w:r w:rsidR="009C1B68">
        <w:t>d</w:t>
      </w:r>
      <w:r w:rsidR="007D6A83">
        <w:t xml:space="preserve"> their main source of ACT Government funding </w:t>
      </w:r>
      <w:r w:rsidR="009C1B68">
        <w:t xml:space="preserve">then </w:t>
      </w:r>
      <w:r w:rsidR="007D6A83">
        <w:t>focus</w:t>
      </w:r>
      <w:r w:rsidR="009C1B68">
        <w:t>ed</w:t>
      </w:r>
      <w:r w:rsidR="007D6A83">
        <w:t xml:space="preserve"> on this funding stream in the questions that followed. </w:t>
      </w:r>
      <w:r w:rsidR="009C1B68">
        <w:t>A</w:t>
      </w:r>
      <w:r w:rsidR="007D6A83">
        <w:t>s an option, they could also answer the same questions in relation to a secondary source of funding. 88 provided information about their main source of ACT Government funding, and of these, 12 opted to provide additional information about a secondary funding stream. The proportion who answered in relation to different types of funding is in</w:t>
      </w:r>
      <w:r w:rsidR="00B625CF">
        <w:t xml:space="preserve"> </w:t>
      </w:r>
      <w:r w:rsidR="00B625CF">
        <w:fldChar w:fldCharType="begin"/>
      </w:r>
      <w:r w:rsidR="00B625CF">
        <w:instrText xml:space="preserve"> REF _Ref87986452 \h </w:instrText>
      </w:r>
      <w:r w:rsidR="00B625CF">
        <w:fldChar w:fldCharType="separate"/>
      </w:r>
      <w:r w:rsidR="00E405AF">
        <w:t xml:space="preserve">Table B. </w:t>
      </w:r>
      <w:r w:rsidR="00E405AF">
        <w:rPr>
          <w:noProof/>
        </w:rPr>
        <w:t>3</w:t>
      </w:r>
      <w:r w:rsidR="00B625CF">
        <w:fldChar w:fldCharType="end"/>
      </w:r>
      <w:r w:rsidR="007D6A83">
        <w:t>.</w:t>
      </w:r>
    </w:p>
    <w:p w14:paraId="186807FB" w14:textId="19CA816E" w:rsidR="007D6A83" w:rsidRPr="00802D1C" w:rsidRDefault="009A4546" w:rsidP="007D6A83">
      <w:pPr>
        <w:pStyle w:val="Caption"/>
      </w:pPr>
      <w:bookmarkStart w:id="159" w:name="_Ref87986452"/>
      <w:bookmarkStart w:id="160" w:name="_Ref87986446"/>
      <w:bookmarkStart w:id="161" w:name="_Toc90019606"/>
      <w:r>
        <w:t>Table B.</w:t>
      </w:r>
      <w:r w:rsidR="007D6A83">
        <w:t xml:space="preserve"> </w:t>
      </w:r>
      <w:fldSimple w:instr=" SEQ Table_B. \* ARABIC ">
        <w:r w:rsidR="00E405AF">
          <w:rPr>
            <w:noProof/>
          </w:rPr>
          <w:t>3</w:t>
        </w:r>
      </w:fldSimple>
      <w:bookmarkEnd w:id="159"/>
      <w:r w:rsidR="007D6A83">
        <w:tab/>
        <w:t>Participants who answered questions about funding stream</w:t>
      </w:r>
      <w:bookmarkEnd w:id="160"/>
      <w:bookmarkEnd w:id="161"/>
    </w:p>
    <w:tbl>
      <w:tblPr>
        <w:tblStyle w:val="Style3"/>
        <w:tblW w:w="9067" w:type="dxa"/>
        <w:tblLook w:val="04A0" w:firstRow="1" w:lastRow="0" w:firstColumn="1" w:lastColumn="0" w:noHBand="0" w:noVBand="1"/>
      </w:tblPr>
      <w:tblGrid>
        <w:gridCol w:w="3397"/>
        <w:gridCol w:w="2835"/>
        <w:gridCol w:w="2835"/>
      </w:tblGrid>
      <w:tr w:rsidR="007D6A83" w:rsidRPr="005F08DE" w14:paraId="18641AEB" w14:textId="77777777" w:rsidTr="002E732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97" w:type="dxa"/>
            <w:noWrap/>
          </w:tcPr>
          <w:p w14:paraId="6A06EC4B" w14:textId="77777777" w:rsidR="007D6A83" w:rsidRPr="005F08DE" w:rsidRDefault="007D6A83" w:rsidP="002E732B">
            <w:pPr>
              <w:autoSpaceDE/>
              <w:autoSpaceDN/>
              <w:adjustRightInd/>
              <w:spacing w:after="0"/>
              <w:ind w:right="0"/>
              <w:jc w:val="center"/>
              <w:rPr>
                <w:rFonts w:ascii="Calibri" w:eastAsia="Times New Roman" w:hAnsi="Calibri" w:cs="Calibri"/>
                <w:sz w:val="22"/>
                <w:szCs w:val="22"/>
                <w:lang w:eastAsia="en-AU"/>
              </w:rPr>
            </w:pPr>
          </w:p>
        </w:tc>
        <w:tc>
          <w:tcPr>
            <w:tcW w:w="2835" w:type="dxa"/>
            <w:noWrap/>
          </w:tcPr>
          <w:p w14:paraId="26A3D75C" w14:textId="77777777" w:rsidR="007D6A83" w:rsidRPr="00064550" w:rsidRDefault="007D6A83" w:rsidP="002E732B">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064550">
              <w:rPr>
                <w:rFonts w:ascii="Calibri" w:eastAsia="Times New Roman" w:hAnsi="Calibri" w:cs="Calibri"/>
                <w:b/>
                <w:bCs/>
                <w:color w:val="FFFFFF" w:themeColor="background1"/>
                <w:sz w:val="22"/>
                <w:szCs w:val="22"/>
                <w:lang w:eastAsia="en-AU"/>
              </w:rPr>
              <w:t>Number of participants (n)</w:t>
            </w:r>
          </w:p>
        </w:tc>
        <w:tc>
          <w:tcPr>
            <w:tcW w:w="2835" w:type="dxa"/>
          </w:tcPr>
          <w:p w14:paraId="76899D4A" w14:textId="77777777" w:rsidR="007D6A83" w:rsidRPr="00802D1C" w:rsidRDefault="007D6A83" w:rsidP="002E732B">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 xml:space="preserve">% </w:t>
            </w:r>
            <w:proofErr w:type="gramStart"/>
            <w:r>
              <w:rPr>
                <w:rFonts w:ascii="Calibri" w:eastAsia="Times New Roman" w:hAnsi="Calibri" w:cs="Calibri"/>
                <w:b/>
                <w:bCs/>
                <w:color w:val="FFFFFF" w:themeColor="background1"/>
                <w:sz w:val="22"/>
                <w:szCs w:val="22"/>
                <w:lang w:eastAsia="en-AU"/>
              </w:rPr>
              <w:t>of</w:t>
            </w:r>
            <w:proofErr w:type="gramEnd"/>
            <w:r>
              <w:rPr>
                <w:rFonts w:ascii="Calibri" w:eastAsia="Times New Roman" w:hAnsi="Calibri" w:cs="Calibri"/>
                <w:b/>
                <w:bCs/>
                <w:color w:val="FFFFFF" w:themeColor="background1"/>
                <w:sz w:val="22"/>
                <w:szCs w:val="22"/>
                <w:lang w:eastAsia="en-AU"/>
              </w:rPr>
              <w:t xml:space="preserve"> participants (n=88)</w:t>
            </w:r>
          </w:p>
        </w:tc>
      </w:tr>
      <w:tr w:rsidR="007D6A83" w:rsidRPr="005F08DE" w14:paraId="2DF9EE9B" w14:textId="77777777" w:rsidTr="002E732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36966BD" w14:textId="77777777" w:rsidR="007D6A83" w:rsidRPr="005F08DE" w:rsidRDefault="007D6A83" w:rsidP="002E732B">
            <w:pPr>
              <w:autoSpaceDE/>
              <w:autoSpaceDN/>
              <w:adjustRightInd/>
              <w:spacing w:after="0"/>
              <w:ind w:right="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Core funding from CSD</w:t>
            </w:r>
          </w:p>
        </w:tc>
        <w:tc>
          <w:tcPr>
            <w:tcW w:w="2835" w:type="dxa"/>
            <w:noWrap/>
            <w:hideMark/>
          </w:tcPr>
          <w:p w14:paraId="0D973170" w14:textId="77777777" w:rsidR="007D6A83" w:rsidRPr="005F08DE" w:rsidRDefault="007D6A83" w:rsidP="002E732B">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41</w:t>
            </w:r>
          </w:p>
        </w:tc>
        <w:tc>
          <w:tcPr>
            <w:tcW w:w="2835" w:type="dxa"/>
          </w:tcPr>
          <w:p w14:paraId="7C5041D1" w14:textId="77777777" w:rsidR="007D6A83" w:rsidRPr="005F08DE" w:rsidRDefault="007D6A83" w:rsidP="002E732B">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47%</w:t>
            </w:r>
          </w:p>
        </w:tc>
      </w:tr>
      <w:tr w:rsidR="007D6A83" w:rsidRPr="005F08DE" w14:paraId="16D0EC22" w14:textId="77777777" w:rsidTr="002E732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8437790" w14:textId="77777777" w:rsidR="007D6A83" w:rsidRPr="005F08DE" w:rsidRDefault="007D6A83" w:rsidP="002E732B">
            <w:pPr>
              <w:autoSpaceDE/>
              <w:autoSpaceDN/>
              <w:adjustRightInd/>
              <w:spacing w:after="0"/>
              <w:ind w:right="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Project funding from CSD</w:t>
            </w:r>
          </w:p>
        </w:tc>
        <w:tc>
          <w:tcPr>
            <w:tcW w:w="2835" w:type="dxa"/>
            <w:noWrap/>
            <w:hideMark/>
          </w:tcPr>
          <w:p w14:paraId="7F4EC58C" w14:textId="77777777" w:rsidR="007D6A83" w:rsidRPr="005F08DE" w:rsidRDefault="007D6A83" w:rsidP="002E732B">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9</w:t>
            </w:r>
          </w:p>
        </w:tc>
        <w:tc>
          <w:tcPr>
            <w:tcW w:w="2835" w:type="dxa"/>
          </w:tcPr>
          <w:p w14:paraId="0BFD7DD4" w14:textId="77777777" w:rsidR="007D6A83" w:rsidRPr="005F08DE" w:rsidRDefault="007D6A83" w:rsidP="002E732B">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10%</w:t>
            </w:r>
          </w:p>
        </w:tc>
      </w:tr>
      <w:tr w:rsidR="007D6A83" w:rsidRPr="005F08DE" w14:paraId="378D8EF7" w14:textId="77777777" w:rsidTr="002E73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7FF9E14" w14:textId="77777777" w:rsidR="007D6A83" w:rsidRPr="005F08DE" w:rsidRDefault="007D6A83" w:rsidP="002E732B">
            <w:pPr>
              <w:autoSpaceDE/>
              <w:autoSpaceDN/>
              <w:adjustRightInd/>
              <w:spacing w:after="0"/>
              <w:ind w:right="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Core funding from Health</w:t>
            </w:r>
          </w:p>
        </w:tc>
        <w:tc>
          <w:tcPr>
            <w:tcW w:w="2835" w:type="dxa"/>
            <w:noWrap/>
            <w:hideMark/>
          </w:tcPr>
          <w:p w14:paraId="54605B47" w14:textId="77777777" w:rsidR="007D6A83" w:rsidRPr="005F08DE" w:rsidRDefault="007D6A83" w:rsidP="002E732B">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36</w:t>
            </w:r>
          </w:p>
        </w:tc>
        <w:tc>
          <w:tcPr>
            <w:tcW w:w="2835" w:type="dxa"/>
          </w:tcPr>
          <w:p w14:paraId="0F9A8FDB" w14:textId="77777777" w:rsidR="007D6A83" w:rsidRPr="005F08DE" w:rsidRDefault="007D6A83" w:rsidP="002E732B">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41%</w:t>
            </w:r>
          </w:p>
        </w:tc>
      </w:tr>
      <w:tr w:rsidR="007D6A83" w:rsidRPr="005F08DE" w14:paraId="30005C1C" w14:textId="77777777" w:rsidTr="002E732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CB25B5E" w14:textId="77777777" w:rsidR="007D6A83" w:rsidRPr="005F08DE" w:rsidRDefault="007D6A83" w:rsidP="002E732B">
            <w:pPr>
              <w:autoSpaceDE/>
              <w:autoSpaceDN/>
              <w:adjustRightInd/>
              <w:spacing w:after="0"/>
              <w:ind w:right="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Project funding from Health</w:t>
            </w:r>
          </w:p>
        </w:tc>
        <w:tc>
          <w:tcPr>
            <w:tcW w:w="2835" w:type="dxa"/>
            <w:noWrap/>
            <w:hideMark/>
          </w:tcPr>
          <w:p w14:paraId="7168037B" w14:textId="77777777" w:rsidR="007D6A83" w:rsidRPr="005F08DE" w:rsidRDefault="007D6A83" w:rsidP="002E732B">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6</w:t>
            </w:r>
          </w:p>
        </w:tc>
        <w:tc>
          <w:tcPr>
            <w:tcW w:w="2835" w:type="dxa"/>
          </w:tcPr>
          <w:p w14:paraId="3E5A79D3" w14:textId="77777777" w:rsidR="007D6A83" w:rsidRPr="005F08DE" w:rsidRDefault="007D6A83" w:rsidP="002E732B">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7%</w:t>
            </w:r>
          </w:p>
        </w:tc>
      </w:tr>
      <w:tr w:rsidR="007D6A83" w:rsidRPr="005F08DE" w14:paraId="39B836F5" w14:textId="77777777" w:rsidTr="002E73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8DA6A74" w14:textId="77777777" w:rsidR="007D6A83" w:rsidRPr="005F08DE" w:rsidRDefault="007D6A83" w:rsidP="002E732B">
            <w:pPr>
              <w:autoSpaceDE/>
              <w:autoSpaceDN/>
              <w:adjustRightInd/>
              <w:spacing w:after="0"/>
              <w:ind w:right="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Other funding</w:t>
            </w:r>
          </w:p>
        </w:tc>
        <w:tc>
          <w:tcPr>
            <w:tcW w:w="2835" w:type="dxa"/>
            <w:noWrap/>
            <w:hideMark/>
          </w:tcPr>
          <w:p w14:paraId="0E32942C" w14:textId="77777777" w:rsidR="007D6A83" w:rsidRPr="005F08DE" w:rsidRDefault="007D6A83" w:rsidP="002E732B">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8</w:t>
            </w:r>
          </w:p>
        </w:tc>
        <w:tc>
          <w:tcPr>
            <w:tcW w:w="2835" w:type="dxa"/>
          </w:tcPr>
          <w:p w14:paraId="456B2005" w14:textId="77777777" w:rsidR="007D6A83" w:rsidRPr="005F08DE" w:rsidRDefault="007D6A83" w:rsidP="002E732B">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9%</w:t>
            </w:r>
          </w:p>
        </w:tc>
      </w:tr>
      <w:tr w:rsidR="007D6A83" w:rsidRPr="005F08DE" w14:paraId="39528F84" w14:textId="77777777" w:rsidTr="002E732B">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B21385B" w14:textId="77777777" w:rsidR="007D6A83" w:rsidRPr="005F08DE" w:rsidRDefault="007D6A83" w:rsidP="002E732B">
            <w:pPr>
              <w:autoSpaceDE/>
              <w:autoSpaceDN/>
              <w:adjustRightInd/>
              <w:spacing w:after="0"/>
              <w:ind w:right="0"/>
              <w:jc w:val="right"/>
              <w:rPr>
                <w:rFonts w:ascii="Calibri" w:eastAsia="Times New Roman" w:hAnsi="Calibri" w:cs="Calibri"/>
                <w:sz w:val="22"/>
                <w:szCs w:val="22"/>
                <w:lang w:eastAsia="en-AU"/>
              </w:rPr>
            </w:pPr>
            <w:r>
              <w:rPr>
                <w:rFonts w:ascii="Calibri" w:eastAsia="Times New Roman" w:hAnsi="Calibri" w:cs="Calibri"/>
                <w:sz w:val="22"/>
                <w:szCs w:val="22"/>
                <w:lang w:eastAsia="en-AU"/>
              </w:rPr>
              <w:t>Total funding streams assessed</w:t>
            </w:r>
          </w:p>
        </w:tc>
        <w:tc>
          <w:tcPr>
            <w:tcW w:w="2835" w:type="dxa"/>
            <w:noWrap/>
            <w:hideMark/>
          </w:tcPr>
          <w:p w14:paraId="747BF5B7" w14:textId="77777777" w:rsidR="007D6A83" w:rsidRPr="005F08DE" w:rsidRDefault="007D6A83" w:rsidP="002E732B">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08DE">
              <w:rPr>
                <w:rFonts w:ascii="Calibri" w:eastAsia="Times New Roman" w:hAnsi="Calibri" w:cs="Calibri"/>
                <w:sz w:val="22"/>
                <w:szCs w:val="22"/>
                <w:lang w:eastAsia="en-AU"/>
              </w:rPr>
              <w:t>100</w:t>
            </w:r>
          </w:p>
        </w:tc>
        <w:tc>
          <w:tcPr>
            <w:tcW w:w="2835" w:type="dxa"/>
          </w:tcPr>
          <w:p w14:paraId="528E54A8" w14:textId="77777777" w:rsidR="007D6A83" w:rsidRPr="005F08DE" w:rsidRDefault="007D6A83" w:rsidP="002E732B">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p>
        </w:tc>
      </w:tr>
    </w:tbl>
    <w:p w14:paraId="2F5896AB" w14:textId="700C1ECC" w:rsidR="007D6A83" w:rsidRDefault="005C0516" w:rsidP="007D6A83">
      <w:pPr>
        <w:pStyle w:val="BodyText"/>
        <w:rPr>
          <w:sz w:val="18"/>
          <w:szCs w:val="18"/>
        </w:rPr>
      </w:pPr>
      <w:r>
        <w:rPr>
          <w:sz w:val="18"/>
          <w:szCs w:val="18"/>
        </w:rPr>
        <w:t>Source</w:t>
      </w:r>
      <w:r w:rsidR="007D6A83" w:rsidRPr="005C0516">
        <w:rPr>
          <w:sz w:val="18"/>
          <w:szCs w:val="18"/>
        </w:rPr>
        <w:t>:</w:t>
      </w:r>
      <w:r w:rsidRPr="005C0516">
        <w:rPr>
          <w:sz w:val="18"/>
          <w:szCs w:val="18"/>
        </w:rPr>
        <w:t xml:space="preserve"> </w:t>
      </w:r>
      <w:r w:rsidRPr="00554250">
        <w:rPr>
          <w:sz w:val="18"/>
          <w:szCs w:val="18"/>
        </w:rPr>
        <w:t>ACT Service Costing Survey, 2021</w:t>
      </w:r>
      <w:r>
        <w:rPr>
          <w:sz w:val="18"/>
          <w:szCs w:val="18"/>
        </w:rPr>
        <w:t xml:space="preserve">. Note: </w:t>
      </w:r>
      <w:r w:rsidR="007D6A83" w:rsidRPr="005C0516">
        <w:rPr>
          <w:sz w:val="18"/>
          <w:szCs w:val="18"/>
        </w:rPr>
        <w:t>% is over 100 as 12 participants answered questions about 2 funding streams</w:t>
      </w:r>
    </w:p>
    <w:p w14:paraId="03033C14" w14:textId="77777777" w:rsidR="002E6100" w:rsidRPr="005C0516" w:rsidRDefault="002E6100" w:rsidP="007D6A83">
      <w:pPr>
        <w:pStyle w:val="BodyText"/>
        <w:rPr>
          <w:sz w:val="18"/>
          <w:szCs w:val="18"/>
        </w:rPr>
      </w:pPr>
    </w:p>
    <w:p w14:paraId="7498DE2F" w14:textId="68BB1B52" w:rsidR="007D6A83" w:rsidRDefault="006D0CF7" w:rsidP="007D6A83">
      <w:pPr>
        <w:pStyle w:val="BodyText"/>
      </w:pPr>
      <w:r>
        <w:t>O</w:t>
      </w:r>
      <w:r w:rsidR="007D6A83">
        <w:t xml:space="preserve">rganisations </w:t>
      </w:r>
      <w:r>
        <w:t xml:space="preserve">use funds for a </w:t>
      </w:r>
      <w:r w:rsidR="007D6A83">
        <w:t>wide range of specialist and generalist supports</w:t>
      </w:r>
      <w:r>
        <w:t xml:space="preserve">: </w:t>
      </w:r>
      <w:r w:rsidR="007D6A83">
        <w:t xml:space="preserve">community mental health and other health-related services; housing and homelessness services and supports; disability and ageing services and supports; supports for children, youth and families, including parenting supports; supports for people affected by family and domestic violence; alcohol and other drugs services; community information and events; multicultural services; legal supports; financial supports; food and nutrition supports; peak body operations; and initiatives to promote and enable consumer participation and advocacy. </w:t>
      </w:r>
    </w:p>
    <w:p w14:paraId="27909687" w14:textId="6328DBD4" w:rsidR="007D6A83" w:rsidRDefault="007D6A83" w:rsidP="007D6A83">
      <w:pPr>
        <w:pStyle w:val="BodyText"/>
      </w:pPr>
      <w:r>
        <w:t>For 87 of the 100 streams of funding received (87%), funds were used to employ staff, with numbers of time equivalent (FTE) staff employed being, on average, 11.6 (median=4). This differed according to funding source. Those answering in relation to CSD funding employed 16.4 FTE staff on average, while those answering in relation to Health funding employed 7.8 FTE staff, on average. Sector</w:t>
      </w:r>
      <w:r w:rsidR="0085653B">
        <w:t> </w:t>
      </w:r>
      <w:r>
        <w:t>leaders’ responses to regarding the adequacy of these funding sources are explored throughout the remainder of the report.</w:t>
      </w:r>
    </w:p>
    <w:p w14:paraId="5EBF97E1" w14:textId="77777777" w:rsidR="007D6A83" w:rsidRDefault="007D6A83" w:rsidP="007953A2">
      <w:pPr>
        <w:pStyle w:val="BodyText"/>
      </w:pPr>
    </w:p>
    <w:p w14:paraId="70EF84E0" w14:textId="727A3780" w:rsidR="0096706E" w:rsidRDefault="008C430E" w:rsidP="008C430E">
      <w:pPr>
        <w:pStyle w:val="Heading1"/>
      </w:pPr>
      <w:bookmarkStart w:id="162" w:name="_Toc88753159"/>
      <w:bookmarkStart w:id="163" w:name="_Toc90019585"/>
      <w:r w:rsidRPr="00A03F81">
        <w:lastRenderedPageBreak/>
        <w:t xml:space="preserve">Appendix </w:t>
      </w:r>
      <w:r w:rsidR="00524CD9">
        <w:t>C</w:t>
      </w:r>
      <w:r w:rsidR="00BC203C">
        <w:tab/>
      </w:r>
      <w:r w:rsidR="00692FAD">
        <w:t xml:space="preserve">Supplementary </w:t>
      </w:r>
      <w:r w:rsidR="00802D1C">
        <w:t>Data</w:t>
      </w:r>
      <w:bookmarkEnd w:id="162"/>
      <w:bookmarkEnd w:id="163"/>
    </w:p>
    <w:p w14:paraId="23D0575D" w14:textId="0D0B5358" w:rsidR="00FF1F45" w:rsidRDefault="00FF1F45" w:rsidP="00FF1F45">
      <w:pPr>
        <w:pStyle w:val="BodyText"/>
        <w:rPr>
          <w:b/>
          <w:bCs/>
          <w:sz w:val="28"/>
          <w:szCs w:val="28"/>
        </w:rPr>
      </w:pPr>
      <w:r>
        <w:rPr>
          <w:b/>
          <w:bCs/>
          <w:sz w:val="28"/>
          <w:szCs w:val="28"/>
        </w:rPr>
        <w:t>Charts</w:t>
      </w:r>
    </w:p>
    <w:p w14:paraId="3192A242" w14:textId="412BF166" w:rsidR="00FF1F45" w:rsidRDefault="00FF1F45" w:rsidP="00FF1F45">
      <w:pPr>
        <w:pStyle w:val="Caption"/>
        <w:rPr>
          <w:b w:val="0"/>
          <w:bCs w:val="0"/>
        </w:rPr>
      </w:pPr>
      <w:bookmarkStart w:id="164" w:name="_Ref88810641"/>
      <w:bookmarkStart w:id="165" w:name="_Toc90019607"/>
      <w:r>
        <w:t xml:space="preserve">Figure </w:t>
      </w:r>
      <w:r w:rsidR="00524CD9">
        <w:t>C</w:t>
      </w:r>
      <w:r>
        <w:t xml:space="preserve">. </w:t>
      </w:r>
      <w:fldSimple w:instr=" SEQ Figure_D. \* ARABIC ">
        <w:r w:rsidR="00E405AF">
          <w:rPr>
            <w:noProof/>
          </w:rPr>
          <w:t>1</w:t>
        </w:r>
      </w:fldSimple>
      <w:bookmarkEnd w:id="164"/>
      <w:r>
        <w:tab/>
        <w:t>People receiving Jobseeker, Parenting Payment and Youth Allowance in the ACT, June 2016 to June 2021</w:t>
      </w:r>
      <w:bookmarkEnd w:id="165"/>
    </w:p>
    <w:p w14:paraId="616791AB" w14:textId="77777777" w:rsidR="00FF1F45" w:rsidRDefault="00FF1F45" w:rsidP="00FF1F45">
      <w:pPr>
        <w:pStyle w:val="BodyText"/>
        <w:rPr>
          <w:sz w:val="18"/>
          <w:szCs w:val="18"/>
        </w:rPr>
      </w:pPr>
      <w:r>
        <w:rPr>
          <w:noProof/>
        </w:rPr>
        <w:drawing>
          <wp:inline distT="0" distB="0" distL="0" distR="0" wp14:anchorId="2A2AD328" wp14:editId="24BFD9C1">
            <wp:extent cx="6089650" cy="2594973"/>
            <wp:effectExtent l="0" t="0" r="6350" b="0"/>
            <wp:docPr id="36" name="Chart 36" descr="Figure C.1 is a line graph depicting the number of people receiving Jobseeker, Parenting Payment and Youth Allowance in the ACT from 2016 to 2021.&#10;&#10;The graph highlights an upward trend in the number of people receiving support payments from 2019 onwards. ">
              <a:extLst xmlns:a="http://schemas.openxmlformats.org/drawingml/2006/main">
                <a:ext uri="{FF2B5EF4-FFF2-40B4-BE49-F238E27FC236}">
                  <a16:creationId xmlns:a16="http://schemas.microsoft.com/office/drawing/2014/main" id="{5499E91D-1CD2-4536-ABCC-682A6D5B5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72461">
        <w:rPr>
          <w:sz w:val="18"/>
          <w:szCs w:val="18"/>
        </w:rPr>
        <w:t xml:space="preserve">Source: DSS Demographics, spreadsheets for June 2016, 2017, 2018, 2019, 2020 and 2021 downloaded from DSS Payment Demographic Data, data.gov.au, downloaded 31 August 2021. </w:t>
      </w:r>
    </w:p>
    <w:p w14:paraId="5D4C4933" w14:textId="77777777" w:rsidR="00FF1F45" w:rsidRDefault="00FF1F45" w:rsidP="00FF1F45">
      <w:pPr>
        <w:pStyle w:val="BodyText"/>
      </w:pPr>
    </w:p>
    <w:p w14:paraId="52A121F0" w14:textId="0583D777" w:rsidR="00FF1F45" w:rsidRDefault="00FF1F45" w:rsidP="00FF1F45">
      <w:pPr>
        <w:pStyle w:val="Caption"/>
      </w:pPr>
      <w:bookmarkStart w:id="166" w:name="_Ref88810309"/>
      <w:bookmarkStart w:id="167" w:name="_Toc90019608"/>
      <w:r>
        <w:t xml:space="preserve">Figure </w:t>
      </w:r>
      <w:r w:rsidR="00524CD9">
        <w:t>C</w:t>
      </w:r>
      <w:r>
        <w:t xml:space="preserve">. </w:t>
      </w:r>
      <w:fldSimple w:instr=" SEQ Figure_D. \* ARABIC ">
        <w:r w:rsidR="00E405AF">
          <w:rPr>
            <w:noProof/>
          </w:rPr>
          <w:t>2</w:t>
        </w:r>
      </w:fldSimple>
      <w:bookmarkEnd w:id="166"/>
      <w:r>
        <w:tab/>
        <w:t>ACT</w:t>
      </w:r>
      <w:r w:rsidRPr="00496C8D">
        <w:t xml:space="preserve"> expenditure on specialised mental health services</w:t>
      </w:r>
      <w:r>
        <w:t xml:space="preserve"> ($m, </w:t>
      </w:r>
      <w:r w:rsidRPr="00496C8D">
        <w:t>2018-19 dollars</w:t>
      </w:r>
      <w:r>
        <w:t>), and % of spending to NGOs</w:t>
      </w:r>
      <w:bookmarkEnd w:id="167"/>
    </w:p>
    <w:p w14:paraId="0A9FCA0F" w14:textId="77777777" w:rsidR="00FF1F45" w:rsidRDefault="00FF1F45" w:rsidP="00FF1F45">
      <w:pPr>
        <w:pStyle w:val="BodyText"/>
        <w:jc w:val="center"/>
      </w:pPr>
      <w:r>
        <w:rPr>
          <w:noProof/>
        </w:rPr>
        <w:drawing>
          <wp:inline distT="0" distB="0" distL="0" distR="0" wp14:anchorId="5E1D6E39" wp14:editId="39D7068C">
            <wp:extent cx="6120130" cy="3102428"/>
            <wp:effectExtent l="0" t="0" r="0" b="0"/>
            <wp:docPr id="37" name="Chart 37" descr="Figure C.2 is a bar and line graph depicting ACT expenditure on specialised mental health services and NGOs from 2009 to 2019. The data is displayed as dollar value and percentages. &#10;&#10;The graph demonstrates an upward trend in expenditure until 2013 and then the expenditure begins to decrease gradually.  ">
              <a:extLst xmlns:a="http://schemas.openxmlformats.org/drawingml/2006/main">
                <a:ext uri="{FF2B5EF4-FFF2-40B4-BE49-F238E27FC236}">
                  <a16:creationId xmlns:a16="http://schemas.microsoft.com/office/drawing/2014/main" id="{4B9E3CD6-8080-4C8D-A380-7B957DFA4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175B12" w14:textId="21E92FC6" w:rsidR="00FF1F45" w:rsidRDefault="00FF1F45" w:rsidP="00FF1F45">
      <w:pPr>
        <w:pStyle w:val="BodyText"/>
        <w:rPr>
          <w:sz w:val="18"/>
          <w:szCs w:val="18"/>
        </w:rPr>
      </w:pPr>
      <w:r w:rsidRPr="005B04D5">
        <w:rPr>
          <w:sz w:val="18"/>
          <w:szCs w:val="18"/>
        </w:rPr>
        <w:t>Source: Productivity Commission, Report on Government Services, 2021, Services for Mental Health, Table 13A.3.</w:t>
      </w:r>
    </w:p>
    <w:p w14:paraId="2E0D8F2B" w14:textId="7BEA47E2" w:rsidR="00FF1F45" w:rsidRDefault="00EA6EED" w:rsidP="00FF1F45">
      <w:pPr>
        <w:pStyle w:val="Caption"/>
      </w:pPr>
      <w:bookmarkStart w:id="168" w:name="_Ref88831424"/>
      <w:bookmarkStart w:id="169" w:name="_Toc90019609"/>
      <w:r>
        <w:lastRenderedPageBreak/>
        <w:t xml:space="preserve">Figure </w:t>
      </w:r>
      <w:r w:rsidR="00524CD9">
        <w:t>C</w:t>
      </w:r>
      <w:r>
        <w:t xml:space="preserve">. </w:t>
      </w:r>
      <w:fldSimple w:instr=" SEQ Figure_D. \* ARABIC ">
        <w:r w:rsidR="00E405AF">
          <w:rPr>
            <w:noProof/>
          </w:rPr>
          <w:t>3</w:t>
        </w:r>
      </w:fldSimple>
      <w:bookmarkEnd w:id="168"/>
      <w:r>
        <w:tab/>
      </w:r>
      <w:r w:rsidR="00FF1F45">
        <w:t>Proportion of children developmentally vulnerable, 2015 and 2018</w:t>
      </w:r>
      <w:bookmarkEnd w:id="169"/>
    </w:p>
    <w:p w14:paraId="25C3BCDC" w14:textId="4D5B7352" w:rsidR="00FF1F45" w:rsidRDefault="00FF1F45" w:rsidP="00FF1F45">
      <w:pPr>
        <w:pStyle w:val="BodyText"/>
        <w:rPr>
          <w:sz w:val="18"/>
          <w:szCs w:val="18"/>
        </w:rPr>
      </w:pPr>
      <w:r>
        <w:rPr>
          <w:noProof/>
        </w:rPr>
        <w:drawing>
          <wp:inline distT="0" distB="0" distL="0" distR="0" wp14:anchorId="540A10C0" wp14:editId="61E4E087">
            <wp:extent cx="5788660" cy="2976664"/>
            <wp:effectExtent l="0" t="0" r="2540" b="0"/>
            <wp:docPr id="32" name="Chart 32" descr="Figure C.3 is a vertical bar graph comparing the proportion of children developmentally vulnerable in 2015 and 2018 as percentages. &#10;&#10;The graph shows minimal differences between the number of developmentally vulnerable children in the two years. ">
              <a:extLst xmlns:a="http://schemas.openxmlformats.org/drawingml/2006/main">
                <a:ext uri="{FF2B5EF4-FFF2-40B4-BE49-F238E27FC236}">
                  <a16:creationId xmlns:a16="http://schemas.microsoft.com/office/drawing/2014/main" id="{CCA4B01A-C06B-4B2F-B6C8-33953F3C9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3158AD">
        <w:rPr>
          <w:sz w:val="18"/>
          <w:szCs w:val="18"/>
        </w:rPr>
        <w:br/>
      </w:r>
      <w:r w:rsidRPr="005C0516">
        <w:rPr>
          <w:sz w:val="18"/>
          <w:szCs w:val="18"/>
        </w:rPr>
        <w:t>Source</w:t>
      </w:r>
      <w:r>
        <w:rPr>
          <w:sz w:val="18"/>
          <w:szCs w:val="18"/>
        </w:rPr>
        <w:t>:</w:t>
      </w:r>
      <w:r w:rsidRPr="005C0516">
        <w:rPr>
          <w:sz w:val="18"/>
          <w:szCs w:val="18"/>
        </w:rPr>
        <w:t xml:space="preserve"> AEDC Data Explorer, </w:t>
      </w:r>
      <w:hyperlink r:id="rId42" w:history="1">
        <w:r w:rsidRPr="005C0516">
          <w:rPr>
            <w:sz w:val="18"/>
            <w:szCs w:val="18"/>
          </w:rPr>
          <w:t>https://www.aedc.gov.au/data/data-explorer</w:t>
        </w:r>
      </w:hyperlink>
    </w:p>
    <w:p w14:paraId="4863EAED" w14:textId="77777777" w:rsidR="002507AB" w:rsidRDefault="002507AB" w:rsidP="00FF1F45">
      <w:pPr>
        <w:pStyle w:val="BodyText"/>
        <w:rPr>
          <w:sz w:val="18"/>
          <w:szCs w:val="18"/>
        </w:rPr>
      </w:pPr>
    </w:p>
    <w:p w14:paraId="109ECEBF" w14:textId="49DD2914" w:rsidR="00DD5439" w:rsidRPr="00DD5439" w:rsidRDefault="00DD5439" w:rsidP="00DD5439">
      <w:pPr>
        <w:pStyle w:val="Caption"/>
      </w:pPr>
      <w:bookmarkStart w:id="170" w:name="_Ref89753650"/>
      <w:bookmarkStart w:id="171" w:name="_Ref89753646"/>
      <w:bookmarkStart w:id="172" w:name="_Toc90019610"/>
      <w:r>
        <w:t xml:space="preserve">Figure C. </w:t>
      </w:r>
      <w:fldSimple w:instr=" SEQ Figure_D. \* ARABIC ">
        <w:r w:rsidR="00E405AF">
          <w:rPr>
            <w:noProof/>
          </w:rPr>
          <w:t>4</w:t>
        </w:r>
      </w:fldSimple>
      <w:bookmarkEnd w:id="170"/>
      <w:r>
        <w:tab/>
      </w:r>
      <w:r w:rsidRPr="00B97284">
        <w:t>Change in hourly rates, Social and Community Services Employees</w:t>
      </w:r>
      <w:r w:rsidRPr="0048349D">
        <w:t xml:space="preserve">, </w:t>
      </w:r>
      <w:r w:rsidRPr="00B97284">
        <w:t>full and part time</w:t>
      </w:r>
      <w:r w:rsidRPr="0048349D">
        <w:t xml:space="preserve"> (ACT)</w:t>
      </w:r>
      <w:r w:rsidRPr="00B97284">
        <w:t>, 2014-2021</w:t>
      </w:r>
      <w:bookmarkEnd w:id="171"/>
      <w:bookmarkEnd w:id="172"/>
      <w:r w:rsidRPr="00B97284">
        <w:t xml:space="preserve"> </w:t>
      </w:r>
    </w:p>
    <w:p w14:paraId="64FD95A5" w14:textId="40AF4F69" w:rsidR="00DD5439" w:rsidRDefault="00DD5439" w:rsidP="00CF54EA">
      <w:pPr>
        <w:pStyle w:val="BodyText"/>
      </w:pPr>
      <w:r>
        <w:rPr>
          <w:noProof/>
        </w:rPr>
        <w:drawing>
          <wp:inline distT="0" distB="0" distL="0" distR="0" wp14:anchorId="2086537A" wp14:editId="5B75E548">
            <wp:extent cx="6137910" cy="3200400"/>
            <wp:effectExtent l="0" t="0" r="0" b="0"/>
            <wp:docPr id="2" name="Chart 2" descr="Figure C.4 is a line graph depicting the change in hourly rates, social and community services employees, full and part time from 2014 to 2021. The data is displayed as dollar values. &#10;&#10;The graph shows consistent upward trends in all pay areas.">
              <a:extLst xmlns:a="http://schemas.openxmlformats.org/drawingml/2006/main">
                <a:ext uri="{FF2B5EF4-FFF2-40B4-BE49-F238E27FC236}">
                  <a16:creationId xmlns:a16="http://schemas.microsoft.com/office/drawing/2014/main" id="{C0205B2D-8543-433B-8C94-5FAE833B3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1365C2C" w14:textId="7038A32B" w:rsidR="00DD5439" w:rsidRDefault="00DD5439" w:rsidP="00BC643D">
      <w:pPr>
        <w:pStyle w:val="Tablenotes"/>
        <w:ind w:left="0" w:firstLine="0"/>
      </w:pPr>
      <w:r>
        <w:rPr>
          <w:lang w:eastAsia="en-AU"/>
        </w:rPr>
        <w:t>Note: rates are</w:t>
      </w:r>
      <w:r w:rsidRPr="0048349D">
        <w:rPr>
          <w:lang w:eastAsia="en-AU"/>
        </w:rPr>
        <w:t xml:space="preserve"> </w:t>
      </w:r>
      <w:r>
        <w:rPr>
          <w:lang w:eastAsia="en-AU"/>
        </w:rPr>
        <w:t xml:space="preserve">the hourly rates applying from 1 July and 1 December in each year, at </w:t>
      </w:r>
      <w:proofErr w:type="spellStart"/>
      <w:r>
        <w:rPr>
          <w:lang w:eastAsia="en-AU"/>
        </w:rPr>
        <w:t>Paypoint</w:t>
      </w:r>
      <w:proofErr w:type="spellEnd"/>
      <w:r>
        <w:rPr>
          <w:lang w:eastAsia="en-AU"/>
        </w:rPr>
        <w:t xml:space="preserve"> 1 of each level, for a full or part time social and community services employee in the ACT, sourced </w:t>
      </w:r>
      <w:r w:rsidRPr="0048349D">
        <w:rPr>
          <w:lang w:eastAsia="en-AU"/>
        </w:rPr>
        <w:t xml:space="preserve">from </w:t>
      </w:r>
      <w:hyperlink r:id="rId44" w:history="1">
        <w:r w:rsidRPr="0048349D">
          <w:rPr>
            <w:rStyle w:val="Hyperlink"/>
            <w:rFonts w:ascii="Calibri" w:eastAsia="Times New Roman" w:hAnsi="Calibri" w:cs="Calibri"/>
            <w:lang w:eastAsia="en-AU"/>
          </w:rPr>
          <w:t>https://calculate.fairwork.gov.au/FindYourAward</w:t>
        </w:r>
      </w:hyperlink>
    </w:p>
    <w:p w14:paraId="1B59E339" w14:textId="51BCE8FC" w:rsidR="00CF54EA" w:rsidRPr="00840769" w:rsidRDefault="00CF54EA" w:rsidP="00CF54EA">
      <w:pPr>
        <w:pStyle w:val="Captiontable"/>
      </w:pPr>
      <w:bookmarkStart w:id="173" w:name="_Ref88825357"/>
      <w:bookmarkStart w:id="174" w:name="_Toc90019611"/>
      <w:r>
        <w:lastRenderedPageBreak/>
        <w:t xml:space="preserve">Figure </w:t>
      </w:r>
      <w:r w:rsidR="00524CD9">
        <w:t>C</w:t>
      </w:r>
      <w:r>
        <w:t xml:space="preserve">. </w:t>
      </w:r>
      <w:fldSimple w:instr=" SEQ Figure_D. \* ARABIC ">
        <w:r w:rsidR="00E405AF">
          <w:rPr>
            <w:noProof/>
          </w:rPr>
          <w:t>5</w:t>
        </w:r>
      </w:fldSimple>
      <w:bookmarkEnd w:id="173"/>
      <w:r>
        <w:tab/>
      </w:r>
      <w:r>
        <w:rPr>
          <w:noProof/>
        </w:rPr>
        <w:t>Regional I</w:t>
      </w:r>
      <w:r w:rsidR="0072513F">
        <w:rPr>
          <w:noProof/>
        </w:rPr>
        <w:t>nternet Vacancy Index</w:t>
      </w:r>
      <w:r>
        <w:rPr>
          <w:noProof/>
        </w:rPr>
        <w:t xml:space="preserve"> information for community service occupations in the ACT</w:t>
      </w:r>
      <w:bookmarkEnd w:id="174"/>
      <w:r>
        <w:rPr>
          <w:noProof/>
        </w:rPr>
        <w:t xml:space="preserve"> </w:t>
      </w:r>
    </w:p>
    <w:p w14:paraId="626ED181" w14:textId="759583DD" w:rsidR="00CF54EA" w:rsidRDefault="00CF54EA" w:rsidP="00CF54EA">
      <w:pPr>
        <w:pStyle w:val="BodyText"/>
      </w:pPr>
      <w:r>
        <w:rPr>
          <w:noProof/>
        </w:rPr>
        <w:drawing>
          <wp:inline distT="0" distB="0" distL="0" distR="0" wp14:anchorId="478DDC72" wp14:editId="59406687">
            <wp:extent cx="6257925" cy="3307404"/>
            <wp:effectExtent l="0" t="0" r="0" b="7620"/>
            <wp:docPr id="1" name="Chart 1" descr="Figure C.5 is a line graph depicting the regional internet vacancy index information for community service occupations in the ACT from 2010 to 2020. &#10;&#10;The majority of the data trends upwards during the time period. ">
              <a:extLst xmlns:a="http://schemas.openxmlformats.org/drawingml/2006/main">
                <a:ext uri="{FF2B5EF4-FFF2-40B4-BE49-F238E27FC236}">
                  <a16:creationId xmlns:a16="http://schemas.microsoft.com/office/drawing/2014/main" id="{5ADA34F3-04F7-4D99-B357-F363A9265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B04D5">
        <w:rPr>
          <w:sz w:val="18"/>
          <w:szCs w:val="18"/>
        </w:rPr>
        <w:t xml:space="preserve">Source: </w:t>
      </w:r>
      <w:hyperlink r:id="rId46" w:history="1">
        <w:r w:rsidRPr="005B04D5">
          <w:rPr>
            <w:sz w:val="18"/>
            <w:szCs w:val="18"/>
          </w:rPr>
          <w:t>https://lmip.gov.au/default.aspx?LMIP/GainInsights/VacancyReport</w:t>
        </w:r>
      </w:hyperlink>
      <w:r w:rsidRPr="005B04D5">
        <w:rPr>
          <w:sz w:val="18"/>
          <w:szCs w:val="18"/>
        </w:rPr>
        <w:t xml:space="preserve">, downloaded October 2021. </w:t>
      </w:r>
      <w:r w:rsidR="00AC7FF9">
        <w:rPr>
          <w:sz w:val="18"/>
          <w:szCs w:val="18"/>
        </w:rPr>
        <w:t xml:space="preserve">The Internet Vacancy Index sources information from the </w:t>
      </w:r>
      <w:r w:rsidRPr="005B04D5">
        <w:rPr>
          <w:sz w:val="18"/>
          <w:szCs w:val="18"/>
        </w:rPr>
        <w:t>three major job boards.</w:t>
      </w:r>
      <w:r>
        <w:t xml:space="preserve"> </w:t>
      </w:r>
    </w:p>
    <w:p w14:paraId="08491BB8" w14:textId="59AB1102" w:rsidR="00B43111" w:rsidRPr="001349AD" w:rsidRDefault="00A31228" w:rsidP="00A31228">
      <w:pPr>
        <w:pStyle w:val="Caption"/>
      </w:pPr>
      <w:bookmarkStart w:id="175" w:name="_Ref88832100"/>
      <w:bookmarkStart w:id="176" w:name="_Toc90019612"/>
      <w:r>
        <w:t xml:space="preserve">Figure </w:t>
      </w:r>
      <w:r w:rsidR="00524CD9">
        <w:t>C</w:t>
      </w:r>
      <w:r>
        <w:t xml:space="preserve">. </w:t>
      </w:r>
      <w:fldSimple w:instr=" SEQ Figure_D. \* ARABIC ">
        <w:r w:rsidR="00E405AF">
          <w:rPr>
            <w:noProof/>
          </w:rPr>
          <w:t>6</w:t>
        </w:r>
      </w:fldSimple>
      <w:bookmarkEnd w:id="175"/>
      <w:r>
        <w:tab/>
      </w:r>
      <w:r w:rsidR="00B43111">
        <w:t>Perspectives on coverage of infrastructure costs</w:t>
      </w:r>
      <w:bookmarkEnd w:id="176"/>
    </w:p>
    <w:p w14:paraId="77B908A7" w14:textId="62DC0C70" w:rsidR="00B43111" w:rsidRDefault="00B43111" w:rsidP="00B43111">
      <w:pPr>
        <w:pStyle w:val="BodyText"/>
        <w:rPr>
          <w:sz w:val="18"/>
          <w:szCs w:val="18"/>
        </w:rPr>
      </w:pPr>
      <w:r>
        <w:rPr>
          <w:noProof/>
        </w:rPr>
        <w:drawing>
          <wp:inline distT="0" distB="0" distL="0" distR="0" wp14:anchorId="108DF252" wp14:editId="419CCB9F">
            <wp:extent cx="6048375" cy="4435812"/>
            <wp:effectExtent l="0" t="0" r="0" b="3175"/>
            <wp:docPr id="8" name="Chart 8" descr="Figure C.6 is a bar graph depicting the perspectives on coverage of infrastructure costs as percentages. &#10;&#10;The graph is consistent across all areas, with a trend towards the costs being adequately funded or underfunded. ">
              <a:extLst xmlns:a="http://schemas.openxmlformats.org/drawingml/2006/main">
                <a:ext uri="{FF2B5EF4-FFF2-40B4-BE49-F238E27FC236}">
                  <a16:creationId xmlns:a16="http://schemas.microsoft.com/office/drawing/2014/main" id="{388599DC-80E2-45D6-9861-903F89CAB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54250">
        <w:rPr>
          <w:sz w:val="18"/>
          <w:szCs w:val="18"/>
        </w:rPr>
        <w:t xml:space="preserve"> Source: ACT Service Costing Survey, 2021</w:t>
      </w:r>
    </w:p>
    <w:p w14:paraId="2F2B0EBF" w14:textId="3B2A3ED6" w:rsidR="00FF1F45" w:rsidRPr="00927A34" w:rsidRDefault="00EA6EED" w:rsidP="00AC7FF9">
      <w:pPr>
        <w:pStyle w:val="Captiontable"/>
      </w:pPr>
      <w:bookmarkStart w:id="177" w:name="_Ref88832149"/>
      <w:bookmarkStart w:id="178" w:name="_Toc90019613"/>
      <w:r>
        <w:lastRenderedPageBreak/>
        <w:t xml:space="preserve">Figure </w:t>
      </w:r>
      <w:r w:rsidR="00524CD9">
        <w:t>C</w:t>
      </w:r>
      <w:r>
        <w:t xml:space="preserve">. </w:t>
      </w:r>
      <w:fldSimple w:instr=" SEQ Figure_D. \* ARABIC ">
        <w:r w:rsidR="00E405AF">
          <w:rPr>
            <w:noProof/>
          </w:rPr>
          <w:t>7</w:t>
        </w:r>
      </w:fldSimple>
      <w:bookmarkEnd w:id="177"/>
      <w:r>
        <w:tab/>
      </w:r>
      <w:r w:rsidR="00FF1F45">
        <w:t>Perspectives on coverage of evaluation, reporting and governance related costs</w:t>
      </w:r>
      <w:bookmarkEnd w:id="178"/>
    </w:p>
    <w:p w14:paraId="06534C04" w14:textId="77777777" w:rsidR="007506E7" w:rsidRDefault="00FF1F45" w:rsidP="00AC7FF9">
      <w:pPr>
        <w:pStyle w:val="BodyText"/>
        <w:rPr>
          <w:sz w:val="18"/>
          <w:szCs w:val="18"/>
        </w:rPr>
      </w:pPr>
      <w:r>
        <w:rPr>
          <w:noProof/>
        </w:rPr>
        <w:drawing>
          <wp:inline distT="0" distB="0" distL="0" distR="0" wp14:anchorId="0059481E" wp14:editId="18530F2E">
            <wp:extent cx="5698672" cy="3107055"/>
            <wp:effectExtent l="0" t="0" r="0" b="0"/>
            <wp:docPr id="42" name="Chart 42" descr="Figure C. 7 is a bar graph depicting the perspectives on coverage of evaluation, reporting and governance related costs as percentage figures. &#10;&#10;The graph highlights the majority perspective on these costs is they are not funded. ">
              <a:extLst xmlns:a="http://schemas.openxmlformats.org/drawingml/2006/main">
                <a:ext uri="{FF2B5EF4-FFF2-40B4-BE49-F238E27FC236}">
                  <a16:creationId xmlns:a16="http://schemas.microsoft.com/office/drawing/2014/main" id="{C6EDB000-BDC0-404A-B7BF-DAB05008A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5C0516">
        <w:rPr>
          <w:sz w:val="18"/>
          <w:szCs w:val="18"/>
        </w:rPr>
        <w:t xml:space="preserve"> </w:t>
      </w:r>
    </w:p>
    <w:p w14:paraId="21E1700F" w14:textId="68180754" w:rsidR="00FF1F45" w:rsidRDefault="00FF1F45" w:rsidP="00AC7FF9">
      <w:pPr>
        <w:pStyle w:val="BodyText"/>
        <w:rPr>
          <w:sz w:val="18"/>
          <w:szCs w:val="18"/>
        </w:rPr>
      </w:pPr>
      <w:r w:rsidRPr="00AC7FF9">
        <w:rPr>
          <w:sz w:val="18"/>
          <w:szCs w:val="18"/>
        </w:rPr>
        <w:t>Source: ACT Service Costing Survey, 2021</w:t>
      </w:r>
    </w:p>
    <w:p w14:paraId="7CDDFF06" w14:textId="77777777" w:rsidR="002507AB" w:rsidRPr="00AC7FF9" w:rsidRDefault="002507AB" w:rsidP="001A1993">
      <w:pPr>
        <w:pStyle w:val="BodyText"/>
      </w:pPr>
    </w:p>
    <w:p w14:paraId="7238A69D" w14:textId="03E55069" w:rsidR="006D5D21" w:rsidRPr="006D5D21" w:rsidRDefault="007506E7" w:rsidP="001A1993">
      <w:pPr>
        <w:pStyle w:val="Captiontable"/>
      </w:pPr>
      <w:bookmarkStart w:id="179" w:name="_Ref89756563"/>
      <w:bookmarkStart w:id="180" w:name="_Toc90019614"/>
      <w:r>
        <w:t xml:space="preserve">Figure C. </w:t>
      </w:r>
      <w:fldSimple w:instr=" SEQ Figure_D. \* ARABIC ">
        <w:r w:rsidR="00E405AF">
          <w:rPr>
            <w:noProof/>
          </w:rPr>
          <w:t>8</w:t>
        </w:r>
      </w:fldSimple>
      <w:bookmarkEnd w:id="179"/>
      <w:r>
        <w:tab/>
      </w:r>
      <w:r w:rsidR="006D5D21">
        <w:t>P</w:t>
      </w:r>
      <w:r w:rsidR="006D5D21" w:rsidRPr="006D5D21">
        <w:t xml:space="preserve">ercentage </w:t>
      </w:r>
      <w:r w:rsidR="006D5D21">
        <w:t xml:space="preserve">increase </w:t>
      </w:r>
      <w:r w:rsidR="006D5D21" w:rsidRPr="006D5D21">
        <w:t xml:space="preserve">in </w:t>
      </w:r>
      <w:r w:rsidR="006D5D21">
        <w:t xml:space="preserve">SCHADS award </w:t>
      </w:r>
      <w:r w:rsidR="006D5D21" w:rsidRPr="006D5D21">
        <w:t>rates</w:t>
      </w:r>
      <w:r w:rsidR="006D5D21">
        <w:t xml:space="preserve"> resulting from Annual Wage Review</w:t>
      </w:r>
      <w:r w:rsidR="006D5D21" w:rsidRPr="006D5D21">
        <w:t>, and Community Sector Funding Rate, 2014-15 to 2020-21</w:t>
      </w:r>
      <w:bookmarkEnd w:id="180"/>
    </w:p>
    <w:p w14:paraId="47971754" w14:textId="2F5FD885" w:rsidR="007506E7" w:rsidRDefault="007506E7" w:rsidP="001A1993">
      <w:pPr>
        <w:pStyle w:val="BodyText"/>
      </w:pPr>
      <w:bookmarkStart w:id="181" w:name="_Ref88832853"/>
      <w:r>
        <w:rPr>
          <w:noProof/>
        </w:rPr>
        <w:drawing>
          <wp:inline distT="0" distB="0" distL="0" distR="0" wp14:anchorId="0B024208" wp14:editId="5C308910">
            <wp:extent cx="6195695" cy="3308279"/>
            <wp:effectExtent l="0" t="0" r="0" b="6985"/>
            <wp:docPr id="5" name="Chart 5" descr="Figure C.8 is a vertical bar and line graph depicting the percentage increase in SCHADS award rates resulting from Annual Wage Review and Community Sector funding rate in 2014 and 2021. ">
              <a:extLst xmlns:a="http://schemas.openxmlformats.org/drawingml/2006/main">
                <a:ext uri="{FF2B5EF4-FFF2-40B4-BE49-F238E27FC236}">
                  <a16:creationId xmlns:a16="http://schemas.microsoft.com/office/drawing/2014/main" id="{342279A0-1E87-457A-B9AF-F2903DB11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8BD5F99" w14:textId="6427A0E2" w:rsidR="007506E7" w:rsidRPr="00BC643D" w:rsidRDefault="006D5D21" w:rsidP="00925960">
      <w:pPr>
        <w:pStyle w:val="Tablenotes"/>
      </w:pPr>
      <w:r w:rsidRPr="00BC643D">
        <w:t xml:space="preserve">Source: </w:t>
      </w:r>
      <w:hyperlink r:id="rId50" w:history="1">
        <w:r w:rsidRPr="00BC643D">
          <w:rPr>
            <w:rStyle w:val="Hyperlink"/>
            <w:color w:val="000000"/>
            <w:u w:val="none"/>
          </w:rPr>
          <w:t>https://calculate.fairwork.gov.au/FindYourAward</w:t>
        </w:r>
      </w:hyperlink>
      <w:r w:rsidRPr="00BC643D">
        <w:t xml:space="preserve">. </w:t>
      </w:r>
    </w:p>
    <w:p w14:paraId="20B4CAE2" w14:textId="701F21A7" w:rsidR="006D5D21" w:rsidRDefault="006D5D21" w:rsidP="001A1993">
      <w:pPr>
        <w:pStyle w:val="BodyText"/>
      </w:pPr>
    </w:p>
    <w:p w14:paraId="755AE8E5" w14:textId="77777777" w:rsidR="001A1993" w:rsidRPr="006D5D21" w:rsidRDefault="001A1993" w:rsidP="001A1993">
      <w:pPr>
        <w:pStyle w:val="BodyText"/>
      </w:pPr>
    </w:p>
    <w:p w14:paraId="383F03D7" w14:textId="35596EDA" w:rsidR="00FF1F45" w:rsidRPr="00927A34" w:rsidRDefault="00EA6EED" w:rsidP="00925960">
      <w:pPr>
        <w:pStyle w:val="Captiontable"/>
      </w:pPr>
      <w:bookmarkStart w:id="182" w:name="_Ref90019858"/>
      <w:bookmarkStart w:id="183" w:name="_Toc90019615"/>
      <w:r>
        <w:lastRenderedPageBreak/>
        <w:t xml:space="preserve">Figure </w:t>
      </w:r>
      <w:r w:rsidR="00524CD9">
        <w:t>C</w:t>
      </w:r>
      <w:r>
        <w:t xml:space="preserve">. </w:t>
      </w:r>
      <w:fldSimple w:instr=" SEQ Figure_D. \* ARABIC ">
        <w:r w:rsidR="00E405AF">
          <w:rPr>
            <w:noProof/>
          </w:rPr>
          <w:t>9</w:t>
        </w:r>
      </w:fldSimple>
      <w:bookmarkEnd w:id="181"/>
      <w:bookmarkEnd w:id="182"/>
      <w:r>
        <w:tab/>
      </w:r>
      <w:r w:rsidR="00FF1F45">
        <w:t>Main considerations when applying for ACT Government funding</w:t>
      </w:r>
      <w:bookmarkEnd w:id="183"/>
    </w:p>
    <w:p w14:paraId="17A3F3A1" w14:textId="6C8931E7" w:rsidR="00FF1F45" w:rsidRDefault="00FF1F45" w:rsidP="00925960">
      <w:pPr>
        <w:pStyle w:val="Tablenotes"/>
      </w:pPr>
      <w:r>
        <w:rPr>
          <w:noProof/>
        </w:rPr>
        <w:drawing>
          <wp:inline distT="0" distB="0" distL="0" distR="0" wp14:anchorId="5A2437F0" wp14:editId="745BC8CF">
            <wp:extent cx="6120130" cy="3501813"/>
            <wp:effectExtent l="0" t="0" r="0" b="3810"/>
            <wp:docPr id="46" name="Chart 46" descr="Figure C.9 is a horizontal bar graph depicting the main considerations when applying for ACT Government funding as percentages. &#10;&#10;It shows the majority consider delivering services aligned to their organisation's mission, and ensuring users get the highest quality services as the main considerations. ">
              <a:extLst xmlns:a="http://schemas.openxmlformats.org/drawingml/2006/main">
                <a:ext uri="{FF2B5EF4-FFF2-40B4-BE49-F238E27FC236}">
                  <a16:creationId xmlns:a16="http://schemas.microsoft.com/office/drawing/2014/main" id="{237667C6-6A39-4AB6-A68A-0E7A4AC6A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554250">
        <w:t>Source: ACT Service Costing Survey, 2021</w:t>
      </w:r>
    </w:p>
    <w:p w14:paraId="5CFF3C1C" w14:textId="77777777" w:rsidR="009E1CA4" w:rsidRDefault="009E1CA4" w:rsidP="001A1993">
      <w:pPr>
        <w:pStyle w:val="BodyText"/>
      </w:pPr>
    </w:p>
    <w:p w14:paraId="5653A965" w14:textId="29DB33A1" w:rsidR="00FF1F45" w:rsidRDefault="00EA6EED" w:rsidP="00FF1F45">
      <w:pPr>
        <w:pStyle w:val="Caption"/>
      </w:pPr>
      <w:bookmarkStart w:id="184" w:name="_Toc90019616"/>
      <w:r>
        <w:t xml:space="preserve">Figure </w:t>
      </w:r>
      <w:r w:rsidR="00524CD9">
        <w:t>C</w:t>
      </w:r>
      <w:r>
        <w:t xml:space="preserve">. </w:t>
      </w:r>
      <w:fldSimple w:instr=" SEQ Figure_D. \* ARABIC ">
        <w:r w:rsidR="00E405AF">
          <w:rPr>
            <w:noProof/>
          </w:rPr>
          <w:t>10</w:t>
        </w:r>
      </w:fldSimple>
      <w:r>
        <w:tab/>
      </w:r>
      <w:r w:rsidR="00FF1F45" w:rsidRPr="00186264">
        <w:t xml:space="preserve">In the last three years, which of these </w:t>
      </w:r>
      <w:r w:rsidR="00FF1F45">
        <w:t xml:space="preserve">staffing and service delivery </w:t>
      </w:r>
      <w:r w:rsidR="00FF1F45" w:rsidRPr="00186264">
        <w:t>strategies have been used by your service to help manage your ACT government funding?</w:t>
      </w:r>
      <w:bookmarkEnd w:id="184"/>
    </w:p>
    <w:p w14:paraId="3CE39EB1" w14:textId="21189F00" w:rsidR="00FF1F45" w:rsidRDefault="00FF1F45" w:rsidP="00FF1F45">
      <w:pPr>
        <w:pStyle w:val="BodyText"/>
        <w:rPr>
          <w:sz w:val="18"/>
          <w:szCs w:val="18"/>
        </w:rPr>
      </w:pPr>
      <w:r>
        <w:rPr>
          <w:noProof/>
        </w:rPr>
        <w:drawing>
          <wp:inline distT="0" distB="0" distL="0" distR="0" wp14:anchorId="6F80AE7C" wp14:editId="4229E611">
            <wp:extent cx="6120130" cy="3277772"/>
            <wp:effectExtent l="0" t="0" r="0" b="0"/>
            <wp:docPr id="48" name="Chart 48" descr="Figure C.10  is a vertical bar graph which depicts the strategies used by organisations to help manage ACT  government funding. &#10;&#10;It highlights the main strategy is to 'encourage staff to find creative solutions to overcome resource constraints'. ">
              <a:extLst xmlns:a="http://schemas.openxmlformats.org/drawingml/2006/main">
                <a:ext uri="{FF2B5EF4-FFF2-40B4-BE49-F238E27FC236}">
                  <a16:creationId xmlns:a16="http://schemas.microsoft.com/office/drawing/2014/main" id="{9678A747-63F1-4B84-8F3A-600AB7292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554250">
        <w:rPr>
          <w:sz w:val="18"/>
          <w:szCs w:val="18"/>
        </w:rPr>
        <w:t>Source: ACT Service Costing Survey, 2021</w:t>
      </w:r>
    </w:p>
    <w:p w14:paraId="48987CC5" w14:textId="77777777" w:rsidR="00FF1F45" w:rsidRDefault="00FF1F45" w:rsidP="00FF1F45">
      <w:pPr>
        <w:pStyle w:val="BodyText"/>
      </w:pPr>
    </w:p>
    <w:p w14:paraId="034BCB04" w14:textId="1AF01123" w:rsidR="00FF1F45" w:rsidRDefault="00EA6EED" w:rsidP="00FF1F45">
      <w:pPr>
        <w:pStyle w:val="Caption"/>
      </w:pPr>
      <w:bookmarkStart w:id="185" w:name="_Toc90019617"/>
      <w:r>
        <w:lastRenderedPageBreak/>
        <w:t xml:space="preserve">Figure </w:t>
      </w:r>
      <w:r w:rsidR="00524CD9">
        <w:t>C</w:t>
      </w:r>
      <w:r>
        <w:t xml:space="preserve">. </w:t>
      </w:r>
      <w:fldSimple w:instr=" SEQ Figure_D. \* ARABIC ">
        <w:r w:rsidR="00E405AF">
          <w:rPr>
            <w:noProof/>
          </w:rPr>
          <w:t>11</w:t>
        </w:r>
      </w:fldSimple>
      <w:r>
        <w:tab/>
      </w:r>
      <w:r w:rsidR="00FF1F45" w:rsidRPr="00186264">
        <w:t>In the last three years, which of these financial strategies have been used by your service to help manage your ACT government funding?</w:t>
      </w:r>
      <w:bookmarkEnd w:id="185"/>
    </w:p>
    <w:p w14:paraId="66589608" w14:textId="74839A07" w:rsidR="00FF1F45" w:rsidRDefault="00FF1F45" w:rsidP="00FF1F45">
      <w:r>
        <w:rPr>
          <w:noProof/>
        </w:rPr>
        <w:drawing>
          <wp:inline distT="0" distB="0" distL="0" distR="0" wp14:anchorId="00E4CDC4" wp14:editId="027D393F">
            <wp:extent cx="6308521" cy="3980815"/>
            <wp:effectExtent l="0" t="0" r="0" b="635"/>
            <wp:docPr id="49" name="Chart 49" descr="Figure C. 11 is a horizontal bar graph depicting the strategies used by services to mange ACT government funding. ">
              <a:extLst xmlns:a="http://schemas.openxmlformats.org/drawingml/2006/main">
                <a:ext uri="{FF2B5EF4-FFF2-40B4-BE49-F238E27FC236}">
                  <a16:creationId xmlns:a16="http://schemas.microsoft.com/office/drawing/2014/main" id="{66E37A94-AEBA-41E3-86D4-627A0FDA9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554250">
        <w:rPr>
          <w:sz w:val="18"/>
          <w:szCs w:val="18"/>
        </w:rPr>
        <w:t>Source: ACT Service Costing Survey, 2021</w:t>
      </w:r>
    </w:p>
    <w:p w14:paraId="0F179B66" w14:textId="77777777" w:rsidR="00D05D9D" w:rsidRPr="00D05D9D" w:rsidRDefault="00D05D9D" w:rsidP="00D05D9D">
      <w:pPr>
        <w:pStyle w:val="BodyText"/>
      </w:pPr>
    </w:p>
    <w:p w14:paraId="1BC28861" w14:textId="2E9179C3" w:rsidR="00FF1F45" w:rsidRPr="00FF1F45" w:rsidRDefault="00FF1F45" w:rsidP="00FF1F45">
      <w:pPr>
        <w:pStyle w:val="BodyText"/>
        <w:rPr>
          <w:b/>
          <w:bCs/>
          <w:sz w:val="28"/>
          <w:szCs w:val="28"/>
        </w:rPr>
      </w:pPr>
      <w:r w:rsidRPr="00FF1F45">
        <w:rPr>
          <w:b/>
          <w:bCs/>
          <w:sz w:val="28"/>
          <w:szCs w:val="28"/>
        </w:rPr>
        <w:t>Tables</w:t>
      </w:r>
    </w:p>
    <w:p w14:paraId="567CB421" w14:textId="1DFF5868" w:rsidR="009851A2" w:rsidRDefault="00EA6EED" w:rsidP="00EA6EED">
      <w:pPr>
        <w:pStyle w:val="Caption"/>
      </w:pPr>
      <w:bookmarkStart w:id="186" w:name="_Ref88835351"/>
      <w:bookmarkStart w:id="187" w:name="_Ref87987740"/>
      <w:bookmarkStart w:id="188" w:name="_Toc90020073"/>
      <w:r>
        <w:t xml:space="preserve">Table </w:t>
      </w:r>
      <w:r w:rsidR="00524CD9">
        <w:t>C</w:t>
      </w:r>
      <w:r>
        <w:t xml:space="preserve">. </w:t>
      </w:r>
      <w:fldSimple w:instr=" SEQ Table_D. \* ARABIC ">
        <w:r w:rsidR="00E405AF">
          <w:rPr>
            <w:noProof/>
          </w:rPr>
          <w:t>1</w:t>
        </w:r>
      </w:fldSimple>
      <w:bookmarkEnd w:id="186"/>
      <w:r>
        <w:tab/>
      </w:r>
      <w:r w:rsidR="009851A2">
        <w:t xml:space="preserve">Approximate proportion of organisations’ total annual income which came from each source in </w:t>
      </w:r>
      <w:r w:rsidR="009851A2" w:rsidRPr="005F3178">
        <w:t>2020-2021</w:t>
      </w:r>
      <w:r w:rsidR="009851A2">
        <w:t>, mean and median, by main ACT funding source</w:t>
      </w:r>
      <w:bookmarkEnd w:id="187"/>
      <w:bookmarkEnd w:id="188"/>
    </w:p>
    <w:tbl>
      <w:tblPr>
        <w:tblStyle w:val="Style3"/>
        <w:tblW w:w="4994" w:type="pct"/>
        <w:tblLayout w:type="fixed"/>
        <w:tblLook w:val="04A0" w:firstRow="1" w:lastRow="0" w:firstColumn="1" w:lastColumn="0" w:noHBand="0" w:noVBand="1"/>
      </w:tblPr>
      <w:tblGrid>
        <w:gridCol w:w="2008"/>
        <w:gridCol w:w="1005"/>
        <w:gridCol w:w="1009"/>
        <w:gridCol w:w="10"/>
        <w:gridCol w:w="999"/>
        <w:gridCol w:w="976"/>
        <w:gridCol w:w="18"/>
        <w:gridCol w:w="847"/>
        <w:gridCol w:w="1007"/>
        <w:gridCol w:w="18"/>
        <w:gridCol w:w="841"/>
        <w:gridCol w:w="1003"/>
        <w:gridCol w:w="18"/>
      </w:tblGrid>
      <w:tr w:rsidR="009851A2" w:rsidRPr="005F3178" w14:paraId="3E9BA648" w14:textId="77777777" w:rsidTr="00323C9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091734A0" w14:textId="77777777" w:rsidR="009851A2" w:rsidRPr="005F3178" w:rsidRDefault="009851A2" w:rsidP="00323C97">
            <w:pPr>
              <w:autoSpaceDE/>
              <w:autoSpaceDN/>
              <w:adjustRightInd/>
              <w:spacing w:after="0"/>
              <w:ind w:right="0"/>
              <w:jc w:val="center"/>
              <w:rPr>
                <w:rFonts w:ascii="Calibri" w:eastAsia="Times New Roman" w:hAnsi="Calibri" w:cs="Calibri"/>
                <w:b/>
                <w:bCs/>
                <w:color w:val="FFFFFF" w:themeColor="background1"/>
                <w:sz w:val="22"/>
                <w:szCs w:val="22"/>
                <w:lang w:eastAsia="en-AU"/>
              </w:rPr>
            </w:pPr>
          </w:p>
        </w:tc>
        <w:tc>
          <w:tcPr>
            <w:tcW w:w="1037" w:type="pct"/>
            <w:gridSpan w:val="3"/>
            <w:noWrap/>
            <w:hideMark/>
          </w:tcPr>
          <w:p w14:paraId="5A4AA169" w14:textId="77777777" w:rsidR="009851A2" w:rsidRPr="005F3178" w:rsidRDefault="009851A2" w:rsidP="00323C9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5F3178">
              <w:rPr>
                <w:rFonts w:ascii="Calibri" w:eastAsia="Times New Roman" w:hAnsi="Calibri" w:cs="Calibri"/>
                <w:b/>
                <w:bCs/>
                <w:color w:val="FFFFFF" w:themeColor="background1"/>
                <w:sz w:val="22"/>
                <w:szCs w:val="22"/>
                <w:lang w:eastAsia="en-AU"/>
              </w:rPr>
              <w:t>CSD (n=48)</w:t>
            </w:r>
          </w:p>
        </w:tc>
        <w:tc>
          <w:tcPr>
            <w:tcW w:w="1021" w:type="pct"/>
            <w:gridSpan w:val="3"/>
            <w:noWrap/>
            <w:hideMark/>
          </w:tcPr>
          <w:p w14:paraId="7C1F1753" w14:textId="77777777" w:rsidR="009851A2" w:rsidRPr="005F3178" w:rsidRDefault="009851A2" w:rsidP="00323C9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ACTHD</w:t>
            </w:r>
            <w:r w:rsidRPr="005F3178">
              <w:rPr>
                <w:rFonts w:ascii="Calibri" w:eastAsia="Times New Roman" w:hAnsi="Calibri" w:cs="Calibri"/>
                <w:b/>
                <w:bCs/>
                <w:color w:val="FFFFFF" w:themeColor="background1"/>
                <w:sz w:val="22"/>
                <w:szCs w:val="22"/>
                <w:lang w:eastAsia="en-AU"/>
              </w:rPr>
              <w:t xml:space="preserve"> (n=36)</w:t>
            </w:r>
          </w:p>
        </w:tc>
        <w:tc>
          <w:tcPr>
            <w:tcW w:w="959" w:type="pct"/>
            <w:gridSpan w:val="3"/>
            <w:noWrap/>
            <w:hideMark/>
          </w:tcPr>
          <w:p w14:paraId="4FCED7B8" w14:textId="77777777" w:rsidR="009851A2" w:rsidRPr="005F3178" w:rsidRDefault="009851A2" w:rsidP="00323C9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5F3178">
              <w:rPr>
                <w:rFonts w:ascii="Calibri" w:eastAsia="Times New Roman" w:hAnsi="Calibri" w:cs="Calibri"/>
                <w:b/>
                <w:bCs/>
                <w:color w:val="FFFFFF" w:themeColor="background1"/>
                <w:sz w:val="22"/>
                <w:szCs w:val="22"/>
                <w:lang w:eastAsia="en-AU"/>
              </w:rPr>
              <w:t xml:space="preserve">Other </w:t>
            </w:r>
            <w:r>
              <w:rPr>
                <w:rFonts w:ascii="Calibri" w:eastAsia="Times New Roman" w:hAnsi="Calibri" w:cs="Calibri"/>
                <w:b/>
                <w:bCs/>
                <w:color w:val="FFFFFF" w:themeColor="background1"/>
                <w:sz w:val="22"/>
                <w:szCs w:val="22"/>
                <w:lang w:eastAsia="en-AU"/>
              </w:rPr>
              <w:t xml:space="preserve">Directorate </w:t>
            </w:r>
            <w:r w:rsidRPr="005F3178">
              <w:rPr>
                <w:rFonts w:ascii="Calibri" w:eastAsia="Times New Roman" w:hAnsi="Calibri" w:cs="Calibri"/>
                <w:b/>
                <w:bCs/>
                <w:color w:val="FFFFFF" w:themeColor="background1"/>
                <w:sz w:val="22"/>
                <w:szCs w:val="22"/>
                <w:lang w:eastAsia="en-AU"/>
              </w:rPr>
              <w:t>(n=4)</w:t>
            </w:r>
          </w:p>
        </w:tc>
        <w:tc>
          <w:tcPr>
            <w:tcW w:w="954" w:type="pct"/>
            <w:gridSpan w:val="3"/>
            <w:noWrap/>
            <w:hideMark/>
          </w:tcPr>
          <w:p w14:paraId="4D367E64" w14:textId="77777777" w:rsidR="009851A2" w:rsidRPr="005F3178" w:rsidRDefault="009851A2" w:rsidP="00323C9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5F3178">
              <w:rPr>
                <w:rFonts w:ascii="Calibri" w:eastAsia="Times New Roman" w:hAnsi="Calibri" w:cs="Calibri"/>
                <w:b/>
                <w:bCs/>
                <w:color w:val="FFFFFF" w:themeColor="background1"/>
                <w:sz w:val="22"/>
                <w:szCs w:val="22"/>
                <w:lang w:eastAsia="en-AU"/>
              </w:rPr>
              <w:t>All (n=88)</w:t>
            </w:r>
          </w:p>
        </w:tc>
      </w:tr>
      <w:tr w:rsidR="009851A2" w:rsidRPr="005F3178" w14:paraId="68EFF0AB" w14:textId="77777777" w:rsidTr="00323C9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7446FDD5" w14:textId="77777777" w:rsidR="009851A2" w:rsidRPr="005F3178" w:rsidRDefault="009851A2" w:rsidP="00323C97">
            <w:pPr>
              <w:autoSpaceDE/>
              <w:autoSpaceDN/>
              <w:adjustRightInd/>
              <w:spacing w:after="0"/>
              <w:ind w:right="0"/>
              <w:jc w:val="right"/>
              <w:rPr>
                <w:rFonts w:ascii="Calibri" w:eastAsia="Times New Roman" w:hAnsi="Calibri" w:cs="Calibri"/>
                <w:sz w:val="22"/>
                <w:szCs w:val="22"/>
                <w:lang w:eastAsia="en-AU"/>
              </w:rPr>
            </w:pPr>
          </w:p>
        </w:tc>
        <w:tc>
          <w:tcPr>
            <w:tcW w:w="515" w:type="pct"/>
            <w:noWrap/>
            <w:hideMark/>
          </w:tcPr>
          <w:p w14:paraId="6284C0E0"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Mean</w:t>
            </w:r>
            <w:r>
              <w:rPr>
                <w:rFonts w:ascii="Calibri" w:eastAsia="Times New Roman" w:hAnsi="Calibri" w:cs="Calibri"/>
                <w:sz w:val="22"/>
                <w:szCs w:val="22"/>
                <w:lang w:eastAsia="en-AU"/>
              </w:rPr>
              <w:t xml:space="preserve"> (%)</w:t>
            </w:r>
          </w:p>
        </w:tc>
        <w:tc>
          <w:tcPr>
            <w:tcW w:w="517" w:type="pct"/>
            <w:noWrap/>
            <w:hideMark/>
          </w:tcPr>
          <w:p w14:paraId="19E82BD1"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Median</w:t>
            </w:r>
            <w:r>
              <w:rPr>
                <w:rFonts w:ascii="Calibri" w:eastAsia="Times New Roman" w:hAnsi="Calibri" w:cs="Calibri"/>
                <w:sz w:val="22"/>
                <w:szCs w:val="22"/>
                <w:lang w:eastAsia="en-AU"/>
              </w:rPr>
              <w:t xml:space="preserve"> (%)</w:t>
            </w:r>
          </w:p>
        </w:tc>
        <w:tc>
          <w:tcPr>
            <w:tcW w:w="517" w:type="pct"/>
            <w:gridSpan w:val="2"/>
            <w:noWrap/>
            <w:hideMark/>
          </w:tcPr>
          <w:p w14:paraId="7AE5AD9D"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Mean</w:t>
            </w:r>
            <w:r>
              <w:rPr>
                <w:rFonts w:ascii="Calibri" w:eastAsia="Times New Roman" w:hAnsi="Calibri" w:cs="Calibri"/>
                <w:sz w:val="22"/>
                <w:szCs w:val="22"/>
                <w:lang w:eastAsia="en-AU"/>
              </w:rPr>
              <w:t xml:space="preserve"> (%)</w:t>
            </w:r>
          </w:p>
        </w:tc>
        <w:tc>
          <w:tcPr>
            <w:tcW w:w="500" w:type="pct"/>
            <w:noWrap/>
            <w:hideMark/>
          </w:tcPr>
          <w:p w14:paraId="5842652E"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Median</w:t>
            </w:r>
            <w:r>
              <w:rPr>
                <w:rFonts w:ascii="Calibri" w:eastAsia="Times New Roman" w:hAnsi="Calibri" w:cs="Calibri"/>
                <w:sz w:val="22"/>
                <w:szCs w:val="22"/>
                <w:lang w:eastAsia="en-AU"/>
              </w:rPr>
              <w:t xml:space="preserve"> (%)</w:t>
            </w:r>
          </w:p>
        </w:tc>
        <w:tc>
          <w:tcPr>
            <w:tcW w:w="443" w:type="pct"/>
            <w:gridSpan w:val="2"/>
            <w:noWrap/>
            <w:hideMark/>
          </w:tcPr>
          <w:p w14:paraId="06308D60"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Mean</w:t>
            </w:r>
            <w:r>
              <w:rPr>
                <w:rFonts w:ascii="Calibri" w:eastAsia="Times New Roman" w:hAnsi="Calibri" w:cs="Calibri"/>
                <w:sz w:val="22"/>
                <w:szCs w:val="22"/>
                <w:lang w:eastAsia="en-AU"/>
              </w:rPr>
              <w:t xml:space="preserve"> (%)</w:t>
            </w:r>
          </w:p>
        </w:tc>
        <w:tc>
          <w:tcPr>
            <w:tcW w:w="516" w:type="pct"/>
            <w:noWrap/>
            <w:hideMark/>
          </w:tcPr>
          <w:p w14:paraId="0FAC526D"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Median</w:t>
            </w:r>
            <w:r>
              <w:rPr>
                <w:rFonts w:ascii="Calibri" w:eastAsia="Times New Roman" w:hAnsi="Calibri" w:cs="Calibri"/>
                <w:sz w:val="22"/>
                <w:szCs w:val="22"/>
                <w:lang w:eastAsia="en-AU"/>
              </w:rPr>
              <w:t xml:space="preserve"> (%)</w:t>
            </w:r>
          </w:p>
        </w:tc>
        <w:tc>
          <w:tcPr>
            <w:tcW w:w="440" w:type="pct"/>
            <w:gridSpan w:val="2"/>
            <w:noWrap/>
            <w:hideMark/>
          </w:tcPr>
          <w:p w14:paraId="60E2DC10"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Mean</w:t>
            </w:r>
            <w:r>
              <w:rPr>
                <w:rFonts w:ascii="Calibri" w:eastAsia="Times New Roman" w:hAnsi="Calibri" w:cs="Calibri"/>
                <w:sz w:val="22"/>
                <w:szCs w:val="22"/>
                <w:lang w:eastAsia="en-AU"/>
              </w:rPr>
              <w:t xml:space="preserve"> (%)</w:t>
            </w:r>
          </w:p>
        </w:tc>
        <w:tc>
          <w:tcPr>
            <w:tcW w:w="514" w:type="pct"/>
            <w:noWrap/>
            <w:hideMark/>
          </w:tcPr>
          <w:p w14:paraId="7A21420D" w14:textId="77777777" w:rsidR="009851A2" w:rsidRPr="005F3178" w:rsidRDefault="009851A2" w:rsidP="00323C9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Median</w:t>
            </w:r>
            <w:r>
              <w:rPr>
                <w:rFonts w:ascii="Calibri" w:eastAsia="Times New Roman" w:hAnsi="Calibri" w:cs="Calibri"/>
                <w:sz w:val="22"/>
                <w:szCs w:val="22"/>
                <w:lang w:eastAsia="en-AU"/>
              </w:rPr>
              <w:t xml:space="preserve"> (%)</w:t>
            </w:r>
          </w:p>
        </w:tc>
      </w:tr>
      <w:tr w:rsidR="009851A2" w:rsidRPr="005F3178" w14:paraId="0F2C7533" w14:textId="77777777" w:rsidTr="00323C97">
        <w:trPr>
          <w:gridAfter w:val="1"/>
          <w:cnfStyle w:val="000000010000" w:firstRow="0" w:lastRow="0" w:firstColumn="0" w:lastColumn="0" w:oddVBand="0" w:evenVBand="0" w:oddHBand="0" w:evenHBand="1"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7F0CB61" w14:textId="77777777" w:rsidR="009851A2" w:rsidRPr="005F3178" w:rsidRDefault="009851A2" w:rsidP="00323C97">
            <w:pPr>
              <w:autoSpaceDE/>
              <w:autoSpaceDN/>
              <w:adjustRightInd/>
              <w:spacing w:after="0"/>
              <w:ind w:right="0"/>
              <w:jc w:val="right"/>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ACT Government funding</w:t>
            </w:r>
          </w:p>
        </w:tc>
        <w:tc>
          <w:tcPr>
            <w:tcW w:w="515" w:type="pct"/>
            <w:noWrap/>
            <w:hideMark/>
          </w:tcPr>
          <w:p w14:paraId="4BB71A5C"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44.0</w:t>
            </w:r>
          </w:p>
        </w:tc>
        <w:tc>
          <w:tcPr>
            <w:tcW w:w="517" w:type="pct"/>
            <w:noWrap/>
            <w:hideMark/>
          </w:tcPr>
          <w:p w14:paraId="4A7B1842"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40.0</w:t>
            </w:r>
          </w:p>
        </w:tc>
        <w:tc>
          <w:tcPr>
            <w:tcW w:w="517" w:type="pct"/>
            <w:gridSpan w:val="2"/>
            <w:noWrap/>
            <w:hideMark/>
          </w:tcPr>
          <w:p w14:paraId="6F5E77D6"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53.7</w:t>
            </w:r>
          </w:p>
        </w:tc>
        <w:tc>
          <w:tcPr>
            <w:tcW w:w="500" w:type="pct"/>
            <w:noWrap/>
            <w:hideMark/>
          </w:tcPr>
          <w:p w14:paraId="1628411C"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62.5</w:t>
            </w:r>
          </w:p>
        </w:tc>
        <w:tc>
          <w:tcPr>
            <w:tcW w:w="443" w:type="pct"/>
            <w:gridSpan w:val="2"/>
            <w:noWrap/>
            <w:hideMark/>
          </w:tcPr>
          <w:p w14:paraId="21568619"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60.8</w:t>
            </w:r>
          </w:p>
        </w:tc>
        <w:tc>
          <w:tcPr>
            <w:tcW w:w="516" w:type="pct"/>
            <w:noWrap/>
            <w:hideMark/>
          </w:tcPr>
          <w:p w14:paraId="0F632608"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70.0</w:t>
            </w:r>
          </w:p>
        </w:tc>
        <w:tc>
          <w:tcPr>
            <w:tcW w:w="440" w:type="pct"/>
            <w:gridSpan w:val="2"/>
            <w:noWrap/>
            <w:hideMark/>
          </w:tcPr>
          <w:p w14:paraId="69B6B62E"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48.8</w:t>
            </w:r>
          </w:p>
        </w:tc>
        <w:tc>
          <w:tcPr>
            <w:tcW w:w="514" w:type="pct"/>
            <w:noWrap/>
            <w:hideMark/>
          </w:tcPr>
          <w:p w14:paraId="2177E22C"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50.0</w:t>
            </w:r>
          </w:p>
        </w:tc>
      </w:tr>
      <w:tr w:rsidR="009851A2" w:rsidRPr="005F3178" w14:paraId="70806DD5" w14:textId="77777777" w:rsidTr="00323C9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3798D662" w14:textId="77777777" w:rsidR="009851A2" w:rsidRPr="005F3178" w:rsidRDefault="009851A2" w:rsidP="00323C97">
            <w:pPr>
              <w:autoSpaceDE/>
              <w:autoSpaceDN/>
              <w:adjustRightInd/>
              <w:spacing w:after="0"/>
              <w:ind w:right="0"/>
              <w:jc w:val="right"/>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Australian Government funding</w:t>
            </w:r>
          </w:p>
        </w:tc>
        <w:tc>
          <w:tcPr>
            <w:tcW w:w="515" w:type="pct"/>
            <w:noWrap/>
            <w:hideMark/>
          </w:tcPr>
          <w:p w14:paraId="7D65318F"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15.4</w:t>
            </w:r>
          </w:p>
        </w:tc>
        <w:tc>
          <w:tcPr>
            <w:tcW w:w="517" w:type="pct"/>
            <w:noWrap/>
            <w:hideMark/>
          </w:tcPr>
          <w:p w14:paraId="2E2B317D"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8.0</w:t>
            </w:r>
          </w:p>
        </w:tc>
        <w:tc>
          <w:tcPr>
            <w:tcW w:w="517" w:type="pct"/>
            <w:gridSpan w:val="2"/>
            <w:noWrap/>
            <w:hideMark/>
          </w:tcPr>
          <w:p w14:paraId="4A1649AC"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19.3</w:t>
            </w:r>
          </w:p>
        </w:tc>
        <w:tc>
          <w:tcPr>
            <w:tcW w:w="500" w:type="pct"/>
            <w:noWrap/>
            <w:hideMark/>
          </w:tcPr>
          <w:p w14:paraId="54152D57"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15.0</w:t>
            </w:r>
          </w:p>
        </w:tc>
        <w:tc>
          <w:tcPr>
            <w:tcW w:w="443" w:type="pct"/>
            <w:gridSpan w:val="2"/>
            <w:noWrap/>
            <w:hideMark/>
          </w:tcPr>
          <w:p w14:paraId="4B7944FC"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7.8</w:t>
            </w:r>
          </w:p>
        </w:tc>
        <w:tc>
          <w:tcPr>
            <w:tcW w:w="516" w:type="pct"/>
            <w:noWrap/>
            <w:hideMark/>
          </w:tcPr>
          <w:p w14:paraId="06586459"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0.5</w:t>
            </w:r>
          </w:p>
        </w:tc>
        <w:tc>
          <w:tcPr>
            <w:tcW w:w="440" w:type="pct"/>
            <w:gridSpan w:val="2"/>
            <w:noWrap/>
            <w:hideMark/>
          </w:tcPr>
          <w:p w14:paraId="080E53EC"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16.6</w:t>
            </w:r>
          </w:p>
        </w:tc>
        <w:tc>
          <w:tcPr>
            <w:tcW w:w="514" w:type="pct"/>
            <w:noWrap/>
            <w:hideMark/>
          </w:tcPr>
          <w:p w14:paraId="28B630F2"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10.0</w:t>
            </w:r>
          </w:p>
        </w:tc>
      </w:tr>
      <w:tr w:rsidR="009851A2" w:rsidRPr="005F3178" w14:paraId="6E118561" w14:textId="77777777" w:rsidTr="00323C97">
        <w:trPr>
          <w:gridAfter w:val="1"/>
          <w:cnfStyle w:val="000000010000" w:firstRow="0" w:lastRow="0" w:firstColumn="0" w:lastColumn="0" w:oddVBand="0" w:evenVBand="0" w:oddHBand="0" w:evenHBand="1"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0A026DE2" w14:textId="77777777" w:rsidR="009851A2" w:rsidRPr="005F3178" w:rsidRDefault="009851A2" w:rsidP="00323C97">
            <w:pPr>
              <w:autoSpaceDE/>
              <w:autoSpaceDN/>
              <w:adjustRightInd/>
              <w:spacing w:after="0"/>
              <w:ind w:right="0"/>
              <w:jc w:val="right"/>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 xml:space="preserve"> Other government funding</w:t>
            </w:r>
          </w:p>
        </w:tc>
        <w:tc>
          <w:tcPr>
            <w:tcW w:w="515" w:type="pct"/>
            <w:noWrap/>
            <w:hideMark/>
          </w:tcPr>
          <w:p w14:paraId="1A3E20FD"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6.6</w:t>
            </w:r>
          </w:p>
        </w:tc>
        <w:tc>
          <w:tcPr>
            <w:tcW w:w="517" w:type="pct"/>
            <w:noWrap/>
            <w:hideMark/>
          </w:tcPr>
          <w:p w14:paraId="5C8451FD"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517" w:type="pct"/>
            <w:gridSpan w:val="2"/>
            <w:noWrap/>
            <w:hideMark/>
          </w:tcPr>
          <w:p w14:paraId="5B4A4D12"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4.6</w:t>
            </w:r>
          </w:p>
        </w:tc>
        <w:tc>
          <w:tcPr>
            <w:tcW w:w="500" w:type="pct"/>
            <w:noWrap/>
            <w:hideMark/>
          </w:tcPr>
          <w:p w14:paraId="4C7B9689"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443" w:type="pct"/>
            <w:gridSpan w:val="2"/>
            <w:noWrap/>
            <w:hideMark/>
          </w:tcPr>
          <w:p w14:paraId="3C4AEE4C"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0.3</w:t>
            </w:r>
          </w:p>
        </w:tc>
        <w:tc>
          <w:tcPr>
            <w:tcW w:w="516" w:type="pct"/>
            <w:noWrap/>
            <w:hideMark/>
          </w:tcPr>
          <w:p w14:paraId="21A49BFF"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440" w:type="pct"/>
            <w:gridSpan w:val="2"/>
            <w:noWrap/>
            <w:hideMark/>
          </w:tcPr>
          <w:p w14:paraId="43015CEE"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5.5</w:t>
            </w:r>
          </w:p>
        </w:tc>
        <w:tc>
          <w:tcPr>
            <w:tcW w:w="514" w:type="pct"/>
            <w:noWrap/>
            <w:hideMark/>
          </w:tcPr>
          <w:p w14:paraId="2656E164"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r>
      <w:tr w:rsidR="009851A2" w:rsidRPr="005F3178" w14:paraId="5656C33C" w14:textId="77777777" w:rsidTr="00323C9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3136C217" w14:textId="77777777" w:rsidR="009851A2" w:rsidRPr="005F3178" w:rsidRDefault="009851A2" w:rsidP="00323C97">
            <w:pPr>
              <w:autoSpaceDE/>
              <w:autoSpaceDN/>
              <w:adjustRightInd/>
              <w:spacing w:after="0"/>
              <w:ind w:right="0"/>
              <w:jc w:val="right"/>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Philanthropy</w:t>
            </w:r>
          </w:p>
        </w:tc>
        <w:tc>
          <w:tcPr>
            <w:tcW w:w="515" w:type="pct"/>
            <w:noWrap/>
            <w:hideMark/>
          </w:tcPr>
          <w:p w14:paraId="1CC0BCE8"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8.4</w:t>
            </w:r>
          </w:p>
        </w:tc>
        <w:tc>
          <w:tcPr>
            <w:tcW w:w="517" w:type="pct"/>
            <w:noWrap/>
            <w:hideMark/>
          </w:tcPr>
          <w:p w14:paraId="291BCDE0"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517" w:type="pct"/>
            <w:gridSpan w:val="2"/>
            <w:noWrap/>
            <w:hideMark/>
          </w:tcPr>
          <w:p w14:paraId="2AB5C9B1"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7.3</w:t>
            </w:r>
          </w:p>
        </w:tc>
        <w:tc>
          <w:tcPr>
            <w:tcW w:w="500" w:type="pct"/>
            <w:noWrap/>
            <w:hideMark/>
          </w:tcPr>
          <w:p w14:paraId="1B075170"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1.9</w:t>
            </w:r>
          </w:p>
        </w:tc>
        <w:tc>
          <w:tcPr>
            <w:tcW w:w="443" w:type="pct"/>
            <w:gridSpan w:val="2"/>
            <w:noWrap/>
            <w:hideMark/>
          </w:tcPr>
          <w:p w14:paraId="02CBE9C4"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25.8</w:t>
            </w:r>
          </w:p>
        </w:tc>
        <w:tc>
          <w:tcPr>
            <w:tcW w:w="516" w:type="pct"/>
            <w:noWrap/>
            <w:hideMark/>
          </w:tcPr>
          <w:p w14:paraId="63D3C0E5"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5.0</w:t>
            </w:r>
          </w:p>
        </w:tc>
        <w:tc>
          <w:tcPr>
            <w:tcW w:w="440" w:type="pct"/>
            <w:gridSpan w:val="2"/>
            <w:noWrap/>
            <w:hideMark/>
          </w:tcPr>
          <w:p w14:paraId="4D9BEFFA"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8.7</w:t>
            </w:r>
          </w:p>
        </w:tc>
        <w:tc>
          <w:tcPr>
            <w:tcW w:w="514" w:type="pct"/>
            <w:noWrap/>
            <w:hideMark/>
          </w:tcPr>
          <w:p w14:paraId="7252320B"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r>
      <w:tr w:rsidR="009851A2" w:rsidRPr="005F3178" w14:paraId="11CC6304" w14:textId="77777777" w:rsidTr="00323C97">
        <w:trPr>
          <w:gridAfter w:val="1"/>
          <w:cnfStyle w:val="000000010000" w:firstRow="0" w:lastRow="0" w:firstColumn="0" w:lastColumn="0" w:oddVBand="0" w:evenVBand="0" w:oddHBand="0" w:evenHBand="1"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98CBCB9" w14:textId="77777777" w:rsidR="009851A2" w:rsidRPr="005F3178" w:rsidRDefault="009851A2" w:rsidP="00323C97">
            <w:pPr>
              <w:autoSpaceDE/>
              <w:autoSpaceDN/>
              <w:adjustRightInd/>
              <w:spacing w:after="0"/>
              <w:ind w:right="0"/>
              <w:jc w:val="right"/>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Commercial</w:t>
            </w:r>
          </w:p>
        </w:tc>
        <w:tc>
          <w:tcPr>
            <w:tcW w:w="515" w:type="pct"/>
            <w:noWrap/>
            <w:hideMark/>
          </w:tcPr>
          <w:p w14:paraId="0730DC94"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11.2</w:t>
            </w:r>
          </w:p>
        </w:tc>
        <w:tc>
          <w:tcPr>
            <w:tcW w:w="517" w:type="pct"/>
            <w:noWrap/>
            <w:hideMark/>
          </w:tcPr>
          <w:p w14:paraId="788AC54C"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517" w:type="pct"/>
            <w:gridSpan w:val="2"/>
            <w:noWrap/>
            <w:hideMark/>
          </w:tcPr>
          <w:p w14:paraId="7EBFE2E6"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8.2</w:t>
            </w:r>
          </w:p>
        </w:tc>
        <w:tc>
          <w:tcPr>
            <w:tcW w:w="500" w:type="pct"/>
            <w:noWrap/>
            <w:hideMark/>
          </w:tcPr>
          <w:p w14:paraId="2270A025"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2.0</w:t>
            </w:r>
          </w:p>
        </w:tc>
        <w:tc>
          <w:tcPr>
            <w:tcW w:w="443" w:type="pct"/>
            <w:gridSpan w:val="2"/>
            <w:noWrap/>
            <w:hideMark/>
          </w:tcPr>
          <w:p w14:paraId="55BC7864"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5.0</w:t>
            </w:r>
          </w:p>
        </w:tc>
        <w:tc>
          <w:tcPr>
            <w:tcW w:w="516" w:type="pct"/>
            <w:noWrap/>
            <w:hideMark/>
          </w:tcPr>
          <w:p w14:paraId="3A638313"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440" w:type="pct"/>
            <w:gridSpan w:val="2"/>
            <w:noWrap/>
            <w:hideMark/>
          </w:tcPr>
          <w:p w14:paraId="16A83537"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9.7</w:t>
            </w:r>
          </w:p>
        </w:tc>
        <w:tc>
          <w:tcPr>
            <w:tcW w:w="514" w:type="pct"/>
            <w:noWrap/>
            <w:hideMark/>
          </w:tcPr>
          <w:p w14:paraId="4E0E3321" w14:textId="77777777" w:rsidR="009851A2" w:rsidRPr="005F3178" w:rsidRDefault="009851A2"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r>
      <w:tr w:rsidR="009851A2" w:rsidRPr="005F3178" w14:paraId="6943991D" w14:textId="77777777" w:rsidTr="00323C9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68FF44C0" w14:textId="77777777" w:rsidR="009851A2" w:rsidRPr="005F3178" w:rsidRDefault="009851A2" w:rsidP="00323C97">
            <w:pPr>
              <w:autoSpaceDE/>
              <w:autoSpaceDN/>
              <w:adjustRightInd/>
              <w:spacing w:after="0"/>
              <w:ind w:right="0"/>
              <w:jc w:val="right"/>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Other</w:t>
            </w:r>
          </w:p>
        </w:tc>
        <w:tc>
          <w:tcPr>
            <w:tcW w:w="515" w:type="pct"/>
            <w:noWrap/>
            <w:hideMark/>
          </w:tcPr>
          <w:p w14:paraId="23FD71B6"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14.3</w:t>
            </w:r>
          </w:p>
        </w:tc>
        <w:tc>
          <w:tcPr>
            <w:tcW w:w="517" w:type="pct"/>
            <w:noWrap/>
            <w:hideMark/>
          </w:tcPr>
          <w:p w14:paraId="4D00258A"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517" w:type="pct"/>
            <w:gridSpan w:val="2"/>
            <w:noWrap/>
            <w:hideMark/>
          </w:tcPr>
          <w:p w14:paraId="19ACF17B"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6.9</w:t>
            </w:r>
          </w:p>
        </w:tc>
        <w:tc>
          <w:tcPr>
            <w:tcW w:w="500" w:type="pct"/>
            <w:noWrap/>
            <w:hideMark/>
          </w:tcPr>
          <w:p w14:paraId="1AB8C710"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c>
          <w:tcPr>
            <w:tcW w:w="443" w:type="pct"/>
            <w:gridSpan w:val="2"/>
            <w:noWrap/>
            <w:hideMark/>
          </w:tcPr>
          <w:p w14:paraId="3DB98050"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0.5</w:t>
            </w:r>
          </w:p>
        </w:tc>
        <w:tc>
          <w:tcPr>
            <w:tcW w:w="516" w:type="pct"/>
            <w:noWrap/>
            <w:hideMark/>
          </w:tcPr>
          <w:p w14:paraId="107C4C31"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0.5</w:t>
            </w:r>
          </w:p>
        </w:tc>
        <w:tc>
          <w:tcPr>
            <w:tcW w:w="440" w:type="pct"/>
            <w:gridSpan w:val="2"/>
            <w:noWrap/>
            <w:hideMark/>
          </w:tcPr>
          <w:p w14:paraId="0B83A016"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10.6</w:t>
            </w:r>
          </w:p>
        </w:tc>
        <w:tc>
          <w:tcPr>
            <w:tcW w:w="514" w:type="pct"/>
            <w:noWrap/>
            <w:hideMark/>
          </w:tcPr>
          <w:p w14:paraId="53A12CE1" w14:textId="77777777" w:rsidR="009851A2" w:rsidRPr="005F3178" w:rsidRDefault="009851A2"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5F3178">
              <w:rPr>
                <w:rFonts w:ascii="Calibri" w:eastAsia="Times New Roman" w:hAnsi="Calibri" w:cs="Calibri"/>
                <w:sz w:val="22"/>
                <w:szCs w:val="22"/>
                <w:lang w:eastAsia="en-AU"/>
              </w:rPr>
              <w:t>0.0</w:t>
            </w:r>
          </w:p>
        </w:tc>
      </w:tr>
    </w:tbl>
    <w:p w14:paraId="0A56E61F" w14:textId="77777777" w:rsidR="005C0516" w:rsidRPr="00554250" w:rsidRDefault="005C0516" w:rsidP="005C0516">
      <w:pPr>
        <w:pStyle w:val="BodyText"/>
        <w:rPr>
          <w:sz w:val="18"/>
          <w:szCs w:val="18"/>
        </w:rPr>
      </w:pPr>
      <w:r w:rsidRPr="00554250">
        <w:rPr>
          <w:sz w:val="18"/>
          <w:szCs w:val="18"/>
        </w:rPr>
        <w:t>Source: ACT Service Costing Survey, 2021</w:t>
      </w:r>
    </w:p>
    <w:p w14:paraId="6155E485" w14:textId="21E75128" w:rsidR="009851A2" w:rsidRDefault="009851A2" w:rsidP="009851A2">
      <w:pPr>
        <w:pStyle w:val="BodyText"/>
      </w:pPr>
    </w:p>
    <w:p w14:paraId="39F4FE25" w14:textId="77777777" w:rsidR="00804489" w:rsidRPr="005C0516" w:rsidRDefault="00804489" w:rsidP="00804489">
      <w:pPr>
        <w:pStyle w:val="BodyText"/>
        <w:rPr>
          <w:sz w:val="20"/>
          <w:szCs w:val="20"/>
        </w:rPr>
      </w:pPr>
    </w:p>
    <w:p w14:paraId="21F4620A" w14:textId="77777777" w:rsidR="00C50FC1" w:rsidRDefault="00C50FC1" w:rsidP="00C50FC1">
      <w:pPr>
        <w:pStyle w:val="BodyText"/>
      </w:pPr>
      <w:bookmarkStart w:id="189" w:name="_Ref88810856"/>
      <w:bookmarkStart w:id="190" w:name="_Ref88479581"/>
    </w:p>
    <w:p w14:paraId="06C6A238" w14:textId="539D840E" w:rsidR="00804489" w:rsidRDefault="00804489" w:rsidP="00804489">
      <w:pPr>
        <w:pStyle w:val="Caption"/>
      </w:pPr>
      <w:bookmarkStart w:id="191" w:name="_Toc90020074"/>
      <w:r>
        <w:t xml:space="preserve">Table </w:t>
      </w:r>
      <w:r w:rsidR="00663838">
        <w:t>C</w:t>
      </w:r>
      <w:r>
        <w:t xml:space="preserve">. </w:t>
      </w:r>
      <w:fldSimple w:instr=" SEQ Table_D. \* ARABIC ">
        <w:r w:rsidR="00E405AF">
          <w:rPr>
            <w:noProof/>
          </w:rPr>
          <w:t>2</w:t>
        </w:r>
      </w:fldSimple>
      <w:bookmarkEnd w:id="189"/>
      <w:r>
        <w:tab/>
        <w:t>Community Services Directorate Spending on Grants and Purchased Services, 2015-16 to 2019-20.</w:t>
      </w:r>
      <w:bookmarkEnd w:id="190"/>
      <w:bookmarkEnd w:id="191"/>
      <w:r>
        <w:t xml:space="preserve"> </w:t>
      </w:r>
    </w:p>
    <w:tbl>
      <w:tblPr>
        <w:tblStyle w:val="Style3"/>
        <w:tblW w:w="9705" w:type="dxa"/>
        <w:tblLook w:val="04A0" w:firstRow="1" w:lastRow="0" w:firstColumn="1" w:lastColumn="0" w:noHBand="0" w:noVBand="1"/>
      </w:tblPr>
      <w:tblGrid>
        <w:gridCol w:w="1271"/>
        <w:gridCol w:w="1559"/>
        <w:gridCol w:w="1276"/>
        <w:gridCol w:w="1017"/>
        <w:gridCol w:w="1017"/>
        <w:gridCol w:w="883"/>
        <w:gridCol w:w="883"/>
        <w:gridCol w:w="940"/>
        <w:gridCol w:w="859"/>
      </w:tblGrid>
      <w:tr w:rsidR="00804489" w:rsidRPr="001C202F" w14:paraId="6FFD6F96" w14:textId="77777777" w:rsidTr="000F41B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D49EA7B" w14:textId="77777777" w:rsidR="00804489" w:rsidRPr="001C202F" w:rsidRDefault="00804489" w:rsidP="000F41BE">
            <w:pPr>
              <w:autoSpaceDE/>
              <w:autoSpaceDN/>
              <w:adjustRightInd/>
              <w:spacing w:after="0"/>
              <w:ind w:right="0"/>
              <w:rPr>
                <w:rFonts w:ascii="Times New Roman" w:eastAsia="Times New Roman" w:hAnsi="Times New Roman" w:cs="Times New Roman"/>
                <w:color w:val="auto"/>
                <w:sz w:val="20"/>
                <w:szCs w:val="20"/>
                <w:lang w:eastAsia="en-AU"/>
              </w:rPr>
            </w:pPr>
          </w:p>
        </w:tc>
        <w:tc>
          <w:tcPr>
            <w:tcW w:w="2835" w:type="dxa"/>
            <w:gridSpan w:val="2"/>
            <w:noWrap/>
            <w:hideMark/>
          </w:tcPr>
          <w:p w14:paraId="67B523A2" w14:textId="77777777" w:rsidR="00804489" w:rsidRPr="001C202F" w:rsidRDefault="00804489"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1C202F">
              <w:rPr>
                <w:rFonts w:ascii="Calibri" w:eastAsia="Times New Roman" w:hAnsi="Calibri" w:cs="Calibri"/>
                <w:b/>
                <w:bCs/>
                <w:color w:val="FFFFFF" w:themeColor="background1"/>
                <w:sz w:val="22"/>
                <w:szCs w:val="22"/>
                <w:lang w:eastAsia="en-AU"/>
              </w:rPr>
              <w:t>Output Class 1 – Disability and Therapy Services (NDIS implementation from 2017-18)</w:t>
            </w:r>
          </w:p>
        </w:tc>
        <w:tc>
          <w:tcPr>
            <w:tcW w:w="2034" w:type="dxa"/>
            <w:gridSpan w:val="2"/>
            <w:noWrap/>
            <w:hideMark/>
          </w:tcPr>
          <w:p w14:paraId="2B24EB79" w14:textId="77777777" w:rsidR="00804489" w:rsidRPr="001C202F" w:rsidRDefault="00804489"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1C202F">
              <w:rPr>
                <w:rFonts w:ascii="Calibri" w:eastAsia="Times New Roman" w:hAnsi="Calibri" w:cs="Calibri"/>
                <w:b/>
                <w:bCs/>
                <w:color w:val="FFFFFF" w:themeColor="background1"/>
                <w:sz w:val="22"/>
                <w:szCs w:val="22"/>
                <w:lang w:eastAsia="en-AU"/>
              </w:rPr>
              <w:t>Output Class 2 Strategy, Participation and Early Intervention</w:t>
            </w:r>
          </w:p>
        </w:tc>
        <w:tc>
          <w:tcPr>
            <w:tcW w:w="1766" w:type="dxa"/>
            <w:gridSpan w:val="2"/>
            <w:noWrap/>
            <w:hideMark/>
          </w:tcPr>
          <w:p w14:paraId="426A50D5" w14:textId="77777777" w:rsidR="00804489" w:rsidRPr="001C202F" w:rsidRDefault="00804489"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1C202F">
              <w:rPr>
                <w:rFonts w:ascii="Calibri" w:eastAsia="Times New Roman" w:hAnsi="Calibri" w:cs="Calibri"/>
                <w:b/>
                <w:bCs/>
                <w:color w:val="FFFFFF" w:themeColor="background1"/>
                <w:sz w:val="22"/>
                <w:szCs w:val="22"/>
                <w:lang w:eastAsia="en-AU"/>
              </w:rPr>
              <w:t>Output Class 3 - Child and Youth Protection Services</w:t>
            </w:r>
          </w:p>
        </w:tc>
        <w:tc>
          <w:tcPr>
            <w:tcW w:w="1799" w:type="dxa"/>
            <w:gridSpan w:val="2"/>
            <w:noWrap/>
            <w:hideMark/>
          </w:tcPr>
          <w:p w14:paraId="03ABC6FC" w14:textId="77777777" w:rsidR="00804489" w:rsidRPr="001C202F" w:rsidRDefault="00804489"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1C202F">
              <w:rPr>
                <w:rFonts w:ascii="Calibri" w:eastAsia="Times New Roman" w:hAnsi="Calibri" w:cs="Calibri"/>
                <w:b/>
                <w:bCs/>
                <w:color w:val="FFFFFF" w:themeColor="background1"/>
                <w:sz w:val="22"/>
                <w:szCs w:val="22"/>
                <w:lang w:eastAsia="en-AU"/>
              </w:rPr>
              <w:t>Total grants and purchased services</w:t>
            </w:r>
          </w:p>
        </w:tc>
      </w:tr>
      <w:tr w:rsidR="00804489" w:rsidRPr="001C202F" w14:paraId="47AB57F6"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tcPr>
          <w:p w14:paraId="68AEB69D" w14:textId="77777777" w:rsidR="00804489" w:rsidRPr="001C202F" w:rsidRDefault="00804489" w:rsidP="000F41BE">
            <w:pPr>
              <w:autoSpaceDE/>
              <w:autoSpaceDN/>
              <w:adjustRightInd/>
              <w:spacing w:after="0"/>
              <w:ind w:right="0"/>
              <w:rPr>
                <w:rFonts w:ascii="Calibri" w:eastAsia="Times New Roman" w:hAnsi="Calibri" w:cs="Calibri"/>
                <w:sz w:val="22"/>
                <w:szCs w:val="22"/>
                <w:lang w:eastAsia="en-AU"/>
              </w:rPr>
            </w:pPr>
          </w:p>
        </w:tc>
        <w:tc>
          <w:tcPr>
            <w:tcW w:w="1559" w:type="dxa"/>
            <w:noWrap/>
          </w:tcPr>
          <w:p w14:paraId="11A09F3F" w14:textId="77777777" w:rsidR="00804489" w:rsidRPr="001C202F" w:rsidRDefault="00804489" w:rsidP="000F41BE">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color w:val="auto"/>
                <w:sz w:val="22"/>
                <w:szCs w:val="22"/>
                <w:lang w:eastAsia="en-AU"/>
              </w:rPr>
              <w:t>$</w:t>
            </w:r>
          </w:p>
        </w:tc>
        <w:tc>
          <w:tcPr>
            <w:tcW w:w="1276" w:type="dxa"/>
            <w:noWrap/>
          </w:tcPr>
          <w:p w14:paraId="5A09F12D" w14:textId="77777777" w:rsidR="00804489" w:rsidRPr="001C202F" w:rsidRDefault="00804489" w:rsidP="000F41BE">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AU"/>
              </w:rPr>
            </w:pPr>
            <w:r w:rsidRPr="001C202F">
              <w:rPr>
                <w:rFonts w:ascii="Calibri" w:eastAsia="Times New Roman" w:hAnsi="Calibri" w:cs="Calibri"/>
                <w:color w:val="auto"/>
                <w:sz w:val="22"/>
                <w:szCs w:val="22"/>
                <w:lang w:eastAsia="en-AU"/>
              </w:rPr>
              <w:t>Annual % change</w:t>
            </w:r>
          </w:p>
        </w:tc>
        <w:tc>
          <w:tcPr>
            <w:tcW w:w="1017" w:type="dxa"/>
            <w:noWrap/>
          </w:tcPr>
          <w:p w14:paraId="4A763B84"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color w:val="auto"/>
                <w:sz w:val="22"/>
                <w:szCs w:val="22"/>
                <w:lang w:eastAsia="en-AU"/>
              </w:rPr>
              <w:t>$</w:t>
            </w:r>
          </w:p>
        </w:tc>
        <w:tc>
          <w:tcPr>
            <w:tcW w:w="1017" w:type="dxa"/>
            <w:noWrap/>
          </w:tcPr>
          <w:p w14:paraId="34D60D92"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color w:val="auto"/>
                <w:sz w:val="22"/>
                <w:szCs w:val="22"/>
                <w:lang w:eastAsia="en-AU"/>
              </w:rPr>
              <w:t>Annual % change</w:t>
            </w:r>
          </w:p>
        </w:tc>
        <w:tc>
          <w:tcPr>
            <w:tcW w:w="883" w:type="dxa"/>
            <w:noWrap/>
          </w:tcPr>
          <w:p w14:paraId="12D372FB"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color w:val="auto"/>
                <w:sz w:val="22"/>
                <w:szCs w:val="22"/>
                <w:lang w:eastAsia="en-AU"/>
              </w:rPr>
              <w:t>$</w:t>
            </w:r>
          </w:p>
        </w:tc>
        <w:tc>
          <w:tcPr>
            <w:tcW w:w="883" w:type="dxa"/>
            <w:noWrap/>
          </w:tcPr>
          <w:p w14:paraId="54EED1F6"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color w:val="auto"/>
                <w:sz w:val="22"/>
                <w:szCs w:val="22"/>
                <w:lang w:eastAsia="en-AU"/>
              </w:rPr>
              <w:t>Annual % change</w:t>
            </w:r>
          </w:p>
        </w:tc>
        <w:tc>
          <w:tcPr>
            <w:tcW w:w="940" w:type="dxa"/>
            <w:noWrap/>
          </w:tcPr>
          <w:p w14:paraId="68F9AED8"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color w:val="auto"/>
                <w:sz w:val="22"/>
                <w:szCs w:val="22"/>
                <w:lang w:eastAsia="en-AU"/>
              </w:rPr>
              <w:t>$</w:t>
            </w:r>
          </w:p>
        </w:tc>
        <w:tc>
          <w:tcPr>
            <w:tcW w:w="859" w:type="dxa"/>
            <w:noWrap/>
          </w:tcPr>
          <w:p w14:paraId="4DB58490"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color w:val="auto"/>
                <w:sz w:val="22"/>
                <w:szCs w:val="22"/>
                <w:lang w:eastAsia="en-AU"/>
              </w:rPr>
              <w:t>Annual % change</w:t>
            </w:r>
          </w:p>
        </w:tc>
      </w:tr>
      <w:tr w:rsidR="00804489" w:rsidRPr="001C202F" w14:paraId="44FA4900"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35A556E" w14:textId="77777777" w:rsidR="00804489" w:rsidRPr="001C202F" w:rsidRDefault="00804489" w:rsidP="000F41BE">
            <w:pPr>
              <w:autoSpaceDE/>
              <w:autoSpaceDN/>
              <w:adjustRightInd/>
              <w:spacing w:after="0"/>
              <w:ind w:right="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2019-20</w:t>
            </w:r>
          </w:p>
        </w:tc>
        <w:tc>
          <w:tcPr>
            <w:tcW w:w="1559" w:type="dxa"/>
            <w:noWrap/>
            <w:hideMark/>
          </w:tcPr>
          <w:p w14:paraId="0B8C275E" w14:textId="77777777" w:rsidR="00804489" w:rsidRPr="001C202F" w:rsidRDefault="00804489" w:rsidP="000F41BE">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p>
        </w:tc>
        <w:tc>
          <w:tcPr>
            <w:tcW w:w="1276" w:type="dxa"/>
            <w:noWrap/>
            <w:hideMark/>
          </w:tcPr>
          <w:p w14:paraId="1ACF02CA" w14:textId="77777777" w:rsidR="00804489" w:rsidRPr="001C202F" w:rsidRDefault="00804489" w:rsidP="000F41BE">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sz w:val="20"/>
                <w:szCs w:val="20"/>
                <w:lang w:eastAsia="en-AU"/>
              </w:rPr>
            </w:pPr>
          </w:p>
        </w:tc>
        <w:tc>
          <w:tcPr>
            <w:tcW w:w="1017" w:type="dxa"/>
            <w:noWrap/>
            <w:hideMark/>
          </w:tcPr>
          <w:p w14:paraId="12AAB75B"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35,467</w:t>
            </w:r>
          </w:p>
        </w:tc>
        <w:tc>
          <w:tcPr>
            <w:tcW w:w="1017" w:type="dxa"/>
            <w:noWrap/>
            <w:hideMark/>
          </w:tcPr>
          <w:p w14:paraId="3A48EBD6"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13%</w:t>
            </w:r>
          </w:p>
        </w:tc>
        <w:tc>
          <w:tcPr>
            <w:tcW w:w="883" w:type="dxa"/>
            <w:noWrap/>
            <w:hideMark/>
          </w:tcPr>
          <w:p w14:paraId="1A8C390D"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52,512</w:t>
            </w:r>
          </w:p>
        </w:tc>
        <w:tc>
          <w:tcPr>
            <w:tcW w:w="883" w:type="dxa"/>
            <w:noWrap/>
            <w:hideMark/>
          </w:tcPr>
          <w:p w14:paraId="10756611"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11%</w:t>
            </w:r>
          </w:p>
        </w:tc>
        <w:tc>
          <w:tcPr>
            <w:tcW w:w="940" w:type="dxa"/>
            <w:noWrap/>
            <w:hideMark/>
          </w:tcPr>
          <w:p w14:paraId="02D95273"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87,979</w:t>
            </w:r>
          </w:p>
        </w:tc>
        <w:tc>
          <w:tcPr>
            <w:tcW w:w="859" w:type="dxa"/>
            <w:noWrap/>
            <w:hideMark/>
          </w:tcPr>
          <w:p w14:paraId="663CC910"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-48%</w:t>
            </w:r>
          </w:p>
        </w:tc>
      </w:tr>
      <w:tr w:rsidR="00804489" w:rsidRPr="001C202F" w14:paraId="4372B8C9"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0CF5BD7" w14:textId="77777777" w:rsidR="00804489" w:rsidRPr="001C202F" w:rsidRDefault="00804489" w:rsidP="000F41BE">
            <w:pPr>
              <w:autoSpaceDE/>
              <w:autoSpaceDN/>
              <w:adjustRightInd/>
              <w:spacing w:after="0"/>
              <w:ind w:right="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2018-19</w:t>
            </w:r>
          </w:p>
        </w:tc>
        <w:tc>
          <w:tcPr>
            <w:tcW w:w="1559" w:type="dxa"/>
            <w:noWrap/>
            <w:hideMark/>
          </w:tcPr>
          <w:p w14:paraId="3E0334F3"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91,281</w:t>
            </w:r>
          </w:p>
        </w:tc>
        <w:tc>
          <w:tcPr>
            <w:tcW w:w="1276" w:type="dxa"/>
            <w:noWrap/>
            <w:hideMark/>
          </w:tcPr>
          <w:p w14:paraId="1C13330F"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w:t>
            </w:r>
          </w:p>
        </w:tc>
        <w:tc>
          <w:tcPr>
            <w:tcW w:w="1017" w:type="dxa"/>
            <w:noWrap/>
            <w:hideMark/>
          </w:tcPr>
          <w:p w14:paraId="279A85B1"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31,285</w:t>
            </w:r>
          </w:p>
        </w:tc>
        <w:tc>
          <w:tcPr>
            <w:tcW w:w="1017" w:type="dxa"/>
            <w:noWrap/>
            <w:hideMark/>
          </w:tcPr>
          <w:p w14:paraId="6E079676"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3%</w:t>
            </w:r>
          </w:p>
        </w:tc>
        <w:tc>
          <w:tcPr>
            <w:tcW w:w="883" w:type="dxa"/>
            <w:noWrap/>
            <w:hideMark/>
          </w:tcPr>
          <w:p w14:paraId="342431CB"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47,348</w:t>
            </w:r>
          </w:p>
        </w:tc>
        <w:tc>
          <w:tcPr>
            <w:tcW w:w="883" w:type="dxa"/>
            <w:noWrap/>
            <w:hideMark/>
          </w:tcPr>
          <w:p w14:paraId="6B96F536"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7%</w:t>
            </w:r>
          </w:p>
        </w:tc>
        <w:tc>
          <w:tcPr>
            <w:tcW w:w="940" w:type="dxa"/>
            <w:noWrap/>
            <w:hideMark/>
          </w:tcPr>
          <w:p w14:paraId="194A08DD"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169,914</w:t>
            </w:r>
          </w:p>
        </w:tc>
        <w:tc>
          <w:tcPr>
            <w:tcW w:w="859" w:type="dxa"/>
            <w:noWrap/>
            <w:hideMark/>
          </w:tcPr>
          <w:p w14:paraId="4842BDA8"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4%</w:t>
            </w:r>
          </w:p>
        </w:tc>
      </w:tr>
      <w:tr w:rsidR="00804489" w:rsidRPr="001C202F" w14:paraId="71E47A08"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27E04C" w14:textId="77777777" w:rsidR="00804489" w:rsidRPr="001C202F" w:rsidRDefault="00804489" w:rsidP="000F41BE">
            <w:pPr>
              <w:autoSpaceDE/>
              <w:autoSpaceDN/>
              <w:adjustRightInd/>
              <w:spacing w:after="0"/>
              <w:ind w:right="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2017-18</w:t>
            </w:r>
          </w:p>
        </w:tc>
        <w:tc>
          <w:tcPr>
            <w:tcW w:w="1559" w:type="dxa"/>
            <w:noWrap/>
            <w:hideMark/>
          </w:tcPr>
          <w:p w14:paraId="4BD47EF4"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89,750</w:t>
            </w:r>
          </w:p>
        </w:tc>
        <w:tc>
          <w:tcPr>
            <w:tcW w:w="1276" w:type="dxa"/>
            <w:noWrap/>
            <w:hideMark/>
          </w:tcPr>
          <w:p w14:paraId="32172B16"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-15%</w:t>
            </w:r>
          </w:p>
        </w:tc>
        <w:tc>
          <w:tcPr>
            <w:tcW w:w="1017" w:type="dxa"/>
            <w:noWrap/>
            <w:hideMark/>
          </w:tcPr>
          <w:p w14:paraId="3DDCB9AB"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30,264</w:t>
            </w:r>
          </w:p>
        </w:tc>
        <w:tc>
          <w:tcPr>
            <w:tcW w:w="1017" w:type="dxa"/>
            <w:noWrap/>
            <w:hideMark/>
          </w:tcPr>
          <w:p w14:paraId="57CBA452"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-5%</w:t>
            </w:r>
          </w:p>
        </w:tc>
        <w:tc>
          <w:tcPr>
            <w:tcW w:w="883" w:type="dxa"/>
            <w:noWrap/>
            <w:hideMark/>
          </w:tcPr>
          <w:p w14:paraId="3A6BB767"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44,081</w:t>
            </w:r>
          </w:p>
        </w:tc>
        <w:tc>
          <w:tcPr>
            <w:tcW w:w="883" w:type="dxa"/>
            <w:noWrap/>
            <w:hideMark/>
          </w:tcPr>
          <w:p w14:paraId="5167CD8C"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0%</w:t>
            </w:r>
          </w:p>
        </w:tc>
        <w:tc>
          <w:tcPr>
            <w:tcW w:w="940" w:type="dxa"/>
            <w:noWrap/>
            <w:hideMark/>
          </w:tcPr>
          <w:p w14:paraId="1645599D"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164,095</w:t>
            </w:r>
          </w:p>
        </w:tc>
        <w:tc>
          <w:tcPr>
            <w:tcW w:w="859" w:type="dxa"/>
            <w:noWrap/>
            <w:hideMark/>
          </w:tcPr>
          <w:p w14:paraId="7D8BA922"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-9%</w:t>
            </w:r>
          </w:p>
        </w:tc>
      </w:tr>
      <w:tr w:rsidR="00804489" w:rsidRPr="001C202F" w14:paraId="6AC82296"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52A6856" w14:textId="77777777" w:rsidR="00804489" w:rsidRPr="001C202F" w:rsidRDefault="00804489" w:rsidP="000F41BE">
            <w:pPr>
              <w:autoSpaceDE/>
              <w:autoSpaceDN/>
              <w:adjustRightInd/>
              <w:spacing w:after="0"/>
              <w:ind w:right="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2016-17</w:t>
            </w:r>
          </w:p>
        </w:tc>
        <w:tc>
          <w:tcPr>
            <w:tcW w:w="1559" w:type="dxa"/>
            <w:noWrap/>
            <w:hideMark/>
          </w:tcPr>
          <w:p w14:paraId="26F18695"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105,047</w:t>
            </w:r>
          </w:p>
        </w:tc>
        <w:tc>
          <w:tcPr>
            <w:tcW w:w="1276" w:type="dxa"/>
            <w:noWrap/>
            <w:hideMark/>
          </w:tcPr>
          <w:p w14:paraId="1AC4C5B8"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89%</w:t>
            </w:r>
          </w:p>
        </w:tc>
        <w:tc>
          <w:tcPr>
            <w:tcW w:w="1017" w:type="dxa"/>
            <w:noWrap/>
            <w:hideMark/>
          </w:tcPr>
          <w:p w14:paraId="09E1D12E"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31,774</w:t>
            </w:r>
          </w:p>
        </w:tc>
        <w:tc>
          <w:tcPr>
            <w:tcW w:w="1017" w:type="dxa"/>
            <w:noWrap/>
            <w:hideMark/>
          </w:tcPr>
          <w:p w14:paraId="37228111"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27%</w:t>
            </w:r>
          </w:p>
        </w:tc>
        <w:tc>
          <w:tcPr>
            <w:tcW w:w="883" w:type="dxa"/>
            <w:noWrap/>
            <w:hideMark/>
          </w:tcPr>
          <w:p w14:paraId="41BE3B39"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44,293</w:t>
            </w:r>
          </w:p>
        </w:tc>
        <w:tc>
          <w:tcPr>
            <w:tcW w:w="883" w:type="dxa"/>
            <w:noWrap/>
            <w:hideMark/>
          </w:tcPr>
          <w:p w14:paraId="39F2CF93"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24%</w:t>
            </w:r>
          </w:p>
        </w:tc>
        <w:tc>
          <w:tcPr>
            <w:tcW w:w="940" w:type="dxa"/>
            <w:noWrap/>
            <w:hideMark/>
          </w:tcPr>
          <w:p w14:paraId="33121A63"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181,115</w:t>
            </w:r>
          </w:p>
        </w:tc>
        <w:tc>
          <w:tcPr>
            <w:tcW w:w="859" w:type="dxa"/>
            <w:noWrap/>
            <w:hideMark/>
          </w:tcPr>
          <w:p w14:paraId="588B1597" w14:textId="77777777" w:rsidR="00804489" w:rsidRPr="001C202F" w:rsidRDefault="00804489"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56%</w:t>
            </w:r>
          </w:p>
        </w:tc>
      </w:tr>
      <w:tr w:rsidR="00804489" w:rsidRPr="001C202F" w14:paraId="11DE6502"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AE3C171" w14:textId="77777777" w:rsidR="00804489" w:rsidRPr="001C202F" w:rsidRDefault="00804489" w:rsidP="000F41BE">
            <w:pPr>
              <w:autoSpaceDE/>
              <w:autoSpaceDN/>
              <w:adjustRightInd/>
              <w:spacing w:after="0"/>
              <w:ind w:right="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2015-16</w:t>
            </w:r>
          </w:p>
        </w:tc>
        <w:tc>
          <w:tcPr>
            <w:tcW w:w="1559" w:type="dxa"/>
            <w:noWrap/>
            <w:hideMark/>
          </w:tcPr>
          <w:p w14:paraId="2E80C3B9"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55,681</w:t>
            </w:r>
          </w:p>
        </w:tc>
        <w:tc>
          <w:tcPr>
            <w:tcW w:w="1276" w:type="dxa"/>
            <w:noWrap/>
            <w:hideMark/>
          </w:tcPr>
          <w:p w14:paraId="1CE1687A"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p>
        </w:tc>
        <w:tc>
          <w:tcPr>
            <w:tcW w:w="1017" w:type="dxa"/>
            <w:noWrap/>
            <w:hideMark/>
          </w:tcPr>
          <w:p w14:paraId="0E71C2C0"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24,936</w:t>
            </w:r>
          </w:p>
        </w:tc>
        <w:tc>
          <w:tcPr>
            <w:tcW w:w="1017" w:type="dxa"/>
            <w:noWrap/>
            <w:hideMark/>
          </w:tcPr>
          <w:p w14:paraId="3D48FC98"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p>
        </w:tc>
        <w:tc>
          <w:tcPr>
            <w:tcW w:w="883" w:type="dxa"/>
            <w:noWrap/>
            <w:hideMark/>
          </w:tcPr>
          <w:p w14:paraId="340F1994"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35,852</w:t>
            </w:r>
          </w:p>
        </w:tc>
        <w:tc>
          <w:tcPr>
            <w:tcW w:w="883" w:type="dxa"/>
            <w:noWrap/>
            <w:hideMark/>
          </w:tcPr>
          <w:p w14:paraId="42550BBF"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p>
        </w:tc>
        <w:tc>
          <w:tcPr>
            <w:tcW w:w="940" w:type="dxa"/>
            <w:noWrap/>
            <w:hideMark/>
          </w:tcPr>
          <w:p w14:paraId="53B07514"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1C202F">
              <w:rPr>
                <w:rFonts w:ascii="Calibri" w:eastAsia="Times New Roman" w:hAnsi="Calibri" w:cs="Calibri"/>
                <w:sz w:val="22"/>
                <w:szCs w:val="22"/>
                <w:lang w:eastAsia="en-AU"/>
              </w:rPr>
              <w:t>116,469</w:t>
            </w:r>
          </w:p>
        </w:tc>
        <w:tc>
          <w:tcPr>
            <w:tcW w:w="859" w:type="dxa"/>
            <w:noWrap/>
            <w:hideMark/>
          </w:tcPr>
          <w:p w14:paraId="3388602D" w14:textId="77777777" w:rsidR="00804489" w:rsidRPr="001C202F" w:rsidRDefault="00804489"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p>
        </w:tc>
      </w:tr>
    </w:tbl>
    <w:p w14:paraId="1BD5BC38" w14:textId="7A784DB7" w:rsidR="00804489" w:rsidRDefault="00804489" w:rsidP="00804489">
      <w:pPr>
        <w:pStyle w:val="BodyText"/>
        <w:rPr>
          <w:rStyle w:val="Hyperlink"/>
          <w:sz w:val="20"/>
          <w:szCs w:val="20"/>
        </w:rPr>
      </w:pPr>
      <w:r w:rsidRPr="005C0516">
        <w:rPr>
          <w:sz w:val="20"/>
          <w:szCs w:val="20"/>
        </w:rPr>
        <w:t>Source: Financial statements</w:t>
      </w:r>
      <w:r w:rsidR="002507AB">
        <w:rPr>
          <w:sz w:val="20"/>
          <w:szCs w:val="20"/>
        </w:rPr>
        <w:t xml:space="preserve">, </w:t>
      </w:r>
      <w:r w:rsidR="00AC4C0D">
        <w:rPr>
          <w:sz w:val="20"/>
          <w:szCs w:val="20"/>
        </w:rPr>
        <w:t>CSD A</w:t>
      </w:r>
      <w:r w:rsidRPr="005C0516">
        <w:rPr>
          <w:sz w:val="20"/>
          <w:szCs w:val="20"/>
        </w:rPr>
        <w:t xml:space="preserve">nnual </w:t>
      </w:r>
      <w:r w:rsidR="00AC4C0D">
        <w:rPr>
          <w:sz w:val="20"/>
          <w:szCs w:val="20"/>
        </w:rPr>
        <w:t>R</w:t>
      </w:r>
      <w:r w:rsidRPr="005C0516">
        <w:rPr>
          <w:sz w:val="20"/>
          <w:szCs w:val="20"/>
        </w:rPr>
        <w:t xml:space="preserve">eports, </w:t>
      </w:r>
      <w:hyperlink r:id="rId54" w:history="1">
        <w:r w:rsidRPr="005C0516">
          <w:rPr>
            <w:rStyle w:val="Hyperlink"/>
            <w:sz w:val="20"/>
            <w:szCs w:val="20"/>
          </w:rPr>
          <w:t>https://www.communityservices.act.gov.au/publications/annual-reports</w:t>
        </w:r>
      </w:hyperlink>
    </w:p>
    <w:p w14:paraId="744A5C50" w14:textId="1475F6CB" w:rsidR="00C50FC1" w:rsidRDefault="00C50FC1" w:rsidP="00804489">
      <w:pPr>
        <w:pStyle w:val="BodyText"/>
        <w:rPr>
          <w:rStyle w:val="Hyperlink"/>
          <w:sz w:val="20"/>
          <w:szCs w:val="20"/>
        </w:rPr>
      </w:pPr>
    </w:p>
    <w:p w14:paraId="0C8993EE" w14:textId="77777777" w:rsidR="00C50FC1" w:rsidRDefault="00C50FC1" w:rsidP="00804489">
      <w:pPr>
        <w:pStyle w:val="BodyText"/>
        <w:rPr>
          <w:rStyle w:val="Hyperlink"/>
          <w:sz w:val="20"/>
          <w:szCs w:val="20"/>
        </w:rPr>
      </w:pPr>
    </w:p>
    <w:p w14:paraId="1A3B0A9F" w14:textId="7A59475E" w:rsidR="00AC3ABA" w:rsidRDefault="00AC3ABA" w:rsidP="00AC3ABA">
      <w:pPr>
        <w:pStyle w:val="Captiontable"/>
        <w:rPr>
          <w:rStyle w:val="Hyperlink"/>
        </w:rPr>
      </w:pPr>
      <w:bookmarkStart w:id="192" w:name="_Ref88831517"/>
      <w:bookmarkStart w:id="193" w:name="_Toc90020075"/>
      <w:r>
        <w:t xml:space="preserve">Table </w:t>
      </w:r>
      <w:r w:rsidR="00663838">
        <w:t>C</w:t>
      </w:r>
      <w:r>
        <w:t xml:space="preserve">. </w:t>
      </w:r>
      <w:fldSimple w:instr=" SEQ Table_D. \* ARABIC ">
        <w:r w:rsidR="00E405AF">
          <w:rPr>
            <w:noProof/>
          </w:rPr>
          <w:t>3</w:t>
        </w:r>
      </w:fldSimple>
      <w:bookmarkEnd w:id="192"/>
      <w:r>
        <w:tab/>
      </w:r>
      <w:r w:rsidRPr="00843003">
        <w:rPr>
          <w:lang w:eastAsia="en-AU"/>
        </w:rPr>
        <w:t xml:space="preserve">Change </w:t>
      </w:r>
      <w:r>
        <w:rPr>
          <w:lang w:eastAsia="en-AU"/>
        </w:rPr>
        <w:t>in employment expenses as a proportion of total expenses from 2015 to 2019, community service charities based in the ACT</w:t>
      </w:r>
      <w:bookmarkEnd w:id="193"/>
    </w:p>
    <w:tbl>
      <w:tblPr>
        <w:tblStyle w:val="Style3"/>
        <w:tblW w:w="6207" w:type="dxa"/>
        <w:tblLook w:val="04A0" w:firstRow="1" w:lastRow="0" w:firstColumn="1" w:lastColumn="0" w:noHBand="0" w:noVBand="1"/>
      </w:tblPr>
      <w:tblGrid>
        <w:gridCol w:w="4248"/>
        <w:gridCol w:w="709"/>
        <w:gridCol w:w="1250"/>
      </w:tblGrid>
      <w:tr w:rsidR="00AC3ABA" w:rsidRPr="00BE6E4C" w14:paraId="55788472" w14:textId="77777777" w:rsidTr="000F41B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6133021" w14:textId="77777777" w:rsidR="00AC3ABA" w:rsidRPr="00BE6E4C" w:rsidRDefault="00AC3ABA" w:rsidP="000F41BE">
            <w:pPr>
              <w:autoSpaceDE/>
              <w:autoSpaceDN/>
              <w:adjustRightInd/>
              <w:spacing w:after="0"/>
              <w:ind w:right="0"/>
              <w:rPr>
                <w:rFonts w:ascii="Calibri" w:eastAsia="Times New Roman" w:hAnsi="Calibri" w:cs="Calibri"/>
                <w:b/>
                <w:bCs/>
                <w:color w:val="FFFFFF" w:themeColor="background1"/>
                <w:sz w:val="20"/>
                <w:szCs w:val="20"/>
                <w:lang w:eastAsia="en-AU"/>
              </w:rPr>
            </w:pPr>
            <w:r w:rsidRPr="00BE6E4C">
              <w:rPr>
                <w:rFonts w:ascii="Calibri" w:eastAsia="Times New Roman" w:hAnsi="Calibri" w:cs="Calibri"/>
                <w:b/>
                <w:bCs/>
                <w:color w:val="FFFFFF" w:themeColor="background1"/>
                <w:sz w:val="20"/>
                <w:szCs w:val="20"/>
                <w:lang w:eastAsia="en-AU"/>
              </w:rPr>
              <w:t>Change</w:t>
            </w:r>
            <w:r>
              <w:rPr>
                <w:rFonts w:ascii="Calibri" w:eastAsia="Times New Roman" w:hAnsi="Calibri" w:cs="Calibri"/>
                <w:b/>
                <w:bCs/>
                <w:color w:val="FFFFFF" w:themeColor="background1"/>
                <w:sz w:val="20"/>
                <w:szCs w:val="20"/>
                <w:lang w:eastAsia="en-AU"/>
              </w:rPr>
              <w:t xml:space="preserve"> in employment expenses, as a percentage of total expenses, </w:t>
            </w:r>
            <w:r w:rsidRPr="00BE6E4C">
              <w:rPr>
                <w:rFonts w:ascii="Calibri" w:eastAsia="Times New Roman" w:hAnsi="Calibri" w:cs="Calibri"/>
                <w:b/>
                <w:bCs/>
                <w:color w:val="FFFFFF" w:themeColor="background1"/>
                <w:sz w:val="20"/>
                <w:szCs w:val="20"/>
                <w:lang w:eastAsia="en-AU"/>
              </w:rPr>
              <w:t>2015 to 2019</w:t>
            </w:r>
          </w:p>
        </w:tc>
        <w:tc>
          <w:tcPr>
            <w:tcW w:w="709" w:type="dxa"/>
            <w:noWrap/>
            <w:hideMark/>
          </w:tcPr>
          <w:p w14:paraId="092A4EF0" w14:textId="77777777" w:rsidR="00AC3ABA" w:rsidRPr="00BE6E4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BE6E4C">
              <w:rPr>
                <w:rFonts w:ascii="Calibri" w:eastAsia="Times New Roman" w:hAnsi="Calibri" w:cs="Calibri"/>
                <w:b/>
                <w:bCs/>
                <w:color w:val="FFFFFF" w:themeColor="background1"/>
                <w:sz w:val="20"/>
                <w:szCs w:val="20"/>
                <w:lang w:eastAsia="en-AU"/>
              </w:rPr>
              <w:t>n</w:t>
            </w:r>
          </w:p>
        </w:tc>
        <w:tc>
          <w:tcPr>
            <w:tcW w:w="1250" w:type="dxa"/>
            <w:noWrap/>
            <w:hideMark/>
          </w:tcPr>
          <w:p w14:paraId="372304B6" w14:textId="77777777" w:rsidR="00AC3ABA" w:rsidRPr="00BE6E4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BE6E4C">
              <w:rPr>
                <w:rFonts w:ascii="Calibri" w:eastAsia="Times New Roman" w:hAnsi="Calibri" w:cs="Calibri"/>
                <w:b/>
                <w:bCs/>
                <w:color w:val="FFFFFF" w:themeColor="background1"/>
                <w:sz w:val="20"/>
                <w:szCs w:val="20"/>
                <w:lang w:eastAsia="en-AU"/>
              </w:rPr>
              <w:t xml:space="preserve">% </w:t>
            </w:r>
            <w:proofErr w:type="gramStart"/>
            <w:r w:rsidRPr="00BE6E4C">
              <w:rPr>
                <w:rFonts w:ascii="Calibri" w:eastAsia="Times New Roman" w:hAnsi="Calibri" w:cs="Calibri"/>
                <w:b/>
                <w:bCs/>
                <w:color w:val="FFFFFF" w:themeColor="background1"/>
                <w:sz w:val="20"/>
                <w:szCs w:val="20"/>
                <w:lang w:eastAsia="en-AU"/>
              </w:rPr>
              <w:t>of</w:t>
            </w:r>
            <w:proofErr w:type="gramEnd"/>
            <w:r w:rsidRPr="00BE6E4C">
              <w:rPr>
                <w:rFonts w:ascii="Calibri" w:eastAsia="Times New Roman" w:hAnsi="Calibri" w:cs="Calibri"/>
                <w:b/>
                <w:bCs/>
                <w:color w:val="FFFFFF" w:themeColor="background1"/>
                <w:sz w:val="20"/>
                <w:szCs w:val="20"/>
                <w:lang w:eastAsia="en-AU"/>
              </w:rPr>
              <w:t xml:space="preserve"> charities</w:t>
            </w:r>
          </w:p>
        </w:tc>
      </w:tr>
      <w:tr w:rsidR="00AC3ABA" w:rsidRPr="00843003" w14:paraId="005E876A"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B7DEA73" w14:textId="77777777" w:rsidR="00AC3ABA" w:rsidRPr="00843003" w:rsidRDefault="00AC3ABA" w:rsidP="000F41BE">
            <w:pPr>
              <w:autoSpaceDE/>
              <w:autoSpaceDN/>
              <w:adjustRightInd/>
              <w:spacing w:after="0"/>
              <w:ind w:right="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Fell by more than 5 percentage points</w:t>
            </w:r>
          </w:p>
        </w:tc>
        <w:tc>
          <w:tcPr>
            <w:tcW w:w="709" w:type="dxa"/>
            <w:noWrap/>
            <w:hideMark/>
          </w:tcPr>
          <w:p w14:paraId="7897F9DE"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11</w:t>
            </w:r>
          </w:p>
        </w:tc>
        <w:tc>
          <w:tcPr>
            <w:tcW w:w="1250" w:type="dxa"/>
            <w:noWrap/>
            <w:hideMark/>
          </w:tcPr>
          <w:p w14:paraId="7959AD69"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13%</w:t>
            </w:r>
          </w:p>
        </w:tc>
      </w:tr>
      <w:tr w:rsidR="00AC3ABA" w:rsidRPr="00843003" w14:paraId="5FDAC82C"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57DA122" w14:textId="77777777" w:rsidR="00AC3ABA" w:rsidRPr="00843003" w:rsidRDefault="00AC3ABA" w:rsidP="000F41BE">
            <w:pPr>
              <w:autoSpaceDE/>
              <w:autoSpaceDN/>
              <w:adjustRightInd/>
              <w:spacing w:after="0"/>
              <w:ind w:right="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Fell by 2 to 5 percentage points</w:t>
            </w:r>
          </w:p>
        </w:tc>
        <w:tc>
          <w:tcPr>
            <w:tcW w:w="709" w:type="dxa"/>
            <w:noWrap/>
            <w:hideMark/>
          </w:tcPr>
          <w:p w14:paraId="7F9B74F5"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16</w:t>
            </w:r>
          </w:p>
        </w:tc>
        <w:tc>
          <w:tcPr>
            <w:tcW w:w="1250" w:type="dxa"/>
            <w:noWrap/>
            <w:hideMark/>
          </w:tcPr>
          <w:p w14:paraId="09E2E0E8"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18%</w:t>
            </w:r>
          </w:p>
        </w:tc>
      </w:tr>
      <w:tr w:rsidR="00AC3ABA" w:rsidRPr="00843003" w14:paraId="155E8555"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73E1A0C" w14:textId="77777777" w:rsidR="00AC3ABA" w:rsidRPr="00843003" w:rsidRDefault="00AC3ABA" w:rsidP="000F41BE">
            <w:pPr>
              <w:autoSpaceDE/>
              <w:autoSpaceDN/>
              <w:adjustRightInd/>
              <w:spacing w:after="0"/>
              <w:ind w:right="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 xml:space="preserve">Stayed within 1 percentage point </w:t>
            </w:r>
          </w:p>
        </w:tc>
        <w:tc>
          <w:tcPr>
            <w:tcW w:w="709" w:type="dxa"/>
            <w:noWrap/>
            <w:hideMark/>
          </w:tcPr>
          <w:p w14:paraId="547A24EF"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17</w:t>
            </w:r>
          </w:p>
        </w:tc>
        <w:tc>
          <w:tcPr>
            <w:tcW w:w="1250" w:type="dxa"/>
            <w:noWrap/>
            <w:hideMark/>
          </w:tcPr>
          <w:p w14:paraId="6CE7D836"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19%</w:t>
            </w:r>
          </w:p>
        </w:tc>
      </w:tr>
      <w:tr w:rsidR="00AC3ABA" w:rsidRPr="00843003" w14:paraId="14FBBFB1"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62DCF24" w14:textId="77777777" w:rsidR="00AC3ABA" w:rsidRPr="00843003" w:rsidRDefault="00AC3ABA" w:rsidP="000F41BE">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Increased</w:t>
            </w:r>
            <w:r w:rsidRPr="00843003">
              <w:rPr>
                <w:rFonts w:ascii="Calibri" w:eastAsia="Times New Roman" w:hAnsi="Calibri" w:cs="Calibri"/>
                <w:sz w:val="22"/>
                <w:szCs w:val="22"/>
                <w:lang w:eastAsia="en-AU"/>
              </w:rPr>
              <w:t xml:space="preserve"> by 2 to 5 percentage points</w:t>
            </w:r>
          </w:p>
        </w:tc>
        <w:tc>
          <w:tcPr>
            <w:tcW w:w="709" w:type="dxa"/>
            <w:noWrap/>
            <w:hideMark/>
          </w:tcPr>
          <w:p w14:paraId="067079F0"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15</w:t>
            </w:r>
          </w:p>
        </w:tc>
        <w:tc>
          <w:tcPr>
            <w:tcW w:w="1250" w:type="dxa"/>
            <w:noWrap/>
            <w:hideMark/>
          </w:tcPr>
          <w:p w14:paraId="2402A835"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17%</w:t>
            </w:r>
          </w:p>
        </w:tc>
      </w:tr>
      <w:tr w:rsidR="00AC3ABA" w:rsidRPr="00843003" w14:paraId="0E2068BA"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8F592E4" w14:textId="77777777" w:rsidR="00AC3ABA" w:rsidRPr="00843003" w:rsidRDefault="00AC3ABA" w:rsidP="000F41BE">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Increased</w:t>
            </w:r>
            <w:r w:rsidRPr="00843003">
              <w:rPr>
                <w:rFonts w:ascii="Calibri" w:eastAsia="Times New Roman" w:hAnsi="Calibri" w:cs="Calibri"/>
                <w:sz w:val="22"/>
                <w:szCs w:val="22"/>
                <w:lang w:eastAsia="en-AU"/>
              </w:rPr>
              <w:t xml:space="preserve"> by 6 to 10 percentage points</w:t>
            </w:r>
          </w:p>
        </w:tc>
        <w:tc>
          <w:tcPr>
            <w:tcW w:w="709" w:type="dxa"/>
            <w:noWrap/>
            <w:hideMark/>
          </w:tcPr>
          <w:p w14:paraId="2010E10A"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15</w:t>
            </w:r>
          </w:p>
        </w:tc>
        <w:tc>
          <w:tcPr>
            <w:tcW w:w="1250" w:type="dxa"/>
            <w:noWrap/>
            <w:hideMark/>
          </w:tcPr>
          <w:p w14:paraId="4295F68D"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17%</w:t>
            </w:r>
          </w:p>
        </w:tc>
      </w:tr>
      <w:tr w:rsidR="00AC3ABA" w:rsidRPr="00843003" w14:paraId="3FE248E1"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C5E5175" w14:textId="77777777" w:rsidR="00AC3ABA" w:rsidRPr="00843003" w:rsidRDefault="00AC3ABA" w:rsidP="000F41BE">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 xml:space="preserve">Increased </w:t>
            </w:r>
            <w:r w:rsidRPr="00843003">
              <w:rPr>
                <w:rFonts w:ascii="Calibri" w:eastAsia="Times New Roman" w:hAnsi="Calibri" w:cs="Calibri"/>
                <w:sz w:val="22"/>
                <w:szCs w:val="22"/>
                <w:lang w:eastAsia="en-AU"/>
              </w:rPr>
              <w:t>by 11 to 20 percentage points</w:t>
            </w:r>
          </w:p>
        </w:tc>
        <w:tc>
          <w:tcPr>
            <w:tcW w:w="709" w:type="dxa"/>
            <w:noWrap/>
            <w:hideMark/>
          </w:tcPr>
          <w:p w14:paraId="1967BD96"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10</w:t>
            </w:r>
          </w:p>
        </w:tc>
        <w:tc>
          <w:tcPr>
            <w:tcW w:w="1250" w:type="dxa"/>
            <w:noWrap/>
            <w:hideMark/>
          </w:tcPr>
          <w:p w14:paraId="3BE0F34B"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11%</w:t>
            </w:r>
          </w:p>
        </w:tc>
      </w:tr>
      <w:tr w:rsidR="00AC3ABA" w:rsidRPr="00843003" w14:paraId="65EFE33B" w14:textId="77777777" w:rsidTr="000F41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712C843" w14:textId="77777777" w:rsidR="00AC3ABA" w:rsidRPr="00843003" w:rsidRDefault="00AC3ABA" w:rsidP="000F41BE">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 xml:space="preserve">Increased </w:t>
            </w:r>
            <w:r w:rsidRPr="00843003">
              <w:rPr>
                <w:rFonts w:ascii="Calibri" w:eastAsia="Times New Roman" w:hAnsi="Calibri" w:cs="Calibri"/>
                <w:sz w:val="22"/>
                <w:szCs w:val="22"/>
                <w:lang w:eastAsia="en-AU"/>
              </w:rPr>
              <w:t>by 20 or more</w:t>
            </w:r>
            <w:r>
              <w:rPr>
                <w:rFonts w:ascii="Calibri" w:eastAsia="Times New Roman" w:hAnsi="Calibri" w:cs="Calibri"/>
                <w:sz w:val="22"/>
                <w:szCs w:val="22"/>
                <w:lang w:eastAsia="en-AU"/>
              </w:rPr>
              <w:t xml:space="preserve"> percentage points</w:t>
            </w:r>
          </w:p>
        </w:tc>
        <w:tc>
          <w:tcPr>
            <w:tcW w:w="709" w:type="dxa"/>
            <w:noWrap/>
            <w:hideMark/>
          </w:tcPr>
          <w:p w14:paraId="56999B17"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4</w:t>
            </w:r>
          </w:p>
        </w:tc>
        <w:tc>
          <w:tcPr>
            <w:tcW w:w="1250" w:type="dxa"/>
            <w:noWrap/>
            <w:hideMark/>
          </w:tcPr>
          <w:p w14:paraId="5DDF98A5" w14:textId="77777777" w:rsidR="00AC3ABA" w:rsidRPr="00843003"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5%</w:t>
            </w:r>
          </w:p>
        </w:tc>
      </w:tr>
      <w:tr w:rsidR="00AC3ABA" w:rsidRPr="00843003" w14:paraId="0BBE777A" w14:textId="77777777" w:rsidTr="000F41B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EED40D9" w14:textId="77777777" w:rsidR="00AC3ABA" w:rsidRPr="00843003" w:rsidRDefault="00AC3ABA" w:rsidP="000F41BE">
            <w:pPr>
              <w:autoSpaceDE/>
              <w:autoSpaceDN/>
              <w:adjustRightInd/>
              <w:spacing w:after="0"/>
              <w:ind w:right="0"/>
              <w:rPr>
                <w:rFonts w:ascii="Times New Roman" w:eastAsia="Times New Roman" w:hAnsi="Times New Roman" w:cs="Times New Roman"/>
                <w:color w:val="auto"/>
                <w:sz w:val="20"/>
                <w:szCs w:val="20"/>
                <w:lang w:eastAsia="en-AU"/>
              </w:rPr>
            </w:pPr>
          </w:p>
        </w:tc>
        <w:tc>
          <w:tcPr>
            <w:tcW w:w="709" w:type="dxa"/>
            <w:noWrap/>
            <w:hideMark/>
          </w:tcPr>
          <w:p w14:paraId="2EDDACAF"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88</w:t>
            </w:r>
          </w:p>
        </w:tc>
        <w:tc>
          <w:tcPr>
            <w:tcW w:w="1250" w:type="dxa"/>
            <w:noWrap/>
            <w:hideMark/>
          </w:tcPr>
          <w:p w14:paraId="093685FA" w14:textId="77777777" w:rsidR="00AC3ABA" w:rsidRPr="00843003" w:rsidRDefault="00AC3ABA" w:rsidP="000F41B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843003">
              <w:rPr>
                <w:rFonts w:ascii="Calibri" w:eastAsia="Times New Roman" w:hAnsi="Calibri" w:cs="Calibri"/>
                <w:sz w:val="22"/>
                <w:szCs w:val="22"/>
                <w:lang w:eastAsia="en-AU"/>
              </w:rPr>
              <w:t>100%</w:t>
            </w:r>
          </w:p>
        </w:tc>
      </w:tr>
    </w:tbl>
    <w:p w14:paraId="24FA4AE1" w14:textId="63C46C8F" w:rsidR="00AC3ABA" w:rsidRDefault="00AC3ABA" w:rsidP="00EC19A1">
      <w:pPr>
        <w:pStyle w:val="Tablenotes"/>
        <w:ind w:left="0" w:firstLine="0"/>
      </w:pPr>
      <w:r w:rsidRPr="00425778">
        <w:t xml:space="preserve">Source: Annual Information Statements for 2015 and 2019 provided to the ACNC. These 88 were those for which information was available in both years, from a sample of 105 relevant charities based in the ACT who received government funding and employed staff. </w:t>
      </w:r>
      <w:r>
        <w:t xml:space="preserve">Data downloaded from data.gov.au. </w:t>
      </w:r>
    </w:p>
    <w:p w14:paraId="0185A1C4" w14:textId="7E9B7A52" w:rsidR="00C50FC1" w:rsidRDefault="00C50FC1" w:rsidP="00C50FC1"/>
    <w:p w14:paraId="2DB09CBE" w14:textId="77777777" w:rsidR="00C50FC1" w:rsidRPr="00C50FC1" w:rsidRDefault="00C50FC1" w:rsidP="00C50FC1"/>
    <w:p w14:paraId="4E3A13B9" w14:textId="268C2BB9" w:rsidR="00AC3ABA" w:rsidRDefault="00AC3ABA" w:rsidP="00AC3ABA">
      <w:pPr>
        <w:pStyle w:val="Caption"/>
      </w:pPr>
      <w:bookmarkStart w:id="194" w:name="_Ref88811057"/>
      <w:bookmarkStart w:id="195" w:name="_Toc90020076"/>
      <w:r>
        <w:t xml:space="preserve">Table </w:t>
      </w:r>
      <w:r w:rsidR="00663838">
        <w:t>C</w:t>
      </w:r>
      <w:r>
        <w:t xml:space="preserve">. </w:t>
      </w:r>
      <w:fldSimple w:instr=" SEQ Table_D. \* ARABIC ">
        <w:r w:rsidR="00E405AF">
          <w:rPr>
            <w:noProof/>
          </w:rPr>
          <w:t>4</w:t>
        </w:r>
      </w:fldSimple>
      <w:bookmarkEnd w:id="194"/>
      <w:r>
        <w:tab/>
        <w:t>Indexation rates for community services funding by jurisdiction, 2020-21</w:t>
      </w:r>
      <w:bookmarkEnd w:id="195"/>
    </w:p>
    <w:tbl>
      <w:tblPr>
        <w:tblStyle w:val="Style3"/>
        <w:tblW w:w="7680" w:type="dxa"/>
        <w:tblLook w:val="04A0" w:firstRow="1" w:lastRow="0" w:firstColumn="1" w:lastColumn="0" w:noHBand="0" w:noVBand="1"/>
      </w:tblPr>
      <w:tblGrid>
        <w:gridCol w:w="960"/>
        <w:gridCol w:w="960"/>
        <w:gridCol w:w="960"/>
        <w:gridCol w:w="960"/>
        <w:gridCol w:w="960"/>
        <w:gridCol w:w="960"/>
        <w:gridCol w:w="960"/>
        <w:gridCol w:w="960"/>
      </w:tblGrid>
      <w:tr w:rsidR="00AC3ABA" w:rsidRPr="00A0008C" w14:paraId="13839BDD" w14:textId="77777777" w:rsidTr="000F41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137A33" w14:textId="77777777" w:rsidR="00AC3ABA" w:rsidRPr="00A0008C" w:rsidRDefault="00AC3ABA" w:rsidP="000F41BE">
            <w:pPr>
              <w:autoSpaceDE/>
              <w:autoSpaceDN/>
              <w:adjustRightInd/>
              <w:spacing w:after="0"/>
              <w:ind w:right="0"/>
              <w:rPr>
                <w:rFonts w:ascii="Times New Roman" w:eastAsia="Times New Roman" w:hAnsi="Times New Roman" w:cs="Times New Roman"/>
                <w:b/>
                <w:bCs/>
                <w:color w:val="FFFFFF" w:themeColor="background1"/>
                <w:sz w:val="20"/>
                <w:szCs w:val="20"/>
                <w:lang w:eastAsia="en-AU"/>
              </w:rPr>
            </w:pPr>
          </w:p>
        </w:tc>
        <w:tc>
          <w:tcPr>
            <w:tcW w:w="960" w:type="dxa"/>
            <w:hideMark/>
          </w:tcPr>
          <w:p w14:paraId="7743AFC5" w14:textId="77777777" w:rsidR="00AC3ABA" w:rsidRPr="00A0008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0008C">
              <w:rPr>
                <w:rFonts w:ascii="Calibri" w:eastAsia="Times New Roman" w:hAnsi="Calibri" w:cs="Calibri"/>
                <w:b/>
                <w:bCs/>
                <w:color w:val="FFFFFF" w:themeColor="background1"/>
                <w:sz w:val="20"/>
                <w:szCs w:val="20"/>
                <w:lang w:eastAsia="en-AU"/>
              </w:rPr>
              <w:t>ACT</w:t>
            </w:r>
          </w:p>
        </w:tc>
        <w:tc>
          <w:tcPr>
            <w:tcW w:w="960" w:type="dxa"/>
            <w:noWrap/>
            <w:hideMark/>
          </w:tcPr>
          <w:p w14:paraId="7ABB1013" w14:textId="77777777" w:rsidR="00AC3ABA" w:rsidRPr="00A0008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A0008C">
              <w:rPr>
                <w:rFonts w:ascii="Calibri" w:eastAsia="Times New Roman" w:hAnsi="Calibri" w:cs="Calibri"/>
                <w:b/>
                <w:bCs/>
                <w:color w:val="FFFFFF" w:themeColor="background1"/>
                <w:sz w:val="22"/>
                <w:szCs w:val="22"/>
                <w:lang w:eastAsia="en-AU"/>
              </w:rPr>
              <w:t>WA</w:t>
            </w:r>
          </w:p>
        </w:tc>
        <w:tc>
          <w:tcPr>
            <w:tcW w:w="960" w:type="dxa"/>
            <w:noWrap/>
            <w:hideMark/>
          </w:tcPr>
          <w:p w14:paraId="75649E50" w14:textId="77777777" w:rsidR="00AC3ABA" w:rsidRPr="00A0008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A0008C">
              <w:rPr>
                <w:rFonts w:ascii="Calibri" w:eastAsia="Times New Roman" w:hAnsi="Calibri" w:cs="Calibri"/>
                <w:b/>
                <w:bCs/>
                <w:color w:val="FFFFFF" w:themeColor="background1"/>
                <w:sz w:val="22"/>
                <w:szCs w:val="22"/>
                <w:lang w:eastAsia="en-AU"/>
              </w:rPr>
              <w:t>NSW</w:t>
            </w:r>
          </w:p>
        </w:tc>
        <w:tc>
          <w:tcPr>
            <w:tcW w:w="960" w:type="dxa"/>
          </w:tcPr>
          <w:p w14:paraId="301A552E" w14:textId="77777777" w:rsidR="00AC3ABA" w:rsidRPr="00A0008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A0008C">
              <w:rPr>
                <w:rFonts w:ascii="Calibri" w:eastAsia="Times New Roman" w:hAnsi="Calibri" w:cs="Calibri"/>
                <w:b/>
                <w:bCs/>
                <w:color w:val="FFFFFF" w:themeColor="background1"/>
                <w:sz w:val="22"/>
                <w:szCs w:val="22"/>
                <w:lang w:eastAsia="en-AU"/>
              </w:rPr>
              <w:t>VIC</w:t>
            </w:r>
          </w:p>
        </w:tc>
        <w:tc>
          <w:tcPr>
            <w:tcW w:w="960" w:type="dxa"/>
          </w:tcPr>
          <w:p w14:paraId="7D4291C2" w14:textId="77777777" w:rsidR="00AC3ABA" w:rsidRPr="00A0008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A0008C">
              <w:rPr>
                <w:rFonts w:ascii="Calibri" w:eastAsia="Times New Roman" w:hAnsi="Calibri" w:cs="Calibri"/>
                <w:b/>
                <w:bCs/>
                <w:color w:val="FFFFFF" w:themeColor="background1"/>
                <w:sz w:val="22"/>
                <w:szCs w:val="22"/>
                <w:lang w:eastAsia="en-AU"/>
              </w:rPr>
              <w:t>TAS</w:t>
            </w:r>
          </w:p>
        </w:tc>
        <w:tc>
          <w:tcPr>
            <w:tcW w:w="960" w:type="dxa"/>
            <w:noWrap/>
            <w:hideMark/>
          </w:tcPr>
          <w:p w14:paraId="7DDECDB0" w14:textId="77777777" w:rsidR="00AC3ABA" w:rsidRPr="00A0008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A0008C">
              <w:rPr>
                <w:rFonts w:ascii="Calibri" w:eastAsia="Times New Roman" w:hAnsi="Calibri" w:cs="Calibri"/>
                <w:b/>
                <w:bCs/>
                <w:color w:val="FFFFFF" w:themeColor="background1"/>
                <w:sz w:val="22"/>
                <w:szCs w:val="22"/>
                <w:lang w:eastAsia="en-AU"/>
              </w:rPr>
              <w:t>QLD</w:t>
            </w:r>
          </w:p>
        </w:tc>
        <w:tc>
          <w:tcPr>
            <w:tcW w:w="960" w:type="dxa"/>
          </w:tcPr>
          <w:p w14:paraId="6785CFD9" w14:textId="77777777" w:rsidR="00AC3ABA" w:rsidRPr="00A0008C" w:rsidRDefault="00AC3ABA" w:rsidP="000F41BE">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A0008C">
              <w:rPr>
                <w:rFonts w:ascii="Calibri" w:eastAsia="Times New Roman" w:hAnsi="Calibri" w:cs="Calibri"/>
                <w:b/>
                <w:bCs/>
                <w:color w:val="FFFFFF" w:themeColor="background1"/>
                <w:sz w:val="22"/>
                <w:szCs w:val="22"/>
                <w:lang w:eastAsia="en-AU"/>
              </w:rPr>
              <w:t>SA</w:t>
            </w:r>
          </w:p>
        </w:tc>
      </w:tr>
      <w:tr w:rsidR="00AC3ABA" w:rsidRPr="00A0008C" w14:paraId="30033651" w14:textId="77777777" w:rsidTr="000F4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FF3392" w14:textId="77777777" w:rsidR="00AC3ABA" w:rsidRPr="00A0008C" w:rsidRDefault="00AC3ABA" w:rsidP="000F41BE">
            <w:pPr>
              <w:autoSpaceDE/>
              <w:autoSpaceDN/>
              <w:adjustRightInd/>
              <w:spacing w:after="0"/>
              <w:ind w:right="0"/>
              <w:jc w:val="right"/>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2020-21</w:t>
            </w:r>
          </w:p>
        </w:tc>
        <w:tc>
          <w:tcPr>
            <w:tcW w:w="960" w:type="dxa"/>
            <w:hideMark/>
          </w:tcPr>
          <w:p w14:paraId="6B6A2A0C" w14:textId="77777777" w:rsidR="00AC3ABA" w:rsidRPr="00A0008C"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1.50%</w:t>
            </w:r>
          </w:p>
        </w:tc>
        <w:tc>
          <w:tcPr>
            <w:tcW w:w="960" w:type="dxa"/>
            <w:noWrap/>
            <w:hideMark/>
          </w:tcPr>
          <w:p w14:paraId="62DC0F89" w14:textId="77777777" w:rsidR="00AC3ABA" w:rsidRPr="00A0008C"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1.67</w:t>
            </w:r>
            <w:r>
              <w:rPr>
                <w:rFonts w:ascii="Calibri" w:eastAsia="Times New Roman" w:hAnsi="Calibri" w:cs="Calibri"/>
                <w:sz w:val="22"/>
                <w:szCs w:val="22"/>
                <w:lang w:eastAsia="en-AU"/>
              </w:rPr>
              <w:t>%</w:t>
            </w:r>
          </w:p>
        </w:tc>
        <w:tc>
          <w:tcPr>
            <w:tcW w:w="960" w:type="dxa"/>
            <w:noWrap/>
            <w:hideMark/>
          </w:tcPr>
          <w:p w14:paraId="2F4CDA4E" w14:textId="77777777" w:rsidR="00AC3ABA" w:rsidRPr="00A0008C"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1.75</w:t>
            </w:r>
            <w:r>
              <w:rPr>
                <w:rFonts w:ascii="Calibri" w:eastAsia="Times New Roman" w:hAnsi="Calibri" w:cs="Calibri"/>
                <w:sz w:val="22"/>
                <w:szCs w:val="22"/>
                <w:lang w:eastAsia="en-AU"/>
              </w:rPr>
              <w:t>%</w:t>
            </w:r>
          </w:p>
        </w:tc>
        <w:tc>
          <w:tcPr>
            <w:tcW w:w="960" w:type="dxa"/>
          </w:tcPr>
          <w:p w14:paraId="325FAC84" w14:textId="77777777" w:rsidR="00AC3ABA" w:rsidRPr="00A0008C"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2</w:t>
            </w:r>
            <w:r>
              <w:rPr>
                <w:rFonts w:ascii="Calibri" w:eastAsia="Times New Roman" w:hAnsi="Calibri" w:cs="Calibri"/>
                <w:sz w:val="22"/>
                <w:szCs w:val="22"/>
                <w:lang w:eastAsia="en-AU"/>
              </w:rPr>
              <w:t>.0%</w:t>
            </w:r>
          </w:p>
        </w:tc>
        <w:tc>
          <w:tcPr>
            <w:tcW w:w="960" w:type="dxa"/>
          </w:tcPr>
          <w:p w14:paraId="1B6A170D" w14:textId="77777777" w:rsidR="00AC3ABA" w:rsidRPr="00A0008C"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2.2</w:t>
            </w:r>
            <w:r>
              <w:rPr>
                <w:rFonts w:ascii="Calibri" w:eastAsia="Times New Roman" w:hAnsi="Calibri" w:cs="Calibri"/>
                <w:sz w:val="22"/>
                <w:szCs w:val="22"/>
                <w:lang w:eastAsia="en-AU"/>
              </w:rPr>
              <w:t>%</w:t>
            </w:r>
          </w:p>
        </w:tc>
        <w:tc>
          <w:tcPr>
            <w:tcW w:w="960" w:type="dxa"/>
            <w:noWrap/>
            <w:hideMark/>
          </w:tcPr>
          <w:p w14:paraId="5003120E" w14:textId="77777777" w:rsidR="00AC3ABA" w:rsidRPr="00A0008C"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2.38</w:t>
            </w:r>
            <w:r>
              <w:rPr>
                <w:rFonts w:ascii="Calibri" w:eastAsia="Times New Roman" w:hAnsi="Calibri" w:cs="Calibri"/>
                <w:sz w:val="22"/>
                <w:szCs w:val="22"/>
                <w:lang w:eastAsia="en-AU"/>
              </w:rPr>
              <w:t>%</w:t>
            </w:r>
          </w:p>
        </w:tc>
        <w:tc>
          <w:tcPr>
            <w:tcW w:w="960" w:type="dxa"/>
          </w:tcPr>
          <w:p w14:paraId="20D8961A" w14:textId="77777777" w:rsidR="00AC3ABA" w:rsidRPr="00A0008C" w:rsidRDefault="00AC3ABA" w:rsidP="000F41B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A0008C">
              <w:rPr>
                <w:rFonts w:ascii="Calibri" w:eastAsia="Times New Roman" w:hAnsi="Calibri" w:cs="Calibri"/>
                <w:sz w:val="22"/>
                <w:szCs w:val="22"/>
                <w:lang w:eastAsia="en-AU"/>
              </w:rPr>
              <w:t>2.5</w:t>
            </w:r>
            <w:r>
              <w:rPr>
                <w:rFonts w:ascii="Calibri" w:eastAsia="Times New Roman" w:hAnsi="Calibri" w:cs="Calibri"/>
                <w:sz w:val="22"/>
                <w:szCs w:val="22"/>
                <w:lang w:eastAsia="en-AU"/>
              </w:rPr>
              <w:t>%</w:t>
            </w:r>
          </w:p>
        </w:tc>
      </w:tr>
    </w:tbl>
    <w:p w14:paraId="06479739" w14:textId="14D00A21" w:rsidR="00AC3ABA" w:rsidRDefault="00AC3ABA" w:rsidP="00EC19A1">
      <w:pPr>
        <w:pStyle w:val="Tablenotes"/>
        <w:ind w:left="0" w:firstLine="0"/>
      </w:pPr>
      <w:r w:rsidRPr="00EC19A1">
        <w:t>Note: Information provided by ACTCOSS. Information for NT was not available</w:t>
      </w:r>
    </w:p>
    <w:p w14:paraId="0C214DFC" w14:textId="74B986A6" w:rsidR="00C50FC1" w:rsidRDefault="00C50FC1" w:rsidP="00C50FC1"/>
    <w:p w14:paraId="0C6F80CC" w14:textId="6D493F08" w:rsidR="00C50FC1" w:rsidRDefault="00C50FC1" w:rsidP="00C50FC1"/>
    <w:p w14:paraId="16D3A797" w14:textId="77777777" w:rsidR="00C50FC1" w:rsidRPr="00C50FC1" w:rsidRDefault="00C50FC1" w:rsidP="00C50FC1"/>
    <w:p w14:paraId="2B801DD4" w14:textId="549E1EB1" w:rsidR="00A00A8B" w:rsidRDefault="00EA6EED" w:rsidP="00A00A8B">
      <w:pPr>
        <w:pStyle w:val="Caption"/>
      </w:pPr>
      <w:bookmarkStart w:id="196" w:name="_Ref88832625"/>
      <w:bookmarkStart w:id="197" w:name="_Ref88837917"/>
      <w:bookmarkStart w:id="198" w:name="_Toc90020077"/>
      <w:r>
        <w:t xml:space="preserve">Table </w:t>
      </w:r>
      <w:r w:rsidR="00663838">
        <w:t>C</w:t>
      </w:r>
      <w:r>
        <w:t xml:space="preserve">. </w:t>
      </w:r>
      <w:fldSimple w:instr=" SEQ Table_D. \* ARABIC ">
        <w:r w:rsidR="00E405AF">
          <w:rPr>
            <w:noProof/>
          </w:rPr>
          <w:t>5</w:t>
        </w:r>
      </w:fldSimple>
      <w:bookmarkEnd w:id="196"/>
      <w:bookmarkEnd w:id="197"/>
      <w:r>
        <w:tab/>
      </w:r>
      <w:r w:rsidR="00A00A8B">
        <w:t xml:space="preserve">Perceptions of </w:t>
      </w:r>
      <w:proofErr w:type="gramStart"/>
      <w:r w:rsidR="00A00A8B">
        <w:t>whether or not</w:t>
      </w:r>
      <w:proofErr w:type="gramEnd"/>
      <w:r w:rsidR="00A00A8B">
        <w:t xml:space="preserve"> funds were indexed each year</w:t>
      </w:r>
      <w:bookmarkEnd w:id="198"/>
    </w:p>
    <w:tbl>
      <w:tblPr>
        <w:tblStyle w:val="Style3"/>
        <w:tblW w:w="8468" w:type="dxa"/>
        <w:tblLook w:val="04A0" w:firstRow="1" w:lastRow="0" w:firstColumn="1" w:lastColumn="0" w:noHBand="0" w:noVBand="1"/>
      </w:tblPr>
      <w:tblGrid>
        <w:gridCol w:w="1413"/>
        <w:gridCol w:w="1149"/>
        <w:gridCol w:w="1261"/>
        <w:gridCol w:w="1275"/>
        <w:gridCol w:w="1276"/>
        <w:gridCol w:w="1134"/>
        <w:gridCol w:w="960"/>
      </w:tblGrid>
      <w:tr w:rsidR="00A00A8B" w:rsidRPr="009431C3" w14:paraId="770B1868" w14:textId="77777777" w:rsidTr="00323C9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D05168B" w14:textId="77777777" w:rsidR="00A00A8B" w:rsidRPr="009431C3" w:rsidRDefault="00A00A8B" w:rsidP="00323C97">
            <w:pPr>
              <w:autoSpaceDE/>
              <w:autoSpaceDN/>
              <w:adjustRightInd/>
              <w:spacing w:after="0"/>
              <w:ind w:right="0"/>
              <w:rPr>
                <w:rFonts w:ascii="Calibri" w:eastAsia="Times New Roman" w:hAnsi="Calibri" w:cs="Calibri"/>
                <w:b/>
                <w:bCs/>
                <w:color w:val="FFFFFF" w:themeColor="background1"/>
                <w:sz w:val="20"/>
                <w:szCs w:val="20"/>
                <w:lang w:eastAsia="en-AU"/>
              </w:rPr>
            </w:pPr>
            <w:r w:rsidRPr="009431C3">
              <w:rPr>
                <w:rFonts w:ascii="Calibri" w:eastAsia="Times New Roman" w:hAnsi="Calibri" w:cs="Calibri"/>
                <w:b/>
                <w:bCs/>
                <w:color w:val="FFFFFF" w:themeColor="background1"/>
                <w:sz w:val="20"/>
                <w:szCs w:val="20"/>
                <w:lang w:eastAsia="en-AU"/>
              </w:rPr>
              <w:t> </w:t>
            </w:r>
          </w:p>
        </w:tc>
        <w:tc>
          <w:tcPr>
            <w:tcW w:w="1149" w:type="dxa"/>
            <w:noWrap/>
            <w:hideMark/>
          </w:tcPr>
          <w:p w14:paraId="773ECC1A" w14:textId="77777777" w:rsidR="00A00A8B" w:rsidRPr="009431C3" w:rsidRDefault="00A00A8B" w:rsidP="00323C9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9431C3">
              <w:rPr>
                <w:rFonts w:ascii="Calibri" w:eastAsia="Times New Roman" w:hAnsi="Calibri" w:cs="Calibri"/>
                <w:b/>
                <w:bCs/>
                <w:color w:val="FFFFFF" w:themeColor="background1"/>
                <w:sz w:val="20"/>
                <w:szCs w:val="20"/>
                <w:lang w:eastAsia="en-AU"/>
              </w:rPr>
              <w:t>CSD Core funds (n=41)</w:t>
            </w:r>
          </w:p>
        </w:tc>
        <w:tc>
          <w:tcPr>
            <w:tcW w:w="1261" w:type="dxa"/>
            <w:noWrap/>
            <w:hideMark/>
          </w:tcPr>
          <w:p w14:paraId="3F28FA28" w14:textId="77777777" w:rsidR="00A00A8B" w:rsidRPr="009431C3" w:rsidRDefault="00A00A8B" w:rsidP="00323C9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9431C3">
              <w:rPr>
                <w:rFonts w:ascii="Calibri" w:eastAsia="Times New Roman" w:hAnsi="Calibri" w:cs="Calibri"/>
                <w:b/>
                <w:bCs/>
                <w:color w:val="FFFFFF" w:themeColor="background1"/>
                <w:sz w:val="20"/>
                <w:szCs w:val="20"/>
                <w:lang w:eastAsia="en-AU"/>
              </w:rPr>
              <w:t>CSD Project funds (n=9)</w:t>
            </w:r>
          </w:p>
        </w:tc>
        <w:tc>
          <w:tcPr>
            <w:tcW w:w="1275" w:type="dxa"/>
            <w:noWrap/>
            <w:hideMark/>
          </w:tcPr>
          <w:p w14:paraId="22119BFC" w14:textId="77777777" w:rsidR="00A00A8B" w:rsidRPr="009431C3" w:rsidRDefault="00A00A8B" w:rsidP="00323C9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9431C3">
              <w:rPr>
                <w:rFonts w:ascii="Calibri" w:eastAsia="Times New Roman" w:hAnsi="Calibri" w:cs="Calibri"/>
                <w:b/>
                <w:bCs/>
                <w:color w:val="FFFFFF" w:themeColor="background1"/>
                <w:sz w:val="20"/>
                <w:szCs w:val="20"/>
                <w:lang w:eastAsia="en-AU"/>
              </w:rPr>
              <w:t>Health Core funds (n=45)</w:t>
            </w:r>
          </w:p>
        </w:tc>
        <w:tc>
          <w:tcPr>
            <w:tcW w:w="1276" w:type="dxa"/>
            <w:noWrap/>
            <w:hideMark/>
          </w:tcPr>
          <w:p w14:paraId="1899E904" w14:textId="77777777" w:rsidR="00A00A8B" w:rsidRPr="009431C3" w:rsidRDefault="00A00A8B" w:rsidP="00323C9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9431C3">
              <w:rPr>
                <w:rFonts w:ascii="Calibri" w:eastAsia="Times New Roman" w:hAnsi="Calibri" w:cs="Calibri"/>
                <w:b/>
                <w:bCs/>
                <w:color w:val="FFFFFF" w:themeColor="background1"/>
                <w:sz w:val="20"/>
                <w:szCs w:val="20"/>
                <w:lang w:eastAsia="en-AU"/>
              </w:rPr>
              <w:t>Health project funds (n=10)</w:t>
            </w:r>
          </w:p>
        </w:tc>
        <w:tc>
          <w:tcPr>
            <w:tcW w:w="1134" w:type="dxa"/>
            <w:noWrap/>
            <w:hideMark/>
          </w:tcPr>
          <w:p w14:paraId="638D0974" w14:textId="77777777" w:rsidR="00A00A8B" w:rsidRPr="009431C3" w:rsidRDefault="00A00A8B" w:rsidP="00323C9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9431C3">
              <w:rPr>
                <w:rFonts w:ascii="Calibri" w:eastAsia="Times New Roman" w:hAnsi="Calibri" w:cs="Calibri"/>
                <w:b/>
                <w:bCs/>
                <w:color w:val="FFFFFF" w:themeColor="background1"/>
                <w:sz w:val="20"/>
                <w:szCs w:val="20"/>
                <w:lang w:eastAsia="en-AU"/>
              </w:rPr>
              <w:t>Other (n=8)</w:t>
            </w:r>
          </w:p>
        </w:tc>
        <w:tc>
          <w:tcPr>
            <w:tcW w:w="960" w:type="dxa"/>
            <w:noWrap/>
            <w:hideMark/>
          </w:tcPr>
          <w:p w14:paraId="34B0A087" w14:textId="77777777" w:rsidR="00A00A8B" w:rsidRPr="009431C3" w:rsidRDefault="00A00A8B" w:rsidP="00323C9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9431C3">
              <w:rPr>
                <w:rFonts w:ascii="Calibri" w:eastAsia="Times New Roman" w:hAnsi="Calibri" w:cs="Calibri"/>
                <w:b/>
                <w:bCs/>
                <w:color w:val="FFFFFF" w:themeColor="background1"/>
                <w:sz w:val="20"/>
                <w:szCs w:val="20"/>
                <w:lang w:eastAsia="en-AU"/>
              </w:rPr>
              <w:t>All (n=100)</w:t>
            </w:r>
          </w:p>
        </w:tc>
      </w:tr>
      <w:tr w:rsidR="00A00A8B" w:rsidRPr="009431C3" w14:paraId="15F25E9A" w14:textId="77777777" w:rsidTr="00323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FB444EA" w14:textId="77777777" w:rsidR="00A00A8B" w:rsidRPr="009431C3" w:rsidRDefault="00A00A8B" w:rsidP="00323C97">
            <w:pPr>
              <w:autoSpaceDE/>
              <w:autoSpaceDN/>
              <w:adjustRightInd/>
              <w:spacing w:after="0"/>
              <w:ind w:right="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I</w:t>
            </w:r>
            <w:r w:rsidRPr="007E6723">
              <w:rPr>
                <w:rFonts w:ascii="Calibri" w:eastAsia="Times New Roman" w:hAnsi="Calibri" w:cs="Calibri"/>
                <w:sz w:val="20"/>
                <w:szCs w:val="20"/>
                <w:lang w:eastAsia="en-AU"/>
              </w:rPr>
              <w:t>ndexed</w:t>
            </w:r>
            <w:r w:rsidRPr="009431C3">
              <w:rPr>
                <w:rFonts w:ascii="Calibri" w:eastAsia="Times New Roman" w:hAnsi="Calibri" w:cs="Calibri"/>
                <w:sz w:val="20"/>
                <w:szCs w:val="20"/>
                <w:lang w:eastAsia="en-AU"/>
              </w:rPr>
              <w:t xml:space="preserve"> </w:t>
            </w:r>
          </w:p>
        </w:tc>
        <w:tc>
          <w:tcPr>
            <w:tcW w:w="1149" w:type="dxa"/>
            <w:noWrap/>
            <w:hideMark/>
          </w:tcPr>
          <w:p w14:paraId="41C4BE04"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85%</w:t>
            </w:r>
          </w:p>
        </w:tc>
        <w:tc>
          <w:tcPr>
            <w:tcW w:w="1261" w:type="dxa"/>
            <w:noWrap/>
            <w:hideMark/>
          </w:tcPr>
          <w:p w14:paraId="33BA86C8"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22%</w:t>
            </w:r>
          </w:p>
        </w:tc>
        <w:tc>
          <w:tcPr>
            <w:tcW w:w="1275" w:type="dxa"/>
            <w:noWrap/>
            <w:hideMark/>
          </w:tcPr>
          <w:p w14:paraId="15D16CA4"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92%</w:t>
            </w:r>
          </w:p>
        </w:tc>
        <w:tc>
          <w:tcPr>
            <w:tcW w:w="1276" w:type="dxa"/>
            <w:noWrap/>
            <w:hideMark/>
          </w:tcPr>
          <w:p w14:paraId="1E419C15"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50%</w:t>
            </w:r>
          </w:p>
        </w:tc>
        <w:tc>
          <w:tcPr>
            <w:tcW w:w="1134" w:type="dxa"/>
            <w:noWrap/>
            <w:hideMark/>
          </w:tcPr>
          <w:p w14:paraId="560D9690"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50%</w:t>
            </w:r>
          </w:p>
        </w:tc>
        <w:tc>
          <w:tcPr>
            <w:tcW w:w="960" w:type="dxa"/>
            <w:noWrap/>
            <w:hideMark/>
          </w:tcPr>
          <w:p w14:paraId="6255F059"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77%</w:t>
            </w:r>
          </w:p>
        </w:tc>
      </w:tr>
      <w:tr w:rsidR="00A00A8B" w:rsidRPr="009431C3" w14:paraId="004B8659" w14:textId="77777777" w:rsidTr="00323C9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tcPr>
          <w:p w14:paraId="0E23EC60" w14:textId="77777777" w:rsidR="00A00A8B" w:rsidRPr="009431C3" w:rsidRDefault="00A00A8B" w:rsidP="00323C97">
            <w:pPr>
              <w:autoSpaceDE/>
              <w:autoSpaceDN/>
              <w:adjustRightInd/>
              <w:spacing w:after="0"/>
              <w:ind w:right="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N</w:t>
            </w:r>
            <w:r w:rsidRPr="007E6723">
              <w:rPr>
                <w:rFonts w:ascii="Calibri" w:eastAsia="Times New Roman" w:hAnsi="Calibri" w:cs="Calibri"/>
                <w:sz w:val="20"/>
                <w:szCs w:val="20"/>
                <w:lang w:eastAsia="en-AU"/>
              </w:rPr>
              <w:t>ot indexed</w:t>
            </w:r>
          </w:p>
        </w:tc>
        <w:tc>
          <w:tcPr>
            <w:tcW w:w="1149" w:type="dxa"/>
            <w:noWrap/>
            <w:hideMark/>
          </w:tcPr>
          <w:p w14:paraId="132FDBB8"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5%</w:t>
            </w:r>
          </w:p>
        </w:tc>
        <w:tc>
          <w:tcPr>
            <w:tcW w:w="1261" w:type="dxa"/>
            <w:noWrap/>
            <w:hideMark/>
          </w:tcPr>
          <w:p w14:paraId="2E0CE834"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56%</w:t>
            </w:r>
          </w:p>
        </w:tc>
        <w:tc>
          <w:tcPr>
            <w:tcW w:w="1275" w:type="dxa"/>
            <w:noWrap/>
            <w:hideMark/>
          </w:tcPr>
          <w:p w14:paraId="4034DBDF"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0%</w:t>
            </w:r>
          </w:p>
        </w:tc>
        <w:tc>
          <w:tcPr>
            <w:tcW w:w="1276" w:type="dxa"/>
            <w:noWrap/>
            <w:hideMark/>
          </w:tcPr>
          <w:p w14:paraId="46E3D0B4"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50%</w:t>
            </w:r>
          </w:p>
        </w:tc>
        <w:tc>
          <w:tcPr>
            <w:tcW w:w="1134" w:type="dxa"/>
            <w:noWrap/>
            <w:hideMark/>
          </w:tcPr>
          <w:p w14:paraId="2CCA694D"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38%</w:t>
            </w:r>
          </w:p>
        </w:tc>
        <w:tc>
          <w:tcPr>
            <w:tcW w:w="960" w:type="dxa"/>
            <w:noWrap/>
            <w:hideMark/>
          </w:tcPr>
          <w:p w14:paraId="6C3675A1"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13%</w:t>
            </w:r>
          </w:p>
        </w:tc>
      </w:tr>
      <w:tr w:rsidR="00A00A8B" w:rsidRPr="009431C3" w14:paraId="39EFB06B" w14:textId="77777777" w:rsidTr="00323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tcPr>
          <w:p w14:paraId="6C6DA453" w14:textId="77777777" w:rsidR="00A00A8B" w:rsidRPr="009431C3" w:rsidRDefault="00A00A8B" w:rsidP="00323C97">
            <w:pPr>
              <w:autoSpaceDE/>
              <w:autoSpaceDN/>
              <w:adjustRightInd/>
              <w:spacing w:after="0"/>
              <w:ind w:right="0"/>
              <w:rPr>
                <w:rFonts w:ascii="Calibri" w:eastAsia="Times New Roman" w:hAnsi="Calibri" w:cs="Calibri"/>
                <w:sz w:val="20"/>
                <w:szCs w:val="20"/>
                <w:lang w:eastAsia="en-AU"/>
              </w:rPr>
            </w:pPr>
            <w:r w:rsidRPr="007E6723">
              <w:rPr>
                <w:rFonts w:ascii="Calibri" w:eastAsia="Times New Roman" w:hAnsi="Calibri" w:cs="Calibri"/>
                <w:sz w:val="20"/>
                <w:szCs w:val="20"/>
                <w:lang w:eastAsia="en-AU"/>
              </w:rPr>
              <w:t>Not sure</w:t>
            </w:r>
          </w:p>
        </w:tc>
        <w:tc>
          <w:tcPr>
            <w:tcW w:w="1149" w:type="dxa"/>
            <w:noWrap/>
            <w:hideMark/>
          </w:tcPr>
          <w:p w14:paraId="4545F37F"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10%</w:t>
            </w:r>
          </w:p>
        </w:tc>
        <w:tc>
          <w:tcPr>
            <w:tcW w:w="1261" w:type="dxa"/>
            <w:noWrap/>
            <w:hideMark/>
          </w:tcPr>
          <w:p w14:paraId="279B3438"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22%</w:t>
            </w:r>
          </w:p>
        </w:tc>
        <w:tc>
          <w:tcPr>
            <w:tcW w:w="1275" w:type="dxa"/>
            <w:noWrap/>
            <w:hideMark/>
          </w:tcPr>
          <w:p w14:paraId="082EFD19"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8%</w:t>
            </w:r>
          </w:p>
        </w:tc>
        <w:tc>
          <w:tcPr>
            <w:tcW w:w="1276" w:type="dxa"/>
            <w:noWrap/>
            <w:hideMark/>
          </w:tcPr>
          <w:p w14:paraId="0DB056C4"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0%</w:t>
            </w:r>
          </w:p>
        </w:tc>
        <w:tc>
          <w:tcPr>
            <w:tcW w:w="1134" w:type="dxa"/>
            <w:noWrap/>
            <w:hideMark/>
          </w:tcPr>
          <w:p w14:paraId="40FD56E6"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13%</w:t>
            </w:r>
          </w:p>
        </w:tc>
        <w:tc>
          <w:tcPr>
            <w:tcW w:w="960" w:type="dxa"/>
            <w:noWrap/>
            <w:hideMark/>
          </w:tcPr>
          <w:p w14:paraId="51FB8A26" w14:textId="77777777" w:rsidR="00A00A8B" w:rsidRPr="009431C3" w:rsidRDefault="00A00A8B" w:rsidP="00323C9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9431C3">
              <w:rPr>
                <w:rFonts w:ascii="Calibri" w:eastAsia="Times New Roman" w:hAnsi="Calibri" w:cs="Calibri"/>
                <w:sz w:val="20"/>
                <w:szCs w:val="20"/>
                <w:lang w:eastAsia="en-AU"/>
              </w:rPr>
              <w:t>10%</w:t>
            </w:r>
          </w:p>
        </w:tc>
      </w:tr>
      <w:tr w:rsidR="00A00A8B" w:rsidRPr="009431C3" w14:paraId="7DB53F3B" w14:textId="77777777" w:rsidTr="00323C9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tcPr>
          <w:p w14:paraId="3B4FBFD4" w14:textId="77777777" w:rsidR="00A00A8B" w:rsidRPr="009431C3" w:rsidRDefault="00A00A8B" w:rsidP="00323C97">
            <w:pPr>
              <w:autoSpaceDE/>
              <w:autoSpaceDN/>
              <w:adjustRightInd/>
              <w:spacing w:after="0"/>
              <w:ind w:right="0"/>
              <w:rPr>
                <w:rFonts w:ascii="Calibri" w:eastAsia="Times New Roman" w:hAnsi="Calibri" w:cs="Calibri"/>
                <w:b/>
                <w:bCs/>
                <w:sz w:val="20"/>
                <w:szCs w:val="20"/>
                <w:lang w:eastAsia="en-AU"/>
              </w:rPr>
            </w:pPr>
            <w:r w:rsidRPr="009431C3">
              <w:rPr>
                <w:rFonts w:ascii="Calibri" w:eastAsia="Times New Roman" w:hAnsi="Calibri" w:cs="Calibri"/>
                <w:b/>
                <w:bCs/>
                <w:sz w:val="20"/>
                <w:szCs w:val="20"/>
                <w:lang w:eastAsia="en-AU"/>
              </w:rPr>
              <w:t>All</w:t>
            </w:r>
          </w:p>
        </w:tc>
        <w:tc>
          <w:tcPr>
            <w:tcW w:w="1149" w:type="dxa"/>
            <w:noWrap/>
            <w:hideMark/>
          </w:tcPr>
          <w:p w14:paraId="7D7F0260"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0"/>
                <w:szCs w:val="20"/>
                <w:lang w:eastAsia="en-AU"/>
              </w:rPr>
            </w:pPr>
            <w:r w:rsidRPr="009431C3">
              <w:rPr>
                <w:rFonts w:ascii="Calibri" w:eastAsia="Times New Roman" w:hAnsi="Calibri" w:cs="Calibri"/>
                <w:b/>
                <w:bCs/>
                <w:sz w:val="20"/>
                <w:szCs w:val="20"/>
                <w:lang w:eastAsia="en-AU"/>
              </w:rPr>
              <w:t>100%</w:t>
            </w:r>
          </w:p>
        </w:tc>
        <w:tc>
          <w:tcPr>
            <w:tcW w:w="1261" w:type="dxa"/>
            <w:noWrap/>
            <w:hideMark/>
          </w:tcPr>
          <w:p w14:paraId="0C8B1F54"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0"/>
                <w:szCs w:val="20"/>
                <w:lang w:eastAsia="en-AU"/>
              </w:rPr>
            </w:pPr>
            <w:r w:rsidRPr="009431C3">
              <w:rPr>
                <w:rFonts w:ascii="Calibri" w:eastAsia="Times New Roman" w:hAnsi="Calibri" w:cs="Calibri"/>
                <w:b/>
                <w:bCs/>
                <w:sz w:val="20"/>
                <w:szCs w:val="20"/>
                <w:lang w:eastAsia="en-AU"/>
              </w:rPr>
              <w:t>100%</w:t>
            </w:r>
          </w:p>
        </w:tc>
        <w:tc>
          <w:tcPr>
            <w:tcW w:w="1275" w:type="dxa"/>
            <w:noWrap/>
            <w:hideMark/>
          </w:tcPr>
          <w:p w14:paraId="503D9622"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0"/>
                <w:szCs w:val="20"/>
                <w:lang w:eastAsia="en-AU"/>
              </w:rPr>
            </w:pPr>
            <w:r w:rsidRPr="009431C3">
              <w:rPr>
                <w:rFonts w:ascii="Calibri" w:eastAsia="Times New Roman" w:hAnsi="Calibri" w:cs="Calibri"/>
                <w:b/>
                <w:bCs/>
                <w:sz w:val="20"/>
                <w:szCs w:val="20"/>
                <w:lang w:eastAsia="en-AU"/>
              </w:rPr>
              <w:t>100%</w:t>
            </w:r>
          </w:p>
        </w:tc>
        <w:tc>
          <w:tcPr>
            <w:tcW w:w="1276" w:type="dxa"/>
            <w:noWrap/>
            <w:hideMark/>
          </w:tcPr>
          <w:p w14:paraId="65B56E2A"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0"/>
                <w:szCs w:val="20"/>
                <w:lang w:eastAsia="en-AU"/>
              </w:rPr>
            </w:pPr>
            <w:r w:rsidRPr="009431C3">
              <w:rPr>
                <w:rFonts w:ascii="Calibri" w:eastAsia="Times New Roman" w:hAnsi="Calibri" w:cs="Calibri"/>
                <w:b/>
                <w:bCs/>
                <w:sz w:val="20"/>
                <w:szCs w:val="20"/>
                <w:lang w:eastAsia="en-AU"/>
              </w:rPr>
              <w:t>100%</w:t>
            </w:r>
          </w:p>
        </w:tc>
        <w:tc>
          <w:tcPr>
            <w:tcW w:w="1134" w:type="dxa"/>
            <w:noWrap/>
            <w:hideMark/>
          </w:tcPr>
          <w:p w14:paraId="7C503CF6"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0"/>
                <w:szCs w:val="20"/>
                <w:lang w:eastAsia="en-AU"/>
              </w:rPr>
            </w:pPr>
            <w:r w:rsidRPr="009431C3">
              <w:rPr>
                <w:rFonts w:ascii="Calibri" w:eastAsia="Times New Roman" w:hAnsi="Calibri" w:cs="Calibri"/>
                <w:b/>
                <w:bCs/>
                <w:sz w:val="20"/>
                <w:szCs w:val="20"/>
                <w:lang w:eastAsia="en-AU"/>
              </w:rPr>
              <w:t>100%</w:t>
            </w:r>
          </w:p>
        </w:tc>
        <w:tc>
          <w:tcPr>
            <w:tcW w:w="960" w:type="dxa"/>
            <w:noWrap/>
            <w:hideMark/>
          </w:tcPr>
          <w:p w14:paraId="2D3FA54D" w14:textId="77777777" w:rsidR="00A00A8B" w:rsidRPr="009431C3" w:rsidRDefault="00A00A8B" w:rsidP="00323C9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0"/>
                <w:szCs w:val="20"/>
                <w:lang w:eastAsia="en-AU"/>
              </w:rPr>
            </w:pPr>
            <w:r w:rsidRPr="009431C3">
              <w:rPr>
                <w:rFonts w:ascii="Calibri" w:eastAsia="Times New Roman" w:hAnsi="Calibri" w:cs="Calibri"/>
                <w:b/>
                <w:bCs/>
                <w:sz w:val="20"/>
                <w:szCs w:val="20"/>
                <w:lang w:eastAsia="en-AU"/>
              </w:rPr>
              <w:t>100%</w:t>
            </w:r>
          </w:p>
        </w:tc>
      </w:tr>
    </w:tbl>
    <w:p w14:paraId="6A4E0A6A" w14:textId="02063C4F" w:rsidR="00A00A8B" w:rsidRDefault="005C0516" w:rsidP="00064550">
      <w:pPr>
        <w:pStyle w:val="BodyText"/>
        <w:rPr>
          <w:sz w:val="18"/>
          <w:szCs w:val="18"/>
        </w:rPr>
      </w:pPr>
      <w:r w:rsidRPr="00554250">
        <w:rPr>
          <w:sz w:val="18"/>
          <w:szCs w:val="18"/>
        </w:rPr>
        <w:t>Source: ACT Service Costing Survey, 2021</w:t>
      </w:r>
    </w:p>
    <w:p w14:paraId="60736096" w14:textId="2E011466" w:rsidR="006D5D21" w:rsidRDefault="006D5D21">
      <w:pPr>
        <w:autoSpaceDE/>
        <w:autoSpaceDN/>
        <w:adjustRightInd/>
        <w:spacing w:after="200" w:line="276" w:lineRule="auto"/>
        <w:ind w:right="0"/>
        <w:rPr>
          <w:rFonts w:eastAsiaTheme="minorHAnsi" w:cs="Times New Roman"/>
          <w:b/>
          <w:bCs/>
          <w:sz w:val="20"/>
          <w:szCs w:val="20"/>
        </w:rPr>
      </w:pPr>
    </w:p>
    <w:p w14:paraId="35713B72" w14:textId="77777777" w:rsidR="00EA6EED" w:rsidRDefault="00EA6EED" w:rsidP="00E36493">
      <w:pPr>
        <w:pStyle w:val="Captiontable"/>
      </w:pPr>
    </w:p>
    <w:p w14:paraId="5AC1D462" w14:textId="0EF4FD47" w:rsidR="00E36493" w:rsidRDefault="00EA6EED" w:rsidP="00E36493">
      <w:pPr>
        <w:pStyle w:val="Captiontable"/>
      </w:pPr>
      <w:bookmarkStart w:id="199" w:name="_Ref88839192"/>
      <w:bookmarkStart w:id="200" w:name="_Toc90020078"/>
      <w:r>
        <w:t xml:space="preserve">Table </w:t>
      </w:r>
      <w:r w:rsidR="00663838">
        <w:t>C</w:t>
      </w:r>
      <w:r>
        <w:t xml:space="preserve">. </w:t>
      </w:r>
      <w:fldSimple w:instr=" SEQ Table_D. \* ARABIC ">
        <w:r w:rsidR="00E405AF">
          <w:rPr>
            <w:noProof/>
          </w:rPr>
          <w:t>6</w:t>
        </w:r>
      </w:fldSimple>
      <w:bookmarkEnd w:id="199"/>
      <w:r>
        <w:tab/>
      </w:r>
      <w:r w:rsidR="00E36493">
        <w:t xml:space="preserve">Perspectives on coverage of employment-related costs, </w:t>
      </w:r>
      <w:r w:rsidR="005658AA">
        <w:t xml:space="preserve">funding received from </w:t>
      </w:r>
      <w:r w:rsidR="00E36493" w:rsidRPr="00454AD7">
        <w:t>Community Services Directorate</w:t>
      </w:r>
      <w:bookmarkEnd w:id="200"/>
    </w:p>
    <w:tbl>
      <w:tblPr>
        <w:tblStyle w:val="Style3"/>
        <w:tblW w:w="9023" w:type="dxa"/>
        <w:tblLook w:val="04A0" w:firstRow="1" w:lastRow="0" w:firstColumn="1" w:lastColumn="0" w:noHBand="0" w:noVBand="1"/>
      </w:tblPr>
      <w:tblGrid>
        <w:gridCol w:w="3256"/>
        <w:gridCol w:w="543"/>
        <w:gridCol w:w="876"/>
        <w:gridCol w:w="1438"/>
        <w:gridCol w:w="1371"/>
        <w:gridCol w:w="800"/>
        <w:gridCol w:w="739"/>
      </w:tblGrid>
      <w:tr w:rsidR="00BD347E" w:rsidRPr="00E36493" w14:paraId="47C51399" w14:textId="77777777" w:rsidTr="00B30B1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2A26650" w14:textId="77777777" w:rsidR="00BD347E" w:rsidRPr="00E36493" w:rsidRDefault="00BD347E" w:rsidP="00BD347E">
            <w:pPr>
              <w:autoSpaceDE/>
              <w:autoSpaceDN/>
              <w:adjustRightInd/>
              <w:spacing w:after="0"/>
              <w:ind w:right="0"/>
              <w:jc w:val="center"/>
              <w:rPr>
                <w:rFonts w:ascii="Times New Roman" w:eastAsia="Times New Roman" w:hAnsi="Times New Roman" w:cs="Times New Roman"/>
                <w:b/>
                <w:bCs/>
                <w:color w:val="FFFFFF" w:themeColor="background1"/>
                <w:sz w:val="20"/>
                <w:szCs w:val="20"/>
                <w:lang w:eastAsia="en-AU"/>
              </w:rPr>
            </w:pPr>
          </w:p>
        </w:tc>
        <w:tc>
          <w:tcPr>
            <w:tcW w:w="543" w:type="dxa"/>
          </w:tcPr>
          <w:p w14:paraId="7229201D"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p>
        </w:tc>
        <w:tc>
          <w:tcPr>
            <w:tcW w:w="876" w:type="dxa"/>
            <w:noWrap/>
            <w:hideMark/>
          </w:tcPr>
          <w:p w14:paraId="3B3BF922" w14:textId="2F3A7F0F"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Not funded</w:t>
            </w:r>
          </w:p>
        </w:tc>
        <w:tc>
          <w:tcPr>
            <w:tcW w:w="1438" w:type="dxa"/>
            <w:noWrap/>
            <w:hideMark/>
          </w:tcPr>
          <w:p w14:paraId="06D160AD"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Underfunded</w:t>
            </w:r>
          </w:p>
        </w:tc>
        <w:tc>
          <w:tcPr>
            <w:tcW w:w="1371" w:type="dxa"/>
            <w:noWrap/>
            <w:hideMark/>
          </w:tcPr>
          <w:p w14:paraId="29767FBA"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Adequately funded</w:t>
            </w:r>
          </w:p>
        </w:tc>
        <w:tc>
          <w:tcPr>
            <w:tcW w:w="800" w:type="dxa"/>
            <w:noWrap/>
            <w:hideMark/>
          </w:tcPr>
          <w:p w14:paraId="420EC2DC"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Not sure</w:t>
            </w:r>
          </w:p>
        </w:tc>
        <w:tc>
          <w:tcPr>
            <w:tcW w:w="739" w:type="dxa"/>
            <w:noWrap/>
            <w:hideMark/>
          </w:tcPr>
          <w:p w14:paraId="4B5645EB"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Total</w:t>
            </w:r>
          </w:p>
        </w:tc>
      </w:tr>
      <w:tr w:rsidR="00B30B10" w:rsidRPr="00E36493" w14:paraId="108B5039"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6E8DBC81" w14:textId="77777777" w:rsidR="00B30B10" w:rsidRPr="00E36493" w:rsidRDefault="00B30B10" w:rsidP="00E36493">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Costs of recruiting and inducting new staff</w:t>
            </w:r>
          </w:p>
        </w:tc>
        <w:tc>
          <w:tcPr>
            <w:tcW w:w="543" w:type="dxa"/>
          </w:tcPr>
          <w:p w14:paraId="5F81FE3C" w14:textId="02EFFD75" w:rsidR="00B30B10" w:rsidRPr="00E36493" w:rsidRDefault="00B30B10" w:rsidP="00E3649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4E859E98" w14:textId="2EC1E52F" w:rsidR="00B30B10" w:rsidRPr="00E36493" w:rsidRDefault="00B30B10" w:rsidP="00E3649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19</w:t>
            </w:r>
          </w:p>
        </w:tc>
        <w:tc>
          <w:tcPr>
            <w:tcW w:w="1438" w:type="dxa"/>
            <w:noWrap/>
            <w:hideMark/>
          </w:tcPr>
          <w:p w14:paraId="7721FF43" w14:textId="77777777" w:rsidR="00B30B10" w:rsidRPr="00E36493" w:rsidRDefault="00B30B10" w:rsidP="00E3649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15</w:t>
            </w:r>
          </w:p>
        </w:tc>
        <w:tc>
          <w:tcPr>
            <w:tcW w:w="1371" w:type="dxa"/>
            <w:noWrap/>
            <w:hideMark/>
          </w:tcPr>
          <w:p w14:paraId="6E4AA992" w14:textId="77777777" w:rsidR="00B30B10" w:rsidRPr="00E36493" w:rsidRDefault="00B30B10" w:rsidP="00E3649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13</w:t>
            </w:r>
          </w:p>
        </w:tc>
        <w:tc>
          <w:tcPr>
            <w:tcW w:w="800" w:type="dxa"/>
            <w:noWrap/>
            <w:hideMark/>
          </w:tcPr>
          <w:p w14:paraId="4158262C" w14:textId="77777777" w:rsidR="00B30B10" w:rsidRPr="00E36493" w:rsidRDefault="00B30B10" w:rsidP="00E3649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6DBD419F" w14:textId="77777777" w:rsidR="00B30B10" w:rsidRPr="00E36493" w:rsidRDefault="00B30B10" w:rsidP="00E3649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47</w:t>
            </w:r>
          </w:p>
        </w:tc>
      </w:tr>
      <w:tr w:rsidR="00B30B10" w:rsidRPr="00E36493" w14:paraId="1C23FB95"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4B915E11" w14:textId="77777777" w:rsidR="00B30B10" w:rsidRPr="00E36493" w:rsidRDefault="00B30B10" w:rsidP="00E36493">
            <w:pPr>
              <w:autoSpaceDE/>
              <w:autoSpaceDN/>
              <w:adjustRightInd/>
              <w:spacing w:after="0"/>
              <w:ind w:right="0"/>
              <w:jc w:val="right"/>
              <w:rPr>
                <w:rFonts w:ascii="Calibri" w:eastAsia="Times New Roman" w:hAnsi="Calibri" w:cs="Calibri"/>
                <w:sz w:val="22"/>
                <w:szCs w:val="22"/>
                <w:lang w:eastAsia="en-AU"/>
              </w:rPr>
            </w:pPr>
          </w:p>
        </w:tc>
        <w:tc>
          <w:tcPr>
            <w:tcW w:w="543" w:type="dxa"/>
          </w:tcPr>
          <w:p w14:paraId="29D0CE27" w14:textId="4BDB34B7" w:rsidR="00B30B10" w:rsidRPr="00E36493" w:rsidRDefault="00B30B10" w:rsidP="00E3649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22D29755" w14:textId="19032C8D" w:rsidR="00B30B10" w:rsidRPr="00E36493" w:rsidRDefault="00B30B10" w:rsidP="00E3649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40%</w:t>
            </w:r>
          </w:p>
        </w:tc>
        <w:tc>
          <w:tcPr>
            <w:tcW w:w="1438" w:type="dxa"/>
            <w:noWrap/>
            <w:hideMark/>
          </w:tcPr>
          <w:p w14:paraId="0404539A" w14:textId="77777777" w:rsidR="00B30B10" w:rsidRPr="00E36493" w:rsidRDefault="00B30B10" w:rsidP="00E3649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32%</w:t>
            </w:r>
          </w:p>
        </w:tc>
        <w:tc>
          <w:tcPr>
            <w:tcW w:w="1371" w:type="dxa"/>
            <w:noWrap/>
            <w:hideMark/>
          </w:tcPr>
          <w:p w14:paraId="3507E581" w14:textId="77777777" w:rsidR="00B30B10" w:rsidRPr="00E36493" w:rsidRDefault="00B30B10" w:rsidP="00E3649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28%</w:t>
            </w:r>
          </w:p>
        </w:tc>
        <w:tc>
          <w:tcPr>
            <w:tcW w:w="800" w:type="dxa"/>
            <w:noWrap/>
            <w:hideMark/>
          </w:tcPr>
          <w:p w14:paraId="0AFC664D" w14:textId="77777777" w:rsidR="00B30B10" w:rsidRPr="00E36493" w:rsidRDefault="00B30B10" w:rsidP="00E3649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0FED42AF" w14:textId="77777777" w:rsidR="00B30B10" w:rsidRPr="00E36493" w:rsidRDefault="00B30B10" w:rsidP="00E3649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32E8B1B3"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2B774BF6" w14:textId="77777777"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Employing staff at appropriate classifications</w:t>
            </w:r>
          </w:p>
        </w:tc>
        <w:tc>
          <w:tcPr>
            <w:tcW w:w="543" w:type="dxa"/>
          </w:tcPr>
          <w:p w14:paraId="640F8022" w14:textId="611C85B9"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1AA9E520" w14:textId="4A817919"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w:t>
            </w:r>
          </w:p>
        </w:tc>
        <w:tc>
          <w:tcPr>
            <w:tcW w:w="1438" w:type="dxa"/>
            <w:noWrap/>
            <w:hideMark/>
          </w:tcPr>
          <w:p w14:paraId="02C7BE6B"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26</w:t>
            </w:r>
          </w:p>
        </w:tc>
        <w:tc>
          <w:tcPr>
            <w:tcW w:w="1371" w:type="dxa"/>
            <w:noWrap/>
            <w:hideMark/>
          </w:tcPr>
          <w:p w14:paraId="43E0AE6A"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16</w:t>
            </w:r>
          </w:p>
        </w:tc>
        <w:tc>
          <w:tcPr>
            <w:tcW w:w="800" w:type="dxa"/>
            <w:noWrap/>
            <w:hideMark/>
          </w:tcPr>
          <w:p w14:paraId="1D900469"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w:t>
            </w:r>
          </w:p>
        </w:tc>
        <w:tc>
          <w:tcPr>
            <w:tcW w:w="739" w:type="dxa"/>
            <w:noWrap/>
            <w:hideMark/>
          </w:tcPr>
          <w:p w14:paraId="3905E9D7"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46</w:t>
            </w:r>
          </w:p>
        </w:tc>
      </w:tr>
      <w:tr w:rsidR="00B30B10" w:rsidRPr="00E36493" w14:paraId="0C3294A5"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23F5FCA4"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1E4A1B4B" w14:textId="1E42F821"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2EE9E689" w14:textId="41B38034"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w:t>
            </w:r>
          </w:p>
        </w:tc>
        <w:tc>
          <w:tcPr>
            <w:tcW w:w="1438" w:type="dxa"/>
            <w:noWrap/>
            <w:hideMark/>
          </w:tcPr>
          <w:p w14:paraId="5E3DF022"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57%</w:t>
            </w:r>
          </w:p>
        </w:tc>
        <w:tc>
          <w:tcPr>
            <w:tcW w:w="1371" w:type="dxa"/>
            <w:noWrap/>
            <w:hideMark/>
          </w:tcPr>
          <w:p w14:paraId="09322471"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35%</w:t>
            </w:r>
          </w:p>
        </w:tc>
        <w:tc>
          <w:tcPr>
            <w:tcW w:w="800" w:type="dxa"/>
            <w:noWrap/>
            <w:hideMark/>
          </w:tcPr>
          <w:p w14:paraId="63ACBF97"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w:t>
            </w:r>
          </w:p>
        </w:tc>
        <w:tc>
          <w:tcPr>
            <w:tcW w:w="739" w:type="dxa"/>
            <w:noWrap/>
            <w:hideMark/>
          </w:tcPr>
          <w:p w14:paraId="753EFB10"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1AEDC26E"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0B7D2CED" w14:textId="77777777"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Employing enough staff</w:t>
            </w:r>
          </w:p>
        </w:tc>
        <w:tc>
          <w:tcPr>
            <w:tcW w:w="543" w:type="dxa"/>
          </w:tcPr>
          <w:p w14:paraId="2306547A" w14:textId="0A35CF60"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5C312F4D" w14:textId="1C05BBE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w:t>
            </w:r>
          </w:p>
        </w:tc>
        <w:tc>
          <w:tcPr>
            <w:tcW w:w="1438" w:type="dxa"/>
            <w:noWrap/>
            <w:hideMark/>
          </w:tcPr>
          <w:p w14:paraId="65F08772"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34</w:t>
            </w:r>
          </w:p>
        </w:tc>
        <w:tc>
          <w:tcPr>
            <w:tcW w:w="1371" w:type="dxa"/>
            <w:noWrap/>
            <w:hideMark/>
          </w:tcPr>
          <w:p w14:paraId="5788FE86"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8</w:t>
            </w:r>
          </w:p>
        </w:tc>
        <w:tc>
          <w:tcPr>
            <w:tcW w:w="800" w:type="dxa"/>
            <w:noWrap/>
            <w:hideMark/>
          </w:tcPr>
          <w:p w14:paraId="3D9939EA"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3A4F9AAD"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46</w:t>
            </w:r>
          </w:p>
        </w:tc>
      </w:tr>
      <w:tr w:rsidR="00B30B10" w:rsidRPr="00E36493" w14:paraId="116473DA"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2E48B8CC"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695987DF" w14:textId="4D6150FE"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36E644D9" w14:textId="44E391B4"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9%</w:t>
            </w:r>
          </w:p>
        </w:tc>
        <w:tc>
          <w:tcPr>
            <w:tcW w:w="1438" w:type="dxa"/>
            <w:noWrap/>
            <w:hideMark/>
          </w:tcPr>
          <w:p w14:paraId="3AEC1166"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74%</w:t>
            </w:r>
          </w:p>
        </w:tc>
        <w:tc>
          <w:tcPr>
            <w:tcW w:w="1371" w:type="dxa"/>
            <w:noWrap/>
            <w:hideMark/>
          </w:tcPr>
          <w:p w14:paraId="0D64445C"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17%</w:t>
            </w:r>
          </w:p>
        </w:tc>
        <w:tc>
          <w:tcPr>
            <w:tcW w:w="800" w:type="dxa"/>
            <w:noWrap/>
            <w:hideMark/>
          </w:tcPr>
          <w:p w14:paraId="5A9F29C7"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2712A584"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7D3FB798"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55BD1CD4" w14:textId="77777777"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Professional / clinical supervision</w:t>
            </w:r>
          </w:p>
        </w:tc>
        <w:tc>
          <w:tcPr>
            <w:tcW w:w="543" w:type="dxa"/>
          </w:tcPr>
          <w:p w14:paraId="63D8FB0B" w14:textId="296D062D"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5307D86A" w14:textId="2ABE5BEA"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13</w:t>
            </w:r>
          </w:p>
        </w:tc>
        <w:tc>
          <w:tcPr>
            <w:tcW w:w="1438" w:type="dxa"/>
            <w:noWrap/>
            <w:hideMark/>
          </w:tcPr>
          <w:p w14:paraId="6F064DD2"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27</w:t>
            </w:r>
          </w:p>
        </w:tc>
        <w:tc>
          <w:tcPr>
            <w:tcW w:w="1371" w:type="dxa"/>
            <w:noWrap/>
            <w:hideMark/>
          </w:tcPr>
          <w:p w14:paraId="5FE46008"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w:t>
            </w:r>
          </w:p>
        </w:tc>
        <w:tc>
          <w:tcPr>
            <w:tcW w:w="800" w:type="dxa"/>
            <w:noWrap/>
            <w:hideMark/>
          </w:tcPr>
          <w:p w14:paraId="5744FEBA"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0CED0E06"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44</w:t>
            </w:r>
          </w:p>
        </w:tc>
      </w:tr>
      <w:tr w:rsidR="00B30B10" w:rsidRPr="00E36493" w14:paraId="17DC080A"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107343FF"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75F38B80" w14:textId="5692C762"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31045831" w14:textId="1623C970"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30%</w:t>
            </w:r>
          </w:p>
        </w:tc>
        <w:tc>
          <w:tcPr>
            <w:tcW w:w="1438" w:type="dxa"/>
            <w:noWrap/>
            <w:hideMark/>
          </w:tcPr>
          <w:p w14:paraId="0EB81F61"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61%</w:t>
            </w:r>
          </w:p>
        </w:tc>
        <w:tc>
          <w:tcPr>
            <w:tcW w:w="1371" w:type="dxa"/>
            <w:noWrap/>
            <w:hideMark/>
          </w:tcPr>
          <w:p w14:paraId="48987BF8"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9%</w:t>
            </w:r>
          </w:p>
        </w:tc>
        <w:tc>
          <w:tcPr>
            <w:tcW w:w="800" w:type="dxa"/>
            <w:noWrap/>
            <w:hideMark/>
          </w:tcPr>
          <w:p w14:paraId="1CD8A79F"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3EA34006"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620AFF96"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6F2D23A6" w14:textId="77777777"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Internal (line management) supervision</w:t>
            </w:r>
          </w:p>
        </w:tc>
        <w:tc>
          <w:tcPr>
            <w:tcW w:w="543" w:type="dxa"/>
          </w:tcPr>
          <w:p w14:paraId="5AAC0DC3" w14:textId="57F7EF0A"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31BD841A" w14:textId="1B3BA816"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7</w:t>
            </w:r>
          </w:p>
        </w:tc>
        <w:tc>
          <w:tcPr>
            <w:tcW w:w="1438" w:type="dxa"/>
            <w:noWrap/>
            <w:hideMark/>
          </w:tcPr>
          <w:p w14:paraId="4E81A965"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27</w:t>
            </w:r>
          </w:p>
        </w:tc>
        <w:tc>
          <w:tcPr>
            <w:tcW w:w="1371" w:type="dxa"/>
            <w:noWrap/>
            <w:hideMark/>
          </w:tcPr>
          <w:p w14:paraId="5F4C5A43"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11</w:t>
            </w:r>
          </w:p>
        </w:tc>
        <w:tc>
          <w:tcPr>
            <w:tcW w:w="800" w:type="dxa"/>
            <w:noWrap/>
            <w:hideMark/>
          </w:tcPr>
          <w:p w14:paraId="0F2F9CA0"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30986943"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45</w:t>
            </w:r>
          </w:p>
        </w:tc>
      </w:tr>
      <w:tr w:rsidR="00B30B10" w:rsidRPr="00E36493" w14:paraId="281D1410"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5AFC0BEF"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220CC0E9" w14:textId="5D9A36CF"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1262C5FD" w14:textId="1598CD68"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16%</w:t>
            </w:r>
          </w:p>
        </w:tc>
        <w:tc>
          <w:tcPr>
            <w:tcW w:w="1438" w:type="dxa"/>
            <w:noWrap/>
            <w:hideMark/>
          </w:tcPr>
          <w:p w14:paraId="72523F8B"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60%</w:t>
            </w:r>
          </w:p>
        </w:tc>
        <w:tc>
          <w:tcPr>
            <w:tcW w:w="1371" w:type="dxa"/>
            <w:noWrap/>
            <w:hideMark/>
          </w:tcPr>
          <w:p w14:paraId="585CA005"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24%</w:t>
            </w:r>
          </w:p>
        </w:tc>
        <w:tc>
          <w:tcPr>
            <w:tcW w:w="800" w:type="dxa"/>
            <w:noWrap/>
            <w:hideMark/>
          </w:tcPr>
          <w:p w14:paraId="7473C8A3"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18E519D7"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018BAC29"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7E97842C" w14:textId="5E19723C"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Backfilling when staff are absent</w:t>
            </w:r>
          </w:p>
        </w:tc>
        <w:tc>
          <w:tcPr>
            <w:tcW w:w="543" w:type="dxa"/>
          </w:tcPr>
          <w:p w14:paraId="758E5AA9" w14:textId="00359DC9"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15B68E70" w14:textId="5E5171FA"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24</w:t>
            </w:r>
          </w:p>
        </w:tc>
        <w:tc>
          <w:tcPr>
            <w:tcW w:w="1438" w:type="dxa"/>
            <w:noWrap/>
            <w:hideMark/>
          </w:tcPr>
          <w:p w14:paraId="17831B4F"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18</w:t>
            </w:r>
          </w:p>
        </w:tc>
        <w:tc>
          <w:tcPr>
            <w:tcW w:w="1371" w:type="dxa"/>
            <w:noWrap/>
            <w:hideMark/>
          </w:tcPr>
          <w:p w14:paraId="1BBB5728"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w:t>
            </w:r>
          </w:p>
        </w:tc>
        <w:tc>
          <w:tcPr>
            <w:tcW w:w="800" w:type="dxa"/>
            <w:noWrap/>
            <w:hideMark/>
          </w:tcPr>
          <w:p w14:paraId="7D0B4882"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34E99F29"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44</w:t>
            </w:r>
          </w:p>
        </w:tc>
      </w:tr>
      <w:tr w:rsidR="00B30B10" w:rsidRPr="00E36493" w14:paraId="19AE436F"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66584036"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30D85017" w14:textId="23F2E1CB"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62A454F9" w14:textId="7138F33D"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55%</w:t>
            </w:r>
          </w:p>
        </w:tc>
        <w:tc>
          <w:tcPr>
            <w:tcW w:w="1438" w:type="dxa"/>
            <w:noWrap/>
            <w:hideMark/>
          </w:tcPr>
          <w:p w14:paraId="555CB557"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41%</w:t>
            </w:r>
          </w:p>
        </w:tc>
        <w:tc>
          <w:tcPr>
            <w:tcW w:w="1371" w:type="dxa"/>
            <w:noWrap/>
            <w:hideMark/>
          </w:tcPr>
          <w:p w14:paraId="60A59F1F"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5%</w:t>
            </w:r>
          </w:p>
        </w:tc>
        <w:tc>
          <w:tcPr>
            <w:tcW w:w="800" w:type="dxa"/>
            <w:noWrap/>
            <w:hideMark/>
          </w:tcPr>
          <w:p w14:paraId="4CD66445"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57D17625"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7E1E4428"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4D5DB292" w14:textId="77777777"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Professional development and training</w:t>
            </w:r>
          </w:p>
        </w:tc>
        <w:tc>
          <w:tcPr>
            <w:tcW w:w="543" w:type="dxa"/>
          </w:tcPr>
          <w:p w14:paraId="164BD191" w14:textId="37CCDDF3"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1E985C30" w14:textId="75854F9B"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w:t>
            </w:r>
          </w:p>
        </w:tc>
        <w:tc>
          <w:tcPr>
            <w:tcW w:w="1438" w:type="dxa"/>
            <w:noWrap/>
            <w:hideMark/>
          </w:tcPr>
          <w:p w14:paraId="56156C69"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28</w:t>
            </w:r>
          </w:p>
        </w:tc>
        <w:tc>
          <w:tcPr>
            <w:tcW w:w="1371" w:type="dxa"/>
            <w:noWrap/>
            <w:hideMark/>
          </w:tcPr>
          <w:p w14:paraId="0EECE338"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9</w:t>
            </w:r>
          </w:p>
        </w:tc>
        <w:tc>
          <w:tcPr>
            <w:tcW w:w="800" w:type="dxa"/>
            <w:noWrap/>
            <w:hideMark/>
          </w:tcPr>
          <w:p w14:paraId="30D5A47A"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0F139A97"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47</w:t>
            </w:r>
          </w:p>
        </w:tc>
      </w:tr>
      <w:tr w:rsidR="00B30B10" w:rsidRPr="00E36493" w14:paraId="193FD985"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6A29A04D"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7CF63640" w14:textId="496B73CA"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59F787DB" w14:textId="75B35CA6"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21%</w:t>
            </w:r>
          </w:p>
        </w:tc>
        <w:tc>
          <w:tcPr>
            <w:tcW w:w="1438" w:type="dxa"/>
            <w:noWrap/>
            <w:hideMark/>
          </w:tcPr>
          <w:p w14:paraId="0823CD41"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60%</w:t>
            </w:r>
          </w:p>
        </w:tc>
        <w:tc>
          <w:tcPr>
            <w:tcW w:w="1371" w:type="dxa"/>
            <w:noWrap/>
            <w:hideMark/>
          </w:tcPr>
          <w:p w14:paraId="6085F148"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19%</w:t>
            </w:r>
          </w:p>
        </w:tc>
        <w:tc>
          <w:tcPr>
            <w:tcW w:w="800" w:type="dxa"/>
            <w:noWrap/>
            <w:hideMark/>
          </w:tcPr>
          <w:p w14:paraId="0D86399E"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715D096F"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346B0FE4"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41886FE6" w14:textId="77777777"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Workplace health and safety, including incident reporting</w:t>
            </w:r>
          </w:p>
        </w:tc>
        <w:tc>
          <w:tcPr>
            <w:tcW w:w="543" w:type="dxa"/>
          </w:tcPr>
          <w:p w14:paraId="79057F3B" w14:textId="3A45F548"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2A39A751" w14:textId="0C8C2F76"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11</w:t>
            </w:r>
          </w:p>
        </w:tc>
        <w:tc>
          <w:tcPr>
            <w:tcW w:w="1438" w:type="dxa"/>
            <w:noWrap/>
            <w:hideMark/>
          </w:tcPr>
          <w:p w14:paraId="00D4A353"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23</w:t>
            </w:r>
          </w:p>
        </w:tc>
        <w:tc>
          <w:tcPr>
            <w:tcW w:w="1371" w:type="dxa"/>
            <w:noWrap/>
            <w:hideMark/>
          </w:tcPr>
          <w:p w14:paraId="788A52E8"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12</w:t>
            </w:r>
          </w:p>
        </w:tc>
        <w:tc>
          <w:tcPr>
            <w:tcW w:w="800" w:type="dxa"/>
            <w:noWrap/>
            <w:hideMark/>
          </w:tcPr>
          <w:p w14:paraId="6D9B917B"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w:t>
            </w:r>
          </w:p>
        </w:tc>
        <w:tc>
          <w:tcPr>
            <w:tcW w:w="739" w:type="dxa"/>
            <w:noWrap/>
            <w:hideMark/>
          </w:tcPr>
          <w:p w14:paraId="0429032A"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47</w:t>
            </w:r>
          </w:p>
        </w:tc>
      </w:tr>
      <w:tr w:rsidR="00B30B10" w:rsidRPr="00E36493" w14:paraId="4DA749E6"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0A4D690F"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03B640B0" w14:textId="28DFB063"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56C42603" w14:textId="62EEF191"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23%</w:t>
            </w:r>
          </w:p>
        </w:tc>
        <w:tc>
          <w:tcPr>
            <w:tcW w:w="1438" w:type="dxa"/>
            <w:noWrap/>
            <w:hideMark/>
          </w:tcPr>
          <w:p w14:paraId="3DF31875"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49%</w:t>
            </w:r>
          </w:p>
        </w:tc>
        <w:tc>
          <w:tcPr>
            <w:tcW w:w="1371" w:type="dxa"/>
            <w:noWrap/>
            <w:hideMark/>
          </w:tcPr>
          <w:p w14:paraId="31FE1267"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26%</w:t>
            </w:r>
          </w:p>
        </w:tc>
        <w:tc>
          <w:tcPr>
            <w:tcW w:w="800" w:type="dxa"/>
            <w:noWrap/>
            <w:hideMark/>
          </w:tcPr>
          <w:p w14:paraId="7B14C159"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w:t>
            </w:r>
          </w:p>
        </w:tc>
        <w:tc>
          <w:tcPr>
            <w:tcW w:w="739" w:type="dxa"/>
            <w:noWrap/>
            <w:hideMark/>
          </w:tcPr>
          <w:p w14:paraId="664A5B8E"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B30B10" w:rsidRPr="00E36493" w14:paraId="2CEA7334" w14:textId="77777777" w:rsidTr="00B30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25CAEB4D" w14:textId="5D4496AD" w:rsidR="00B30B10" w:rsidRPr="00E36493" w:rsidRDefault="00B30B10"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Managing volunteers</w:t>
            </w:r>
          </w:p>
        </w:tc>
        <w:tc>
          <w:tcPr>
            <w:tcW w:w="543" w:type="dxa"/>
          </w:tcPr>
          <w:p w14:paraId="7E7B6407" w14:textId="287E88A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876" w:type="dxa"/>
            <w:noWrap/>
            <w:hideMark/>
          </w:tcPr>
          <w:p w14:paraId="74B1AE47" w14:textId="01DC60D4"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16</w:t>
            </w:r>
          </w:p>
        </w:tc>
        <w:tc>
          <w:tcPr>
            <w:tcW w:w="1438" w:type="dxa"/>
            <w:noWrap/>
            <w:hideMark/>
          </w:tcPr>
          <w:p w14:paraId="5F77DAAB"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12</w:t>
            </w:r>
          </w:p>
        </w:tc>
        <w:tc>
          <w:tcPr>
            <w:tcW w:w="1371" w:type="dxa"/>
            <w:noWrap/>
            <w:hideMark/>
          </w:tcPr>
          <w:p w14:paraId="140CBC26"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5</w:t>
            </w:r>
          </w:p>
        </w:tc>
        <w:tc>
          <w:tcPr>
            <w:tcW w:w="800" w:type="dxa"/>
            <w:noWrap/>
            <w:hideMark/>
          </w:tcPr>
          <w:p w14:paraId="479AB21B"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14AF8769" w14:textId="77777777" w:rsidR="00B30B10" w:rsidRPr="00E36493" w:rsidRDefault="00B30B10"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33</w:t>
            </w:r>
          </w:p>
        </w:tc>
      </w:tr>
      <w:tr w:rsidR="00B30B10" w:rsidRPr="00E36493" w14:paraId="24736E10" w14:textId="77777777" w:rsidTr="00B30B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3952643D" w14:textId="77777777" w:rsidR="00B30B10" w:rsidRPr="00E36493" w:rsidRDefault="00B30B10" w:rsidP="00BD347E">
            <w:pPr>
              <w:autoSpaceDE/>
              <w:autoSpaceDN/>
              <w:adjustRightInd/>
              <w:spacing w:after="0"/>
              <w:ind w:right="0"/>
              <w:jc w:val="right"/>
              <w:rPr>
                <w:rFonts w:ascii="Calibri" w:eastAsia="Times New Roman" w:hAnsi="Calibri" w:cs="Calibri"/>
                <w:sz w:val="22"/>
                <w:szCs w:val="22"/>
                <w:lang w:eastAsia="en-AU"/>
              </w:rPr>
            </w:pPr>
          </w:p>
        </w:tc>
        <w:tc>
          <w:tcPr>
            <w:tcW w:w="543" w:type="dxa"/>
          </w:tcPr>
          <w:p w14:paraId="075FD80C" w14:textId="194D3B79"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876" w:type="dxa"/>
            <w:noWrap/>
            <w:hideMark/>
          </w:tcPr>
          <w:p w14:paraId="28DC438A" w14:textId="5EB95788"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48%</w:t>
            </w:r>
          </w:p>
        </w:tc>
        <w:tc>
          <w:tcPr>
            <w:tcW w:w="1438" w:type="dxa"/>
            <w:noWrap/>
            <w:hideMark/>
          </w:tcPr>
          <w:p w14:paraId="2517D4A2"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36%</w:t>
            </w:r>
          </w:p>
        </w:tc>
        <w:tc>
          <w:tcPr>
            <w:tcW w:w="1371" w:type="dxa"/>
            <w:noWrap/>
            <w:hideMark/>
          </w:tcPr>
          <w:p w14:paraId="1E4519FA"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15%</w:t>
            </w:r>
          </w:p>
        </w:tc>
        <w:tc>
          <w:tcPr>
            <w:tcW w:w="800" w:type="dxa"/>
            <w:noWrap/>
            <w:hideMark/>
          </w:tcPr>
          <w:p w14:paraId="5C025E77"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39" w:type="dxa"/>
            <w:noWrap/>
            <w:hideMark/>
          </w:tcPr>
          <w:p w14:paraId="61EEE27B" w14:textId="77777777" w:rsidR="00B30B10" w:rsidRPr="00E36493" w:rsidRDefault="00B30B10"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bl>
    <w:p w14:paraId="42AA2005" w14:textId="3531691F" w:rsidR="00064550" w:rsidRDefault="005C0516" w:rsidP="00AC3ABA">
      <w:pPr>
        <w:pStyle w:val="BodyText"/>
      </w:pPr>
      <w:r w:rsidRPr="00554250">
        <w:rPr>
          <w:sz w:val="18"/>
          <w:szCs w:val="18"/>
        </w:rPr>
        <w:t>Source: ACT Service Costing Survey, 2021</w:t>
      </w:r>
      <w:r w:rsidR="00064550">
        <w:br w:type="page"/>
      </w:r>
    </w:p>
    <w:p w14:paraId="246F5480" w14:textId="7AAF20D1" w:rsidR="00BD347E" w:rsidRDefault="00EA6EED" w:rsidP="00BD347E">
      <w:pPr>
        <w:pStyle w:val="Captiontable"/>
      </w:pPr>
      <w:bookmarkStart w:id="201" w:name="_Ref88839336"/>
      <w:bookmarkStart w:id="202" w:name="_Ref88493812"/>
      <w:bookmarkStart w:id="203" w:name="_Toc90020079"/>
      <w:r>
        <w:lastRenderedPageBreak/>
        <w:t xml:space="preserve">Table </w:t>
      </w:r>
      <w:r w:rsidR="00663838">
        <w:t>C</w:t>
      </w:r>
      <w:r>
        <w:t xml:space="preserve">. </w:t>
      </w:r>
      <w:fldSimple w:instr=" SEQ Table_D. \* ARABIC ">
        <w:r w:rsidR="00E405AF">
          <w:rPr>
            <w:noProof/>
          </w:rPr>
          <w:t>7</w:t>
        </w:r>
      </w:fldSimple>
      <w:bookmarkEnd w:id="201"/>
      <w:r>
        <w:tab/>
      </w:r>
      <w:r w:rsidR="00BD347E">
        <w:t xml:space="preserve">Perspectives on coverage of employment-related costs, funding received from </w:t>
      </w:r>
      <w:r w:rsidR="00BD347E" w:rsidRPr="0061428C">
        <w:t>ACT Health Directorate</w:t>
      </w:r>
      <w:bookmarkEnd w:id="202"/>
      <w:bookmarkEnd w:id="203"/>
    </w:p>
    <w:tbl>
      <w:tblPr>
        <w:tblStyle w:val="Style3"/>
        <w:tblW w:w="9571" w:type="dxa"/>
        <w:tblLook w:val="04A0" w:firstRow="1" w:lastRow="0" w:firstColumn="1" w:lastColumn="0" w:noHBand="0" w:noVBand="1"/>
      </w:tblPr>
      <w:tblGrid>
        <w:gridCol w:w="2972"/>
        <w:gridCol w:w="405"/>
        <w:gridCol w:w="1276"/>
        <w:gridCol w:w="1438"/>
        <w:gridCol w:w="1701"/>
        <w:gridCol w:w="1012"/>
        <w:gridCol w:w="767"/>
      </w:tblGrid>
      <w:tr w:rsidR="00BD347E" w:rsidRPr="00BD347E" w14:paraId="0007282F" w14:textId="77777777" w:rsidTr="00EB1E0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A3AF8CD" w14:textId="77777777" w:rsidR="00BD347E" w:rsidRPr="00E36493" w:rsidRDefault="00BD347E" w:rsidP="00BD347E">
            <w:pPr>
              <w:autoSpaceDE/>
              <w:autoSpaceDN/>
              <w:adjustRightInd/>
              <w:spacing w:after="0"/>
              <w:ind w:right="0"/>
              <w:jc w:val="center"/>
              <w:rPr>
                <w:rFonts w:ascii="Calibri" w:eastAsia="Times New Roman" w:hAnsi="Calibri" w:cs="Calibri"/>
                <w:b/>
                <w:bCs/>
                <w:color w:val="FFFFFF" w:themeColor="background1"/>
                <w:sz w:val="22"/>
                <w:szCs w:val="22"/>
                <w:lang w:eastAsia="en-AU"/>
              </w:rPr>
            </w:pPr>
          </w:p>
        </w:tc>
        <w:tc>
          <w:tcPr>
            <w:tcW w:w="405" w:type="dxa"/>
          </w:tcPr>
          <w:p w14:paraId="11C74D59" w14:textId="77777777" w:rsidR="00BD347E" w:rsidRPr="00BD347E"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p>
        </w:tc>
        <w:tc>
          <w:tcPr>
            <w:tcW w:w="1276" w:type="dxa"/>
            <w:noWrap/>
            <w:hideMark/>
          </w:tcPr>
          <w:p w14:paraId="636787D8" w14:textId="2DE3A896"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Not funded</w:t>
            </w:r>
          </w:p>
        </w:tc>
        <w:tc>
          <w:tcPr>
            <w:tcW w:w="1438" w:type="dxa"/>
            <w:noWrap/>
            <w:hideMark/>
          </w:tcPr>
          <w:p w14:paraId="15D34C3A"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Underfunded</w:t>
            </w:r>
          </w:p>
        </w:tc>
        <w:tc>
          <w:tcPr>
            <w:tcW w:w="1701" w:type="dxa"/>
            <w:noWrap/>
            <w:hideMark/>
          </w:tcPr>
          <w:p w14:paraId="66200FFB"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Adequately funded</w:t>
            </w:r>
          </w:p>
        </w:tc>
        <w:tc>
          <w:tcPr>
            <w:tcW w:w="1012" w:type="dxa"/>
            <w:noWrap/>
            <w:hideMark/>
          </w:tcPr>
          <w:p w14:paraId="7711F1E3"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Not sure</w:t>
            </w:r>
          </w:p>
        </w:tc>
        <w:tc>
          <w:tcPr>
            <w:tcW w:w="767" w:type="dxa"/>
            <w:noWrap/>
            <w:hideMark/>
          </w:tcPr>
          <w:p w14:paraId="06798C47" w14:textId="77777777" w:rsidR="00BD347E" w:rsidRPr="00E36493" w:rsidRDefault="00BD347E" w:rsidP="00BD347E">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E36493">
              <w:rPr>
                <w:rFonts w:ascii="Calibri" w:eastAsia="Times New Roman" w:hAnsi="Calibri" w:cs="Calibri"/>
                <w:b/>
                <w:bCs/>
                <w:color w:val="FFFFFF" w:themeColor="background1"/>
                <w:sz w:val="22"/>
                <w:szCs w:val="22"/>
                <w:lang w:eastAsia="en-AU"/>
              </w:rPr>
              <w:t>Total</w:t>
            </w:r>
          </w:p>
        </w:tc>
      </w:tr>
      <w:tr w:rsidR="002E32A6" w:rsidRPr="00E36493" w14:paraId="1422D19B"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2D9D42E1" w14:textId="025CF8FB"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Costs of recruiting and inducting new staff</w:t>
            </w:r>
          </w:p>
        </w:tc>
        <w:tc>
          <w:tcPr>
            <w:tcW w:w="405" w:type="dxa"/>
          </w:tcPr>
          <w:p w14:paraId="5FEF127A" w14:textId="1F6436BF"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051B873D" w14:textId="25EF146B"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21</w:t>
            </w:r>
          </w:p>
        </w:tc>
        <w:tc>
          <w:tcPr>
            <w:tcW w:w="1438" w:type="dxa"/>
            <w:noWrap/>
            <w:hideMark/>
          </w:tcPr>
          <w:p w14:paraId="0C1FD394"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16</w:t>
            </w:r>
          </w:p>
        </w:tc>
        <w:tc>
          <w:tcPr>
            <w:tcW w:w="1701" w:type="dxa"/>
            <w:noWrap/>
            <w:hideMark/>
          </w:tcPr>
          <w:p w14:paraId="3C0492E2"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w:t>
            </w:r>
          </w:p>
        </w:tc>
        <w:tc>
          <w:tcPr>
            <w:tcW w:w="1012" w:type="dxa"/>
            <w:noWrap/>
            <w:hideMark/>
          </w:tcPr>
          <w:p w14:paraId="1683B1D5"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w:t>
            </w:r>
          </w:p>
        </w:tc>
        <w:tc>
          <w:tcPr>
            <w:tcW w:w="767" w:type="dxa"/>
            <w:noWrap/>
            <w:hideMark/>
          </w:tcPr>
          <w:p w14:paraId="554A0807"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48</w:t>
            </w:r>
          </w:p>
        </w:tc>
      </w:tr>
      <w:tr w:rsidR="002E32A6" w:rsidRPr="00E36493" w14:paraId="3D1D6524"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16CFF1B7"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59B4A14B" w14:textId="6294F2CF"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4278BB1E" w14:textId="71A4C8B4"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44%</w:t>
            </w:r>
          </w:p>
        </w:tc>
        <w:tc>
          <w:tcPr>
            <w:tcW w:w="1438" w:type="dxa"/>
            <w:noWrap/>
            <w:hideMark/>
          </w:tcPr>
          <w:p w14:paraId="2CAF4C3C"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33%</w:t>
            </w:r>
          </w:p>
        </w:tc>
        <w:tc>
          <w:tcPr>
            <w:tcW w:w="1701" w:type="dxa"/>
            <w:noWrap/>
            <w:hideMark/>
          </w:tcPr>
          <w:p w14:paraId="5C0C6792"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21%</w:t>
            </w:r>
          </w:p>
        </w:tc>
        <w:tc>
          <w:tcPr>
            <w:tcW w:w="1012" w:type="dxa"/>
            <w:noWrap/>
            <w:hideMark/>
          </w:tcPr>
          <w:p w14:paraId="62EE3AB5"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w:t>
            </w:r>
          </w:p>
        </w:tc>
        <w:tc>
          <w:tcPr>
            <w:tcW w:w="767" w:type="dxa"/>
            <w:noWrap/>
            <w:hideMark/>
          </w:tcPr>
          <w:p w14:paraId="684F1675"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76053784"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2BBDD95E"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Employing staff at appropriate classifications</w:t>
            </w:r>
          </w:p>
        </w:tc>
        <w:tc>
          <w:tcPr>
            <w:tcW w:w="405" w:type="dxa"/>
          </w:tcPr>
          <w:p w14:paraId="6F45DD86" w14:textId="0733DC99"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2D48A2F9" w14:textId="019C967D"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w:t>
            </w:r>
          </w:p>
        </w:tc>
        <w:tc>
          <w:tcPr>
            <w:tcW w:w="1438" w:type="dxa"/>
            <w:noWrap/>
            <w:hideMark/>
          </w:tcPr>
          <w:p w14:paraId="56A0EA4B"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24</w:t>
            </w:r>
          </w:p>
        </w:tc>
        <w:tc>
          <w:tcPr>
            <w:tcW w:w="1701" w:type="dxa"/>
            <w:noWrap/>
            <w:hideMark/>
          </w:tcPr>
          <w:p w14:paraId="76493628"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21</w:t>
            </w:r>
          </w:p>
        </w:tc>
        <w:tc>
          <w:tcPr>
            <w:tcW w:w="1012" w:type="dxa"/>
            <w:noWrap/>
            <w:hideMark/>
          </w:tcPr>
          <w:p w14:paraId="71AF807C"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74E0FADF"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48</w:t>
            </w:r>
          </w:p>
        </w:tc>
      </w:tr>
      <w:tr w:rsidR="002E32A6" w:rsidRPr="00E36493" w14:paraId="0B95D8D3"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412FC28E"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31996222" w14:textId="6BA2948C"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6047A850" w14:textId="66504CA6"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6%</w:t>
            </w:r>
          </w:p>
        </w:tc>
        <w:tc>
          <w:tcPr>
            <w:tcW w:w="1438" w:type="dxa"/>
            <w:noWrap/>
            <w:hideMark/>
          </w:tcPr>
          <w:p w14:paraId="3810E007"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50%</w:t>
            </w:r>
          </w:p>
        </w:tc>
        <w:tc>
          <w:tcPr>
            <w:tcW w:w="1701" w:type="dxa"/>
            <w:noWrap/>
            <w:hideMark/>
          </w:tcPr>
          <w:p w14:paraId="7A6F33A6"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44%</w:t>
            </w:r>
          </w:p>
        </w:tc>
        <w:tc>
          <w:tcPr>
            <w:tcW w:w="1012" w:type="dxa"/>
            <w:noWrap/>
            <w:hideMark/>
          </w:tcPr>
          <w:p w14:paraId="171D4F9C"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5A83C127"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49255FE9"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0EABE076"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Employing enough staff</w:t>
            </w:r>
          </w:p>
        </w:tc>
        <w:tc>
          <w:tcPr>
            <w:tcW w:w="405" w:type="dxa"/>
          </w:tcPr>
          <w:p w14:paraId="666FAF6E" w14:textId="5729BD30"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72CEBF1E" w14:textId="6456866B"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5</w:t>
            </w:r>
          </w:p>
        </w:tc>
        <w:tc>
          <w:tcPr>
            <w:tcW w:w="1438" w:type="dxa"/>
            <w:noWrap/>
            <w:hideMark/>
          </w:tcPr>
          <w:p w14:paraId="0086E135"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32</w:t>
            </w:r>
          </w:p>
        </w:tc>
        <w:tc>
          <w:tcPr>
            <w:tcW w:w="1701" w:type="dxa"/>
            <w:noWrap/>
            <w:hideMark/>
          </w:tcPr>
          <w:p w14:paraId="517A52BE"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12</w:t>
            </w:r>
          </w:p>
        </w:tc>
        <w:tc>
          <w:tcPr>
            <w:tcW w:w="1012" w:type="dxa"/>
            <w:noWrap/>
            <w:hideMark/>
          </w:tcPr>
          <w:p w14:paraId="5CC52E78"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1394A908"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49</w:t>
            </w:r>
          </w:p>
        </w:tc>
      </w:tr>
      <w:tr w:rsidR="002E32A6" w:rsidRPr="00E36493" w14:paraId="1CA24FC9"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39DD5CD7"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43D320F2" w14:textId="774BBDDD"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7C3F6CDC" w14:textId="65A9F2C3"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w:t>
            </w:r>
          </w:p>
        </w:tc>
        <w:tc>
          <w:tcPr>
            <w:tcW w:w="1438" w:type="dxa"/>
            <w:noWrap/>
            <w:hideMark/>
          </w:tcPr>
          <w:p w14:paraId="28401C13"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65%</w:t>
            </w:r>
          </w:p>
        </w:tc>
        <w:tc>
          <w:tcPr>
            <w:tcW w:w="1701" w:type="dxa"/>
            <w:noWrap/>
            <w:hideMark/>
          </w:tcPr>
          <w:p w14:paraId="3E81CAF6"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24%</w:t>
            </w:r>
          </w:p>
        </w:tc>
        <w:tc>
          <w:tcPr>
            <w:tcW w:w="1012" w:type="dxa"/>
            <w:noWrap/>
            <w:hideMark/>
          </w:tcPr>
          <w:p w14:paraId="145412D7"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786382EA"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6C351703"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19DB8067"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Professional / clinical supervision</w:t>
            </w:r>
          </w:p>
        </w:tc>
        <w:tc>
          <w:tcPr>
            <w:tcW w:w="405" w:type="dxa"/>
          </w:tcPr>
          <w:p w14:paraId="43FB9A92" w14:textId="2FBFC8EA"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14D9B39B" w14:textId="15A3B24B"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16</w:t>
            </w:r>
          </w:p>
        </w:tc>
        <w:tc>
          <w:tcPr>
            <w:tcW w:w="1438" w:type="dxa"/>
            <w:noWrap/>
            <w:hideMark/>
          </w:tcPr>
          <w:p w14:paraId="7ECC0005"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17</w:t>
            </w:r>
          </w:p>
        </w:tc>
        <w:tc>
          <w:tcPr>
            <w:tcW w:w="1701" w:type="dxa"/>
            <w:noWrap/>
            <w:hideMark/>
          </w:tcPr>
          <w:p w14:paraId="7329C14A"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8</w:t>
            </w:r>
          </w:p>
        </w:tc>
        <w:tc>
          <w:tcPr>
            <w:tcW w:w="1012" w:type="dxa"/>
            <w:noWrap/>
            <w:hideMark/>
          </w:tcPr>
          <w:p w14:paraId="23E92F4B"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w:t>
            </w:r>
          </w:p>
        </w:tc>
        <w:tc>
          <w:tcPr>
            <w:tcW w:w="767" w:type="dxa"/>
            <w:noWrap/>
            <w:hideMark/>
          </w:tcPr>
          <w:p w14:paraId="43C80A04"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42</w:t>
            </w:r>
          </w:p>
        </w:tc>
      </w:tr>
      <w:tr w:rsidR="002E32A6" w:rsidRPr="00E36493" w14:paraId="4B2BDDB2"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4BC0CCF1"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2815C959" w14:textId="6B8B75C6"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3E832752" w14:textId="2665BD24"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38%</w:t>
            </w:r>
          </w:p>
        </w:tc>
        <w:tc>
          <w:tcPr>
            <w:tcW w:w="1438" w:type="dxa"/>
            <w:noWrap/>
            <w:hideMark/>
          </w:tcPr>
          <w:p w14:paraId="48885299"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40%</w:t>
            </w:r>
          </w:p>
        </w:tc>
        <w:tc>
          <w:tcPr>
            <w:tcW w:w="1701" w:type="dxa"/>
            <w:noWrap/>
            <w:hideMark/>
          </w:tcPr>
          <w:p w14:paraId="30D5A14F"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19%</w:t>
            </w:r>
          </w:p>
        </w:tc>
        <w:tc>
          <w:tcPr>
            <w:tcW w:w="1012" w:type="dxa"/>
            <w:noWrap/>
            <w:hideMark/>
          </w:tcPr>
          <w:p w14:paraId="0E9A127E"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w:t>
            </w:r>
          </w:p>
        </w:tc>
        <w:tc>
          <w:tcPr>
            <w:tcW w:w="767" w:type="dxa"/>
            <w:noWrap/>
            <w:hideMark/>
          </w:tcPr>
          <w:p w14:paraId="47C4277E"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2EEA6422"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6CE4D618"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Internal (line management) supervision</w:t>
            </w:r>
          </w:p>
        </w:tc>
        <w:tc>
          <w:tcPr>
            <w:tcW w:w="405" w:type="dxa"/>
          </w:tcPr>
          <w:p w14:paraId="5A5C5FFE" w14:textId="603212AE"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21F64E28" w14:textId="66DA28CE"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w:t>
            </w:r>
          </w:p>
        </w:tc>
        <w:tc>
          <w:tcPr>
            <w:tcW w:w="1438" w:type="dxa"/>
            <w:noWrap/>
            <w:hideMark/>
          </w:tcPr>
          <w:p w14:paraId="01211CB1"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22</w:t>
            </w:r>
          </w:p>
        </w:tc>
        <w:tc>
          <w:tcPr>
            <w:tcW w:w="1701" w:type="dxa"/>
            <w:noWrap/>
            <w:hideMark/>
          </w:tcPr>
          <w:p w14:paraId="6E5662B4"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16</w:t>
            </w:r>
          </w:p>
        </w:tc>
        <w:tc>
          <w:tcPr>
            <w:tcW w:w="1012" w:type="dxa"/>
            <w:noWrap/>
            <w:hideMark/>
          </w:tcPr>
          <w:p w14:paraId="03157A46"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6A007737"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48</w:t>
            </w:r>
          </w:p>
        </w:tc>
      </w:tr>
      <w:tr w:rsidR="002E32A6" w:rsidRPr="00E36493" w14:paraId="696016A8"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71102D16"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150EF402" w14:textId="7C0390D2"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149EA2CD" w14:textId="24DB88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21%</w:t>
            </w:r>
          </w:p>
        </w:tc>
        <w:tc>
          <w:tcPr>
            <w:tcW w:w="1438" w:type="dxa"/>
            <w:noWrap/>
            <w:hideMark/>
          </w:tcPr>
          <w:p w14:paraId="24D8450D"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46%</w:t>
            </w:r>
          </w:p>
        </w:tc>
        <w:tc>
          <w:tcPr>
            <w:tcW w:w="1701" w:type="dxa"/>
            <w:noWrap/>
            <w:hideMark/>
          </w:tcPr>
          <w:p w14:paraId="17DDCE81"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33%</w:t>
            </w:r>
          </w:p>
        </w:tc>
        <w:tc>
          <w:tcPr>
            <w:tcW w:w="1012" w:type="dxa"/>
            <w:noWrap/>
            <w:hideMark/>
          </w:tcPr>
          <w:p w14:paraId="3347E8FB"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68C1AEE9"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646862B4"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26520818"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Backfilling when staff are absent</w:t>
            </w:r>
          </w:p>
        </w:tc>
        <w:tc>
          <w:tcPr>
            <w:tcW w:w="405" w:type="dxa"/>
          </w:tcPr>
          <w:p w14:paraId="7A6A5F2C" w14:textId="2FD7D2E8"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340D4B20" w14:textId="79B39BBB"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27</w:t>
            </w:r>
          </w:p>
        </w:tc>
        <w:tc>
          <w:tcPr>
            <w:tcW w:w="1438" w:type="dxa"/>
            <w:noWrap/>
            <w:hideMark/>
          </w:tcPr>
          <w:p w14:paraId="7D07CC42"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13</w:t>
            </w:r>
          </w:p>
        </w:tc>
        <w:tc>
          <w:tcPr>
            <w:tcW w:w="1701" w:type="dxa"/>
            <w:noWrap/>
            <w:hideMark/>
          </w:tcPr>
          <w:p w14:paraId="2F3404AD"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8</w:t>
            </w:r>
          </w:p>
        </w:tc>
        <w:tc>
          <w:tcPr>
            <w:tcW w:w="1012" w:type="dxa"/>
            <w:noWrap/>
            <w:hideMark/>
          </w:tcPr>
          <w:p w14:paraId="79A42EB2"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2AA0584E"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48</w:t>
            </w:r>
          </w:p>
        </w:tc>
      </w:tr>
      <w:tr w:rsidR="002E32A6" w:rsidRPr="00E36493" w14:paraId="6ABD7448"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139F8057"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612789A6" w14:textId="05C2E99F"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690B4120" w14:textId="5DD22021"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56%</w:t>
            </w:r>
          </w:p>
        </w:tc>
        <w:tc>
          <w:tcPr>
            <w:tcW w:w="1438" w:type="dxa"/>
            <w:noWrap/>
            <w:hideMark/>
          </w:tcPr>
          <w:p w14:paraId="6FCE5951"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27%</w:t>
            </w:r>
          </w:p>
        </w:tc>
        <w:tc>
          <w:tcPr>
            <w:tcW w:w="1701" w:type="dxa"/>
            <w:noWrap/>
            <w:hideMark/>
          </w:tcPr>
          <w:p w14:paraId="5A455975"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17%</w:t>
            </w:r>
          </w:p>
        </w:tc>
        <w:tc>
          <w:tcPr>
            <w:tcW w:w="1012" w:type="dxa"/>
            <w:noWrap/>
            <w:hideMark/>
          </w:tcPr>
          <w:p w14:paraId="3185C009"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7324EDA3"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30FE0928"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0122E7EB"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Professional development and training</w:t>
            </w:r>
          </w:p>
        </w:tc>
        <w:tc>
          <w:tcPr>
            <w:tcW w:w="405" w:type="dxa"/>
          </w:tcPr>
          <w:p w14:paraId="41085AD0" w14:textId="21893C59"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3327DC38" w14:textId="44D8823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16</w:t>
            </w:r>
          </w:p>
        </w:tc>
        <w:tc>
          <w:tcPr>
            <w:tcW w:w="1438" w:type="dxa"/>
            <w:noWrap/>
            <w:hideMark/>
          </w:tcPr>
          <w:p w14:paraId="1B380C84"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19</w:t>
            </w:r>
          </w:p>
        </w:tc>
        <w:tc>
          <w:tcPr>
            <w:tcW w:w="1701" w:type="dxa"/>
            <w:noWrap/>
            <w:hideMark/>
          </w:tcPr>
          <w:p w14:paraId="5044DD76"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13</w:t>
            </w:r>
          </w:p>
        </w:tc>
        <w:tc>
          <w:tcPr>
            <w:tcW w:w="1012" w:type="dxa"/>
            <w:noWrap/>
            <w:hideMark/>
          </w:tcPr>
          <w:p w14:paraId="7CF0CE38"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3D24347A"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48</w:t>
            </w:r>
          </w:p>
        </w:tc>
      </w:tr>
      <w:tr w:rsidR="002E32A6" w:rsidRPr="00E36493" w14:paraId="22A05AB2"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1CB21F65"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607477A2" w14:textId="28DCF60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786B33B0" w14:textId="7890A770"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33%</w:t>
            </w:r>
          </w:p>
        </w:tc>
        <w:tc>
          <w:tcPr>
            <w:tcW w:w="1438" w:type="dxa"/>
            <w:noWrap/>
            <w:hideMark/>
          </w:tcPr>
          <w:p w14:paraId="43AAEA83"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40%</w:t>
            </w:r>
          </w:p>
        </w:tc>
        <w:tc>
          <w:tcPr>
            <w:tcW w:w="1701" w:type="dxa"/>
            <w:noWrap/>
            <w:hideMark/>
          </w:tcPr>
          <w:p w14:paraId="0EF37BEF"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27%</w:t>
            </w:r>
          </w:p>
        </w:tc>
        <w:tc>
          <w:tcPr>
            <w:tcW w:w="1012" w:type="dxa"/>
            <w:noWrap/>
            <w:hideMark/>
          </w:tcPr>
          <w:p w14:paraId="2DE63939"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742DF86D"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371FE192"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7CC4241F"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Workplace health and safety, including incident reporting</w:t>
            </w:r>
          </w:p>
        </w:tc>
        <w:tc>
          <w:tcPr>
            <w:tcW w:w="405" w:type="dxa"/>
          </w:tcPr>
          <w:p w14:paraId="7FB26D4A" w14:textId="3FD74043"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0BAAA1B7" w14:textId="6F1E7D1B"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w:t>
            </w:r>
          </w:p>
        </w:tc>
        <w:tc>
          <w:tcPr>
            <w:tcW w:w="1438" w:type="dxa"/>
            <w:noWrap/>
            <w:hideMark/>
          </w:tcPr>
          <w:p w14:paraId="2C0AA50D"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20</w:t>
            </w:r>
          </w:p>
        </w:tc>
        <w:tc>
          <w:tcPr>
            <w:tcW w:w="1701" w:type="dxa"/>
            <w:noWrap/>
            <w:hideMark/>
          </w:tcPr>
          <w:p w14:paraId="2F6AA6B6"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18</w:t>
            </w:r>
          </w:p>
        </w:tc>
        <w:tc>
          <w:tcPr>
            <w:tcW w:w="1012" w:type="dxa"/>
            <w:noWrap/>
            <w:hideMark/>
          </w:tcPr>
          <w:p w14:paraId="298A566E"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3B228A49"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48</w:t>
            </w:r>
          </w:p>
        </w:tc>
      </w:tr>
      <w:tr w:rsidR="002E32A6" w:rsidRPr="00E36493" w14:paraId="6AADB006"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5D1D69B7"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573E0891" w14:textId="3FC91C63"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4C6D7CDA" w14:textId="7B17B314"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21%</w:t>
            </w:r>
          </w:p>
        </w:tc>
        <w:tc>
          <w:tcPr>
            <w:tcW w:w="1438" w:type="dxa"/>
            <w:noWrap/>
            <w:hideMark/>
          </w:tcPr>
          <w:p w14:paraId="1F5B9C33"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42%</w:t>
            </w:r>
          </w:p>
        </w:tc>
        <w:tc>
          <w:tcPr>
            <w:tcW w:w="1701" w:type="dxa"/>
            <w:noWrap/>
            <w:hideMark/>
          </w:tcPr>
          <w:p w14:paraId="188424AD"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38%</w:t>
            </w:r>
          </w:p>
        </w:tc>
        <w:tc>
          <w:tcPr>
            <w:tcW w:w="1012" w:type="dxa"/>
            <w:noWrap/>
            <w:hideMark/>
          </w:tcPr>
          <w:p w14:paraId="207FB3A7"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5E1BC6FD"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r w:rsidR="002E32A6" w:rsidRPr="00E36493" w14:paraId="15A178ED"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2446C766" w14:textId="77777777" w:rsidR="002E32A6" w:rsidRPr="00E36493" w:rsidRDefault="002E32A6" w:rsidP="00BD347E">
            <w:pPr>
              <w:autoSpaceDE/>
              <w:autoSpaceDN/>
              <w:adjustRightInd/>
              <w:spacing w:after="0"/>
              <w:ind w:right="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Managing volunteers</w:t>
            </w:r>
          </w:p>
        </w:tc>
        <w:tc>
          <w:tcPr>
            <w:tcW w:w="405" w:type="dxa"/>
          </w:tcPr>
          <w:p w14:paraId="5B8CADE7" w14:textId="2152D7D6"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n</w:t>
            </w:r>
          </w:p>
        </w:tc>
        <w:tc>
          <w:tcPr>
            <w:tcW w:w="1276" w:type="dxa"/>
            <w:noWrap/>
            <w:hideMark/>
          </w:tcPr>
          <w:p w14:paraId="4A5C5923" w14:textId="01DB77B9"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15</w:t>
            </w:r>
          </w:p>
        </w:tc>
        <w:tc>
          <w:tcPr>
            <w:tcW w:w="1438" w:type="dxa"/>
            <w:noWrap/>
            <w:hideMark/>
          </w:tcPr>
          <w:p w14:paraId="53D47FB0"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14</w:t>
            </w:r>
          </w:p>
        </w:tc>
        <w:tc>
          <w:tcPr>
            <w:tcW w:w="1701" w:type="dxa"/>
            <w:noWrap/>
            <w:hideMark/>
          </w:tcPr>
          <w:p w14:paraId="1A3352F7"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11</w:t>
            </w:r>
          </w:p>
        </w:tc>
        <w:tc>
          <w:tcPr>
            <w:tcW w:w="1012" w:type="dxa"/>
            <w:noWrap/>
            <w:hideMark/>
          </w:tcPr>
          <w:p w14:paraId="3E0280E8"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01182072" w14:textId="77777777" w:rsidR="002E32A6" w:rsidRPr="00E36493" w:rsidRDefault="002E32A6" w:rsidP="00BD347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40</w:t>
            </w:r>
          </w:p>
        </w:tc>
      </w:tr>
      <w:tr w:rsidR="002E32A6" w:rsidRPr="00E36493" w14:paraId="17E912D9"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14:paraId="6EA8E8D3" w14:textId="77777777" w:rsidR="002E32A6" w:rsidRPr="00E36493" w:rsidRDefault="002E32A6" w:rsidP="00BD347E">
            <w:pPr>
              <w:autoSpaceDE/>
              <w:autoSpaceDN/>
              <w:adjustRightInd/>
              <w:spacing w:after="0"/>
              <w:ind w:right="0"/>
              <w:jc w:val="right"/>
              <w:rPr>
                <w:rFonts w:ascii="Calibri" w:eastAsia="Times New Roman" w:hAnsi="Calibri" w:cs="Calibri"/>
                <w:sz w:val="22"/>
                <w:szCs w:val="22"/>
                <w:lang w:eastAsia="en-AU"/>
              </w:rPr>
            </w:pPr>
          </w:p>
        </w:tc>
        <w:tc>
          <w:tcPr>
            <w:tcW w:w="405" w:type="dxa"/>
          </w:tcPr>
          <w:p w14:paraId="5675D434" w14:textId="022EE65E"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eastAsia="Times New Roman" w:hAnsi="Calibri" w:cs="Calibri"/>
                <w:sz w:val="22"/>
                <w:szCs w:val="22"/>
                <w:lang w:eastAsia="en-AU"/>
              </w:rPr>
              <w:t>%</w:t>
            </w:r>
          </w:p>
        </w:tc>
        <w:tc>
          <w:tcPr>
            <w:tcW w:w="1276" w:type="dxa"/>
            <w:noWrap/>
            <w:hideMark/>
          </w:tcPr>
          <w:p w14:paraId="60F8CBFE" w14:textId="3EF84B84"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38%</w:t>
            </w:r>
          </w:p>
        </w:tc>
        <w:tc>
          <w:tcPr>
            <w:tcW w:w="1438" w:type="dxa"/>
            <w:noWrap/>
            <w:hideMark/>
          </w:tcPr>
          <w:p w14:paraId="43B6AFB5"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35%</w:t>
            </w:r>
          </w:p>
        </w:tc>
        <w:tc>
          <w:tcPr>
            <w:tcW w:w="1701" w:type="dxa"/>
            <w:noWrap/>
            <w:hideMark/>
          </w:tcPr>
          <w:p w14:paraId="527F83D3"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28%</w:t>
            </w:r>
          </w:p>
        </w:tc>
        <w:tc>
          <w:tcPr>
            <w:tcW w:w="1012" w:type="dxa"/>
            <w:noWrap/>
            <w:hideMark/>
          </w:tcPr>
          <w:p w14:paraId="00F12407"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0%</w:t>
            </w:r>
          </w:p>
        </w:tc>
        <w:tc>
          <w:tcPr>
            <w:tcW w:w="767" w:type="dxa"/>
            <w:noWrap/>
            <w:hideMark/>
          </w:tcPr>
          <w:p w14:paraId="3DFFC303" w14:textId="77777777" w:rsidR="002E32A6" w:rsidRPr="00E36493" w:rsidRDefault="002E32A6" w:rsidP="00BD347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E36493">
              <w:rPr>
                <w:rFonts w:ascii="Calibri" w:eastAsia="Times New Roman" w:hAnsi="Calibri" w:cs="Calibri"/>
                <w:sz w:val="22"/>
                <w:szCs w:val="22"/>
                <w:lang w:eastAsia="en-AU"/>
              </w:rPr>
              <w:t>100%</w:t>
            </w:r>
          </w:p>
        </w:tc>
      </w:tr>
    </w:tbl>
    <w:p w14:paraId="5F3D5941" w14:textId="27084699" w:rsidR="00E36493" w:rsidRDefault="005C0516" w:rsidP="005E61EC">
      <w:pPr>
        <w:pStyle w:val="BodyText"/>
      </w:pPr>
      <w:r w:rsidRPr="00554250">
        <w:rPr>
          <w:sz w:val="18"/>
          <w:szCs w:val="18"/>
        </w:rPr>
        <w:t>Source: ACT Service Costing Survey, 2021</w:t>
      </w:r>
    </w:p>
    <w:p w14:paraId="1695F430" w14:textId="5C683EB9" w:rsidR="00DB186D" w:rsidRDefault="00EA6EED" w:rsidP="003F0FD3">
      <w:pPr>
        <w:pStyle w:val="Captiontable"/>
      </w:pPr>
      <w:bookmarkStart w:id="204" w:name="_Ref88810760"/>
      <w:bookmarkStart w:id="205" w:name="_Toc90020080"/>
      <w:r>
        <w:t xml:space="preserve">Table </w:t>
      </w:r>
      <w:r w:rsidR="00663838">
        <w:t>C</w:t>
      </w:r>
      <w:r>
        <w:t xml:space="preserve">. </w:t>
      </w:r>
      <w:fldSimple w:instr=" SEQ Table_D. \* ARABIC ">
        <w:r w:rsidR="00E405AF">
          <w:rPr>
            <w:noProof/>
          </w:rPr>
          <w:t>8</w:t>
        </w:r>
      </w:fldSimple>
      <w:bookmarkEnd w:id="204"/>
      <w:r>
        <w:tab/>
      </w:r>
      <w:r w:rsidR="003F0FD3">
        <w:t>Leaders’ perspectives on their capacity to cost services, by annual income</w:t>
      </w:r>
      <w:bookmarkEnd w:id="205"/>
    </w:p>
    <w:tbl>
      <w:tblPr>
        <w:tblStyle w:val="Style3"/>
        <w:tblW w:w="9493" w:type="dxa"/>
        <w:tblLook w:val="04A0" w:firstRow="1" w:lastRow="0" w:firstColumn="1" w:lastColumn="0" w:noHBand="0" w:noVBand="1"/>
      </w:tblPr>
      <w:tblGrid>
        <w:gridCol w:w="2830"/>
        <w:gridCol w:w="1843"/>
        <w:gridCol w:w="1275"/>
        <w:gridCol w:w="1276"/>
        <w:gridCol w:w="1276"/>
        <w:gridCol w:w="993"/>
      </w:tblGrid>
      <w:tr w:rsidR="002E32A6" w:rsidRPr="003F0FD3" w14:paraId="014D5AAB" w14:textId="77777777" w:rsidTr="00EB1E0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6E2361" w14:textId="77777777" w:rsidR="003F0FD3" w:rsidRPr="003F0FD3" w:rsidRDefault="003F0FD3" w:rsidP="003F0FD3">
            <w:pPr>
              <w:autoSpaceDE/>
              <w:autoSpaceDN/>
              <w:adjustRightInd/>
              <w:spacing w:after="0"/>
              <w:ind w:right="0"/>
              <w:jc w:val="center"/>
              <w:rPr>
                <w:rFonts w:ascii="Calibri" w:eastAsia="Times New Roman" w:hAnsi="Calibri" w:cs="Calibri"/>
                <w:b/>
                <w:bCs/>
                <w:color w:val="FFFFFF" w:themeColor="background1"/>
                <w:sz w:val="22"/>
                <w:szCs w:val="22"/>
                <w:lang w:eastAsia="en-AU"/>
              </w:rPr>
            </w:pPr>
            <w:r w:rsidRPr="003F0FD3">
              <w:rPr>
                <w:rFonts w:ascii="Calibri" w:eastAsia="Times New Roman" w:hAnsi="Calibri" w:cs="Calibri"/>
                <w:b/>
                <w:bCs/>
                <w:color w:val="FFFFFF" w:themeColor="background1"/>
                <w:sz w:val="22"/>
                <w:szCs w:val="22"/>
                <w:lang w:eastAsia="en-AU"/>
              </w:rPr>
              <w:t> </w:t>
            </w:r>
          </w:p>
        </w:tc>
        <w:tc>
          <w:tcPr>
            <w:tcW w:w="1843" w:type="dxa"/>
            <w:noWrap/>
            <w:hideMark/>
          </w:tcPr>
          <w:p w14:paraId="334FF8B3" w14:textId="77777777" w:rsidR="003F0FD3" w:rsidRPr="003F0FD3" w:rsidRDefault="003F0FD3" w:rsidP="003F0FD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3F0FD3">
              <w:rPr>
                <w:rFonts w:ascii="Calibri" w:eastAsia="Times New Roman" w:hAnsi="Calibri" w:cs="Calibri"/>
                <w:b/>
                <w:bCs/>
                <w:color w:val="FFFFFF" w:themeColor="background1"/>
                <w:sz w:val="22"/>
                <w:szCs w:val="22"/>
                <w:lang w:eastAsia="en-AU"/>
              </w:rPr>
              <w:t> </w:t>
            </w:r>
          </w:p>
        </w:tc>
        <w:tc>
          <w:tcPr>
            <w:tcW w:w="1275" w:type="dxa"/>
            <w:noWrap/>
            <w:hideMark/>
          </w:tcPr>
          <w:p w14:paraId="1E04AC8E" w14:textId="598BCF7B" w:rsidR="003F0FD3" w:rsidRPr="003F0FD3" w:rsidRDefault="003F0FD3" w:rsidP="003F0FD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3F0FD3">
              <w:rPr>
                <w:rFonts w:ascii="Calibri" w:eastAsia="Times New Roman" w:hAnsi="Calibri" w:cs="Calibri"/>
                <w:b/>
                <w:bCs/>
                <w:color w:val="FFFFFF" w:themeColor="background1"/>
                <w:sz w:val="22"/>
                <w:szCs w:val="22"/>
                <w:lang w:eastAsia="en-AU"/>
              </w:rPr>
              <w:t>Under $1m</w:t>
            </w:r>
            <w:r>
              <w:rPr>
                <w:rFonts w:ascii="Calibri" w:eastAsia="Times New Roman" w:hAnsi="Calibri" w:cs="Calibri"/>
                <w:b/>
                <w:bCs/>
                <w:color w:val="FFFFFF" w:themeColor="background1"/>
                <w:sz w:val="22"/>
                <w:szCs w:val="22"/>
                <w:lang w:eastAsia="en-AU"/>
              </w:rPr>
              <w:t xml:space="preserve"> (n=34)</w:t>
            </w:r>
          </w:p>
        </w:tc>
        <w:tc>
          <w:tcPr>
            <w:tcW w:w="1276" w:type="dxa"/>
            <w:noWrap/>
            <w:hideMark/>
          </w:tcPr>
          <w:p w14:paraId="345C844A" w14:textId="1DB4B531" w:rsidR="003F0FD3" w:rsidRPr="003F0FD3" w:rsidRDefault="003F0FD3" w:rsidP="003F0FD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3F0FD3">
              <w:rPr>
                <w:rFonts w:ascii="Calibri" w:eastAsia="Times New Roman" w:hAnsi="Calibri" w:cs="Calibri"/>
                <w:b/>
                <w:bCs/>
                <w:color w:val="FFFFFF" w:themeColor="background1"/>
                <w:sz w:val="22"/>
                <w:szCs w:val="22"/>
                <w:lang w:eastAsia="en-AU"/>
              </w:rPr>
              <w:t>$1</w:t>
            </w:r>
            <w:r>
              <w:rPr>
                <w:rFonts w:ascii="Calibri" w:eastAsia="Times New Roman" w:hAnsi="Calibri" w:cs="Calibri"/>
                <w:b/>
                <w:bCs/>
                <w:color w:val="FFFFFF" w:themeColor="background1"/>
                <w:sz w:val="22"/>
                <w:szCs w:val="22"/>
                <w:lang w:eastAsia="en-AU"/>
              </w:rPr>
              <w:t>m</w:t>
            </w:r>
            <w:r w:rsidRPr="003F0FD3">
              <w:rPr>
                <w:rFonts w:ascii="Calibri" w:eastAsia="Times New Roman" w:hAnsi="Calibri" w:cs="Calibri"/>
                <w:b/>
                <w:bCs/>
                <w:color w:val="FFFFFF" w:themeColor="background1"/>
                <w:sz w:val="22"/>
                <w:szCs w:val="22"/>
                <w:lang w:eastAsia="en-AU"/>
              </w:rPr>
              <w:t xml:space="preserve"> to $5m</w:t>
            </w:r>
            <w:r>
              <w:rPr>
                <w:rFonts w:ascii="Calibri" w:eastAsia="Times New Roman" w:hAnsi="Calibri" w:cs="Calibri"/>
                <w:b/>
                <w:bCs/>
                <w:color w:val="FFFFFF" w:themeColor="background1"/>
                <w:sz w:val="22"/>
                <w:szCs w:val="22"/>
                <w:lang w:eastAsia="en-AU"/>
              </w:rPr>
              <w:t xml:space="preserve"> (n=25)</w:t>
            </w:r>
          </w:p>
        </w:tc>
        <w:tc>
          <w:tcPr>
            <w:tcW w:w="1276" w:type="dxa"/>
            <w:noWrap/>
            <w:hideMark/>
          </w:tcPr>
          <w:p w14:paraId="5C4BCBA8" w14:textId="0766ECE2" w:rsidR="003F0FD3" w:rsidRPr="003F0FD3" w:rsidRDefault="003F0FD3" w:rsidP="003F0FD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3F0FD3">
              <w:rPr>
                <w:rFonts w:ascii="Calibri" w:eastAsia="Times New Roman" w:hAnsi="Calibri" w:cs="Calibri"/>
                <w:b/>
                <w:bCs/>
                <w:color w:val="FFFFFF" w:themeColor="background1"/>
                <w:sz w:val="22"/>
                <w:szCs w:val="22"/>
                <w:lang w:eastAsia="en-AU"/>
              </w:rPr>
              <w:t>Over $5</w:t>
            </w:r>
            <w:r>
              <w:rPr>
                <w:rFonts w:ascii="Calibri" w:eastAsia="Times New Roman" w:hAnsi="Calibri" w:cs="Calibri"/>
                <w:b/>
                <w:bCs/>
                <w:color w:val="FFFFFF" w:themeColor="background1"/>
                <w:sz w:val="22"/>
                <w:szCs w:val="22"/>
                <w:lang w:eastAsia="en-AU"/>
              </w:rPr>
              <w:t>m (n=27)</w:t>
            </w:r>
          </w:p>
        </w:tc>
        <w:tc>
          <w:tcPr>
            <w:tcW w:w="993" w:type="dxa"/>
            <w:noWrap/>
            <w:hideMark/>
          </w:tcPr>
          <w:p w14:paraId="62D0DA23" w14:textId="0F6D6001" w:rsidR="003F0FD3" w:rsidRPr="003F0FD3" w:rsidRDefault="003F0FD3" w:rsidP="003F0FD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All (n=86)</w:t>
            </w:r>
          </w:p>
        </w:tc>
      </w:tr>
      <w:tr w:rsidR="002E32A6" w:rsidRPr="003F0FD3" w14:paraId="1CD6F30B"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14:paraId="0F9BFF75" w14:textId="21F9A81A" w:rsidR="003F0FD3" w:rsidRPr="003F0FD3" w:rsidRDefault="003F0FD3" w:rsidP="003F0FD3">
            <w:pPr>
              <w:spacing w:after="0"/>
              <w:ind w:right="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Our organisation has the information we need to accurately cost services</w:t>
            </w:r>
          </w:p>
        </w:tc>
        <w:tc>
          <w:tcPr>
            <w:tcW w:w="1843" w:type="dxa"/>
            <w:noWrap/>
            <w:hideMark/>
          </w:tcPr>
          <w:p w14:paraId="6EA3DADB"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Disagree</w:t>
            </w:r>
          </w:p>
        </w:tc>
        <w:tc>
          <w:tcPr>
            <w:tcW w:w="1275" w:type="dxa"/>
            <w:noWrap/>
            <w:hideMark/>
          </w:tcPr>
          <w:p w14:paraId="1F100779"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9%</w:t>
            </w:r>
          </w:p>
        </w:tc>
        <w:tc>
          <w:tcPr>
            <w:tcW w:w="1276" w:type="dxa"/>
            <w:noWrap/>
            <w:hideMark/>
          </w:tcPr>
          <w:p w14:paraId="44FB6B39"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20%</w:t>
            </w:r>
          </w:p>
        </w:tc>
        <w:tc>
          <w:tcPr>
            <w:tcW w:w="1276" w:type="dxa"/>
            <w:noWrap/>
            <w:hideMark/>
          </w:tcPr>
          <w:p w14:paraId="7C4D415F"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w:t>
            </w:r>
          </w:p>
        </w:tc>
        <w:tc>
          <w:tcPr>
            <w:tcW w:w="993" w:type="dxa"/>
            <w:noWrap/>
            <w:hideMark/>
          </w:tcPr>
          <w:p w14:paraId="3AD1C748"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11%</w:t>
            </w:r>
          </w:p>
        </w:tc>
      </w:tr>
      <w:tr w:rsidR="002E32A6" w:rsidRPr="003F0FD3" w14:paraId="1A4E9E53"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7D36B752" w14:textId="72E61A8A"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3723CC2F"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Neutral / not sure</w:t>
            </w:r>
          </w:p>
        </w:tc>
        <w:tc>
          <w:tcPr>
            <w:tcW w:w="1275" w:type="dxa"/>
            <w:noWrap/>
            <w:hideMark/>
          </w:tcPr>
          <w:p w14:paraId="735D099A"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21%</w:t>
            </w:r>
          </w:p>
        </w:tc>
        <w:tc>
          <w:tcPr>
            <w:tcW w:w="1276" w:type="dxa"/>
            <w:noWrap/>
            <w:hideMark/>
          </w:tcPr>
          <w:p w14:paraId="534653AD"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16%</w:t>
            </w:r>
          </w:p>
        </w:tc>
        <w:tc>
          <w:tcPr>
            <w:tcW w:w="1276" w:type="dxa"/>
            <w:noWrap/>
            <w:hideMark/>
          </w:tcPr>
          <w:p w14:paraId="4C050211"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15%</w:t>
            </w:r>
          </w:p>
        </w:tc>
        <w:tc>
          <w:tcPr>
            <w:tcW w:w="993" w:type="dxa"/>
            <w:noWrap/>
            <w:hideMark/>
          </w:tcPr>
          <w:p w14:paraId="772D276E"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17%</w:t>
            </w:r>
          </w:p>
        </w:tc>
      </w:tr>
      <w:tr w:rsidR="002E32A6" w:rsidRPr="003F0FD3" w14:paraId="5561B902"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551C9744" w14:textId="1A3F6304"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44E3DF9F"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Agree</w:t>
            </w:r>
          </w:p>
        </w:tc>
        <w:tc>
          <w:tcPr>
            <w:tcW w:w="1275" w:type="dxa"/>
            <w:noWrap/>
            <w:hideMark/>
          </w:tcPr>
          <w:p w14:paraId="7506C162"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71%</w:t>
            </w:r>
          </w:p>
        </w:tc>
        <w:tc>
          <w:tcPr>
            <w:tcW w:w="1276" w:type="dxa"/>
            <w:noWrap/>
            <w:hideMark/>
          </w:tcPr>
          <w:p w14:paraId="1F35B8A7"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64%</w:t>
            </w:r>
          </w:p>
        </w:tc>
        <w:tc>
          <w:tcPr>
            <w:tcW w:w="1276" w:type="dxa"/>
            <w:noWrap/>
            <w:hideMark/>
          </w:tcPr>
          <w:p w14:paraId="6AF98F72"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82%</w:t>
            </w:r>
          </w:p>
        </w:tc>
        <w:tc>
          <w:tcPr>
            <w:tcW w:w="993" w:type="dxa"/>
            <w:noWrap/>
            <w:hideMark/>
          </w:tcPr>
          <w:p w14:paraId="0300EBC6"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72%</w:t>
            </w:r>
          </w:p>
        </w:tc>
      </w:tr>
      <w:tr w:rsidR="002E32A6" w:rsidRPr="003F0FD3" w14:paraId="16F07DC1" w14:textId="77777777" w:rsidTr="00EB1E01">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210376C5" w14:textId="14824749" w:rsidR="003F0FD3" w:rsidRPr="003F0FD3" w:rsidRDefault="003F0FD3" w:rsidP="003F0FD3">
            <w:pPr>
              <w:autoSpaceDE/>
              <w:autoSpaceDN/>
              <w:adjustRightInd/>
              <w:spacing w:after="0"/>
              <w:ind w:right="0"/>
              <w:rPr>
                <w:rFonts w:ascii="Calibri" w:eastAsia="Times New Roman" w:hAnsi="Calibri" w:cs="Calibri"/>
                <w:sz w:val="22"/>
                <w:szCs w:val="22"/>
                <w:lang w:eastAsia="en-AU"/>
              </w:rPr>
            </w:pPr>
          </w:p>
        </w:tc>
        <w:tc>
          <w:tcPr>
            <w:tcW w:w="1843" w:type="dxa"/>
            <w:noWrap/>
            <w:hideMark/>
          </w:tcPr>
          <w:p w14:paraId="1CF02368"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All</w:t>
            </w:r>
          </w:p>
        </w:tc>
        <w:tc>
          <w:tcPr>
            <w:tcW w:w="1275" w:type="dxa"/>
            <w:noWrap/>
            <w:hideMark/>
          </w:tcPr>
          <w:p w14:paraId="438B1D54"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4AF10378"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1B1EF846"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993" w:type="dxa"/>
            <w:noWrap/>
            <w:hideMark/>
          </w:tcPr>
          <w:p w14:paraId="0E275B91"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r>
      <w:tr w:rsidR="002E32A6" w:rsidRPr="003F0FD3" w14:paraId="25EC666A"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14:paraId="402DA6FC" w14:textId="68AB0CF3" w:rsidR="003F0FD3" w:rsidRPr="003F0FD3" w:rsidRDefault="003F0FD3" w:rsidP="003F0FD3">
            <w:pPr>
              <w:spacing w:after="0"/>
              <w:ind w:right="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Our organisation has the time to analyse and determine costs</w:t>
            </w:r>
          </w:p>
        </w:tc>
        <w:tc>
          <w:tcPr>
            <w:tcW w:w="1843" w:type="dxa"/>
            <w:noWrap/>
            <w:hideMark/>
          </w:tcPr>
          <w:p w14:paraId="326BE77E"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Disagree</w:t>
            </w:r>
          </w:p>
        </w:tc>
        <w:tc>
          <w:tcPr>
            <w:tcW w:w="1275" w:type="dxa"/>
            <w:noWrap/>
            <w:hideMark/>
          </w:tcPr>
          <w:p w14:paraId="709C8D5C"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38%</w:t>
            </w:r>
          </w:p>
        </w:tc>
        <w:tc>
          <w:tcPr>
            <w:tcW w:w="1276" w:type="dxa"/>
            <w:noWrap/>
            <w:hideMark/>
          </w:tcPr>
          <w:p w14:paraId="40E7F24A"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52%</w:t>
            </w:r>
          </w:p>
        </w:tc>
        <w:tc>
          <w:tcPr>
            <w:tcW w:w="1276" w:type="dxa"/>
            <w:noWrap/>
            <w:hideMark/>
          </w:tcPr>
          <w:p w14:paraId="1D46E211"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15%</w:t>
            </w:r>
          </w:p>
        </w:tc>
        <w:tc>
          <w:tcPr>
            <w:tcW w:w="993" w:type="dxa"/>
            <w:noWrap/>
            <w:hideMark/>
          </w:tcPr>
          <w:p w14:paraId="435B7034"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35%</w:t>
            </w:r>
          </w:p>
        </w:tc>
      </w:tr>
      <w:tr w:rsidR="002E32A6" w:rsidRPr="003F0FD3" w14:paraId="6E0D16F7"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7921BD15" w14:textId="155162D0"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1E5FC0E6"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Neutral / not sure</w:t>
            </w:r>
          </w:p>
        </w:tc>
        <w:tc>
          <w:tcPr>
            <w:tcW w:w="1275" w:type="dxa"/>
            <w:noWrap/>
            <w:hideMark/>
          </w:tcPr>
          <w:p w14:paraId="5A77EB2E"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32%</w:t>
            </w:r>
          </w:p>
        </w:tc>
        <w:tc>
          <w:tcPr>
            <w:tcW w:w="1276" w:type="dxa"/>
            <w:noWrap/>
            <w:hideMark/>
          </w:tcPr>
          <w:p w14:paraId="45862352"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12%</w:t>
            </w:r>
          </w:p>
        </w:tc>
        <w:tc>
          <w:tcPr>
            <w:tcW w:w="1276" w:type="dxa"/>
            <w:noWrap/>
            <w:hideMark/>
          </w:tcPr>
          <w:p w14:paraId="4605D1F0"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15%</w:t>
            </w:r>
          </w:p>
        </w:tc>
        <w:tc>
          <w:tcPr>
            <w:tcW w:w="993" w:type="dxa"/>
            <w:noWrap/>
            <w:hideMark/>
          </w:tcPr>
          <w:p w14:paraId="6853B329"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21%</w:t>
            </w:r>
          </w:p>
        </w:tc>
      </w:tr>
      <w:tr w:rsidR="002E32A6" w:rsidRPr="003F0FD3" w14:paraId="4FDC0637"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0736F13A" w14:textId="50D83797"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61D0FC56"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Agree</w:t>
            </w:r>
          </w:p>
        </w:tc>
        <w:tc>
          <w:tcPr>
            <w:tcW w:w="1275" w:type="dxa"/>
            <w:noWrap/>
            <w:hideMark/>
          </w:tcPr>
          <w:p w14:paraId="296D46E9"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29%</w:t>
            </w:r>
          </w:p>
        </w:tc>
        <w:tc>
          <w:tcPr>
            <w:tcW w:w="1276" w:type="dxa"/>
            <w:noWrap/>
            <w:hideMark/>
          </w:tcPr>
          <w:p w14:paraId="6046200D"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36%</w:t>
            </w:r>
          </w:p>
        </w:tc>
        <w:tc>
          <w:tcPr>
            <w:tcW w:w="1276" w:type="dxa"/>
            <w:noWrap/>
            <w:hideMark/>
          </w:tcPr>
          <w:p w14:paraId="7D487088"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70%</w:t>
            </w:r>
          </w:p>
        </w:tc>
        <w:tc>
          <w:tcPr>
            <w:tcW w:w="993" w:type="dxa"/>
            <w:noWrap/>
            <w:hideMark/>
          </w:tcPr>
          <w:p w14:paraId="5F11FB21"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44%</w:t>
            </w:r>
          </w:p>
        </w:tc>
      </w:tr>
      <w:tr w:rsidR="002E32A6" w:rsidRPr="003F0FD3" w14:paraId="38B1D91C"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46E75508" w14:textId="1C7D2E07" w:rsidR="003F0FD3" w:rsidRPr="003F0FD3" w:rsidRDefault="003F0FD3" w:rsidP="003F0FD3">
            <w:pPr>
              <w:autoSpaceDE/>
              <w:autoSpaceDN/>
              <w:adjustRightInd/>
              <w:spacing w:after="0"/>
              <w:ind w:right="0"/>
              <w:rPr>
                <w:rFonts w:ascii="Calibri" w:eastAsia="Times New Roman" w:hAnsi="Calibri" w:cs="Calibri"/>
                <w:sz w:val="22"/>
                <w:szCs w:val="22"/>
                <w:lang w:eastAsia="en-AU"/>
              </w:rPr>
            </w:pPr>
          </w:p>
        </w:tc>
        <w:tc>
          <w:tcPr>
            <w:tcW w:w="1843" w:type="dxa"/>
            <w:noWrap/>
            <w:hideMark/>
          </w:tcPr>
          <w:p w14:paraId="33B5E0B5"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All</w:t>
            </w:r>
          </w:p>
        </w:tc>
        <w:tc>
          <w:tcPr>
            <w:tcW w:w="1275" w:type="dxa"/>
            <w:noWrap/>
            <w:hideMark/>
          </w:tcPr>
          <w:p w14:paraId="637A608F"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68D741DC"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2506950D"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993" w:type="dxa"/>
            <w:noWrap/>
            <w:hideMark/>
          </w:tcPr>
          <w:p w14:paraId="0890DE6E"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r>
      <w:tr w:rsidR="002E32A6" w:rsidRPr="003F0FD3" w14:paraId="00902FAA"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14:paraId="2D5140BA" w14:textId="727EDC74" w:rsidR="003F0FD3" w:rsidRPr="003F0FD3" w:rsidRDefault="003F0FD3" w:rsidP="003F0FD3">
            <w:pPr>
              <w:autoSpaceDE/>
              <w:autoSpaceDN/>
              <w:adjustRightInd/>
              <w:spacing w:after="0"/>
              <w:ind w:right="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Our organisation has the internal expertise needed to accurately cost services</w:t>
            </w:r>
          </w:p>
        </w:tc>
        <w:tc>
          <w:tcPr>
            <w:tcW w:w="1843" w:type="dxa"/>
            <w:noWrap/>
            <w:hideMark/>
          </w:tcPr>
          <w:p w14:paraId="212CD838"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Disagree</w:t>
            </w:r>
          </w:p>
        </w:tc>
        <w:tc>
          <w:tcPr>
            <w:tcW w:w="1275" w:type="dxa"/>
            <w:noWrap/>
            <w:hideMark/>
          </w:tcPr>
          <w:p w14:paraId="506F9C1B"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21%</w:t>
            </w:r>
          </w:p>
        </w:tc>
        <w:tc>
          <w:tcPr>
            <w:tcW w:w="1276" w:type="dxa"/>
            <w:noWrap/>
            <w:hideMark/>
          </w:tcPr>
          <w:p w14:paraId="64C4A7C0"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32%</w:t>
            </w:r>
          </w:p>
        </w:tc>
        <w:tc>
          <w:tcPr>
            <w:tcW w:w="1276" w:type="dxa"/>
            <w:noWrap/>
            <w:hideMark/>
          </w:tcPr>
          <w:p w14:paraId="676458D3"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0%</w:t>
            </w:r>
          </w:p>
        </w:tc>
        <w:tc>
          <w:tcPr>
            <w:tcW w:w="993" w:type="dxa"/>
            <w:noWrap/>
            <w:hideMark/>
          </w:tcPr>
          <w:p w14:paraId="0FB07BF5"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17%</w:t>
            </w:r>
          </w:p>
        </w:tc>
      </w:tr>
      <w:tr w:rsidR="002E32A6" w:rsidRPr="003F0FD3" w14:paraId="10191E4E"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36812F13" w14:textId="4345DC3F"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14F7CD17"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Neutral / not sure</w:t>
            </w:r>
          </w:p>
        </w:tc>
        <w:tc>
          <w:tcPr>
            <w:tcW w:w="1275" w:type="dxa"/>
            <w:noWrap/>
            <w:hideMark/>
          </w:tcPr>
          <w:p w14:paraId="01839A7D"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18%</w:t>
            </w:r>
          </w:p>
        </w:tc>
        <w:tc>
          <w:tcPr>
            <w:tcW w:w="1276" w:type="dxa"/>
            <w:noWrap/>
            <w:hideMark/>
          </w:tcPr>
          <w:p w14:paraId="30CA6A8E"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12%</w:t>
            </w:r>
          </w:p>
        </w:tc>
        <w:tc>
          <w:tcPr>
            <w:tcW w:w="1276" w:type="dxa"/>
            <w:noWrap/>
            <w:hideMark/>
          </w:tcPr>
          <w:p w14:paraId="60668574"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15%</w:t>
            </w:r>
          </w:p>
        </w:tc>
        <w:tc>
          <w:tcPr>
            <w:tcW w:w="993" w:type="dxa"/>
            <w:noWrap/>
            <w:hideMark/>
          </w:tcPr>
          <w:p w14:paraId="581A9D80"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15%</w:t>
            </w:r>
          </w:p>
        </w:tc>
      </w:tr>
      <w:tr w:rsidR="002E32A6" w:rsidRPr="003F0FD3" w14:paraId="3C704E64"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2EAC51E8" w14:textId="179C655C"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23CEF445"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Agree</w:t>
            </w:r>
          </w:p>
        </w:tc>
        <w:tc>
          <w:tcPr>
            <w:tcW w:w="1275" w:type="dxa"/>
            <w:noWrap/>
            <w:hideMark/>
          </w:tcPr>
          <w:p w14:paraId="557DBD61"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62%</w:t>
            </w:r>
          </w:p>
        </w:tc>
        <w:tc>
          <w:tcPr>
            <w:tcW w:w="1276" w:type="dxa"/>
            <w:noWrap/>
            <w:hideMark/>
          </w:tcPr>
          <w:p w14:paraId="53D7028F"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56%</w:t>
            </w:r>
          </w:p>
        </w:tc>
        <w:tc>
          <w:tcPr>
            <w:tcW w:w="1276" w:type="dxa"/>
            <w:noWrap/>
            <w:hideMark/>
          </w:tcPr>
          <w:p w14:paraId="7A8A1D5C"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85%</w:t>
            </w:r>
          </w:p>
        </w:tc>
        <w:tc>
          <w:tcPr>
            <w:tcW w:w="993" w:type="dxa"/>
            <w:noWrap/>
            <w:hideMark/>
          </w:tcPr>
          <w:p w14:paraId="1F954477"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67%</w:t>
            </w:r>
          </w:p>
        </w:tc>
      </w:tr>
      <w:tr w:rsidR="002E32A6" w:rsidRPr="003F0FD3" w14:paraId="7BD46D1A"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3B7C1EE8" w14:textId="152BE400" w:rsidR="003F0FD3" w:rsidRPr="003F0FD3" w:rsidRDefault="003F0FD3" w:rsidP="003F0FD3">
            <w:pPr>
              <w:autoSpaceDE/>
              <w:autoSpaceDN/>
              <w:adjustRightInd/>
              <w:spacing w:after="0"/>
              <w:ind w:right="0"/>
              <w:rPr>
                <w:rFonts w:ascii="Calibri" w:eastAsia="Times New Roman" w:hAnsi="Calibri" w:cs="Calibri"/>
                <w:sz w:val="22"/>
                <w:szCs w:val="22"/>
                <w:lang w:eastAsia="en-AU"/>
              </w:rPr>
            </w:pPr>
          </w:p>
        </w:tc>
        <w:tc>
          <w:tcPr>
            <w:tcW w:w="1843" w:type="dxa"/>
            <w:noWrap/>
            <w:hideMark/>
          </w:tcPr>
          <w:p w14:paraId="23BA7630"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All</w:t>
            </w:r>
          </w:p>
        </w:tc>
        <w:tc>
          <w:tcPr>
            <w:tcW w:w="1275" w:type="dxa"/>
            <w:noWrap/>
            <w:hideMark/>
          </w:tcPr>
          <w:p w14:paraId="4354C2FD"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25C93C8D"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3424C27E"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993" w:type="dxa"/>
            <w:noWrap/>
            <w:hideMark/>
          </w:tcPr>
          <w:p w14:paraId="01462A61"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r>
      <w:tr w:rsidR="002E32A6" w:rsidRPr="003F0FD3" w14:paraId="11F2DB65"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14:paraId="43D7997B" w14:textId="571DAFF7" w:rsidR="003F0FD3" w:rsidRPr="003F0FD3" w:rsidRDefault="003F0FD3" w:rsidP="003F0FD3">
            <w:pPr>
              <w:autoSpaceDE/>
              <w:autoSpaceDN/>
              <w:adjustRightInd/>
              <w:spacing w:after="0"/>
              <w:ind w:right="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Our organisation has sought external support to help understand our costs</w:t>
            </w:r>
          </w:p>
        </w:tc>
        <w:tc>
          <w:tcPr>
            <w:tcW w:w="1843" w:type="dxa"/>
            <w:noWrap/>
            <w:hideMark/>
          </w:tcPr>
          <w:p w14:paraId="4127CC70"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Disagree</w:t>
            </w:r>
          </w:p>
        </w:tc>
        <w:tc>
          <w:tcPr>
            <w:tcW w:w="1275" w:type="dxa"/>
            <w:noWrap/>
            <w:hideMark/>
          </w:tcPr>
          <w:p w14:paraId="2EDACCD7"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47%</w:t>
            </w:r>
          </w:p>
        </w:tc>
        <w:tc>
          <w:tcPr>
            <w:tcW w:w="1276" w:type="dxa"/>
            <w:noWrap/>
            <w:hideMark/>
          </w:tcPr>
          <w:p w14:paraId="1AF11A04"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52%</w:t>
            </w:r>
          </w:p>
        </w:tc>
        <w:tc>
          <w:tcPr>
            <w:tcW w:w="1276" w:type="dxa"/>
            <w:noWrap/>
            <w:hideMark/>
          </w:tcPr>
          <w:p w14:paraId="2E7FD0FD"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44%</w:t>
            </w:r>
          </w:p>
        </w:tc>
        <w:tc>
          <w:tcPr>
            <w:tcW w:w="993" w:type="dxa"/>
            <w:noWrap/>
            <w:hideMark/>
          </w:tcPr>
          <w:p w14:paraId="788142F6"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48%</w:t>
            </w:r>
          </w:p>
        </w:tc>
      </w:tr>
      <w:tr w:rsidR="002E32A6" w:rsidRPr="003F0FD3" w14:paraId="58AADDC5"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2CD76744" w14:textId="36E0D6C7"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5EA170AC"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Neutral / not sure</w:t>
            </w:r>
          </w:p>
        </w:tc>
        <w:tc>
          <w:tcPr>
            <w:tcW w:w="1275" w:type="dxa"/>
            <w:noWrap/>
            <w:hideMark/>
          </w:tcPr>
          <w:p w14:paraId="726C4F92"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27%</w:t>
            </w:r>
          </w:p>
        </w:tc>
        <w:tc>
          <w:tcPr>
            <w:tcW w:w="1276" w:type="dxa"/>
            <w:noWrap/>
            <w:hideMark/>
          </w:tcPr>
          <w:p w14:paraId="4035931E"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8%</w:t>
            </w:r>
          </w:p>
        </w:tc>
        <w:tc>
          <w:tcPr>
            <w:tcW w:w="1276" w:type="dxa"/>
            <w:noWrap/>
            <w:hideMark/>
          </w:tcPr>
          <w:p w14:paraId="6259C222"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w:t>
            </w:r>
          </w:p>
        </w:tc>
        <w:tc>
          <w:tcPr>
            <w:tcW w:w="993" w:type="dxa"/>
            <w:noWrap/>
            <w:hideMark/>
          </w:tcPr>
          <w:p w14:paraId="28798332"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14%</w:t>
            </w:r>
          </w:p>
        </w:tc>
      </w:tr>
      <w:tr w:rsidR="002E32A6" w:rsidRPr="003F0FD3" w14:paraId="1921BB2D"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2E0AA8C8" w14:textId="0FC8F6BA"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69F9CECE"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Agree</w:t>
            </w:r>
          </w:p>
        </w:tc>
        <w:tc>
          <w:tcPr>
            <w:tcW w:w="1275" w:type="dxa"/>
            <w:noWrap/>
            <w:hideMark/>
          </w:tcPr>
          <w:p w14:paraId="2F7F9FFC"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27%</w:t>
            </w:r>
          </w:p>
        </w:tc>
        <w:tc>
          <w:tcPr>
            <w:tcW w:w="1276" w:type="dxa"/>
            <w:noWrap/>
            <w:hideMark/>
          </w:tcPr>
          <w:p w14:paraId="4E2956A5"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40%</w:t>
            </w:r>
          </w:p>
        </w:tc>
        <w:tc>
          <w:tcPr>
            <w:tcW w:w="1276" w:type="dxa"/>
            <w:noWrap/>
            <w:hideMark/>
          </w:tcPr>
          <w:p w14:paraId="22EDD873"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52%</w:t>
            </w:r>
          </w:p>
        </w:tc>
        <w:tc>
          <w:tcPr>
            <w:tcW w:w="993" w:type="dxa"/>
            <w:noWrap/>
            <w:hideMark/>
          </w:tcPr>
          <w:p w14:paraId="19958BD2"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38%</w:t>
            </w:r>
          </w:p>
        </w:tc>
      </w:tr>
      <w:tr w:rsidR="002E32A6" w:rsidRPr="003F0FD3" w14:paraId="4D20A996"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3E16768E" w14:textId="6099FAB9" w:rsidR="003F0FD3" w:rsidRPr="003F0FD3" w:rsidRDefault="003F0FD3" w:rsidP="003F0FD3">
            <w:pPr>
              <w:autoSpaceDE/>
              <w:autoSpaceDN/>
              <w:adjustRightInd/>
              <w:spacing w:after="0"/>
              <w:ind w:right="0"/>
              <w:rPr>
                <w:rFonts w:ascii="Calibri" w:eastAsia="Times New Roman" w:hAnsi="Calibri" w:cs="Calibri"/>
                <w:sz w:val="22"/>
                <w:szCs w:val="22"/>
                <w:lang w:eastAsia="en-AU"/>
              </w:rPr>
            </w:pPr>
          </w:p>
        </w:tc>
        <w:tc>
          <w:tcPr>
            <w:tcW w:w="1843" w:type="dxa"/>
            <w:noWrap/>
            <w:hideMark/>
          </w:tcPr>
          <w:p w14:paraId="7ECEEAD1"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All</w:t>
            </w:r>
          </w:p>
        </w:tc>
        <w:tc>
          <w:tcPr>
            <w:tcW w:w="1275" w:type="dxa"/>
            <w:noWrap/>
            <w:hideMark/>
          </w:tcPr>
          <w:p w14:paraId="63134DD5"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769DD298"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1FA518D7"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993" w:type="dxa"/>
            <w:noWrap/>
            <w:hideMark/>
          </w:tcPr>
          <w:p w14:paraId="1BB6C141"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r>
      <w:tr w:rsidR="002E32A6" w:rsidRPr="003F0FD3" w14:paraId="271EC34A"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14:paraId="322DF477" w14:textId="4B7A9822" w:rsidR="003F0FD3" w:rsidRPr="003F0FD3" w:rsidRDefault="003F0FD3" w:rsidP="003F0FD3">
            <w:pPr>
              <w:spacing w:after="0"/>
              <w:ind w:right="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We understand how other community organisations cost their services</w:t>
            </w:r>
          </w:p>
        </w:tc>
        <w:tc>
          <w:tcPr>
            <w:tcW w:w="1843" w:type="dxa"/>
            <w:noWrap/>
            <w:hideMark/>
          </w:tcPr>
          <w:p w14:paraId="280850F9"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Disagree</w:t>
            </w:r>
          </w:p>
        </w:tc>
        <w:tc>
          <w:tcPr>
            <w:tcW w:w="1275" w:type="dxa"/>
            <w:noWrap/>
            <w:hideMark/>
          </w:tcPr>
          <w:p w14:paraId="62172ED5"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47%</w:t>
            </w:r>
          </w:p>
        </w:tc>
        <w:tc>
          <w:tcPr>
            <w:tcW w:w="1276" w:type="dxa"/>
            <w:noWrap/>
            <w:hideMark/>
          </w:tcPr>
          <w:p w14:paraId="2E6C7B12"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60%</w:t>
            </w:r>
          </w:p>
        </w:tc>
        <w:tc>
          <w:tcPr>
            <w:tcW w:w="1276" w:type="dxa"/>
            <w:noWrap/>
            <w:hideMark/>
          </w:tcPr>
          <w:p w14:paraId="12BA2547"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37%</w:t>
            </w:r>
          </w:p>
        </w:tc>
        <w:tc>
          <w:tcPr>
            <w:tcW w:w="993" w:type="dxa"/>
            <w:noWrap/>
            <w:hideMark/>
          </w:tcPr>
          <w:p w14:paraId="0A34D011"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48%</w:t>
            </w:r>
          </w:p>
        </w:tc>
      </w:tr>
      <w:tr w:rsidR="002E32A6" w:rsidRPr="003F0FD3" w14:paraId="42F14ACB"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6236C0AD" w14:textId="161D63B2"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698AA209"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Neutral / not sure</w:t>
            </w:r>
          </w:p>
        </w:tc>
        <w:tc>
          <w:tcPr>
            <w:tcW w:w="1275" w:type="dxa"/>
            <w:noWrap/>
            <w:hideMark/>
          </w:tcPr>
          <w:p w14:paraId="06771069"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41%</w:t>
            </w:r>
          </w:p>
        </w:tc>
        <w:tc>
          <w:tcPr>
            <w:tcW w:w="1276" w:type="dxa"/>
            <w:noWrap/>
            <w:hideMark/>
          </w:tcPr>
          <w:p w14:paraId="20BD3728"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28%</w:t>
            </w:r>
          </w:p>
        </w:tc>
        <w:tc>
          <w:tcPr>
            <w:tcW w:w="1276" w:type="dxa"/>
            <w:noWrap/>
            <w:hideMark/>
          </w:tcPr>
          <w:p w14:paraId="15F9B70D"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26%</w:t>
            </w:r>
          </w:p>
        </w:tc>
        <w:tc>
          <w:tcPr>
            <w:tcW w:w="993" w:type="dxa"/>
            <w:noWrap/>
            <w:hideMark/>
          </w:tcPr>
          <w:p w14:paraId="27F02612"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33%</w:t>
            </w:r>
          </w:p>
        </w:tc>
      </w:tr>
      <w:tr w:rsidR="002E32A6" w:rsidRPr="003F0FD3" w14:paraId="0F64065C"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3DCF27CF" w14:textId="27201BA0" w:rsidR="003F0FD3" w:rsidRPr="003F0FD3" w:rsidRDefault="003F0FD3" w:rsidP="003F0FD3">
            <w:pPr>
              <w:spacing w:after="0"/>
              <w:ind w:right="0"/>
              <w:rPr>
                <w:rFonts w:ascii="Calibri" w:eastAsia="Times New Roman" w:hAnsi="Calibri" w:cs="Calibri"/>
                <w:sz w:val="22"/>
                <w:szCs w:val="22"/>
                <w:lang w:eastAsia="en-AU"/>
              </w:rPr>
            </w:pPr>
          </w:p>
        </w:tc>
        <w:tc>
          <w:tcPr>
            <w:tcW w:w="1843" w:type="dxa"/>
            <w:noWrap/>
            <w:hideMark/>
          </w:tcPr>
          <w:p w14:paraId="4F3716C7" w14:textId="77777777" w:rsidR="003F0FD3" w:rsidRPr="003F0FD3" w:rsidRDefault="003F0FD3" w:rsidP="003F0FD3">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Agree</w:t>
            </w:r>
          </w:p>
        </w:tc>
        <w:tc>
          <w:tcPr>
            <w:tcW w:w="1275" w:type="dxa"/>
            <w:noWrap/>
            <w:hideMark/>
          </w:tcPr>
          <w:p w14:paraId="0F719D53"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12%</w:t>
            </w:r>
          </w:p>
        </w:tc>
        <w:tc>
          <w:tcPr>
            <w:tcW w:w="1276" w:type="dxa"/>
            <w:noWrap/>
            <w:hideMark/>
          </w:tcPr>
          <w:p w14:paraId="14AD2224"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12%</w:t>
            </w:r>
          </w:p>
        </w:tc>
        <w:tc>
          <w:tcPr>
            <w:tcW w:w="1276" w:type="dxa"/>
            <w:noWrap/>
            <w:hideMark/>
          </w:tcPr>
          <w:p w14:paraId="51038044"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37%</w:t>
            </w:r>
          </w:p>
        </w:tc>
        <w:tc>
          <w:tcPr>
            <w:tcW w:w="993" w:type="dxa"/>
            <w:noWrap/>
            <w:hideMark/>
          </w:tcPr>
          <w:p w14:paraId="0E5C8B98" w14:textId="77777777" w:rsidR="003F0FD3" w:rsidRPr="003F0FD3" w:rsidRDefault="003F0FD3" w:rsidP="003F0FD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20%</w:t>
            </w:r>
          </w:p>
        </w:tc>
      </w:tr>
      <w:tr w:rsidR="002E32A6" w:rsidRPr="003F0FD3" w14:paraId="5F8ABF03"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14:paraId="0B54BD7C" w14:textId="3F646C57" w:rsidR="003F0FD3" w:rsidRPr="003F0FD3" w:rsidRDefault="003F0FD3" w:rsidP="003F0FD3">
            <w:pPr>
              <w:autoSpaceDE/>
              <w:autoSpaceDN/>
              <w:adjustRightInd/>
              <w:spacing w:after="0"/>
              <w:ind w:right="0"/>
              <w:rPr>
                <w:rFonts w:ascii="Calibri" w:eastAsia="Times New Roman" w:hAnsi="Calibri" w:cs="Calibri"/>
                <w:sz w:val="22"/>
                <w:szCs w:val="22"/>
                <w:lang w:eastAsia="en-AU"/>
              </w:rPr>
            </w:pPr>
          </w:p>
        </w:tc>
        <w:tc>
          <w:tcPr>
            <w:tcW w:w="1843" w:type="dxa"/>
            <w:noWrap/>
            <w:hideMark/>
          </w:tcPr>
          <w:p w14:paraId="4CF5EB27" w14:textId="77777777" w:rsidR="003F0FD3" w:rsidRPr="003F0FD3" w:rsidRDefault="003F0FD3" w:rsidP="003F0FD3">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All</w:t>
            </w:r>
          </w:p>
        </w:tc>
        <w:tc>
          <w:tcPr>
            <w:tcW w:w="1275" w:type="dxa"/>
            <w:noWrap/>
            <w:hideMark/>
          </w:tcPr>
          <w:p w14:paraId="114B1E59"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09D7F462"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1276" w:type="dxa"/>
            <w:noWrap/>
            <w:hideMark/>
          </w:tcPr>
          <w:p w14:paraId="3CC701FC"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c>
          <w:tcPr>
            <w:tcW w:w="993" w:type="dxa"/>
            <w:noWrap/>
            <w:hideMark/>
          </w:tcPr>
          <w:p w14:paraId="39A3E4BB" w14:textId="77777777" w:rsidR="003F0FD3" w:rsidRPr="003F0FD3" w:rsidRDefault="003F0FD3" w:rsidP="003F0FD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3F0FD3">
              <w:rPr>
                <w:rFonts w:ascii="Calibri" w:eastAsia="Times New Roman" w:hAnsi="Calibri" w:cs="Calibri"/>
                <w:sz w:val="22"/>
                <w:szCs w:val="22"/>
                <w:lang w:eastAsia="en-AU"/>
              </w:rPr>
              <w:t>100%</w:t>
            </w:r>
          </w:p>
        </w:tc>
      </w:tr>
    </w:tbl>
    <w:p w14:paraId="3EAACFC2" w14:textId="367074F4" w:rsidR="00171CCF" w:rsidRDefault="005C0516" w:rsidP="00171CCF">
      <w:pPr>
        <w:pStyle w:val="BodyText"/>
        <w:rPr>
          <w:sz w:val="18"/>
          <w:szCs w:val="18"/>
        </w:rPr>
      </w:pPr>
      <w:r w:rsidRPr="00554250">
        <w:rPr>
          <w:sz w:val="18"/>
          <w:szCs w:val="18"/>
        </w:rPr>
        <w:t>Source: ACT Service Costing Survey, 2021</w:t>
      </w:r>
    </w:p>
    <w:p w14:paraId="297807CE" w14:textId="5AD9CB23" w:rsidR="008A6BAB" w:rsidRDefault="00EA6EED" w:rsidP="00BC203C">
      <w:pPr>
        <w:pStyle w:val="Caption"/>
      </w:pPr>
      <w:bookmarkStart w:id="206" w:name="_Ref88833144"/>
      <w:bookmarkStart w:id="207" w:name="_Toc90020081"/>
      <w:r>
        <w:lastRenderedPageBreak/>
        <w:t xml:space="preserve">Table </w:t>
      </w:r>
      <w:r w:rsidR="00663838">
        <w:t>C</w:t>
      </w:r>
      <w:r>
        <w:t xml:space="preserve">. </w:t>
      </w:r>
      <w:fldSimple w:instr=" SEQ Table_D. \* ARABIC ">
        <w:r w:rsidR="00E405AF">
          <w:rPr>
            <w:noProof/>
          </w:rPr>
          <w:t>9</w:t>
        </w:r>
      </w:fldSimple>
      <w:bookmarkEnd w:id="206"/>
      <w:r>
        <w:tab/>
      </w:r>
      <w:r w:rsidR="008A6BAB">
        <w:t>Staffing and service delivery strategies used in the last three years to help manage ACT Government funding, by main ACT funder</w:t>
      </w:r>
      <w:bookmarkEnd w:id="207"/>
    </w:p>
    <w:tbl>
      <w:tblPr>
        <w:tblStyle w:val="Style3"/>
        <w:tblW w:w="9493" w:type="dxa"/>
        <w:tblLook w:val="04A0" w:firstRow="1" w:lastRow="0" w:firstColumn="1" w:lastColumn="0" w:noHBand="0" w:noVBand="1"/>
      </w:tblPr>
      <w:tblGrid>
        <w:gridCol w:w="4673"/>
        <w:gridCol w:w="1134"/>
        <w:gridCol w:w="1418"/>
        <w:gridCol w:w="1134"/>
        <w:gridCol w:w="1134"/>
      </w:tblGrid>
      <w:tr w:rsidR="00242BB5" w:rsidRPr="00242BB5" w14:paraId="6F71475D" w14:textId="77777777" w:rsidTr="00EB1E0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CD036DC" w14:textId="77777777" w:rsidR="008A6BAB" w:rsidRPr="00242BB5" w:rsidRDefault="008A6BAB" w:rsidP="00566C09">
            <w:pPr>
              <w:autoSpaceDE/>
              <w:autoSpaceDN/>
              <w:adjustRightInd/>
              <w:spacing w:after="0"/>
              <w:ind w:right="0"/>
              <w:jc w:val="center"/>
              <w:rPr>
                <w:rFonts w:ascii="Calibri" w:eastAsia="Times New Roman" w:hAnsi="Calibri" w:cs="Calibri"/>
                <w:b/>
                <w:bCs/>
                <w:color w:val="FFFFFF" w:themeColor="background1"/>
                <w:sz w:val="22"/>
                <w:szCs w:val="22"/>
                <w:lang w:eastAsia="en-AU"/>
              </w:rPr>
            </w:pPr>
          </w:p>
        </w:tc>
        <w:tc>
          <w:tcPr>
            <w:tcW w:w="1134" w:type="dxa"/>
            <w:noWrap/>
            <w:hideMark/>
          </w:tcPr>
          <w:p w14:paraId="5AD58BA2" w14:textId="77777777" w:rsidR="008A6BAB" w:rsidRPr="00242BB5" w:rsidRDefault="008A6BAB" w:rsidP="00566C0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242BB5">
              <w:rPr>
                <w:rFonts w:ascii="Calibri" w:eastAsia="Times New Roman" w:hAnsi="Calibri" w:cs="Calibri"/>
                <w:b/>
                <w:bCs/>
                <w:color w:val="FFFFFF" w:themeColor="background1"/>
                <w:sz w:val="22"/>
                <w:szCs w:val="22"/>
                <w:lang w:eastAsia="en-AU"/>
              </w:rPr>
              <w:t>CSD (n=48)</w:t>
            </w:r>
          </w:p>
        </w:tc>
        <w:tc>
          <w:tcPr>
            <w:tcW w:w="1418" w:type="dxa"/>
            <w:noWrap/>
            <w:hideMark/>
          </w:tcPr>
          <w:p w14:paraId="4D5AAD7A" w14:textId="77777777" w:rsidR="008A6BAB" w:rsidRPr="00242BB5" w:rsidRDefault="008A6BAB" w:rsidP="00566C0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242BB5">
              <w:rPr>
                <w:rFonts w:ascii="Calibri" w:eastAsia="Times New Roman" w:hAnsi="Calibri" w:cs="Calibri"/>
                <w:b/>
                <w:bCs/>
                <w:color w:val="FFFFFF" w:themeColor="background1"/>
                <w:sz w:val="22"/>
                <w:szCs w:val="22"/>
                <w:lang w:eastAsia="en-AU"/>
              </w:rPr>
              <w:t>ACTHD (n=36)</w:t>
            </w:r>
          </w:p>
        </w:tc>
        <w:tc>
          <w:tcPr>
            <w:tcW w:w="1134" w:type="dxa"/>
            <w:noWrap/>
            <w:hideMark/>
          </w:tcPr>
          <w:p w14:paraId="2ABE032E" w14:textId="77777777" w:rsidR="008A6BAB" w:rsidRPr="00242BB5" w:rsidRDefault="008A6BAB" w:rsidP="00566C0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242BB5">
              <w:rPr>
                <w:rFonts w:ascii="Calibri" w:eastAsia="Times New Roman" w:hAnsi="Calibri" w:cs="Calibri"/>
                <w:b/>
                <w:bCs/>
                <w:color w:val="FFFFFF" w:themeColor="background1"/>
                <w:sz w:val="22"/>
                <w:szCs w:val="22"/>
                <w:lang w:eastAsia="en-AU"/>
              </w:rPr>
              <w:t>Other (n=4)</w:t>
            </w:r>
          </w:p>
        </w:tc>
        <w:tc>
          <w:tcPr>
            <w:tcW w:w="1134" w:type="dxa"/>
            <w:noWrap/>
            <w:hideMark/>
          </w:tcPr>
          <w:p w14:paraId="568CB7BA" w14:textId="77777777" w:rsidR="008A6BAB" w:rsidRPr="00242BB5" w:rsidRDefault="008A6BAB" w:rsidP="00566C09">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242BB5">
              <w:rPr>
                <w:rFonts w:ascii="Calibri" w:eastAsia="Times New Roman" w:hAnsi="Calibri" w:cs="Calibri"/>
                <w:b/>
                <w:bCs/>
                <w:color w:val="FFFFFF" w:themeColor="background1"/>
                <w:sz w:val="22"/>
                <w:szCs w:val="22"/>
                <w:lang w:eastAsia="en-AU"/>
              </w:rPr>
              <w:t>All (n=88)</w:t>
            </w:r>
          </w:p>
        </w:tc>
      </w:tr>
      <w:tr w:rsidR="00242BB5" w:rsidRPr="009E760D" w14:paraId="192634F3"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67CBB118" w14:textId="2C3C4C53"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Encouraged staff to find creative solutions to overcome resource constraints</w:t>
            </w:r>
          </w:p>
        </w:tc>
        <w:tc>
          <w:tcPr>
            <w:tcW w:w="1134" w:type="dxa"/>
            <w:noWrap/>
          </w:tcPr>
          <w:p w14:paraId="0C55DEBB" w14:textId="2048E52B"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56%</w:t>
            </w:r>
          </w:p>
        </w:tc>
        <w:tc>
          <w:tcPr>
            <w:tcW w:w="1418" w:type="dxa"/>
            <w:noWrap/>
          </w:tcPr>
          <w:p w14:paraId="554E6CD2" w14:textId="278C745F"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61%</w:t>
            </w:r>
          </w:p>
        </w:tc>
        <w:tc>
          <w:tcPr>
            <w:tcW w:w="1134" w:type="dxa"/>
            <w:noWrap/>
          </w:tcPr>
          <w:p w14:paraId="3CB199AB" w14:textId="52591A81"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75%</w:t>
            </w:r>
          </w:p>
        </w:tc>
        <w:tc>
          <w:tcPr>
            <w:tcW w:w="1134" w:type="dxa"/>
            <w:noWrap/>
          </w:tcPr>
          <w:p w14:paraId="046105BF" w14:textId="3F5AB755"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59%</w:t>
            </w:r>
          </w:p>
        </w:tc>
      </w:tr>
      <w:tr w:rsidR="00242BB5" w:rsidRPr="009E760D" w14:paraId="79FF1BE9"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69CA0978" w14:textId="16380402"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Used casual / short-term staff because funding was short-term</w:t>
            </w:r>
          </w:p>
        </w:tc>
        <w:tc>
          <w:tcPr>
            <w:tcW w:w="1134" w:type="dxa"/>
            <w:noWrap/>
          </w:tcPr>
          <w:p w14:paraId="06DA2D78" w14:textId="7DFE892E"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48%</w:t>
            </w:r>
          </w:p>
        </w:tc>
        <w:tc>
          <w:tcPr>
            <w:tcW w:w="1418" w:type="dxa"/>
            <w:noWrap/>
          </w:tcPr>
          <w:p w14:paraId="7B0F0525" w14:textId="28E19C5A"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56%</w:t>
            </w:r>
          </w:p>
        </w:tc>
        <w:tc>
          <w:tcPr>
            <w:tcW w:w="1134" w:type="dxa"/>
            <w:noWrap/>
          </w:tcPr>
          <w:p w14:paraId="0A455142" w14:textId="7237FF3C"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50%</w:t>
            </w:r>
          </w:p>
        </w:tc>
        <w:tc>
          <w:tcPr>
            <w:tcW w:w="1134" w:type="dxa"/>
            <w:noWrap/>
          </w:tcPr>
          <w:p w14:paraId="204B0B59" w14:textId="69479921"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51%</w:t>
            </w:r>
          </w:p>
        </w:tc>
      </w:tr>
      <w:tr w:rsidR="00242BB5" w:rsidRPr="009E760D" w14:paraId="74BA5337"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4ADEBDE5" w14:textId="7ACA7C66"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Needed workers to perform tasks which could be considered above their classification</w:t>
            </w:r>
          </w:p>
        </w:tc>
        <w:tc>
          <w:tcPr>
            <w:tcW w:w="1134" w:type="dxa"/>
            <w:noWrap/>
          </w:tcPr>
          <w:p w14:paraId="5E27C498" w14:textId="45134718"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27%</w:t>
            </w:r>
          </w:p>
        </w:tc>
        <w:tc>
          <w:tcPr>
            <w:tcW w:w="1418" w:type="dxa"/>
            <w:noWrap/>
          </w:tcPr>
          <w:p w14:paraId="36ADE338" w14:textId="0F9B4F3E"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53%</w:t>
            </w:r>
          </w:p>
        </w:tc>
        <w:tc>
          <w:tcPr>
            <w:tcW w:w="1134" w:type="dxa"/>
            <w:noWrap/>
          </w:tcPr>
          <w:p w14:paraId="47F2B9AE" w14:textId="543BCA19"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50%</w:t>
            </w:r>
          </w:p>
        </w:tc>
        <w:tc>
          <w:tcPr>
            <w:tcW w:w="1134" w:type="dxa"/>
            <w:noWrap/>
          </w:tcPr>
          <w:p w14:paraId="45CA15FD" w14:textId="14C5135A"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39%</w:t>
            </w:r>
          </w:p>
        </w:tc>
      </w:tr>
      <w:tr w:rsidR="00242BB5" w:rsidRPr="009E760D" w14:paraId="5AAB3ADA"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2B1749B0" w14:textId="6784173E"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Used volunteers because of insufficient funds to pay employees</w:t>
            </w:r>
          </w:p>
        </w:tc>
        <w:tc>
          <w:tcPr>
            <w:tcW w:w="1134" w:type="dxa"/>
            <w:noWrap/>
          </w:tcPr>
          <w:p w14:paraId="37729D36" w14:textId="517CA487"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33%</w:t>
            </w:r>
          </w:p>
        </w:tc>
        <w:tc>
          <w:tcPr>
            <w:tcW w:w="1418" w:type="dxa"/>
            <w:noWrap/>
          </w:tcPr>
          <w:p w14:paraId="4305E3E7" w14:textId="35C0A450"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39%</w:t>
            </w:r>
          </w:p>
        </w:tc>
        <w:tc>
          <w:tcPr>
            <w:tcW w:w="1134" w:type="dxa"/>
            <w:noWrap/>
          </w:tcPr>
          <w:p w14:paraId="5404F31A" w14:textId="3A6C5FAA"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75%</w:t>
            </w:r>
          </w:p>
        </w:tc>
        <w:tc>
          <w:tcPr>
            <w:tcW w:w="1134" w:type="dxa"/>
            <w:noWrap/>
          </w:tcPr>
          <w:p w14:paraId="5CEF12A5" w14:textId="6A9EC4FD"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38%</w:t>
            </w:r>
          </w:p>
        </w:tc>
      </w:tr>
      <w:tr w:rsidR="00242BB5" w:rsidRPr="009E760D" w14:paraId="7662FCE8"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75FDA126" w14:textId="67F7FBA5"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Targeted specific groups of clients, due to limited funds or staffing constraints</w:t>
            </w:r>
          </w:p>
        </w:tc>
        <w:tc>
          <w:tcPr>
            <w:tcW w:w="1134" w:type="dxa"/>
            <w:noWrap/>
          </w:tcPr>
          <w:p w14:paraId="1E1C147C" w14:textId="2F7DCBB3"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25%</w:t>
            </w:r>
          </w:p>
        </w:tc>
        <w:tc>
          <w:tcPr>
            <w:tcW w:w="1418" w:type="dxa"/>
            <w:noWrap/>
          </w:tcPr>
          <w:p w14:paraId="364A9F41" w14:textId="07FC54F1"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47%</w:t>
            </w:r>
          </w:p>
        </w:tc>
        <w:tc>
          <w:tcPr>
            <w:tcW w:w="1134" w:type="dxa"/>
            <w:noWrap/>
          </w:tcPr>
          <w:p w14:paraId="67CC6205" w14:textId="76535CE4"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25%</w:t>
            </w:r>
          </w:p>
        </w:tc>
        <w:tc>
          <w:tcPr>
            <w:tcW w:w="1134" w:type="dxa"/>
            <w:noWrap/>
          </w:tcPr>
          <w:p w14:paraId="26D938C1" w14:textId="771F91A2"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34%</w:t>
            </w:r>
          </w:p>
        </w:tc>
      </w:tr>
      <w:tr w:rsidR="00242BB5" w:rsidRPr="009E760D" w14:paraId="437D0854"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4E8D4458" w14:textId="1122E8F8"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Needed workers to perform additional unpaid hours</w:t>
            </w:r>
          </w:p>
        </w:tc>
        <w:tc>
          <w:tcPr>
            <w:tcW w:w="1134" w:type="dxa"/>
            <w:noWrap/>
          </w:tcPr>
          <w:p w14:paraId="1C83CBBF" w14:textId="035021FA"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21%</w:t>
            </w:r>
          </w:p>
        </w:tc>
        <w:tc>
          <w:tcPr>
            <w:tcW w:w="1418" w:type="dxa"/>
            <w:noWrap/>
          </w:tcPr>
          <w:p w14:paraId="072C27D2" w14:textId="343429EB"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42%</w:t>
            </w:r>
          </w:p>
        </w:tc>
        <w:tc>
          <w:tcPr>
            <w:tcW w:w="1134" w:type="dxa"/>
            <w:noWrap/>
          </w:tcPr>
          <w:p w14:paraId="44005711" w14:textId="5038FBC2"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25%</w:t>
            </w:r>
          </w:p>
        </w:tc>
        <w:tc>
          <w:tcPr>
            <w:tcW w:w="1134" w:type="dxa"/>
            <w:noWrap/>
          </w:tcPr>
          <w:p w14:paraId="5C18EE5B" w14:textId="351F14B9"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30%</w:t>
            </w:r>
          </w:p>
        </w:tc>
      </w:tr>
      <w:tr w:rsidR="00242BB5" w:rsidRPr="009E760D" w14:paraId="1F9E0089"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2EB54E3E" w14:textId="046ACF7B"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Used staff with qualifications or experience below what the role ideally requires</w:t>
            </w:r>
          </w:p>
        </w:tc>
        <w:tc>
          <w:tcPr>
            <w:tcW w:w="1134" w:type="dxa"/>
            <w:noWrap/>
          </w:tcPr>
          <w:p w14:paraId="7C875E30" w14:textId="10A66619"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17%</w:t>
            </w:r>
          </w:p>
        </w:tc>
        <w:tc>
          <w:tcPr>
            <w:tcW w:w="1418" w:type="dxa"/>
            <w:noWrap/>
          </w:tcPr>
          <w:p w14:paraId="70354415" w14:textId="5AA77A56"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39%</w:t>
            </w:r>
          </w:p>
        </w:tc>
        <w:tc>
          <w:tcPr>
            <w:tcW w:w="1134" w:type="dxa"/>
            <w:noWrap/>
          </w:tcPr>
          <w:p w14:paraId="4681C227" w14:textId="660D2A5A"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0%</w:t>
            </w:r>
          </w:p>
        </w:tc>
        <w:tc>
          <w:tcPr>
            <w:tcW w:w="1134" w:type="dxa"/>
            <w:noWrap/>
          </w:tcPr>
          <w:p w14:paraId="7B023AFD" w14:textId="221EBB3A"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25%</w:t>
            </w:r>
          </w:p>
        </w:tc>
      </w:tr>
      <w:tr w:rsidR="00242BB5" w:rsidRPr="009E760D" w14:paraId="24BE0601"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0B874EBB" w14:textId="10017591"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Stopped delivering a service that was proving too costly</w:t>
            </w:r>
          </w:p>
        </w:tc>
        <w:tc>
          <w:tcPr>
            <w:tcW w:w="1134" w:type="dxa"/>
            <w:noWrap/>
          </w:tcPr>
          <w:p w14:paraId="60E40FEF" w14:textId="2307F8D2"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21%</w:t>
            </w:r>
          </w:p>
        </w:tc>
        <w:tc>
          <w:tcPr>
            <w:tcW w:w="1418" w:type="dxa"/>
            <w:noWrap/>
          </w:tcPr>
          <w:p w14:paraId="28441FEA" w14:textId="03E14C29"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25%</w:t>
            </w:r>
          </w:p>
        </w:tc>
        <w:tc>
          <w:tcPr>
            <w:tcW w:w="1134" w:type="dxa"/>
            <w:noWrap/>
          </w:tcPr>
          <w:p w14:paraId="5889108C" w14:textId="75337963"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50%</w:t>
            </w:r>
          </w:p>
        </w:tc>
        <w:tc>
          <w:tcPr>
            <w:tcW w:w="1134" w:type="dxa"/>
            <w:noWrap/>
          </w:tcPr>
          <w:p w14:paraId="1D4CC213" w14:textId="52C4C985"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24%</w:t>
            </w:r>
          </w:p>
        </w:tc>
      </w:tr>
      <w:tr w:rsidR="00242BB5" w:rsidRPr="009E760D" w14:paraId="4AD420D6"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28F9298F" w14:textId="6273C536"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Asked staff to perform their duties in fewer hours</w:t>
            </w:r>
          </w:p>
        </w:tc>
        <w:tc>
          <w:tcPr>
            <w:tcW w:w="1134" w:type="dxa"/>
            <w:noWrap/>
          </w:tcPr>
          <w:p w14:paraId="79BC1A94" w14:textId="0E6196EA"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19%</w:t>
            </w:r>
          </w:p>
        </w:tc>
        <w:tc>
          <w:tcPr>
            <w:tcW w:w="1418" w:type="dxa"/>
            <w:noWrap/>
          </w:tcPr>
          <w:p w14:paraId="4054927B" w14:textId="50E750DE"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17%</w:t>
            </w:r>
          </w:p>
        </w:tc>
        <w:tc>
          <w:tcPr>
            <w:tcW w:w="1134" w:type="dxa"/>
            <w:noWrap/>
          </w:tcPr>
          <w:p w14:paraId="0784561F" w14:textId="551647E3"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0%</w:t>
            </w:r>
          </w:p>
        </w:tc>
        <w:tc>
          <w:tcPr>
            <w:tcW w:w="1134" w:type="dxa"/>
            <w:noWrap/>
          </w:tcPr>
          <w:p w14:paraId="7AE8AA24" w14:textId="52D0B73D" w:rsidR="00242BB5" w:rsidRPr="009E760D" w:rsidRDefault="00242BB5" w:rsidP="00242BB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17%</w:t>
            </w:r>
          </w:p>
        </w:tc>
      </w:tr>
      <w:tr w:rsidR="00242BB5" w:rsidRPr="009E760D" w14:paraId="124B13E7"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14:paraId="46FC9206" w14:textId="2C128EF4" w:rsidR="00242BB5" w:rsidRPr="009E760D" w:rsidRDefault="00242BB5" w:rsidP="00242BB5">
            <w:pPr>
              <w:autoSpaceDE/>
              <w:autoSpaceDN/>
              <w:adjustRightInd/>
              <w:spacing w:after="0"/>
              <w:ind w:right="0"/>
              <w:rPr>
                <w:rFonts w:ascii="Calibri" w:eastAsia="Times New Roman" w:hAnsi="Calibri" w:cs="Calibri"/>
                <w:sz w:val="22"/>
                <w:szCs w:val="22"/>
                <w:lang w:eastAsia="en-AU"/>
              </w:rPr>
            </w:pPr>
            <w:r>
              <w:rPr>
                <w:rFonts w:ascii="Calibri" w:hAnsi="Calibri" w:cs="Calibri"/>
                <w:sz w:val="22"/>
                <w:szCs w:val="22"/>
              </w:rPr>
              <w:t>Shifted locations to reduce costs</w:t>
            </w:r>
          </w:p>
        </w:tc>
        <w:tc>
          <w:tcPr>
            <w:tcW w:w="1134" w:type="dxa"/>
            <w:noWrap/>
          </w:tcPr>
          <w:p w14:paraId="627AD9AD" w14:textId="5F0300C7"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10%</w:t>
            </w:r>
          </w:p>
        </w:tc>
        <w:tc>
          <w:tcPr>
            <w:tcW w:w="1418" w:type="dxa"/>
            <w:noWrap/>
          </w:tcPr>
          <w:p w14:paraId="1DFDB876" w14:textId="1141BFD7"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11%</w:t>
            </w:r>
          </w:p>
        </w:tc>
        <w:tc>
          <w:tcPr>
            <w:tcW w:w="1134" w:type="dxa"/>
            <w:noWrap/>
          </w:tcPr>
          <w:p w14:paraId="299A4EF3" w14:textId="22696403"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0%</w:t>
            </w:r>
          </w:p>
        </w:tc>
        <w:tc>
          <w:tcPr>
            <w:tcW w:w="1134" w:type="dxa"/>
            <w:noWrap/>
          </w:tcPr>
          <w:p w14:paraId="1FD39014" w14:textId="402E96D0" w:rsidR="00242BB5" w:rsidRPr="009E760D" w:rsidRDefault="00242BB5" w:rsidP="00242BB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Pr>
                <w:rFonts w:ascii="Calibri" w:hAnsi="Calibri" w:cs="Calibri"/>
                <w:sz w:val="22"/>
                <w:szCs w:val="22"/>
              </w:rPr>
              <w:t>10%</w:t>
            </w:r>
          </w:p>
        </w:tc>
      </w:tr>
    </w:tbl>
    <w:p w14:paraId="08C542E0" w14:textId="7A52D351" w:rsidR="008A6BAB" w:rsidRDefault="005C0516" w:rsidP="005E61EC">
      <w:pPr>
        <w:pStyle w:val="BodyText"/>
      </w:pPr>
      <w:r w:rsidRPr="00554250">
        <w:rPr>
          <w:sz w:val="18"/>
          <w:szCs w:val="18"/>
        </w:rPr>
        <w:t>Source: ACT Service Costing Survey, 2021</w:t>
      </w:r>
    </w:p>
    <w:p w14:paraId="4012D0C7" w14:textId="3CFE7196" w:rsidR="00DB186D" w:rsidRDefault="00EA6EED" w:rsidP="00BC203C">
      <w:pPr>
        <w:pStyle w:val="Caption"/>
      </w:pPr>
      <w:bookmarkStart w:id="208" w:name="_Ref88833340"/>
      <w:bookmarkStart w:id="209" w:name="_Toc90020082"/>
      <w:r>
        <w:t xml:space="preserve">Table </w:t>
      </w:r>
      <w:r w:rsidR="00663838">
        <w:t>C</w:t>
      </w:r>
      <w:r>
        <w:t xml:space="preserve">. </w:t>
      </w:r>
      <w:fldSimple w:instr=" SEQ Table_D. \* ARABIC ">
        <w:r w:rsidR="00E405AF">
          <w:rPr>
            <w:noProof/>
          </w:rPr>
          <w:t>10</w:t>
        </w:r>
      </w:fldSimple>
      <w:bookmarkEnd w:id="208"/>
      <w:r>
        <w:tab/>
      </w:r>
      <w:r w:rsidR="009E760D">
        <w:t>Financial strategies used in the last three years to help manage ACT Government funding, by main ACT funder</w:t>
      </w:r>
      <w:bookmarkEnd w:id="209"/>
    </w:p>
    <w:tbl>
      <w:tblPr>
        <w:tblStyle w:val="Style3"/>
        <w:tblW w:w="9351" w:type="dxa"/>
        <w:tblLook w:val="04A0" w:firstRow="1" w:lastRow="0" w:firstColumn="1" w:lastColumn="0" w:noHBand="0" w:noVBand="1"/>
      </w:tblPr>
      <w:tblGrid>
        <w:gridCol w:w="4531"/>
        <w:gridCol w:w="1134"/>
        <w:gridCol w:w="1418"/>
        <w:gridCol w:w="1134"/>
        <w:gridCol w:w="1134"/>
      </w:tblGrid>
      <w:tr w:rsidR="009E760D" w:rsidRPr="009E760D" w14:paraId="0C82DAA0" w14:textId="77777777" w:rsidTr="00EB1E0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181E1BB" w14:textId="77777777" w:rsidR="009E760D" w:rsidRPr="009E760D" w:rsidRDefault="009E760D" w:rsidP="009E760D">
            <w:pPr>
              <w:autoSpaceDE/>
              <w:autoSpaceDN/>
              <w:adjustRightInd/>
              <w:spacing w:after="0"/>
              <w:ind w:right="0"/>
              <w:jc w:val="center"/>
              <w:rPr>
                <w:rFonts w:ascii="Calibri" w:eastAsia="Times New Roman" w:hAnsi="Calibri" w:cs="Calibri"/>
                <w:b/>
                <w:bCs/>
                <w:color w:val="FFFFFF" w:themeColor="background1"/>
                <w:sz w:val="22"/>
                <w:szCs w:val="22"/>
                <w:lang w:eastAsia="en-AU"/>
              </w:rPr>
            </w:pPr>
          </w:p>
        </w:tc>
        <w:tc>
          <w:tcPr>
            <w:tcW w:w="1134" w:type="dxa"/>
            <w:noWrap/>
            <w:hideMark/>
          </w:tcPr>
          <w:p w14:paraId="7EBDA5FC" w14:textId="77777777" w:rsidR="009E760D" w:rsidRPr="009E760D" w:rsidRDefault="009E760D" w:rsidP="009E760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9E760D">
              <w:rPr>
                <w:rFonts w:ascii="Calibri" w:eastAsia="Times New Roman" w:hAnsi="Calibri" w:cs="Calibri"/>
                <w:b/>
                <w:bCs/>
                <w:color w:val="FFFFFF" w:themeColor="background1"/>
                <w:sz w:val="22"/>
                <w:szCs w:val="22"/>
                <w:lang w:eastAsia="en-AU"/>
              </w:rPr>
              <w:t>CSD (n=48)</w:t>
            </w:r>
          </w:p>
        </w:tc>
        <w:tc>
          <w:tcPr>
            <w:tcW w:w="1418" w:type="dxa"/>
            <w:noWrap/>
            <w:hideMark/>
          </w:tcPr>
          <w:p w14:paraId="4C95B9B2" w14:textId="77777777" w:rsidR="009E760D" w:rsidRPr="009E760D" w:rsidRDefault="009E760D" w:rsidP="009E760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9E760D">
              <w:rPr>
                <w:rFonts w:ascii="Calibri" w:eastAsia="Times New Roman" w:hAnsi="Calibri" w:cs="Calibri"/>
                <w:b/>
                <w:bCs/>
                <w:color w:val="FFFFFF" w:themeColor="background1"/>
                <w:sz w:val="22"/>
                <w:szCs w:val="22"/>
                <w:lang w:eastAsia="en-AU"/>
              </w:rPr>
              <w:t>ACTHD (n=36)</w:t>
            </w:r>
          </w:p>
        </w:tc>
        <w:tc>
          <w:tcPr>
            <w:tcW w:w="1134" w:type="dxa"/>
            <w:noWrap/>
            <w:hideMark/>
          </w:tcPr>
          <w:p w14:paraId="2701B2F7" w14:textId="77777777" w:rsidR="009E760D" w:rsidRPr="009E760D" w:rsidRDefault="009E760D" w:rsidP="009E760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9E760D">
              <w:rPr>
                <w:rFonts w:ascii="Calibri" w:eastAsia="Times New Roman" w:hAnsi="Calibri" w:cs="Calibri"/>
                <w:b/>
                <w:bCs/>
                <w:color w:val="FFFFFF" w:themeColor="background1"/>
                <w:sz w:val="22"/>
                <w:szCs w:val="22"/>
                <w:lang w:eastAsia="en-AU"/>
              </w:rPr>
              <w:t>Other (n=4)</w:t>
            </w:r>
          </w:p>
        </w:tc>
        <w:tc>
          <w:tcPr>
            <w:tcW w:w="1134" w:type="dxa"/>
            <w:noWrap/>
            <w:hideMark/>
          </w:tcPr>
          <w:p w14:paraId="073B6448" w14:textId="77777777" w:rsidR="009E760D" w:rsidRPr="009E760D" w:rsidRDefault="009E760D" w:rsidP="009E760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9E760D">
              <w:rPr>
                <w:rFonts w:ascii="Calibri" w:eastAsia="Times New Roman" w:hAnsi="Calibri" w:cs="Calibri"/>
                <w:b/>
                <w:bCs/>
                <w:color w:val="FFFFFF" w:themeColor="background1"/>
                <w:sz w:val="22"/>
                <w:szCs w:val="22"/>
                <w:lang w:eastAsia="en-AU"/>
              </w:rPr>
              <w:t>All (n=88)</w:t>
            </w:r>
          </w:p>
        </w:tc>
      </w:tr>
      <w:tr w:rsidR="009E760D" w:rsidRPr="009E760D" w14:paraId="63F91AC5"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309F602"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 xml:space="preserve">Cross-subsidised ACT programs </w:t>
            </w:r>
          </w:p>
        </w:tc>
        <w:tc>
          <w:tcPr>
            <w:tcW w:w="1134" w:type="dxa"/>
            <w:noWrap/>
            <w:hideMark/>
          </w:tcPr>
          <w:p w14:paraId="002F61F4"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54%</w:t>
            </w:r>
          </w:p>
        </w:tc>
        <w:tc>
          <w:tcPr>
            <w:tcW w:w="1418" w:type="dxa"/>
            <w:noWrap/>
            <w:hideMark/>
          </w:tcPr>
          <w:p w14:paraId="34CD7C19"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56%</w:t>
            </w:r>
          </w:p>
        </w:tc>
        <w:tc>
          <w:tcPr>
            <w:tcW w:w="1134" w:type="dxa"/>
            <w:noWrap/>
            <w:hideMark/>
          </w:tcPr>
          <w:p w14:paraId="4A1E963C"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75%</w:t>
            </w:r>
          </w:p>
        </w:tc>
        <w:tc>
          <w:tcPr>
            <w:tcW w:w="1134" w:type="dxa"/>
            <w:noWrap/>
            <w:hideMark/>
          </w:tcPr>
          <w:p w14:paraId="12766B25"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56%</w:t>
            </w:r>
          </w:p>
        </w:tc>
      </w:tr>
      <w:tr w:rsidR="009E760D" w:rsidRPr="009E760D" w14:paraId="75255DB4"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684D779"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Introduced new efficiencies or work practices to free up resources</w:t>
            </w:r>
          </w:p>
        </w:tc>
        <w:tc>
          <w:tcPr>
            <w:tcW w:w="1134" w:type="dxa"/>
            <w:noWrap/>
            <w:hideMark/>
          </w:tcPr>
          <w:p w14:paraId="114B29FB"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48%</w:t>
            </w:r>
          </w:p>
        </w:tc>
        <w:tc>
          <w:tcPr>
            <w:tcW w:w="1418" w:type="dxa"/>
            <w:noWrap/>
            <w:hideMark/>
          </w:tcPr>
          <w:p w14:paraId="0B9640AD"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69%</w:t>
            </w:r>
          </w:p>
        </w:tc>
        <w:tc>
          <w:tcPr>
            <w:tcW w:w="1134" w:type="dxa"/>
            <w:noWrap/>
            <w:hideMark/>
          </w:tcPr>
          <w:p w14:paraId="1E3BF30F"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25%</w:t>
            </w:r>
          </w:p>
        </w:tc>
        <w:tc>
          <w:tcPr>
            <w:tcW w:w="1134" w:type="dxa"/>
            <w:noWrap/>
            <w:hideMark/>
          </w:tcPr>
          <w:p w14:paraId="7CE8417D"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56%</w:t>
            </w:r>
          </w:p>
        </w:tc>
      </w:tr>
      <w:tr w:rsidR="009E760D" w:rsidRPr="009E760D" w14:paraId="1A936FDC"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588C7FD"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Drawn on financial reserves</w:t>
            </w:r>
          </w:p>
        </w:tc>
        <w:tc>
          <w:tcPr>
            <w:tcW w:w="1134" w:type="dxa"/>
            <w:noWrap/>
            <w:hideMark/>
          </w:tcPr>
          <w:p w14:paraId="5B6D09A7"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54%</w:t>
            </w:r>
          </w:p>
        </w:tc>
        <w:tc>
          <w:tcPr>
            <w:tcW w:w="1418" w:type="dxa"/>
            <w:noWrap/>
            <w:hideMark/>
          </w:tcPr>
          <w:p w14:paraId="01183638"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47%</w:t>
            </w:r>
          </w:p>
        </w:tc>
        <w:tc>
          <w:tcPr>
            <w:tcW w:w="1134" w:type="dxa"/>
            <w:noWrap/>
            <w:hideMark/>
          </w:tcPr>
          <w:p w14:paraId="18E4C110"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100%</w:t>
            </w:r>
          </w:p>
        </w:tc>
        <w:tc>
          <w:tcPr>
            <w:tcW w:w="1134" w:type="dxa"/>
            <w:noWrap/>
            <w:hideMark/>
          </w:tcPr>
          <w:p w14:paraId="1ACF3791"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53%</w:t>
            </w:r>
          </w:p>
        </w:tc>
      </w:tr>
      <w:tr w:rsidR="009E760D" w:rsidRPr="009E760D" w14:paraId="0F88F5F0"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5371344"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 xml:space="preserve">Restructured operations </w:t>
            </w:r>
            <w:proofErr w:type="gramStart"/>
            <w:r w:rsidRPr="009E760D">
              <w:rPr>
                <w:rFonts w:ascii="Calibri" w:eastAsia="Times New Roman" w:hAnsi="Calibri" w:cs="Calibri"/>
                <w:sz w:val="22"/>
                <w:szCs w:val="22"/>
                <w:lang w:eastAsia="en-AU"/>
              </w:rPr>
              <w:t>in an attempt to</w:t>
            </w:r>
            <w:proofErr w:type="gramEnd"/>
            <w:r w:rsidRPr="009E760D">
              <w:rPr>
                <w:rFonts w:ascii="Calibri" w:eastAsia="Times New Roman" w:hAnsi="Calibri" w:cs="Calibri"/>
                <w:sz w:val="22"/>
                <w:szCs w:val="22"/>
                <w:lang w:eastAsia="en-AU"/>
              </w:rPr>
              <w:t xml:space="preserve"> reduce overheads</w:t>
            </w:r>
          </w:p>
        </w:tc>
        <w:tc>
          <w:tcPr>
            <w:tcW w:w="1134" w:type="dxa"/>
            <w:noWrap/>
            <w:hideMark/>
          </w:tcPr>
          <w:p w14:paraId="4CEAECB5"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46%</w:t>
            </w:r>
          </w:p>
        </w:tc>
        <w:tc>
          <w:tcPr>
            <w:tcW w:w="1418" w:type="dxa"/>
            <w:noWrap/>
            <w:hideMark/>
          </w:tcPr>
          <w:p w14:paraId="6B87CB82"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47%</w:t>
            </w:r>
          </w:p>
        </w:tc>
        <w:tc>
          <w:tcPr>
            <w:tcW w:w="1134" w:type="dxa"/>
            <w:noWrap/>
            <w:hideMark/>
          </w:tcPr>
          <w:p w14:paraId="53972406"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50%</w:t>
            </w:r>
          </w:p>
        </w:tc>
        <w:tc>
          <w:tcPr>
            <w:tcW w:w="1134" w:type="dxa"/>
            <w:noWrap/>
            <w:hideMark/>
          </w:tcPr>
          <w:p w14:paraId="684DE64D"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47%</w:t>
            </w:r>
          </w:p>
        </w:tc>
      </w:tr>
      <w:tr w:rsidR="009E760D" w:rsidRPr="009E760D" w14:paraId="4730EE21"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44FA320"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Incurred a loss on programs delivered for government</w:t>
            </w:r>
          </w:p>
        </w:tc>
        <w:tc>
          <w:tcPr>
            <w:tcW w:w="1134" w:type="dxa"/>
            <w:noWrap/>
            <w:hideMark/>
          </w:tcPr>
          <w:p w14:paraId="4E31B92C"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48%</w:t>
            </w:r>
          </w:p>
        </w:tc>
        <w:tc>
          <w:tcPr>
            <w:tcW w:w="1418" w:type="dxa"/>
            <w:noWrap/>
            <w:hideMark/>
          </w:tcPr>
          <w:p w14:paraId="6499AFD0"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44%</w:t>
            </w:r>
          </w:p>
        </w:tc>
        <w:tc>
          <w:tcPr>
            <w:tcW w:w="1134" w:type="dxa"/>
            <w:noWrap/>
            <w:hideMark/>
          </w:tcPr>
          <w:p w14:paraId="76FAAECD"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50%</w:t>
            </w:r>
          </w:p>
        </w:tc>
        <w:tc>
          <w:tcPr>
            <w:tcW w:w="1134" w:type="dxa"/>
            <w:noWrap/>
            <w:hideMark/>
          </w:tcPr>
          <w:p w14:paraId="0A10F26D"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47%</w:t>
            </w:r>
          </w:p>
        </w:tc>
      </w:tr>
      <w:tr w:rsidR="009E760D" w:rsidRPr="009E760D" w14:paraId="169FAAE9"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B2C3A1C"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Disallowed paid overtime</w:t>
            </w:r>
          </w:p>
        </w:tc>
        <w:tc>
          <w:tcPr>
            <w:tcW w:w="1134" w:type="dxa"/>
            <w:noWrap/>
            <w:hideMark/>
          </w:tcPr>
          <w:p w14:paraId="2ABE2102"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23%</w:t>
            </w:r>
          </w:p>
        </w:tc>
        <w:tc>
          <w:tcPr>
            <w:tcW w:w="1418" w:type="dxa"/>
            <w:noWrap/>
            <w:hideMark/>
          </w:tcPr>
          <w:p w14:paraId="5B052596"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36%</w:t>
            </w:r>
          </w:p>
        </w:tc>
        <w:tc>
          <w:tcPr>
            <w:tcW w:w="1134" w:type="dxa"/>
            <w:noWrap/>
            <w:hideMark/>
          </w:tcPr>
          <w:p w14:paraId="6F7FDFDA"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25%</w:t>
            </w:r>
          </w:p>
        </w:tc>
        <w:tc>
          <w:tcPr>
            <w:tcW w:w="1134" w:type="dxa"/>
            <w:noWrap/>
            <w:hideMark/>
          </w:tcPr>
          <w:p w14:paraId="17BBB1C6"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28%</w:t>
            </w:r>
          </w:p>
        </w:tc>
      </w:tr>
      <w:tr w:rsidR="009E760D" w:rsidRPr="009E760D" w14:paraId="71E85B4F"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66C660B"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Established a commercial source of revenue</w:t>
            </w:r>
          </w:p>
        </w:tc>
        <w:tc>
          <w:tcPr>
            <w:tcW w:w="1134" w:type="dxa"/>
            <w:noWrap/>
            <w:hideMark/>
          </w:tcPr>
          <w:p w14:paraId="07936CB8"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15%</w:t>
            </w:r>
          </w:p>
        </w:tc>
        <w:tc>
          <w:tcPr>
            <w:tcW w:w="1418" w:type="dxa"/>
            <w:noWrap/>
            <w:hideMark/>
          </w:tcPr>
          <w:p w14:paraId="3DBE9594"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31%</w:t>
            </w:r>
          </w:p>
        </w:tc>
        <w:tc>
          <w:tcPr>
            <w:tcW w:w="1134" w:type="dxa"/>
            <w:noWrap/>
            <w:hideMark/>
          </w:tcPr>
          <w:p w14:paraId="537D1439"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25%</w:t>
            </w:r>
          </w:p>
        </w:tc>
        <w:tc>
          <w:tcPr>
            <w:tcW w:w="1134" w:type="dxa"/>
            <w:noWrap/>
            <w:hideMark/>
          </w:tcPr>
          <w:p w14:paraId="007DB729"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22%</w:t>
            </w:r>
          </w:p>
        </w:tc>
      </w:tr>
      <w:tr w:rsidR="009E760D" w:rsidRPr="009E760D" w14:paraId="0DB34439"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A03E779"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Outsourced some functions to contain costs</w:t>
            </w:r>
          </w:p>
        </w:tc>
        <w:tc>
          <w:tcPr>
            <w:tcW w:w="1134" w:type="dxa"/>
            <w:noWrap/>
            <w:hideMark/>
          </w:tcPr>
          <w:p w14:paraId="02D4096B"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10%</w:t>
            </w:r>
          </w:p>
        </w:tc>
        <w:tc>
          <w:tcPr>
            <w:tcW w:w="1418" w:type="dxa"/>
            <w:noWrap/>
            <w:hideMark/>
          </w:tcPr>
          <w:p w14:paraId="1B79F61C"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19%</w:t>
            </w:r>
          </w:p>
        </w:tc>
        <w:tc>
          <w:tcPr>
            <w:tcW w:w="1134" w:type="dxa"/>
            <w:noWrap/>
            <w:hideMark/>
          </w:tcPr>
          <w:p w14:paraId="30E35868"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25%</w:t>
            </w:r>
          </w:p>
        </w:tc>
        <w:tc>
          <w:tcPr>
            <w:tcW w:w="1134" w:type="dxa"/>
            <w:noWrap/>
            <w:hideMark/>
          </w:tcPr>
          <w:p w14:paraId="1CC35C29"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15%</w:t>
            </w:r>
          </w:p>
        </w:tc>
      </w:tr>
      <w:tr w:rsidR="009E760D" w:rsidRPr="009E760D" w14:paraId="49A318DE"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14D0272"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Considered or completed a merger, or been involved in an acquisition</w:t>
            </w:r>
          </w:p>
        </w:tc>
        <w:tc>
          <w:tcPr>
            <w:tcW w:w="1134" w:type="dxa"/>
            <w:noWrap/>
            <w:hideMark/>
          </w:tcPr>
          <w:p w14:paraId="72638AAE"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10%</w:t>
            </w:r>
          </w:p>
        </w:tc>
        <w:tc>
          <w:tcPr>
            <w:tcW w:w="1418" w:type="dxa"/>
            <w:noWrap/>
            <w:hideMark/>
          </w:tcPr>
          <w:p w14:paraId="6FCC290C"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14%</w:t>
            </w:r>
          </w:p>
        </w:tc>
        <w:tc>
          <w:tcPr>
            <w:tcW w:w="1134" w:type="dxa"/>
            <w:noWrap/>
            <w:hideMark/>
          </w:tcPr>
          <w:p w14:paraId="064FAAAC"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50%</w:t>
            </w:r>
          </w:p>
        </w:tc>
        <w:tc>
          <w:tcPr>
            <w:tcW w:w="1134" w:type="dxa"/>
            <w:noWrap/>
            <w:hideMark/>
          </w:tcPr>
          <w:p w14:paraId="39533EF5"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14%</w:t>
            </w:r>
          </w:p>
        </w:tc>
      </w:tr>
      <w:tr w:rsidR="009E760D" w:rsidRPr="009E760D" w14:paraId="47015145" w14:textId="77777777" w:rsidTr="00EB1E0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0FDCAA7"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 xml:space="preserve">Requested or drawn on funds from a diocese, religious organization or other </w:t>
            </w:r>
            <w:proofErr w:type="spellStart"/>
            <w:r w:rsidRPr="009E760D">
              <w:rPr>
                <w:rFonts w:ascii="Calibri" w:eastAsia="Times New Roman" w:hAnsi="Calibri" w:cs="Calibri"/>
                <w:sz w:val="22"/>
                <w:szCs w:val="22"/>
                <w:lang w:eastAsia="en-AU"/>
              </w:rPr>
              <w:t>auspicing</w:t>
            </w:r>
            <w:proofErr w:type="spellEnd"/>
            <w:r w:rsidRPr="009E760D">
              <w:rPr>
                <w:rFonts w:ascii="Calibri" w:eastAsia="Times New Roman" w:hAnsi="Calibri" w:cs="Calibri"/>
                <w:sz w:val="22"/>
                <w:szCs w:val="22"/>
                <w:lang w:eastAsia="en-AU"/>
              </w:rPr>
              <w:t xml:space="preserve"> body</w:t>
            </w:r>
          </w:p>
        </w:tc>
        <w:tc>
          <w:tcPr>
            <w:tcW w:w="1134" w:type="dxa"/>
            <w:noWrap/>
            <w:hideMark/>
          </w:tcPr>
          <w:p w14:paraId="73541F83"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4%</w:t>
            </w:r>
          </w:p>
        </w:tc>
        <w:tc>
          <w:tcPr>
            <w:tcW w:w="1418" w:type="dxa"/>
            <w:noWrap/>
            <w:hideMark/>
          </w:tcPr>
          <w:p w14:paraId="7D49E34A"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6%</w:t>
            </w:r>
          </w:p>
        </w:tc>
        <w:tc>
          <w:tcPr>
            <w:tcW w:w="1134" w:type="dxa"/>
            <w:noWrap/>
            <w:hideMark/>
          </w:tcPr>
          <w:p w14:paraId="16A19415"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0%</w:t>
            </w:r>
          </w:p>
        </w:tc>
        <w:tc>
          <w:tcPr>
            <w:tcW w:w="1134" w:type="dxa"/>
            <w:noWrap/>
            <w:hideMark/>
          </w:tcPr>
          <w:p w14:paraId="4FBAA964" w14:textId="77777777" w:rsidR="009E760D" w:rsidRPr="009E760D" w:rsidRDefault="009E760D" w:rsidP="009E760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5%</w:t>
            </w:r>
          </w:p>
        </w:tc>
      </w:tr>
      <w:tr w:rsidR="009E760D" w:rsidRPr="009E760D" w14:paraId="71452D02" w14:textId="77777777" w:rsidTr="00EB1E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897AC25" w14:textId="77777777" w:rsidR="009E760D" w:rsidRPr="009E760D" w:rsidRDefault="009E760D" w:rsidP="009E760D">
            <w:pPr>
              <w:autoSpaceDE/>
              <w:autoSpaceDN/>
              <w:adjustRightInd/>
              <w:spacing w:after="0"/>
              <w:ind w:right="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Sold assets</w:t>
            </w:r>
          </w:p>
        </w:tc>
        <w:tc>
          <w:tcPr>
            <w:tcW w:w="1134" w:type="dxa"/>
            <w:noWrap/>
            <w:hideMark/>
          </w:tcPr>
          <w:p w14:paraId="0DB3C662"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2%</w:t>
            </w:r>
          </w:p>
        </w:tc>
        <w:tc>
          <w:tcPr>
            <w:tcW w:w="1418" w:type="dxa"/>
            <w:noWrap/>
            <w:hideMark/>
          </w:tcPr>
          <w:p w14:paraId="44CE6742"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6%</w:t>
            </w:r>
          </w:p>
        </w:tc>
        <w:tc>
          <w:tcPr>
            <w:tcW w:w="1134" w:type="dxa"/>
            <w:noWrap/>
            <w:hideMark/>
          </w:tcPr>
          <w:p w14:paraId="3D5C17A8"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0%</w:t>
            </w:r>
          </w:p>
        </w:tc>
        <w:tc>
          <w:tcPr>
            <w:tcW w:w="1134" w:type="dxa"/>
            <w:noWrap/>
            <w:hideMark/>
          </w:tcPr>
          <w:p w14:paraId="11046937" w14:textId="77777777" w:rsidR="009E760D" w:rsidRPr="009E760D" w:rsidRDefault="009E760D" w:rsidP="009E760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9E760D">
              <w:rPr>
                <w:rFonts w:ascii="Calibri" w:eastAsia="Times New Roman" w:hAnsi="Calibri" w:cs="Calibri"/>
                <w:sz w:val="22"/>
                <w:szCs w:val="22"/>
                <w:lang w:eastAsia="en-AU"/>
              </w:rPr>
              <w:t>3%</w:t>
            </w:r>
          </w:p>
        </w:tc>
      </w:tr>
    </w:tbl>
    <w:p w14:paraId="5758E98F" w14:textId="5BCE6357" w:rsidR="009E760D" w:rsidRDefault="005C0516" w:rsidP="005E61EC">
      <w:pPr>
        <w:pStyle w:val="BodyText"/>
        <w:rPr>
          <w:sz w:val="18"/>
          <w:szCs w:val="18"/>
        </w:rPr>
      </w:pPr>
      <w:r w:rsidRPr="00554250">
        <w:rPr>
          <w:sz w:val="18"/>
          <w:szCs w:val="18"/>
        </w:rPr>
        <w:t>Source: ACT Service Costing Survey, 2021</w:t>
      </w:r>
    </w:p>
    <w:p w14:paraId="17C5F712" w14:textId="77777777" w:rsidR="00B557DC" w:rsidRDefault="00B557DC" w:rsidP="005E61EC">
      <w:pPr>
        <w:pStyle w:val="BodyText"/>
      </w:pPr>
    </w:p>
    <w:p w14:paraId="4CCFF92F" w14:textId="16DE8230" w:rsidR="00191489" w:rsidRPr="00191489" w:rsidRDefault="00EA6EED" w:rsidP="00BC203C">
      <w:pPr>
        <w:pStyle w:val="Caption"/>
      </w:pPr>
      <w:bookmarkStart w:id="210" w:name="_Ref88832976"/>
      <w:bookmarkStart w:id="211" w:name="_Toc90020083"/>
      <w:r>
        <w:lastRenderedPageBreak/>
        <w:t xml:space="preserve">Table </w:t>
      </w:r>
      <w:r w:rsidR="00663838">
        <w:t>C</w:t>
      </w:r>
      <w:r>
        <w:t xml:space="preserve">. </w:t>
      </w:r>
      <w:fldSimple w:instr=" SEQ Table_D. \* ARABIC ">
        <w:r w:rsidR="00E405AF">
          <w:rPr>
            <w:noProof/>
          </w:rPr>
          <w:t>11</w:t>
        </w:r>
      </w:fldSimple>
      <w:bookmarkEnd w:id="210"/>
      <w:r>
        <w:tab/>
      </w:r>
      <w:r w:rsidR="00191489">
        <w:t xml:space="preserve">Proportion of organisations taking </w:t>
      </w:r>
      <w:proofErr w:type="gramStart"/>
      <w:r w:rsidR="00191489">
        <w:t>particular actions</w:t>
      </w:r>
      <w:proofErr w:type="gramEnd"/>
      <w:r w:rsidR="00191489">
        <w:t xml:space="preserve"> when applying for ACT Government funds</w:t>
      </w:r>
      <w:bookmarkEnd w:id="211"/>
      <w:r w:rsidR="00191489">
        <w:t xml:space="preserve"> </w:t>
      </w:r>
    </w:p>
    <w:tbl>
      <w:tblPr>
        <w:tblStyle w:val="Style3"/>
        <w:tblW w:w="9493" w:type="dxa"/>
        <w:tblLook w:val="04A0" w:firstRow="1" w:lastRow="0" w:firstColumn="1" w:lastColumn="0" w:noHBand="0" w:noVBand="1"/>
      </w:tblPr>
      <w:tblGrid>
        <w:gridCol w:w="2547"/>
        <w:gridCol w:w="1417"/>
        <w:gridCol w:w="1134"/>
        <w:gridCol w:w="1701"/>
        <w:gridCol w:w="1418"/>
        <w:gridCol w:w="1276"/>
      </w:tblGrid>
      <w:tr w:rsidR="00DB186D" w:rsidRPr="00DB186D" w14:paraId="76D160B9" w14:textId="77777777" w:rsidTr="00EB1E0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D3736C8" w14:textId="77777777" w:rsidR="00DB186D" w:rsidRPr="00DB186D" w:rsidRDefault="00DB186D" w:rsidP="00DB186D">
            <w:pPr>
              <w:autoSpaceDE/>
              <w:autoSpaceDN/>
              <w:adjustRightInd/>
              <w:spacing w:after="0"/>
              <w:ind w:right="0"/>
              <w:jc w:val="center"/>
              <w:rPr>
                <w:rFonts w:ascii="Calibri" w:eastAsia="Times New Roman" w:hAnsi="Calibri" w:cs="Calibri"/>
                <w:b/>
                <w:bCs/>
                <w:color w:val="FFFFFF" w:themeColor="background1"/>
                <w:sz w:val="22"/>
                <w:szCs w:val="22"/>
                <w:lang w:eastAsia="en-AU"/>
              </w:rPr>
            </w:pPr>
          </w:p>
        </w:tc>
        <w:tc>
          <w:tcPr>
            <w:tcW w:w="1417" w:type="dxa"/>
            <w:hideMark/>
          </w:tcPr>
          <w:p w14:paraId="2A3D8600" w14:textId="55CA9427" w:rsidR="00DB186D" w:rsidRPr="00DB186D" w:rsidRDefault="00191489" w:rsidP="00DB186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 xml:space="preserve">Receives funds from </w:t>
            </w:r>
            <w:r w:rsidR="00DB186D" w:rsidRPr="00DB186D">
              <w:rPr>
                <w:rFonts w:ascii="Calibri" w:eastAsia="Times New Roman" w:hAnsi="Calibri" w:cs="Calibri"/>
                <w:b/>
                <w:bCs/>
                <w:color w:val="FFFFFF" w:themeColor="background1"/>
                <w:sz w:val="22"/>
                <w:szCs w:val="22"/>
                <w:lang w:eastAsia="en-AU"/>
              </w:rPr>
              <w:t>CSD only (n=39)</w:t>
            </w:r>
          </w:p>
        </w:tc>
        <w:tc>
          <w:tcPr>
            <w:tcW w:w="1134" w:type="dxa"/>
            <w:hideMark/>
          </w:tcPr>
          <w:p w14:paraId="154A84B2" w14:textId="22A1F891" w:rsidR="00DB186D" w:rsidRPr="00DB186D" w:rsidRDefault="00191489" w:rsidP="00DB186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 xml:space="preserve">Receives funds from ACTHD </w:t>
            </w:r>
            <w:r w:rsidR="00DB186D" w:rsidRPr="00DB186D">
              <w:rPr>
                <w:rFonts w:ascii="Calibri" w:eastAsia="Times New Roman" w:hAnsi="Calibri" w:cs="Calibri"/>
                <w:b/>
                <w:bCs/>
                <w:color w:val="FFFFFF" w:themeColor="background1"/>
                <w:sz w:val="22"/>
                <w:szCs w:val="22"/>
                <w:lang w:eastAsia="en-AU"/>
              </w:rPr>
              <w:t>only (n=20)</w:t>
            </w:r>
          </w:p>
        </w:tc>
        <w:tc>
          <w:tcPr>
            <w:tcW w:w="1701" w:type="dxa"/>
            <w:hideMark/>
          </w:tcPr>
          <w:p w14:paraId="66D15A35" w14:textId="0BAC8387" w:rsidR="00DB186D" w:rsidRPr="00DB186D" w:rsidRDefault="00191489" w:rsidP="00DB186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Receives funds from</w:t>
            </w:r>
            <w:r w:rsidR="00DB186D" w:rsidRPr="00DB186D">
              <w:rPr>
                <w:rFonts w:ascii="Calibri" w:eastAsia="Times New Roman" w:hAnsi="Calibri" w:cs="Calibri"/>
                <w:b/>
                <w:bCs/>
                <w:color w:val="FFFFFF" w:themeColor="background1"/>
                <w:sz w:val="22"/>
                <w:szCs w:val="22"/>
                <w:lang w:eastAsia="en-AU"/>
              </w:rPr>
              <w:t xml:space="preserve"> CSD and </w:t>
            </w:r>
            <w:r>
              <w:rPr>
                <w:rFonts w:ascii="Calibri" w:eastAsia="Times New Roman" w:hAnsi="Calibri" w:cs="Calibri"/>
                <w:b/>
                <w:bCs/>
                <w:color w:val="FFFFFF" w:themeColor="background1"/>
                <w:sz w:val="22"/>
                <w:szCs w:val="22"/>
                <w:lang w:eastAsia="en-AU"/>
              </w:rPr>
              <w:t xml:space="preserve">ACTHD </w:t>
            </w:r>
            <w:r w:rsidR="00DB186D" w:rsidRPr="00DB186D">
              <w:rPr>
                <w:rFonts w:ascii="Calibri" w:eastAsia="Times New Roman" w:hAnsi="Calibri" w:cs="Calibri"/>
                <w:b/>
                <w:bCs/>
                <w:color w:val="FFFFFF" w:themeColor="background1"/>
                <w:sz w:val="22"/>
                <w:szCs w:val="22"/>
                <w:lang w:eastAsia="en-AU"/>
              </w:rPr>
              <w:t>(n=27)</w:t>
            </w:r>
          </w:p>
        </w:tc>
        <w:tc>
          <w:tcPr>
            <w:tcW w:w="1418" w:type="dxa"/>
            <w:hideMark/>
          </w:tcPr>
          <w:p w14:paraId="087E9047" w14:textId="1B63D6EC" w:rsidR="00DB186D" w:rsidRPr="00DB186D" w:rsidRDefault="00191489" w:rsidP="00DB186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 xml:space="preserve">Receives funds from </w:t>
            </w:r>
            <w:proofErr w:type="gramStart"/>
            <w:r>
              <w:rPr>
                <w:rFonts w:ascii="Calibri" w:eastAsia="Times New Roman" w:hAnsi="Calibri" w:cs="Calibri"/>
                <w:b/>
                <w:bCs/>
                <w:color w:val="FFFFFF" w:themeColor="background1"/>
                <w:sz w:val="22"/>
                <w:szCs w:val="22"/>
                <w:lang w:eastAsia="en-AU"/>
              </w:rPr>
              <w:t>other</w:t>
            </w:r>
            <w:proofErr w:type="gramEnd"/>
            <w:r>
              <w:rPr>
                <w:rFonts w:ascii="Calibri" w:eastAsia="Times New Roman" w:hAnsi="Calibri" w:cs="Calibri"/>
                <w:b/>
                <w:bCs/>
                <w:color w:val="FFFFFF" w:themeColor="background1"/>
                <w:sz w:val="22"/>
                <w:szCs w:val="22"/>
                <w:lang w:eastAsia="en-AU"/>
              </w:rPr>
              <w:t xml:space="preserve"> ACT agency</w:t>
            </w:r>
            <w:r w:rsidR="008E7938">
              <w:rPr>
                <w:rFonts w:ascii="Calibri" w:eastAsia="Times New Roman" w:hAnsi="Calibri" w:cs="Calibri"/>
                <w:b/>
                <w:bCs/>
                <w:color w:val="FFFFFF" w:themeColor="background1"/>
                <w:sz w:val="22"/>
                <w:szCs w:val="22"/>
                <w:lang w:eastAsia="en-AU"/>
              </w:rPr>
              <w:t xml:space="preserve"> only</w:t>
            </w:r>
            <w:r>
              <w:rPr>
                <w:rFonts w:ascii="Calibri" w:eastAsia="Times New Roman" w:hAnsi="Calibri" w:cs="Calibri"/>
                <w:b/>
                <w:bCs/>
                <w:color w:val="FFFFFF" w:themeColor="background1"/>
                <w:sz w:val="22"/>
                <w:szCs w:val="22"/>
                <w:lang w:eastAsia="en-AU"/>
              </w:rPr>
              <w:t xml:space="preserve"> </w:t>
            </w:r>
            <w:r w:rsidR="00DB186D" w:rsidRPr="00DB186D">
              <w:rPr>
                <w:rFonts w:ascii="Calibri" w:eastAsia="Times New Roman" w:hAnsi="Calibri" w:cs="Calibri"/>
                <w:b/>
                <w:bCs/>
                <w:color w:val="FFFFFF" w:themeColor="background1"/>
                <w:sz w:val="22"/>
                <w:szCs w:val="22"/>
                <w:lang w:eastAsia="en-AU"/>
              </w:rPr>
              <w:t>(n=2)</w:t>
            </w:r>
          </w:p>
        </w:tc>
        <w:tc>
          <w:tcPr>
            <w:tcW w:w="1276" w:type="dxa"/>
            <w:hideMark/>
          </w:tcPr>
          <w:p w14:paraId="7A71B248" w14:textId="4F56CBC1" w:rsidR="00DB186D" w:rsidRPr="00DB186D" w:rsidRDefault="00DB186D" w:rsidP="00DB186D">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2"/>
                <w:szCs w:val="22"/>
                <w:lang w:eastAsia="en-AU"/>
              </w:rPr>
            </w:pPr>
            <w:r w:rsidRPr="00DB186D">
              <w:rPr>
                <w:rFonts w:ascii="Calibri" w:eastAsia="Times New Roman" w:hAnsi="Calibri" w:cs="Calibri"/>
                <w:b/>
                <w:bCs/>
                <w:color w:val="FFFFFF" w:themeColor="background1"/>
                <w:sz w:val="22"/>
                <w:szCs w:val="22"/>
                <w:lang w:eastAsia="en-AU"/>
              </w:rPr>
              <w:t>All</w:t>
            </w:r>
            <w:r w:rsidR="008E7938">
              <w:rPr>
                <w:rFonts w:ascii="Calibri" w:eastAsia="Times New Roman" w:hAnsi="Calibri" w:cs="Calibri"/>
                <w:b/>
                <w:bCs/>
                <w:color w:val="FFFFFF" w:themeColor="background1"/>
                <w:sz w:val="22"/>
                <w:szCs w:val="22"/>
                <w:lang w:eastAsia="en-AU"/>
              </w:rPr>
              <w:t xml:space="preserve"> (n=88)</w:t>
            </w:r>
          </w:p>
        </w:tc>
      </w:tr>
      <w:tr w:rsidR="00DB186D" w:rsidRPr="00DB186D" w14:paraId="1777262A" w14:textId="77777777" w:rsidTr="00EB1E0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14:paraId="5978A10D" w14:textId="633DAFFE" w:rsidR="00DB186D" w:rsidRPr="00DB186D" w:rsidRDefault="00DB186D" w:rsidP="00DB186D">
            <w:pPr>
              <w:autoSpaceDE/>
              <w:autoSpaceDN/>
              <w:adjustRightInd/>
              <w:spacing w:after="0"/>
              <w:ind w:right="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Decided not to apply for a grant or tender because the funding available wouldn't cover costs</w:t>
            </w:r>
          </w:p>
        </w:tc>
        <w:tc>
          <w:tcPr>
            <w:tcW w:w="1417" w:type="dxa"/>
            <w:noWrap/>
            <w:vAlign w:val="top"/>
            <w:hideMark/>
          </w:tcPr>
          <w:p w14:paraId="03C755B4" w14:textId="12802C9D"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56%</w:t>
            </w:r>
          </w:p>
        </w:tc>
        <w:tc>
          <w:tcPr>
            <w:tcW w:w="1134" w:type="dxa"/>
            <w:noWrap/>
            <w:vAlign w:val="top"/>
            <w:hideMark/>
          </w:tcPr>
          <w:p w14:paraId="112F9609" w14:textId="55F24F82"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45%</w:t>
            </w:r>
          </w:p>
        </w:tc>
        <w:tc>
          <w:tcPr>
            <w:tcW w:w="1701" w:type="dxa"/>
            <w:noWrap/>
            <w:vAlign w:val="top"/>
            <w:hideMark/>
          </w:tcPr>
          <w:p w14:paraId="699BA139" w14:textId="12B76915"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81%</w:t>
            </w:r>
          </w:p>
        </w:tc>
        <w:tc>
          <w:tcPr>
            <w:tcW w:w="1418" w:type="dxa"/>
            <w:noWrap/>
            <w:vAlign w:val="top"/>
            <w:hideMark/>
          </w:tcPr>
          <w:p w14:paraId="1284EC44" w14:textId="3F6ED6DD"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50%</w:t>
            </w:r>
          </w:p>
        </w:tc>
        <w:tc>
          <w:tcPr>
            <w:tcW w:w="1276" w:type="dxa"/>
            <w:noWrap/>
            <w:vAlign w:val="top"/>
            <w:hideMark/>
          </w:tcPr>
          <w:p w14:paraId="1068970A" w14:textId="192E6016"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61%</w:t>
            </w:r>
          </w:p>
        </w:tc>
      </w:tr>
      <w:tr w:rsidR="00DB186D" w:rsidRPr="00DB186D" w14:paraId="14CC174B" w14:textId="77777777" w:rsidTr="00EB1E01">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14:paraId="50FFD054" w14:textId="71DB32B8" w:rsidR="00DB186D" w:rsidRPr="00DB186D" w:rsidRDefault="00DB186D" w:rsidP="00DB186D">
            <w:pPr>
              <w:autoSpaceDE/>
              <w:autoSpaceDN/>
              <w:adjustRightInd/>
              <w:spacing w:after="0"/>
              <w:ind w:right="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Applied even though it required our organisation to cross-subsidise the activity</w:t>
            </w:r>
          </w:p>
        </w:tc>
        <w:tc>
          <w:tcPr>
            <w:tcW w:w="1417" w:type="dxa"/>
            <w:noWrap/>
            <w:vAlign w:val="top"/>
            <w:hideMark/>
          </w:tcPr>
          <w:p w14:paraId="00E813C4" w14:textId="05CD653F"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44%</w:t>
            </w:r>
          </w:p>
        </w:tc>
        <w:tc>
          <w:tcPr>
            <w:tcW w:w="1134" w:type="dxa"/>
            <w:noWrap/>
            <w:vAlign w:val="top"/>
            <w:hideMark/>
          </w:tcPr>
          <w:p w14:paraId="624AF33C" w14:textId="46D4DF27"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50%</w:t>
            </w:r>
          </w:p>
        </w:tc>
        <w:tc>
          <w:tcPr>
            <w:tcW w:w="1701" w:type="dxa"/>
            <w:noWrap/>
            <w:vAlign w:val="top"/>
            <w:hideMark/>
          </w:tcPr>
          <w:p w14:paraId="70622501" w14:textId="60ABF108"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81%</w:t>
            </w:r>
          </w:p>
        </w:tc>
        <w:tc>
          <w:tcPr>
            <w:tcW w:w="1418" w:type="dxa"/>
            <w:noWrap/>
            <w:vAlign w:val="top"/>
            <w:hideMark/>
          </w:tcPr>
          <w:p w14:paraId="0032855D" w14:textId="300F56FC"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0%</w:t>
            </w:r>
          </w:p>
        </w:tc>
        <w:tc>
          <w:tcPr>
            <w:tcW w:w="1276" w:type="dxa"/>
            <w:noWrap/>
            <w:vAlign w:val="top"/>
            <w:hideMark/>
          </w:tcPr>
          <w:p w14:paraId="2D32E6C6" w14:textId="37AE7E23"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56%</w:t>
            </w:r>
          </w:p>
        </w:tc>
      </w:tr>
      <w:tr w:rsidR="00DB186D" w:rsidRPr="00DB186D" w14:paraId="0FB8749C" w14:textId="77777777" w:rsidTr="00EB1E0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14:paraId="74A6668B" w14:textId="2E8DB0C6" w:rsidR="00DB186D" w:rsidRPr="00DB186D" w:rsidRDefault="00DB186D" w:rsidP="00DB186D">
            <w:pPr>
              <w:autoSpaceDE/>
              <w:autoSpaceDN/>
              <w:adjustRightInd/>
              <w:spacing w:after="0"/>
              <w:ind w:right="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Applied even though we thought the funding was too low</w:t>
            </w:r>
          </w:p>
        </w:tc>
        <w:tc>
          <w:tcPr>
            <w:tcW w:w="1417" w:type="dxa"/>
            <w:noWrap/>
            <w:vAlign w:val="top"/>
            <w:hideMark/>
          </w:tcPr>
          <w:p w14:paraId="2EB8DB95" w14:textId="414A9B15"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41%</w:t>
            </w:r>
          </w:p>
        </w:tc>
        <w:tc>
          <w:tcPr>
            <w:tcW w:w="1134" w:type="dxa"/>
            <w:noWrap/>
            <w:vAlign w:val="top"/>
            <w:hideMark/>
          </w:tcPr>
          <w:p w14:paraId="04CCAAFD" w14:textId="4ED08BFD"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30%</w:t>
            </w:r>
          </w:p>
        </w:tc>
        <w:tc>
          <w:tcPr>
            <w:tcW w:w="1701" w:type="dxa"/>
            <w:noWrap/>
            <w:vAlign w:val="top"/>
            <w:hideMark/>
          </w:tcPr>
          <w:p w14:paraId="3AC866CE" w14:textId="10E8E872"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67%</w:t>
            </w:r>
          </w:p>
        </w:tc>
        <w:tc>
          <w:tcPr>
            <w:tcW w:w="1418" w:type="dxa"/>
            <w:noWrap/>
            <w:vAlign w:val="top"/>
            <w:hideMark/>
          </w:tcPr>
          <w:p w14:paraId="351CBDD6" w14:textId="3377C542"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0%</w:t>
            </w:r>
          </w:p>
        </w:tc>
        <w:tc>
          <w:tcPr>
            <w:tcW w:w="1276" w:type="dxa"/>
            <w:noWrap/>
            <w:vAlign w:val="top"/>
            <w:hideMark/>
          </w:tcPr>
          <w:p w14:paraId="2AAB7BC8" w14:textId="22CF3B69"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45%</w:t>
            </w:r>
          </w:p>
        </w:tc>
      </w:tr>
      <w:tr w:rsidR="00DB186D" w:rsidRPr="00DB186D" w14:paraId="3C00CF0D" w14:textId="77777777" w:rsidTr="00EB1E01">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14:paraId="325E4D0E" w14:textId="080BAAD9" w:rsidR="00DB186D" w:rsidRPr="00DB186D" w:rsidRDefault="00DB186D" w:rsidP="00DB186D">
            <w:pPr>
              <w:autoSpaceDE/>
              <w:autoSpaceDN/>
              <w:adjustRightInd/>
              <w:spacing w:after="0"/>
              <w:ind w:right="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Participated in a consortia or joint bid, to help achieve cost efficiencies</w:t>
            </w:r>
          </w:p>
        </w:tc>
        <w:tc>
          <w:tcPr>
            <w:tcW w:w="1417" w:type="dxa"/>
            <w:noWrap/>
            <w:vAlign w:val="top"/>
            <w:hideMark/>
          </w:tcPr>
          <w:p w14:paraId="66BED764" w14:textId="7407D6CB"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28%</w:t>
            </w:r>
          </w:p>
        </w:tc>
        <w:tc>
          <w:tcPr>
            <w:tcW w:w="1134" w:type="dxa"/>
            <w:noWrap/>
            <w:vAlign w:val="top"/>
            <w:hideMark/>
          </w:tcPr>
          <w:p w14:paraId="425A1834" w14:textId="7837CA05"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20%</w:t>
            </w:r>
          </w:p>
        </w:tc>
        <w:tc>
          <w:tcPr>
            <w:tcW w:w="1701" w:type="dxa"/>
            <w:noWrap/>
            <w:vAlign w:val="top"/>
            <w:hideMark/>
          </w:tcPr>
          <w:p w14:paraId="155F6CEB" w14:textId="4222FB15"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52%</w:t>
            </w:r>
          </w:p>
        </w:tc>
        <w:tc>
          <w:tcPr>
            <w:tcW w:w="1418" w:type="dxa"/>
            <w:noWrap/>
            <w:vAlign w:val="top"/>
            <w:hideMark/>
          </w:tcPr>
          <w:p w14:paraId="08E227AD" w14:textId="55E79F41"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50%</w:t>
            </w:r>
          </w:p>
        </w:tc>
        <w:tc>
          <w:tcPr>
            <w:tcW w:w="1276" w:type="dxa"/>
            <w:noWrap/>
            <w:vAlign w:val="top"/>
            <w:hideMark/>
          </w:tcPr>
          <w:p w14:paraId="6718C314" w14:textId="64C49A3A" w:rsidR="00DB186D" w:rsidRPr="00DB186D" w:rsidRDefault="00DB186D" w:rsidP="00DB186D">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34%</w:t>
            </w:r>
          </w:p>
        </w:tc>
      </w:tr>
      <w:tr w:rsidR="00DB186D" w:rsidRPr="00DB186D" w14:paraId="7520EDDC" w14:textId="77777777" w:rsidTr="00EB1E0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14:paraId="0613F813" w14:textId="53143432" w:rsidR="00DB186D" w:rsidRPr="00DB186D" w:rsidRDefault="00DB186D" w:rsidP="00DB186D">
            <w:pPr>
              <w:autoSpaceDE/>
              <w:autoSpaceDN/>
              <w:adjustRightInd/>
              <w:spacing w:after="0"/>
              <w:ind w:right="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Decided to offer services at below-cost to ensure we would be competitive</w:t>
            </w:r>
          </w:p>
        </w:tc>
        <w:tc>
          <w:tcPr>
            <w:tcW w:w="1417" w:type="dxa"/>
            <w:noWrap/>
            <w:vAlign w:val="top"/>
            <w:hideMark/>
          </w:tcPr>
          <w:p w14:paraId="472095EB" w14:textId="6BC3F5DD"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21%</w:t>
            </w:r>
          </w:p>
        </w:tc>
        <w:tc>
          <w:tcPr>
            <w:tcW w:w="1134" w:type="dxa"/>
            <w:noWrap/>
            <w:vAlign w:val="top"/>
            <w:hideMark/>
          </w:tcPr>
          <w:p w14:paraId="482427DF" w14:textId="64FD0828"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10%</w:t>
            </w:r>
          </w:p>
        </w:tc>
        <w:tc>
          <w:tcPr>
            <w:tcW w:w="1701" w:type="dxa"/>
            <w:noWrap/>
            <w:vAlign w:val="top"/>
            <w:hideMark/>
          </w:tcPr>
          <w:p w14:paraId="2E1A6523" w14:textId="4FE15F4F"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44%</w:t>
            </w:r>
          </w:p>
        </w:tc>
        <w:tc>
          <w:tcPr>
            <w:tcW w:w="1418" w:type="dxa"/>
            <w:noWrap/>
            <w:vAlign w:val="top"/>
            <w:hideMark/>
          </w:tcPr>
          <w:p w14:paraId="45A6C25C" w14:textId="1CF63CC7"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0%</w:t>
            </w:r>
          </w:p>
        </w:tc>
        <w:tc>
          <w:tcPr>
            <w:tcW w:w="1276" w:type="dxa"/>
            <w:noWrap/>
            <w:vAlign w:val="top"/>
            <w:hideMark/>
          </w:tcPr>
          <w:p w14:paraId="297B2AAD" w14:textId="156BDF33" w:rsidR="00DB186D" w:rsidRPr="00DB186D" w:rsidRDefault="00DB186D" w:rsidP="00DB186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AU"/>
              </w:rPr>
            </w:pPr>
            <w:r w:rsidRPr="00DB186D">
              <w:rPr>
                <w:rFonts w:ascii="Calibri" w:eastAsia="Times New Roman" w:hAnsi="Calibri" w:cs="Calibri"/>
                <w:sz w:val="22"/>
                <w:szCs w:val="22"/>
                <w:lang w:eastAsia="en-AU"/>
              </w:rPr>
              <w:t>25%</w:t>
            </w:r>
          </w:p>
        </w:tc>
      </w:tr>
    </w:tbl>
    <w:p w14:paraId="6C68B80F" w14:textId="1250D7C3" w:rsidR="008E7938" w:rsidRDefault="005C0516" w:rsidP="008E7938">
      <w:pPr>
        <w:autoSpaceDE/>
        <w:autoSpaceDN/>
        <w:adjustRightInd/>
        <w:spacing w:after="0"/>
        <w:ind w:right="0"/>
        <w:rPr>
          <w:rFonts w:ascii="Calibri" w:eastAsia="Times New Roman" w:hAnsi="Calibri" w:cs="Calibri"/>
          <w:sz w:val="22"/>
          <w:szCs w:val="22"/>
          <w:lang w:eastAsia="en-AU"/>
        </w:rPr>
      </w:pPr>
      <w:r w:rsidRPr="00554250">
        <w:rPr>
          <w:sz w:val="18"/>
          <w:szCs w:val="18"/>
        </w:rPr>
        <w:t>Source: ACT Service Costing Survey, 2021</w:t>
      </w:r>
    </w:p>
    <w:p w14:paraId="551053C1" w14:textId="77777777" w:rsidR="00D61B97" w:rsidRPr="008E7938" w:rsidRDefault="00D61B97" w:rsidP="00DB186D">
      <w:pPr>
        <w:autoSpaceDE/>
        <w:autoSpaceDN/>
        <w:adjustRightInd/>
        <w:spacing w:after="0"/>
        <w:ind w:right="0"/>
        <w:jc w:val="right"/>
        <w:rPr>
          <w:rFonts w:ascii="Calibri" w:eastAsia="Times New Roman" w:hAnsi="Calibri" w:cs="Calibri"/>
          <w:b/>
          <w:bCs/>
          <w:sz w:val="22"/>
          <w:szCs w:val="22"/>
          <w:lang w:eastAsia="en-AU"/>
        </w:rPr>
      </w:pPr>
    </w:p>
    <w:sectPr w:rsidR="00D61B97" w:rsidRPr="008E7938" w:rsidSect="00BB1CE1">
      <w:headerReference w:type="first" r:id="rId55"/>
      <w:footerReference w:type="first" r:id="rId56"/>
      <w:pgSz w:w="11906" w:h="16838"/>
      <w:pgMar w:top="1134" w:right="991" w:bottom="1418" w:left="1134" w:header="99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73EF" w14:textId="77777777" w:rsidR="00055087" w:rsidRDefault="00055087" w:rsidP="001635C5">
      <w:r>
        <w:separator/>
      </w:r>
    </w:p>
    <w:p w14:paraId="1B754B74" w14:textId="77777777" w:rsidR="00055087" w:rsidRDefault="00055087"/>
  </w:endnote>
  <w:endnote w:type="continuationSeparator" w:id="0">
    <w:p w14:paraId="0984591E" w14:textId="77777777" w:rsidR="00055087" w:rsidRDefault="00055087" w:rsidP="001635C5">
      <w:r>
        <w:continuationSeparator/>
      </w:r>
    </w:p>
    <w:p w14:paraId="355B7C96" w14:textId="77777777" w:rsidR="00055087" w:rsidRDefault="00055087"/>
  </w:endnote>
  <w:endnote w:type="continuationNotice" w:id="1">
    <w:p w14:paraId="26A826FF" w14:textId="77777777" w:rsidR="00055087" w:rsidRDefault="00055087">
      <w:pPr>
        <w:spacing w:after="0"/>
      </w:pPr>
    </w:p>
    <w:p w14:paraId="1BECC348" w14:textId="77777777" w:rsidR="00055087" w:rsidRDefault="00055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A5F42B-DD27-4627-B1E9-3349B7636AB0}"/>
    <w:embedBold r:id="rId2" w:fontKey="{2084DC55-D5B8-49C1-BC87-24D48D310272}"/>
  </w:font>
  <w:font w:name="MetaPlusNormal-Roman">
    <w:altName w:val="Yu Gothic"/>
    <w:panose1 w:val="00000000000000000000"/>
    <w:charset w:val="80"/>
    <w:family w:val="auto"/>
    <w:notTrueType/>
    <w:pitch w:val="default"/>
    <w:sig w:usb0="00000001" w:usb1="08070000" w:usb2="00000010" w:usb3="00000000" w:csb0="00020000" w:csb1="00000000"/>
  </w:font>
  <w:font w:name="MetaPlusBold-Roman">
    <w:altName w:val="MS Mincho"/>
    <w:panose1 w:val="00000000000000000000"/>
    <w:charset w:val="80"/>
    <w:family w:val="auto"/>
    <w:notTrueType/>
    <w:pitch w:val="default"/>
    <w:sig w:usb0="00000000" w:usb1="08070000" w:usb2="00000010" w:usb3="00000000" w:csb0="00020000" w:csb1="00000000"/>
  </w:font>
  <w:font w:name="Somme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53B7" w14:textId="77777777" w:rsidR="00960F29" w:rsidRDefault="00960F29"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C85C" w14:textId="77777777" w:rsidR="00960F29" w:rsidRDefault="00960F29" w:rsidP="0038485C">
    <w:pPr>
      <w:pStyle w:val="Footer"/>
      <w:pBdr>
        <w:top w:val="none" w:sz="0" w:space="0" w:color="auto"/>
      </w:pBdr>
      <w:tabs>
        <w:tab w:val="clear" w:pos="9026"/>
        <w:tab w:val="right" w:pos="8222"/>
      </w:tabs>
    </w:pPr>
    <w:r>
      <w:t>Social Policy Research Centre 2015</w:t>
    </w:r>
    <w:r>
      <w:tab/>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EDF4" w14:textId="77777777" w:rsidR="00960F29" w:rsidRDefault="00960F29" w:rsidP="00354A67">
    <w:pPr>
      <w:pStyle w:val="Footer"/>
      <w:pBdr>
        <w:top w:val="none" w:sz="0" w:space="0" w:color="auto"/>
      </w:pBdr>
      <w:tabs>
        <w:tab w:val="clear" w:pos="9026"/>
        <w:tab w:val="right" w:pos="9356"/>
      </w:tabs>
      <w:ind w:right="-1134"/>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044722"/>
      <w:docPartObj>
        <w:docPartGallery w:val="Page Numbers (Bottom of Page)"/>
        <w:docPartUnique/>
      </w:docPartObj>
    </w:sdtPr>
    <w:sdtEndPr>
      <w:rPr>
        <w:noProof/>
      </w:rPr>
    </w:sdtEndPr>
    <w:sdtContent>
      <w:p w14:paraId="3B0E250F" w14:textId="77777777" w:rsidR="00960F29" w:rsidRDefault="00960F29" w:rsidP="00BD0ABD">
        <w:pPr>
          <w:pStyle w:val="Footer"/>
          <w:pBdr>
            <w:top w:val="none" w:sz="0" w:space="0" w:color="auto"/>
          </w:pBdr>
          <w:jc w:val="right"/>
        </w:pPr>
        <w:r>
          <w:fldChar w:fldCharType="begin"/>
        </w:r>
        <w:r>
          <w:instrText xml:space="preserve"> PAGE   \* MERGEFORMAT </w:instrText>
        </w:r>
        <w:r>
          <w:fldChar w:fldCharType="separate"/>
        </w:r>
        <w:r>
          <w:rPr>
            <w:noProof/>
          </w:rPr>
          <w:t>ii</w:t>
        </w:r>
        <w:r>
          <w:rPr>
            <w:noProof/>
          </w:rPr>
          <w:fldChar w:fldCharType="end"/>
        </w:r>
      </w:p>
    </w:sdtContent>
  </w:sdt>
  <w:p w14:paraId="28B08592" w14:textId="77777777" w:rsidR="00960F29" w:rsidRDefault="00960F29" w:rsidP="00DA01BF">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FADE" w14:textId="77777777" w:rsidR="00960F29" w:rsidRDefault="00960F29" w:rsidP="00CD2872">
    <w:pPr>
      <w:pStyle w:val="Footer"/>
      <w:pBdr>
        <w:top w:val="none" w:sz="0" w:space="0" w:color="auto"/>
      </w:pBdr>
      <w:jc w:val="right"/>
    </w:pPr>
  </w:p>
  <w:p w14:paraId="257BDC69" w14:textId="77777777" w:rsidR="00960F29" w:rsidRDefault="00960F29" w:rsidP="00CD2872">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CD52" w14:textId="5D150F6D" w:rsidR="00960F29" w:rsidRPr="00D36294" w:rsidRDefault="00960F29" w:rsidP="00974C50">
    <w:pPr>
      <w:pStyle w:val="Footer"/>
      <w:pBdr>
        <w:top w:val="none" w:sz="0" w:space="0" w:color="auto"/>
      </w:pBdr>
      <w:tabs>
        <w:tab w:val="clear" w:pos="9026"/>
        <w:tab w:val="right" w:pos="9072"/>
      </w:tabs>
      <w:rPr>
        <w:sz w:val="16"/>
      </w:rPr>
    </w:pPr>
    <w:r>
      <w:rPr>
        <w:sz w:val="16"/>
      </w:rPr>
      <w:t>Counting the Costs Final Report December</w:t>
    </w:r>
    <w:r w:rsidRPr="00D36294">
      <w:rPr>
        <w:sz w:val="16"/>
      </w:rPr>
      <w:t xml:space="preserve"> 20</w:t>
    </w:r>
    <w:r>
      <w:rPr>
        <w:sz w:val="16"/>
      </w:rPr>
      <w:t>21</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4</w:t>
    </w:r>
    <w:r w:rsidRPr="00D36294">
      <w:rPr>
        <w:noProof/>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520A" w14:textId="77777777" w:rsidR="00960F29" w:rsidRDefault="00960F29" w:rsidP="00CD2872">
    <w:pPr>
      <w:pStyle w:val="Footer"/>
      <w:pBdr>
        <w:top w:val="none" w:sz="0" w:space="0" w:color="auto"/>
      </w:pBdr>
      <w:jc w:val="right"/>
    </w:pPr>
  </w:p>
  <w:p w14:paraId="43092499" w14:textId="5D8E90D4" w:rsidR="00960F29" w:rsidRPr="00974C50" w:rsidRDefault="002A668F" w:rsidP="00974C50">
    <w:pPr>
      <w:pStyle w:val="Footer"/>
      <w:pBdr>
        <w:top w:val="none" w:sz="0" w:space="0" w:color="auto"/>
      </w:pBdr>
      <w:tabs>
        <w:tab w:val="clear" w:pos="9026"/>
        <w:tab w:val="right" w:pos="9072"/>
      </w:tabs>
      <w:rPr>
        <w:sz w:val="16"/>
      </w:rPr>
    </w:pPr>
    <w:r>
      <w:rPr>
        <w:sz w:val="16"/>
      </w:rPr>
      <w:t>Counting the Costs Final Report December</w:t>
    </w:r>
    <w:r w:rsidRPr="00D36294">
      <w:rPr>
        <w:sz w:val="16"/>
      </w:rPr>
      <w:t xml:space="preserve"> 20</w:t>
    </w:r>
    <w:r>
      <w:rPr>
        <w:sz w:val="16"/>
      </w:rPr>
      <w:t>21</w:t>
    </w:r>
    <w:r w:rsidR="00960F29" w:rsidRPr="00D36294">
      <w:rPr>
        <w:sz w:val="16"/>
      </w:rPr>
      <w:tab/>
    </w:r>
    <w:r w:rsidR="00960F29" w:rsidRPr="00D36294">
      <w:rPr>
        <w:sz w:val="16"/>
      </w:rPr>
      <w:tab/>
    </w:r>
    <w:r w:rsidR="00960F29" w:rsidRPr="00D36294">
      <w:rPr>
        <w:sz w:val="16"/>
      </w:rPr>
      <w:fldChar w:fldCharType="begin"/>
    </w:r>
    <w:r w:rsidR="00960F29" w:rsidRPr="00D36294">
      <w:rPr>
        <w:sz w:val="16"/>
      </w:rPr>
      <w:instrText xml:space="preserve"> PAGE   \* MERGEFORMAT </w:instrText>
    </w:r>
    <w:r w:rsidR="00960F29" w:rsidRPr="00D36294">
      <w:rPr>
        <w:sz w:val="16"/>
      </w:rPr>
      <w:fldChar w:fldCharType="separate"/>
    </w:r>
    <w:r w:rsidR="00960F29">
      <w:rPr>
        <w:noProof/>
        <w:sz w:val="16"/>
      </w:rPr>
      <w:t>1</w:t>
    </w:r>
    <w:r w:rsidR="00960F29" w:rsidRPr="00D36294">
      <w:rPr>
        <w:noProof/>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C917" w14:textId="77777777" w:rsidR="00960F29" w:rsidRDefault="00960F29" w:rsidP="00CD2872">
    <w:pPr>
      <w:pStyle w:val="Footer"/>
      <w:pBdr>
        <w:top w:val="none" w:sz="0" w:space="0" w:color="auto"/>
      </w:pBdr>
      <w:jc w:val="right"/>
    </w:pPr>
  </w:p>
  <w:p w14:paraId="7EB85430" w14:textId="77777777" w:rsidR="00960F29" w:rsidRPr="00974C50" w:rsidRDefault="00960F29" w:rsidP="00974C50">
    <w:pPr>
      <w:pStyle w:val="Footer"/>
      <w:pBdr>
        <w:top w:val="none" w:sz="0" w:space="0" w:color="auto"/>
      </w:pBdr>
      <w:tabs>
        <w:tab w:val="clear" w:pos="9026"/>
        <w:tab w:val="right" w:pos="9072"/>
      </w:tabs>
      <w:rPr>
        <w:sz w:val="16"/>
      </w:rPr>
    </w:pPr>
    <w:r>
      <w:rPr>
        <w:sz w:val="16"/>
      </w:rPr>
      <w:t xml:space="preserve">UNSW </w:t>
    </w:r>
    <w:r w:rsidRPr="00D36294">
      <w:rPr>
        <w:sz w:val="16"/>
      </w:rPr>
      <w:t>So</w:t>
    </w:r>
    <w:r>
      <w:rPr>
        <w:sz w:val="16"/>
      </w:rPr>
      <w:t>cial Policy Research Centre 2021</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1</w:t>
    </w:r>
    <w:r w:rsidRPr="00D36294">
      <w:rPr>
        <w:noProof/>
        <w:sz w:val="16"/>
      </w:rPr>
      <w:fldChar w:fldCharType="end"/>
    </w:r>
  </w:p>
  <w:p w14:paraId="33D50784" w14:textId="77777777" w:rsidR="00960F29" w:rsidRDefault="00960F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2824B" w14:textId="77777777" w:rsidR="00055087" w:rsidRDefault="00055087" w:rsidP="001635C5">
      <w:r>
        <w:separator/>
      </w:r>
    </w:p>
  </w:footnote>
  <w:footnote w:type="continuationSeparator" w:id="0">
    <w:p w14:paraId="5503C5B1" w14:textId="77777777" w:rsidR="00055087" w:rsidRDefault="00055087" w:rsidP="001635C5">
      <w:r>
        <w:continuationSeparator/>
      </w:r>
    </w:p>
    <w:p w14:paraId="0CC40214" w14:textId="77777777" w:rsidR="00055087" w:rsidRDefault="00055087"/>
  </w:footnote>
  <w:footnote w:type="continuationNotice" w:id="1">
    <w:p w14:paraId="7CB9F16D" w14:textId="77777777" w:rsidR="00055087" w:rsidRDefault="00055087">
      <w:pPr>
        <w:spacing w:after="0"/>
      </w:pPr>
    </w:p>
    <w:p w14:paraId="046FDF22" w14:textId="77777777" w:rsidR="00055087" w:rsidRDefault="00055087"/>
  </w:footnote>
  <w:footnote w:id="2">
    <w:p w14:paraId="01AAEDC3" w14:textId="0AE8297F" w:rsidR="00960F29" w:rsidRPr="00663659" w:rsidRDefault="00960F29">
      <w:pPr>
        <w:pStyle w:val="FootnoteText"/>
      </w:pPr>
      <w:r>
        <w:rPr>
          <w:rStyle w:val="FootnoteReference"/>
        </w:rPr>
        <w:footnoteRef/>
      </w:r>
      <w:r>
        <w:t xml:space="preserve"> ACT Government (2021) </w:t>
      </w:r>
      <w:r w:rsidRPr="00466C74">
        <w:rPr>
          <w:i/>
          <w:iCs/>
        </w:rPr>
        <w:t>Commissioning Roadmap For NGO Services in the Community 2021 – 2023</w:t>
      </w:r>
      <w:r>
        <w:t>, v2.3</w:t>
      </w:r>
      <w:r w:rsidRPr="00F70606">
        <w:t xml:space="preserve"> </w:t>
      </w:r>
      <w:r>
        <w:t xml:space="preserve"> </w:t>
      </w:r>
      <w:hyperlink r:id="rId1" w:history="1">
        <w:r w:rsidRPr="004769B0">
          <w:rPr>
            <w:rStyle w:val="Hyperlink"/>
          </w:rPr>
          <w:t>https://www.communityservices.act.gov.au/__data/assets/pdf_file/0006/1815189/ACTHDCSD-Commissioning-Roadmap-2021-2023.pdf</w:t>
        </w:r>
      </w:hyperlink>
      <w:r>
        <w:rPr>
          <w:rStyle w:val="Hyperlink"/>
        </w:rPr>
        <w:t xml:space="preserve">  </w:t>
      </w:r>
      <w:r w:rsidRPr="00663659">
        <w:t xml:space="preserve">A smaller number of services are funded by other Directorates: Justice and Community Safety; Education; Environment and Sustainable Development; Chief Minister, Treasury and Economic Development; and Transport. Other services operate in the ACT, but may receive funds from the Australian government, commercial </w:t>
      </w:r>
      <w:proofErr w:type="gramStart"/>
      <w:r w:rsidRPr="00663659">
        <w:t>sources</w:t>
      </w:r>
      <w:proofErr w:type="gramEnd"/>
      <w:r w:rsidRPr="00663659">
        <w:t xml:space="preserve"> or philanthropy. </w:t>
      </w:r>
    </w:p>
  </w:footnote>
  <w:footnote w:id="3">
    <w:p w14:paraId="1A250CA3" w14:textId="2EA21807" w:rsidR="00960F29" w:rsidRPr="00466C74" w:rsidRDefault="00960F29" w:rsidP="00466C74">
      <w:pPr>
        <w:pStyle w:val="FootnoteText"/>
      </w:pPr>
      <w:r w:rsidRPr="00925170">
        <w:rPr>
          <w:rStyle w:val="FootnoteReference"/>
          <w:szCs w:val="18"/>
        </w:rPr>
        <w:footnoteRef/>
      </w:r>
      <w:r w:rsidRPr="00925170">
        <w:rPr>
          <w:szCs w:val="18"/>
        </w:rPr>
        <w:t xml:space="preserve"> ACT Government (2021) </w:t>
      </w:r>
      <w:r w:rsidRPr="00466C74">
        <w:rPr>
          <w:i/>
          <w:iCs/>
          <w:szCs w:val="18"/>
        </w:rPr>
        <w:t>ACT Budget Outlook,</w:t>
      </w:r>
      <w:r w:rsidRPr="00925170">
        <w:rPr>
          <w:szCs w:val="18"/>
        </w:rPr>
        <w:t xml:space="preserve"> </w:t>
      </w:r>
      <w:hyperlink r:id="rId2" w:history="1">
        <w:r w:rsidRPr="00925170">
          <w:rPr>
            <w:rStyle w:val="Hyperlink"/>
            <w:szCs w:val="18"/>
          </w:rPr>
          <w:t>https://www.treasury.act.gov.au/__data/assets/pdf_file/0008/1870136/2021-22-ACT-Budget-Outlook.pdf</w:t>
        </w:r>
      </w:hyperlink>
      <w:r w:rsidRPr="00925170">
        <w:rPr>
          <w:rStyle w:val="Hyperlink"/>
          <w:szCs w:val="18"/>
        </w:rPr>
        <w:t>, page 56.</w:t>
      </w:r>
    </w:p>
  </w:footnote>
  <w:footnote w:id="4">
    <w:p w14:paraId="6058BE49" w14:textId="5C868CA9" w:rsidR="00960F29" w:rsidRPr="00005085" w:rsidRDefault="00960F29">
      <w:pPr>
        <w:pStyle w:val="FootnoteText"/>
        <w:rPr>
          <w:lang w:val="en-US"/>
        </w:rPr>
      </w:pPr>
      <w:r w:rsidRPr="00466C74">
        <w:rPr>
          <w:rStyle w:val="FootnoteReference"/>
          <w:szCs w:val="18"/>
        </w:rPr>
        <w:footnoteRef/>
      </w:r>
      <w:r w:rsidRPr="00466C74">
        <w:rPr>
          <w:rStyle w:val="FootnoteReference"/>
          <w:szCs w:val="18"/>
        </w:rPr>
        <w:t xml:space="preserve"> </w:t>
      </w:r>
      <w:r>
        <w:t>Economic contributions are evident from Australian Charities and Not-for-Profit Commission (ACNC) data. For example, the 217 charities based in the ACT who employed staff and delivered social and community services in 2019 together employed 7189 staff, drew on support from 27,460 volunteers and spent $991.7 million. Annual Information Statement data downloaded from data.gov.au, October 2021.</w:t>
      </w:r>
    </w:p>
  </w:footnote>
  <w:footnote w:id="5">
    <w:p w14:paraId="2653BEE0" w14:textId="798C83F7" w:rsidR="00960F29" w:rsidRPr="00BC0F16" w:rsidRDefault="00960F29">
      <w:pPr>
        <w:pStyle w:val="FootnoteText"/>
        <w:rPr>
          <w:lang w:val="en-US"/>
        </w:rPr>
      </w:pPr>
      <w:r>
        <w:rPr>
          <w:rStyle w:val="FootnoteReference"/>
        </w:rPr>
        <w:footnoteRef/>
      </w:r>
      <w:r>
        <w:t xml:space="preserve"> ACT Government (2020) </w:t>
      </w:r>
      <w:r w:rsidRPr="00ED7668">
        <w:rPr>
          <w:i/>
          <w:iCs/>
        </w:rPr>
        <w:t>ACT Wellbeing Framework</w:t>
      </w:r>
      <w:r>
        <w:t xml:space="preserve"> </w:t>
      </w:r>
      <w:hyperlink r:id="rId3" w:history="1">
        <w:r w:rsidRPr="002020AE">
          <w:rPr>
            <w:rStyle w:val="Hyperlink"/>
          </w:rPr>
          <w:t>https://www.act.gov.au/__data/assets/pdf_file/0004/1498198/ACT-wellbeing-framework.pdf</w:t>
        </w:r>
      </w:hyperlink>
    </w:p>
  </w:footnote>
  <w:footnote w:id="6">
    <w:p w14:paraId="3DB7E19A" w14:textId="77777777" w:rsidR="00960F29" w:rsidRPr="00F94579" w:rsidRDefault="00960F29" w:rsidP="007F573E">
      <w:pPr>
        <w:pStyle w:val="FootnoteText"/>
        <w:rPr>
          <w:lang w:val="en-US"/>
        </w:rPr>
      </w:pPr>
      <w:r>
        <w:rPr>
          <w:rStyle w:val="FootnoteReference"/>
        </w:rPr>
        <w:footnoteRef/>
      </w:r>
      <w:r>
        <w:t xml:space="preserve"> See, for example </w:t>
      </w:r>
      <w:proofErr w:type="spellStart"/>
      <w:r>
        <w:t>Cortis</w:t>
      </w:r>
      <w:proofErr w:type="spellEnd"/>
      <w:r>
        <w:t xml:space="preserve">, N. &amp; Blaxland, M (2020) </w:t>
      </w:r>
      <w:r w:rsidRPr="00466C74">
        <w:rPr>
          <w:i/>
          <w:iCs/>
        </w:rPr>
        <w:t>The profile and pulse of the sector: Findings from the 2019 Australian Community Sector Survey</w:t>
      </w:r>
      <w:r>
        <w:t xml:space="preserve">. Sydney: ACOSS </w:t>
      </w:r>
      <w:hyperlink r:id="rId4" w:history="1">
        <w:r w:rsidRPr="00D65F68">
          <w:rPr>
            <w:rStyle w:val="Hyperlink"/>
          </w:rPr>
          <w:t>https://www.acoss.org.au/wp-content/uploads/2020/03/2020-ACSS_final-3.pdf</w:t>
        </w:r>
      </w:hyperlink>
    </w:p>
  </w:footnote>
  <w:footnote w:id="7">
    <w:p w14:paraId="5256B0A1" w14:textId="77777777" w:rsidR="00960F29" w:rsidRPr="007B1B52" w:rsidRDefault="00960F29" w:rsidP="007F573E">
      <w:pPr>
        <w:pStyle w:val="FootnoteText"/>
        <w:rPr>
          <w:lang w:val="en-US"/>
        </w:rPr>
      </w:pPr>
      <w:r>
        <w:rPr>
          <w:rStyle w:val="FootnoteReference"/>
        </w:rPr>
        <w:footnoteRef/>
      </w:r>
      <w:r>
        <w:t xml:space="preserve"> </w:t>
      </w:r>
      <w:r>
        <w:rPr>
          <w:lang w:val="en-US"/>
        </w:rPr>
        <w:t xml:space="preserve">Industry Commission (1995) </w:t>
      </w:r>
      <w:r w:rsidRPr="00466C74">
        <w:rPr>
          <w:i/>
          <w:iCs/>
        </w:rPr>
        <w:t>Charitable Organisations in Australia</w:t>
      </w:r>
      <w:r>
        <w:t>, Report No. 45.</w:t>
      </w:r>
    </w:p>
  </w:footnote>
  <w:footnote w:id="8">
    <w:p w14:paraId="62C2E89A" w14:textId="721BE4E0" w:rsidR="00960F29" w:rsidRPr="000A18ED" w:rsidRDefault="00960F29" w:rsidP="007F573E">
      <w:pPr>
        <w:pStyle w:val="FootnoteText"/>
        <w:rPr>
          <w:lang w:val="en-US"/>
        </w:rPr>
      </w:pPr>
      <w:r>
        <w:rPr>
          <w:rStyle w:val="FootnoteReference"/>
        </w:rPr>
        <w:footnoteRef/>
      </w:r>
      <w:r>
        <w:t xml:space="preserve"> Productivity Commission (2010) </w:t>
      </w:r>
      <w:r w:rsidRPr="00466C74">
        <w:rPr>
          <w:i/>
          <w:iCs/>
        </w:rPr>
        <w:t>Contribution of the Not-for-Profit Sector</w:t>
      </w:r>
      <w:r>
        <w:t>, Research Report, Canberra.</w:t>
      </w:r>
    </w:p>
  </w:footnote>
  <w:footnote w:id="9">
    <w:p w14:paraId="6A624D29" w14:textId="77777777" w:rsidR="00960F29" w:rsidRPr="001F4A70" w:rsidRDefault="00960F29" w:rsidP="007F573E">
      <w:pPr>
        <w:pStyle w:val="FootnoteText"/>
        <w:rPr>
          <w:lang w:val="en-US"/>
        </w:rPr>
      </w:pPr>
      <w:r>
        <w:rPr>
          <w:rStyle w:val="FootnoteReference"/>
        </w:rPr>
        <w:footnoteRef/>
      </w:r>
      <w:r>
        <w:t xml:space="preserve"> Productivity Commission (2010) </w:t>
      </w:r>
      <w:r w:rsidRPr="00466C74">
        <w:rPr>
          <w:i/>
          <w:iCs/>
        </w:rPr>
        <w:t>Contribution of the Not-for-Profit Sector, Research Report,</w:t>
      </w:r>
      <w:r>
        <w:t xml:space="preserve"> Canberra, page 282</w:t>
      </w:r>
    </w:p>
  </w:footnote>
  <w:footnote w:id="10">
    <w:p w14:paraId="58370957" w14:textId="77777777" w:rsidR="00960F29" w:rsidRPr="00BD0960" w:rsidRDefault="00960F29" w:rsidP="007F573E">
      <w:pPr>
        <w:pStyle w:val="FootnoteText"/>
        <w:rPr>
          <w:lang w:val="en-US"/>
        </w:rPr>
      </w:pPr>
      <w:r>
        <w:rPr>
          <w:rStyle w:val="FootnoteReference"/>
        </w:rPr>
        <w:footnoteRef/>
      </w:r>
      <w:r>
        <w:t xml:space="preserve"> </w:t>
      </w:r>
      <w:proofErr w:type="spellStart"/>
      <w:r>
        <w:t>Cortis</w:t>
      </w:r>
      <w:proofErr w:type="spellEnd"/>
      <w:r>
        <w:t xml:space="preserve">, N. and Blaxland, M. (2016). </w:t>
      </w:r>
      <w:r w:rsidRPr="00466C74">
        <w:rPr>
          <w:i/>
          <w:iCs/>
        </w:rPr>
        <w:t>The State of the Community Service Sector in the Australian Capital Territory, 2016</w:t>
      </w:r>
      <w:r>
        <w:t xml:space="preserve"> (SPRC Report 19/16). Sydney: Social Policy Research Centre, UNSW Australia.  </w:t>
      </w:r>
      <w:hyperlink r:id="rId5" w:history="1">
        <w:r w:rsidRPr="00D65F68">
          <w:rPr>
            <w:rStyle w:val="Hyperlink"/>
          </w:rPr>
          <w:t>https://www.actcoss.org.au/sites/default/files/public/publications/2016-report-state-of-the-community-service-sector-act.pdf</w:t>
        </w:r>
      </w:hyperlink>
    </w:p>
  </w:footnote>
  <w:footnote w:id="11">
    <w:p w14:paraId="6748B624" w14:textId="77777777" w:rsidR="00960F29" w:rsidRDefault="00960F29" w:rsidP="004048AB">
      <w:pPr>
        <w:pStyle w:val="FootnoteText"/>
      </w:pPr>
      <w:r>
        <w:rPr>
          <w:rStyle w:val="FootnoteReference"/>
        </w:rPr>
        <w:footnoteRef/>
      </w:r>
      <w:r>
        <w:t xml:space="preserve"> M</w:t>
      </w:r>
      <w:r w:rsidRPr="00B734E3">
        <w:t xml:space="preserve">eagher, G., &amp; </w:t>
      </w:r>
      <w:proofErr w:type="spellStart"/>
      <w:r w:rsidRPr="00B734E3">
        <w:t>Cortis</w:t>
      </w:r>
      <w:proofErr w:type="spellEnd"/>
      <w:r w:rsidRPr="00B734E3">
        <w:t xml:space="preserve">, N. (2010). </w:t>
      </w:r>
      <w:r w:rsidRPr="00466C74">
        <w:rPr>
          <w:i/>
          <w:iCs/>
        </w:rPr>
        <w:t>The social and community services sector in NSW: structure, workforce and pay equity issues</w:t>
      </w:r>
      <w:r w:rsidRPr="00B734E3">
        <w:t>. University of Sydney.</w:t>
      </w:r>
      <w:r>
        <w:t xml:space="preserve"> </w:t>
      </w:r>
      <w:hyperlink r:id="rId6" w:history="1">
        <w:r w:rsidRPr="004769B0">
          <w:rPr>
            <w:rStyle w:val="Hyperlink"/>
          </w:rPr>
          <w:t>https://www.researchgate.net/publication/299451983_The_Social_and_Community_Services_Sector_in_NSW_Structure_Workforce_and_Pay_Equity_Issues</w:t>
        </w:r>
      </w:hyperlink>
    </w:p>
  </w:footnote>
  <w:footnote w:id="12">
    <w:p w14:paraId="6B805FFD" w14:textId="77777777" w:rsidR="00960F29" w:rsidRPr="006015CD" w:rsidRDefault="00960F29" w:rsidP="004048AB">
      <w:pPr>
        <w:pStyle w:val="FootnoteText"/>
        <w:rPr>
          <w:lang w:val="en-US"/>
        </w:rPr>
      </w:pPr>
      <w:r>
        <w:rPr>
          <w:rStyle w:val="FootnoteReference"/>
        </w:rPr>
        <w:footnoteRef/>
      </w:r>
      <w:r>
        <w:t xml:space="preserve"> </w:t>
      </w:r>
      <w:proofErr w:type="spellStart"/>
      <w:r>
        <w:t>Cortis</w:t>
      </w:r>
      <w:proofErr w:type="spellEnd"/>
      <w:r>
        <w:t xml:space="preserve">, N. &amp; Blaxland, M (2020) </w:t>
      </w:r>
      <w:r w:rsidRPr="00466C74">
        <w:rPr>
          <w:i/>
          <w:iCs/>
        </w:rPr>
        <w:t>Challenges for Australia’s Community Sector: ERO supplementation, fair funding for fair pay</w:t>
      </w:r>
      <w:r>
        <w:t xml:space="preserve">. Sydney: ACOSS. </w:t>
      </w:r>
      <w:r w:rsidRPr="00184F40">
        <w:t>https://www.acoss.org.au/wp-content/uploads/2020/02/ERO_snapshot_2020.pdf</w:t>
      </w:r>
    </w:p>
  </w:footnote>
  <w:footnote w:id="13">
    <w:p w14:paraId="0362C340" w14:textId="77777777" w:rsidR="00960F29" w:rsidRPr="00603058" w:rsidRDefault="00960F29" w:rsidP="00B625CF">
      <w:pPr>
        <w:pStyle w:val="FootnoteText"/>
        <w:rPr>
          <w:lang w:val="en-US"/>
        </w:rPr>
      </w:pPr>
      <w:r>
        <w:rPr>
          <w:rStyle w:val="FootnoteReference"/>
        </w:rPr>
        <w:footnoteRef/>
      </w:r>
      <w:r>
        <w:t xml:space="preserve"> </w:t>
      </w:r>
      <w:proofErr w:type="spellStart"/>
      <w:r w:rsidRPr="00603058">
        <w:t>Lecy</w:t>
      </w:r>
      <w:proofErr w:type="spellEnd"/>
      <w:r w:rsidRPr="00603058">
        <w:t xml:space="preserve">, J. &amp; Searing, E. (2015). Anatomy of the </w:t>
      </w:r>
      <w:proofErr w:type="spellStart"/>
      <w:r w:rsidRPr="00603058">
        <w:t>Nonprofit</w:t>
      </w:r>
      <w:proofErr w:type="spellEnd"/>
      <w:r w:rsidRPr="00603058">
        <w:t xml:space="preserve"> Starvation Cycle: An Analysis of Falling Overhead Ratios in the </w:t>
      </w:r>
      <w:proofErr w:type="spellStart"/>
      <w:r w:rsidRPr="00603058">
        <w:t>Nonprofit</w:t>
      </w:r>
      <w:proofErr w:type="spellEnd"/>
      <w:r w:rsidRPr="00603058">
        <w:t xml:space="preserve"> Sector. </w:t>
      </w:r>
      <w:proofErr w:type="spellStart"/>
      <w:r w:rsidRPr="00466C74">
        <w:rPr>
          <w:i/>
          <w:iCs/>
        </w:rPr>
        <w:t>Nonprofit</w:t>
      </w:r>
      <w:proofErr w:type="spellEnd"/>
      <w:r w:rsidRPr="00466C74">
        <w:rPr>
          <w:i/>
          <w:iCs/>
        </w:rPr>
        <w:t xml:space="preserve"> and Voluntary Sector Quarterly</w:t>
      </w:r>
      <w:r w:rsidRPr="00603058">
        <w:t xml:space="preserve">, 44(3), 539–563. </w:t>
      </w:r>
      <w:hyperlink r:id="rId7" w:history="1">
        <w:r w:rsidRPr="00E04553">
          <w:rPr>
            <w:rStyle w:val="Hyperlink"/>
          </w:rPr>
          <w:t>https://doi.org/10.1177/0899764014527175</w:t>
        </w:r>
      </w:hyperlink>
    </w:p>
  </w:footnote>
  <w:footnote w:id="14">
    <w:p w14:paraId="7EE928EA" w14:textId="30CF142D" w:rsidR="00960F29" w:rsidRPr="00447E58" w:rsidRDefault="00960F29" w:rsidP="00B625CF">
      <w:pPr>
        <w:pStyle w:val="FootnoteText"/>
      </w:pPr>
      <w:r>
        <w:rPr>
          <w:rStyle w:val="FootnoteReference"/>
        </w:rPr>
        <w:footnoteRef/>
      </w:r>
      <w:r>
        <w:t xml:space="preserve"> This may be because organisations lack expertise or have poor information about the costs of their activities, or because they wish to avoid seeming inefficient in a highly competitive environment.  See </w:t>
      </w:r>
      <w:r w:rsidRPr="00603058">
        <w:t xml:space="preserve">Schubert P, </w:t>
      </w:r>
      <w:proofErr w:type="spellStart"/>
      <w:r w:rsidRPr="00603058">
        <w:t>Boenigk</w:t>
      </w:r>
      <w:proofErr w:type="spellEnd"/>
      <w:r w:rsidRPr="00603058">
        <w:t xml:space="preserve"> S. (2019) The </w:t>
      </w:r>
      <w:proofErr w:type="spellStart"/>
      <w:r w:rsidRPr="00603058">
        <w:t>Nonprofit</w:t>
      </w:r>
      <w:proofErr w:type="spellEnd"/>
      <w:r w:rsidRPr="00603058">
        <w:t xml:space="preserve"> Starvation Cycle: Empirical Evidence </w:t>
      </w:r>
      <w:proofErr w:type="gramStart"/>
      <w:r w:rsidRPr="00603058">
        <w:t>From</w:t>
      </w:r>
      <w:proofErr w:type="gramEnd"/>
      <w:r w:rsidRPr="00603058">
        <w:t xml:space="preserve"> a German Context. </w:t>
      </w:r>
      <w:proofErr w:type="spellStart"/>
      <w:r w:rsidRPr="00466C74">
        <w:rPr>
          <w:i/>
          <w:iCs/>
        </w:rPr>
        <w:t>Nonprofit</w:t>
      </w:r>
      <w:proofErr w:type="spellEnd"/>
      <w:r w:rsidRPr="00466C74">
        <w:rPr>
          <w:i/>
          <w:iCs/>
        </w:rPr>
        <w:t xml:space="preserve"> and Voluntary Sector Quarterly.</w:t>
      </w:r>
      <w:r w:rsidRPr="00603058">
        <w:t xml:space="preserve"> 48(3):467-491. </w:t>
      </w:r>
      <w:hyperlink r:id="rId8" w:history="1">
        <w:r w:rsidRPr="004C00D9">
          <w:rPr>
            <w:rStyle w:val="Hyperlink"/>
          </w:rPr>
          <w:t>https://doi.org/10.1177/0899764018824669</w:t>
        </w:r>
      </w:hyperlink>
    </w:p>
  </w:footnote>
  <w:footnote w:id="15">
    <w:p w14:paraId="686C9335" w14:textId="1ECC47A0" w:rsidR="00960F29" w:rsidRPr="00603058" w:rsidRDefault="00960F29" w:rsidP="0055108C">
      <w:pPr>
        <w:pStyle w:val="FootnoteText"/>
        <w:rPr>
          <w:lang w:val="en-US"/>
        </w:rPr>
      </w:pPr>
      <w:r>
        <w:rPr>
          <w:rStyle w:val="FootnoteReference"/>
        </w:rPr>
        <w:footnoteRef/>
      </w:r>
      <w:r>
        <w:t xml:space="preserve"> While research literature usually explores the starvation cycle in the context of donor-dependent organisations, government funding can perpetuate similar dynamics. </w:t>
      </w:r>
      <w:proofErr w:type="spellStart"/>
      <w:r w:rsidRPr="00603058">
        <w:t>Lecy</w:t>
      </w:r>
      <w:proofErr w:type="spellEnd"/>
      <w:r w:rsidRPr="00603058">
        <w:t xml:space="preserve">, J. &amp; Searing, E. (2015). Anatomy of the </w:t>
      </w:r>
      <w:proofErr w:type="spellStart"/>
      <w:r w:rsidRPr="00603058">
        <w:t>Nonprofit</w:t>
      </w:r>
      <w:proofErr w:type="spellEnd"/>
      <w:r w:rsidRPr="00603058">
        <w:t xml:space="preserve"> Starvation Cycle: An Analysis of Falling Overhead Ratios in the </w:t>
      </w:r>
      <w:proofErr w:type="spellStart"/>
      <w:r w:rsidRPr="00603058">
        <w:t>Nonprofit</w:t>
      </w:r>
      <w:proofErr w:type="spellEnd"/>
      <w:r w:rsidRPr="00603058">
        <w:t xml:space="preserve"> Sector. </w:t>
      </w:r>
      <w:proofErr w:type="spellStart"/>
      <w:r w:rsidRPr="00466C74">
        <w:rPr>
          <w:i/>
          <w:iCs/>
        </w:rPr>
        <w:t>Nonprofit</w:t>
      </w:r>
      <w:proofErr w:type="spellEnd"/>
      <w:r w:rsidRPr="00466C74">
        <w:rPr>
          <w:i/>
          <w:iCs/>
        </w:rPr>
        <w:t xml:space="preserve"> and Voluntary Sector Quarterly</w:t>
      </w:r>
      <w:r w:rsidRPr="00603058">
        <w:t xml:space="preserve">, 44(3), 539–563. </w:t>
      </w:r>
      <w:hyperlink r:id="rId9" w:history="1">
        <w:r w:rsidRPr="00E04553">
          <w:rPr>
            <w:rStyle w:val="Hyperlink"/>
          </w:rPr>
          <w:t>https://doi.org/10.1177/0899764014527175</w:t>
        </w:r>
      </w:hyperlink>
    </w:p>
  </w:footnote>
  <w:footnote w:id="16">
    <w:p w14:paraId="32DED871" w14:textId="77777777" w:rsidR="00960F29" w:rsidRDefault="00960F29" w:rsidP="00832975">
      <w:pPr>
        <w:pStyle w:val="FootnoteText"/>
      </w:pPr>
      <w:r>
        <w:rPr>
          <w:rStyle w:val="FootnoteReference"/>
        </w:rPr>
        <w:footnoteRef/>
      </w:r>
      <w:r>
        <w:t xml:space="preserve"> </w:t>
      </w:r>
      <w:r w:rsidRPr="008524A0">
        <w:t>Blaxland, M</w:t>
      </w:r>
      <w:r>
        <w:t>.</w:t>
      </w:r>
      <w:r w:rsidRPr="008524A0">
        <w:t xml:space="preserve"> and </w:t>
      </w:r>
      <w:proofErr w:type="spellStart"/>
      <w:r w:rsidRPr="008524A0">
        <w:t>Cortis</w:t>
      </w:r>
      <w:proofErr w:type="spellEnd"/>
      <w:r w:rsidRPr="008524A0">
        <w:t xml:space="preserve">, </w:t>
      </w:r>
      <w:r>
        <w:t xml:space="preserve">N. (2021) </w:t>
      </w:r>
      <w:r w:rsidRPr="00466C74">
        <w:rPr>
          <w:i/>
          <w:iCs/>
        </w:rPr>
        <w:t xml:space="preserve">Valuing Australia’s Community Sector: Better Contracting for Capacity, </w:t>
      </w:r>
      <w:proofErr w:type="gramStart"/>
      <w:r w:rsidRPr="00466C74">
        <w:rPr>
          <w:i/>
          <w:iCs/>
        </w:rPr>
        <w:t>Sustainability</w:t>
      </w:r>
      <w:proofErr w:type="gramEnd"/>
      <w:r w:rsidRPr="00466C74">
        <w:rPr>
          <w:i/>
          <w:iCs/>
        </w:rPr>
        <w:t xml:space="preserve"> and Impact. </w:t>
      </w:r>
      <w:r>
        <w:t xml:space="preserve">Australian Council of Social Service. </w:t>
      </w:r>
      <w:hyperlink r:id="rId10" w:history="1">
        <w:r w:rsidRPr="00BC5555">
          <w:rPr>
            <w:rStyle w:val="Hyperlink"/>
          </w:rPr>
          <w:t>https://www.unsworks.unsw.edu.au/permalink/f/5gm2j3/unsworks_modsunsworks_76724</w:t>
        </w:r>
      </w:hyperlink>
      <w:r>
        <w:t xml:space="preserve"> </w:t>
      </w:r>
    </w:p>
  </w:footnote>
  <w:footnote w:id="17">
    <w:p w14:paraId="710E8CDE" w14:textId="686ED4C1" w:rsidR="00960F29" w:rsidRPr="00A433E4" w:rsidRDefault="00960F29" w:rsidP="005E51EE">
      <w:pPr>
        <w:pStyle w:val="FootnoteText"/>
        <w:rPr>
          <w:lang w:val="en-US"/>
        </w:rPr>
      </w:pPr>
      <w:r>
        <w:rPr>
          <w:rStyle w:val="FootnoteReference"/>
        </w:rPr>
        <w:footnoteRef/>
      </w:r>
      <w:r>
        <w:t xml:space="preserve"> </w:t>
      </w:r>
      <w:r w:rsidRPr="00124A10">
        <w:t xml:space="preserve">Under </w:t>
      </w:r>
      <w:r>
        <w:t xml:space="preserve">these </w:t>
      </w:r>
      <w:r w:rsidRPr="00124A10">
        <w:t>arrangements, service fund</w:t>
      </w:r>
      <w:r>
        <w:t>s</w:t>
      </w:r>
      <w:r w:rsidRPr="00124A10">
        <w:t xml:space="preserve"> </w:t>
      </w:r>
      <w:r>
        <w:t>are</w:t>
      </w:r>
      <w:r w:rsidRPr="00124A10">
        <w:t xml:space="preserve"> allocated to eligible care users</w:t>
      </w:r>
      <w:r>
        <w:t xml:space="preserve">, and </w:t>
      </w:r>
      <w:r w:rsidRPr="00124A10">
        <w:t>organisations compet</w:t>
      </w:r>
      <w:r>
        <w:t>e</w:t>
      </w:r>
      <w:r w:rsidRPr="00124A10">
        <w:t xml:space="preserve"> to </w:t>
      </w:r>
      <w:r>
        <w:t>attract them, including on the basis for price</w:t>
      </w:r>
      <w:r w:rsidRPr="00124A10">
        <w:t xml:space="preserve">. </w:t>
      </w:r>
      <w:r>
        <w:t xml:space="preserve"> Individualised funding has been found to entrench low pay, promote casualisation and fragmented working time arrangements, and exacerbate difficulties attracting and retaining staff. </w:t>
      </w:r>
      <w:hyperlink r:id="rId11" w:anchor="footnote18target" w:history="1"/>
      <w:r>
        <w:t xml:space="preserve">See: </w:t>
      </w:r>
      <w:r w:rsidRPr="00B156E4">
        <w:t xml:space="preserve"> </w:t>
      </w:r>
      <w:r>
        <w:t xml:space="preserve">Joint Standing Committee on the National Disability Insurance Scheme (2020) </w:t>
      </w:r>
      <w:r w:rsidRPr="00466C74">
        <w:rPr>
          <w:i/>
          <w:iCs/>
        </w:rPr>
        <w:t>NDIS Workforce Interim Report</w:t>
      </w:r>
      <w:r>
        <w:t xml:space="preserve">, Parliament of Australia, </w:t>
      </w:r>
      <w:hyperlink r:id="rId12" w:history="1">
        <w:r w:rsidRPr="004769B0">
          <w:rPr>
            <w:rStyle w:val="Hyperlink"/>
          </w:rPr>
          <w:t>https://parlinfo.aph.gov.au/parlInfo/download/committees/reportjnt/024501/toc_pdf/NDISWorkforceInterimReport.pdf;fileType=application%2Fpdf</w:t>
        </w:r>
      </w:hyperlink>
      <w:r>
        <w:rPr>
          <w:rStyle w:val="Hyperlink"/>
        </w:rPr>
        <w:t xml:space="preserve">; </w:t>
      </w:r>
      <w:proofErr w:type="spellStart"/>
      <w:r>
        <w:t>Cortis</w:t>
      </w:r>
      <w:proofErr w:type="spellEnd"/>
      <w:r>
        <w:t xml:space="preserve">, N., Macdonald, F., Davidson, B., and Bentham, E. (2017). </w:t>
      </w:r>
      <w:r w:rsidRPr="00184F40">
        <w:rPr>
          <w:i/>
          <w:iCs/>
        </w:rPr>
        <w:t xml:space="preserve">Reasonable, </w:t>
      </w:r>
      <w:proofErr w:type="gramStart"/>
      <w:r w:rsidRPr="00184F40">
        <w:rPr>
          <w:i/>
          <w:iCs/>
        </w:rPr>
        <w:t>necessary</w:t>
      </w:r>
      <w:proofErr w:type="gramEnd"/>
      <w:r w:rsidRPr="00184F40">
        <w:rPr>
          <w:i/>
          <w:iCs/>
        </w:rPr>
        <w:t xml:space="preserve"> and valued: Pricing disability services for quality support and decent jobs</w:t>
      </w:r>
      <w:r>
        <w:t xml:space="preserve"> (SPRC Report 10/17). Sydney: Social Policy Research Centre, UNSW Sydney.  </w:t>
      </w:r>
      <w:r>
        <w:rPr>
          <w:lang w:val="en-US"/>
        </w:rPr>
        <w:t xml:space="preserve">Productivity Commission (2017) </w:t>
      </w:r>
      <w:r>
        <w:t xml:space="preserve">National Disability Insurance Scheme (NDIS) Costs, </w:t>
      </w:r>
      <w:hyperlink r:id="rId13" w:history="1">
        <w:r w:rsidRPr="00770071">
          <w:rPr>
            <w:rStyle w:val="Hyperlink"/>
          </w:rPr>
          <w:t>https://www.pc.gov.au/inquiries/completed/ndis-costs/report/ndis-costs.pdf</w:t>
        </w:r>
      </w:hyperlink>
    </w:p>
  </w:footnote>
  <w:footnote w:id="18">
    <w:p w14:paraId="74CC0383" w14:textId="77777777" w:rsidR="00960F29" w:rsidRPr="00A433E4" w:rsidRDefault="00960F29" w:rsidP="00743C99">
      <w:pPr>
        <w:pStyle w:val="FootnoteText"/>
        <w:rPr>
          <w:lang w:val="en-US"/>
        </w:rPr>
      </w:pPr>
      <w:r>
        <w:rPr>
          <w:rStyle w:val="FootnoteReference"/>
        </w:rPr>
        <w:footnoteRef/>
      </w:r>
      <w:r>
        <w:t xml:space="preserve"> ACT Government (2021) </w:t>
      </w:r>
      <w:r w:rsidRPr="00466C74">
        <w:rPr>
          <w:i/>
          <w:iCs/>
        </w:rPr>
        <w:t>Commissioning Roadmap For NGO Services in the Community 2021 – 2023</w:t>
      </w:r>
      <w:r>
        <w:t>, v2.3</w:t>
      </w:r>
      <w:r w:rsidRPr="00F70606">
        <w:t xml:space="preserve"> </w:t>
      </w:r>
      <w:r>
        <w:t xml:space="preserve"> </w:t>
      </w:r>
      <w:hyperlink r:id="rId14" w:history="1">
        <w:r w:rsidRPr="004769B0">
          <w:rPr>
            <w:rStyle w:val="Hyperlink"/>
          </w:rPr>
          <w:t>https://www.communityservices.act.gov.au/__data/assets/pdf_file/0006/1815189/ACTHDCSD-Commissioning-Roadmap-2021-2023.pdf</w:t>
        </w:r>
      </w:hyperlink>
    </w:p>
  </w:footnote>
  <w:footnote w:id="19">
    <w:p w14:paraId="20ECE877" w14:textId="77777777" w:rsidR="00960F29" w:rsidRPr="00145D39" w:rsidRDefault="00960F29" w:rsidP="00743C99">
      <w:pPr>
        <w:pStyle w:val="FootnoteText"/>
        <w:rPr>
          <w:lang w:val="en-US"/>
        </w:rPr>
      </w:pPr>
      <w:r>
        <w:rPr>
          <w:rStyle w:val="FootnoteReference"/>
        </w:rPr>
        <w:footnoteRef/>
      </w:r>
      <w:r>
        <w:t xml:space="preserve"> </w:t>
      </w:r>
      <w:r w:rsidRPr="001C0ABB">
        <w:t>Sturgess, G. (</w:t>
      </w:r>
      <w:r>
        <w:rPr>
          <w:rFonts w:hint="eastAsia"/>
        </w:rPr>
        <w:t>2</w:t>
      </w:r>
      <w:r>
        <w:t>018</w:t>
      </w:r>
      <w:r w:rsidRPr="001C0ABB">
        <w:t xml:space="preserve">) Public service commissioning: Origins, influences, and characteristics. </w:t>
      </w:r>
      <w:r w:rsidRPr="001C0ABB">
        <w:rPr>
          <w:i/>
          <w:iCs/>
        </w:rPr>
        <w:t>Policy Design and Practice</w:t>
      </w:r>
      <w:r w:rsidRPr="001C0ABB">
        <w:t>,</w:t>
      </w:r>
      <w:r>
        <w:t xml:space="preserve"> 1(3):155-168</w:t>
      </w:r>
      <w:r w:rsidRPr="001C0ABB">
        <w:t>.</w:t>
      </w:r>
    </w:p>
  </w:footnote>
  <w:footnote w:id="20">
    <w:p w14:paraId="79B5AA93" w14:textId="77777777" w:rsidR="00960F29" w:rsidRPr="006E0C60" w:rsidRDefault="00960F29" w:rsidP="005E51EE">
      <w:pPr>
        <w:pStyle w:val="FootnoteText"/>
        <w:rPr>
          <w:lang w:val="en-US"/>
        </w:rPr>
      </w:pPr>
      <w:r>
        <w:rPr>
          <w:rStyle w:val="FootnoteReference"/>
        </w:rPr>
        <w:footnoteRef/>
      </w:r>
      <w:r>
        <w:t xml:space="preserve"> </w:t>
      </w:r>
      <w:proofErr w:type="spellStart"/>
      <w:r w:rsidRPr="006E0C60">
        <w:t>Cortis</w:t>
      </w:r>
      <w:proofErr w:type="spellEnd"/>
      <w:r w:rsidRPr="006E0C60">
        <w:t>, N. (2017)</w:t>
      </w:r>
      <w:r>
        <w:t xml:space="preserve"> </w:t>
      </w:r>
      <w:r w:rsidRPr="006E0C60">
        <w:t xml:space="preserve">Access to philanthropic and commercial income among </w:t>
      </w:r>
      <w:proofErr w:type="spellStart"/>
      <w:r w:rsidRPr="006E0C60">
        <w:t>nonprofit</w:t>
      </w:r>
      <w:proofErr w:type="spellEnd"/>
      <w:r w:rsidRPr="006E0C60">
        <w:t xml:space="preserve"> community service organisations. </w:t>
      </w:r>
      <w:proofErr w:type="spellStart"/>
      <w:r w:rsidRPr="00B34107">
        <w:rPr>
          <w:i/>
          <w:iCs/>
        </w:rPr>
        <w:t>Voluntas</w:t>
      </w:r>
      <w:proofErr w:type="spellEnd"/>
      <w:r w:rsidRPr="00B34107">
        <w:rPr>
          <w:i/>
          <w:iCs/>
        </w:rPr>
        <w:t xml:space="preserve">: International Journal of Voluntary and </w:t>
      </w:r>
      <w:proofErr w:type="spellStart"/>
      <w:r w:rsidRPr="00B34107">
        <w:rPr>
          <w:i/>
          <w:iCs/>
        </w:rPr>
        <w:t>Nonprofit</w:t>
      </w:r>
      <w:proofErr w:type="spellEnd"/>
      <w:r w:rsidRPr="00B34107">
        <w:rPr>
          <w:i/>
          <w:iCs/>
        </w:rPr>
        <w:t xml:space="preserve"> Organizations</w:t>
      </w:r>
      <w:r w:rsidRPr="006E0C60">
        <w:t>, 28,</w:t>
      </w:r>
      <w:r>
        <w:t xml:space="preserve"> </w:t>
      </w:r>
      <w:r w:rsidRPr="006E0C60">
        <w:t>798-821.</w:t>
      </w:r>
      <w:r>
        <w:t xml:space="preserve"> </w:t>
      </w:r>
      <w:r w:rsidRPr="00347EC2">
        <w:t>D</w:t>
      </w:r>
      <w:r>
        <w:t xml:space="preserve">OI: </w:t>
      </w:r>
      <w:r w:rsidRPr="00347EC2">
        <w:t>10.1177/0899764018815619</w:t>
      </w:r>
    </w:p>
  </w:footnote>
  <w:footnote w:id="21">
    <w:p w14:paraId="7F8C8F9F" w14:textId="07D6FC81" w:rsidR="00960F29" w:rsidRPr="007E3518" w:rsidRDefault="00960F29" w:rsidP="008D4D62">
      <w:pPr>
        <w:pStyle w:val="FootnoteText"/>
        <w:rPr>
          <w:lang w:val="en-US"/>
        </w:rPr>
      </w:pPr>
      <w:r>
        <w:rPr>
          <w:rStyle w:val="FootnoteReference"/>
        </w:rPr>
        <w:footnoteRef/>
      </w:r>
      <w:r>
        <w:t xml:space="preserve"> Comparison is between 2021 and 2016 because 2016 was the last time this information was collected from ACT organisations, see </w:t>
      </w:r>
      <w:proofErr w:type="spellStart"/>
      <w:r>
        <w:t>Cortis</w:t>
      </w:r>
      <w:proofErr w:type="spellEnd"/>
      <w:r>
        <w:t xml:space="preserve">, N. and Blaxland, M. (2016). </w:t>
      </w:r>
      <w:r w:rsidRPr="00FB4FEC">
        <w:rPr>
          <w:i/>
          <w:iCs/>
        </w:rPr>
        <w:t>The State of the Community Service Sector in the Australian Capital Territory, 2016</w:t>
      </w:r>
      <w:r>
        <w:t xml:space="preserve"> (SPRC Report 19/16). Sydney: Social Policy Research Centre, UNSW Australia.  </w:t>
      </w:r>
      <w:hyperlink r:id="rId15" w:history="1">
        <w:r w:rsidRPr="00D65F68">
          <w:rPr>
            <w:rStyle w:val="Hyperlink"/>
          </w:rPr>
          <w:t>https://www.actcoss.org.au/sites/default/files/public/publications/2016-report-state-of-the-community-service-sector-act.pdf</w:t>
        </w:r>
      </w:hyperlink>
      <w:r>
        <w:rPr>
          <w:rStyle w:val="Hyperlink"/>
        </w:rPr>
        <w:t xml:space="preserve">. </w:t>
      </w:r>
      <w:r>
        <w:rPr>
          <w:lang w:val="en-US"/>
        </w:rPr>
        <w:t xml:space="preserve">Note that in both years, </w:t>
      </w:r>
      <w:r>
        <w:t>questions were asked generally, and not in relation to a specific ACT funding allocation.</w:t>
      </w:r>
    </w:p>
  </w:footnote>
  <w:footnote w:id="22">
    <w:p w14:paraId="33928906" w14:textId="77777777" w:rsidR="00E405AF" w:rsidRDefault="00960F29" w:rsidP="00C50FC1">
      <w:pPr>
        <w:pStyle w:val="BodyText"/>
      </w:pPr>
      <w:r>
        <w:rPr>
          <w:rStyle w:val="FootnoteReference"/>
        </w:rPr>
        <w:footnoteRef/>
      </w:r>
      <w:r>
        <w:t xml:space="preserve"> </w:t>
      </w:r>
      <w:r>
        <w:rPr>
          <w:lang w:val="en-US"/>
        </w:rPr>
        <w:t xml:space="preserve">For information on Community Services Directorate spending on grants and purchased services over the last five years, see </w:t>
      </w:r>
      <w:r>
        <w:rPr>
          <w:lang w:val="en-US"/>
        </w:rPr>
        <w:fldChar w:fldCharType="begin"/>
      </w:r>
      <w:r>
        <w:rPr>
          <w:lang w:val="en-US"/>
        </w:rPr>
        <w:instrText xml:space="preserve"> REF _Ref88810856 \h </w:instrText>
      </w:r>
      <w:r>
        <w:rPr>
          <w:lang w:val="en-US"/>
        </w:rPr>
      </w:r>
      <w:r>
        <w:rPr>
          <w:lang w:val="en-US"/>
        </w:rPr>
        <w:fldChar w:fldCharType="separate"/>
      </w:r>
    </w:p>
    <w:p w14:paraId="5B9E6582" w14:textId="5ACDC45F" w:rsidR="00960F29" w:rsidRPr="00250F99" w:rsidRDefault="00E405AF" w:rsidP="008D4D62">
      <w:pPr>
        <w:pStyle w:val="FootnoteText"/>
        <w:rPr>
          <w:lang w:val="en-US"/>
        </w:rPr>
      </w:pPr>
      <w:r>
        <w:t xml:space="preserve">Table C. </w:t>
      </w:r>
      <w:r>
        <w:rPr>
          <w:noProof/>
        </w:rPr>
        <w:t>2</w:t>
      </w:r>
      <w:r w:rsidR="00960F29">
        <w:rPr>
          <w:lang w:val="en-US"/>
        </w:rPr>
        <w:fldChar w:fldCharType="end"/>
      </w:r>
      <w:r w:rsidR="00960F29">
        <w:rPr>
          <w:lang w:val="en-US"/>
        </w:rPr>
        <w:t>.</w:t>
      </w:r>
    </w:p>
  </w:footnote>
  <w:footnote w:id="23">
    <w:p w14:paraId="31AB06CD" w14:textId="7C7A39A4" w:rsidR="00960F29" w:rsidRPr="00583FE4" w:rsidRDefault="00960F29">
      <w:pPr>
        <w:pStyle w:val="FootnoteText"/>
        <w:rPr>
          <w:lang w:val="en-US"/>
        </w:rPr>
      </w:pPr>
      <w:r>
        <w:rPr>
          <w:rStyle w:val="FootnoteReference"/>
        </w:rPr>
        <w:footnoteRef/>
      </w:r>
      <w:r>
        <w:t xml:space="preserve"> For example, program responsibility moves across government agencies; responsibilities shift between levels of government, and delivery may shift between the community sector and government.</w:t>
      </w:r>
    </w:p>
  </w:footnote>
  <w:footnote w:id="24">
    <w:p w14:paraId="6129FE4A" w14:textId="4290C3F3" w:rsidR="00960F29" w:rsidRPr="00DE6904" w:rsidRDefault="00960F29">
      <w:pPr>
        <w:pStyle w:val="FootnoteText"/>
        <w:rPr>
          <w:lang w:val="en-US"/>
        </w:rPr>
      </w:pPr>
      <w:r>
        <w:rPr>
          <w:rStyle w:val="FootnoteReference"/>
        </w:rPr>
        <w:footnoteRef/>
      </w:r>
      <w:r>
        <w:t xml:space="preserve"> ACT Government (2019) </w:t>
      </w:r>
      <w:r w:rsidRPr="00466C74">
        <w:rPr>
          <w:i/>
          <w:iCs/>
        </w:rPr>
        <w:t>ACT Population Projections</w:t>
      </w:r>
      <w:r>
        <w:t xml:space="preserve">, 2018 to 2058. </w:t>
      </w:r>
      <w:hyperlink r:id="rId16" w:history="1">
        <w:r w:rsidRPr="00556A27">
          <w:rPr>
            <w:rStyle w:val="Hyperlink"/>
          </w:rPr>
          <w:t>https://apps.treasury.act.gov.au/__data/assets/pdf_file/0005/1305581/ACT-Population-Projections-Paper-FINAL.pdf</w:t>
        </w:r>
      </w:hyperlink>
    </w:p>
  </w:footnote>
  <w:footnote w:id="25">
    <w:p w14:paraId="1D8146B4" w14:textId="77777777" w:rsidR="00960F29" w:rsidRPr="00B062EE" w:rsidRDefault="00960F29" w:rsidP="00DA6773">
      <w:pPr>
        <w:pStyle w:val="FootnoteText"/>
        <w:rPr>
          <w:lang w:val="en-US"/>
        </w:rPr>
      </w:pPr>
      <w:r>
        <w:rPr>
          <w:rStyle w:val="FootnoteReference"/>
        </w:rPr>
        <w:footnoteRef/>
      </w:r>
      <w:r>
        <w:t xml:space="preserve"> </w:t>
      </w:r>
      <w:r>
        <w:rPr>
          <w:lang w:val="en-US"/>
        </w:rPr>
        <w:t xml:space="preserve">ABS (2021) </w:t>
      </w:r>
      <w:r w:rsidRPr="00B062EE">
        <w:rPr>
          <w:i/>
          <w:iCs/>
          <w:lang w:val="en-US"/>
        </w:rPr>
        <w:t>National, State and Territory Population</w:t>
      </w:r>
      <w:r>
        <w:rPr>
          <w:lang w:val="en-US"/>
        </w:rPr>
        <w:t xml:space="preserve">, December 2020.  </w:t>
      </w:r>
      <w:hyperlink r:id="rId17" w:anchor="states-and-territories" w:history="1">
        <w:r w:rsidRPr="00B21E85">
          <w:rPr>
            <w:rStyle w:val="Hyperlink"/>
            <w:lang w:val="en-US"/>
          </w:rPr>
          <w:t>https://www.abs.gov.au/statistics/people/population/national-state-and-territory-population/latest-release#states-and-territories</w:t>
        </w:r>
      </w:hyperlink>
    </w:p>
  </w:footnote>
  <w:footnote w:id="26">
    <w:p w14:paraId="03823C4A" w14:textId="6D21ED0C" w:rsidR="00960F29" w:rsidRPr="00DA379D" w:rsidRDefault="00960F29" w:rsidP="00DA6773">
      <w:pPr>
        <w:pStyle w:val="FootnoteText"/>
        <w:rPr>
          <w:lang w:val="en-US"/>
        </w:rPr>
      </w:pPr>
      <w:r>
        <w:rPr>
          <w:rStyle w:val="FootnoteReference"/>
        </w:rPr>
        <w:footnoteRef/>
      </w:r>
      <w:r>
        <w:t xml:space="preserve"> In the years from 2016 and 2031. ABS (2019) </w:t>
      </w:r>
      <w:r w:rsidRPr="00C35436">
        <w:rPr>
          <w:i/>
          <w:iCs/>
        </w:rPr>
        <w:t>Estimates and Projections, Aboriginal and Torres Strait Islander Australians.</w:t>
      </w:r>
      <w:r>
        <w:t xml:space="preserve"> </w:t>
      </w:r>
      <w:hyperlink r:id="rId18" w:history="1">
        <w:r w:rsidRPr="00EB2EAC">
          <w:rPr>
            <w:rStyle w:val="Hyperlink"/>
          </w:rPr>
          <w:t>https://www.abs.gov.au/statistics/people/aboriginal-and-torres-strait-islander-peoples/estimates-and-projections-aboriginal-and-torres-strait-islander-australians/2006-2031</w:t>
        </w:r>
      </w:hyperlink>
    </w:p>
  </w:footnote>
  <w:footnote w:id="27">
    <w:p w14:paraId="364F8EA4" w14:textId="77777777" w:rsidR="00960F29" w:rsidRPr="00DA379D" w:rsidRDefault="00960F29" w:rsidP="00DA6773">
      <w:pPr>
        <w:pStyle w:val="FootnoteText"/>
        <w:rPr>
          <w:lang w:val="en-US"/>
        </w:rPr>
      </w:pPr>
      <w:r>
        <w:rPr>
          <w:rStyle w:val="FootnoteReference"/>
        </w:rPr>
        <w:footnoteRef/>
      </w:r>
      <w:r>
        <w:t xml:space="preserve"> </w:t>
      </w:r>
      <w:hyperlink r:id="rId19" w:history="1">
        <w:r w:rsidRPr="00190165">
          <w:rPr>
            <w:rStyle w:val="Hyperlink"/>
          </w:rPr>
          <w:t>https://www.communityservices.act.gov.au/__data/assets/pdf_file/0004/1282810/ACT-Multicultural-Community-Profile-2016.pdf</w:t>
        </w:r>
      </w:hyperlink>
    </w:p>
  </w:footnote>
  <w:footnote w:id="28">
    <w:p w14:paraId="2520066B" w14:textId="10DEF105" w:rsidR="00960F29" w:rsidRPr="009838DA" w:rsidRDefault="00960F29" w:rsidP="00DA6773">
      <w:pPr>
        <w:pStyle w:val="FootnoteText"/>
        <w:rPr>
          <w:lang w:val="en-US"/>
        </w:rPr>
      </w:pPr>
      <w:r>
        <w:rPr>
          <w:rStyle w:val="FootnoteReference"/>
        </w:rPr>
        <w:footnoteRef/>
      </w:r>
      <w:r>
        <w:t xml:space="preserve"> </w:t>
      </w:r>
      <w:r w:rsidRPr="00C41F4F">
        <w:t>As of 20 September 2021</w:t>
      </w:r>
      <w:r>
        <w:t xml:space="preserve">. Australian Government, </w:t>
      </w:r>
      <w:r w:rsidRPr="00466C74">
        <w:rPr>
          <w:i/>
          <w:iCs/>
        </w:rPr>
        <w:t>Operation COVID Shield COVID-19 Vaccine Roll-out</w:t>
      </w:r>
      <w:r>
        <w:t xml:space="preserve">, 20 September 2021, </w:t>
      </w:r>
      <w:hyperlink r:id="rId20" w:history="1">
        <w:r w:rsidRPr="004769B0">
          <w:rPr>
            <w:rStyle w:val="Hyperlink"/>
          </w:rPr>
          <w:t>https://www.health.gov.au/sites/default/files/documents/2021/09/covid-19-vaccine-rollout-update-20-september-2021.pdf</w:t>
        </w:r>
      </w:hyperlink>
    </w:p>
  </w:footnote>
  <w:footnote w:id="29">
    <w:p w14:paraId="58A2EC5E" w14:textId="40C78121" w:rsidR="00960F29" w:rsidRPr="007A32E3" w:rsidRDefault="00960F29" w:rsidP="00DA6773">
      <w:pPr>
        <w:pStyle w:val="FootnoteText"/>
        <w:rPr>
          <w:lang w:val="en-US"/>
        </w:rPr>
      </w:pPr>
      <w:r>
        <w:rPr>
          <w:rStyle w:val="FootnoteReference"/>
        </w:rPr>
        <w:footnoteRef/>
      </w:r>
      <w:r>
        <w:t xml:space="preserve"> </w:t>
      </w:r>
      <w:r>
        <w:rPr>
          <w:lang w:val="en-US"/>
        </w:rPr>
        <w:t xml:space="preserve">This is calculated based on electorate based interactive data maps provided by the ACOSS-UNSW </w:t>
      </w:r>
      <w:r w:rsidRPr="00237CC5">
        <w:rPr>
          <w:i/>
          <w:iCs/>
          <w:lang w:val="en-US"/>
        </w:rPr>
        <w:t xml:space="preserve">Poverty and Inequality </w:t>
      </w:r>
      <w:r>
        <w:rPr>
          <w:i/>
          <w:iCs/>
          <w:lang w:val="en-US"/>
        </w:rPr>
        <w:t>P</w:t>
      </w:r>
      <w:r w:rsidRPr="00237CC5">
        <w:rPr>
          <w:i/>
          <w:iCs/>
          <w:lang w:val="en-US"/>
        </w:rPr>
        <w:t>artnership</w:t>
      </w:r>
      <w:r>
        <w:rPr>
          <w:lang w:val="en-US"/>
        </w:rPr>
        <w:t xml:space="preserve"> at </w:t>
      </w:r>
      <w:hyperlink r:id="rId21" w:history="1">
        <w:r w:rsidRPr="00945AE8">
          <w:rPr>
            <w:rStyle w:val="Hyperlink"/>
            <w:lang w:val="en-US"/>
          </w:rPr>
          <w:t>https://povertyandinequality.acoss.org.au/covid_maps-2/</w:t>
        </w:r>
      </w:hyperlink>
      <w:r>
        <w:rPr>
          <w:lang w:val="en-US"/>
        </w:rPr>
        <w:t>. Figures for the three electorates were: 6092 (</w:t>
      </w:r>
      <w:proofErr w:type="spellStart"/>
      <w:r>
        <w:rPr>
          <w:lang w:val="en-US"/>
        </w:rPr>
        <w:t>Fenner</w:t>
      </w:r>
      <w:proofErr w:type="spellEnd"/>
      <w:r>
        <w:rPr>
          <w:lang w:val="en-US"/>
        </w:rPr>
        <w:t xml:space="preserve">), 5111 (Bean) and 6111 (Canberra). </w:t>
      </w:r>
    </w:p>
  </w:footnote>
  <w:footnote w:id="30">
    <w:p w14:paraId="7D52C682" w14:textId="77777777" w:rsidR="00960F29" w:rsidRPr="00E9103F" w:rsidRDefault="00960F29" w:rsidP="00DA6773">
      <w:pPr>
        <w:pStyle w:val="FootnoteText"/>
        <w:rPr>
          <w:lang w:val="en-US"/>
        </w:rPr>
      </w:pPr>
      <w:r>
        <w:rPr>
          <w:rStyle w:val="FootnoteReference"/>
        </w:rPr>
        <w:footnoteRef/>
      </w:r>
      <w:r>
        <w:t xml:space="preserve"> </w:t>
      </w:r>
      <w:hyperlink r:id="rId22" w:history="1">
        <w:r w:rsidRPr="00E04553">
          <w:rPr>
            <w:rStyle w:val="Hyperlink"/>
          </w:rPr>
          <w:t>https://www.actcoss.org.au/sites/default/files/public/publications/2021-report-ACT-Cost-of-Living.pdf</w:t>
        </w:r>
      </w:hyperlink>
    </w:p>
  </w:footnote>
  <w:footnote w:id="31">
    <w:p w14:paraId="6B966CCC" w14:textId="77777777" w:rsidR="00960F29" w:rsidRPr="0097659C" w:rsidRDefault="00960F29" w:rsidP="00DA6773">
      <w:pPr>
        <w:pStyle w:val="FootnoteText"/>
        <w:rPr>
          <w:lang w:val="en-US"/>
        </w:rPr>
      </w:pPr>
      <w:r>
        <w:rPr>
          <w:rStyle w:val="FootnoteReference"/>
        </w:rPr>
        <w:footnoteRef/>
      </w:r>
      <w:r>
        <w:t xml:space="preserve"> </w:t>
      </w:r>
      <w:r>
        <w:rPr>
          <w:lang w:val="en-US"/>
        </w:rPr>
        <w:t xml:space="preserve">ABS (2017) </w:t>
      </w:r>
      <w:r w:rsidRPr="00466C74">
        <w:rPr>
          <w:i/>
          <w:iCs/>
          <w:lang w:val="en-US"/>
        </w:rPr>
        <w:t>Household Expenditure Survey, Australia: Summary of Results</w:t>
      </w:r>
      <w:r>
        <w:rPr>
          <w:lang w:val="en-US"/>
        </w:rPr>
        <w:t xml:space="preserve">, 2015-16. </w:t>
      </w:r>
    </w:p>
  </w:footnote>
  <w:footnote w:id="32">
    <w:p w14:paraId="04D8CCD1" w14:textId="46BA1ABE" w:rsidR="00960F29" w:rsidRPr="00A46A3C" w:rsidRDefault="00960F29" w:rsidP="00DA6773">
      <w:pPr>
        <w:pStyle w:val="FootnoteText"/>
        <w:rPr>
          <w:lang w:val="en-US"/>
        </w:rPr>
      </w:pPr>
      <w:r>
        <w:rPr>
          <w:rStyle w:val="FootnoteReference"/>
        </w:rPr>
        <w:footnoteRef/>
      </w:r>
      <w:r>
        <w:t xml:space="preserve"> ACT Community Services (2021) </w:t>
      </w:r>
      <w:r w:rsidRPr="00466C74">
        <w:rPr>
          <w:i/>
          <w:iCs/>
        </w:rPr>
        <w:t>Waiting Lists</w:t>
      </w:r>
      <w:r>
        <w:t xml:space="preserve">, 4 October 2021 </w:t>
      </w:r>
      <w:hyperlink r:id="rId23" w:history="1">
        <w:r w:rsidRPr="001F0D7A">
          <w:rPr>
            <w:rStyle w:val="Hyperlink"/>
          </w:rPr>
          <w:t>https://www.communityservices.act.gov.au/hcs/services/social_housing/waiting_lists</w:t>
        </w:r>
      </w:hyperlink>
    </w:p>
  </w:footnote>
  <w:footnote w:id="33">
    <w:p w14:paraId="0C362766" w14:textId="77777777" w:rsidR="00960F29" w:rsidRPr="00A46A3C" w:rsidRDefault="00960F29" w:rsidP="00DA6773">
      <w:pPr>
        <w:pStyle w:val="FootnoteText"/>
        <w:rPr>
          <w:lang w:val="en-US"/>
        </w:rPr>
      </w:pPr>
      <w:r>
        <w:rPr>
          <w:rStyle w:val="FootnoteReference"/>
        </w:rPr>
        <w:footnoteRef/>
      </w:r>
      <w:r>
        <w:t xml:space="preserve"> Productivity Commission (2021) </w:t>
      </w:r>
      <w:r w:rsidRPr="00466C74">
        <w:rPr>
          <w:i/>
          <w:iCs/>
        </w:rPr>
        <w:t>Report on Government Services</w:t>
      </w:r>
      <w:r>
        <w:t xml:space="preserve">, </w:t>
      </w:r>
      <w:r>
        <w:rPr>
          <w:lang w:val="en-US"/>
        </w:rPr>
        <w:t>Table 19A.2</w:t>
      </w:r>
    </w:p>
  </w:footnote>
  <w:footnote w:id="34">
    <w:p w14:paraId="149233BF" w14:textId="30FDFD10" w:rsidR="00960F29" w:rsidRPr="000F41BE" w:rsidRDefault="00960F29" w:rsidP="000F41BE">
      <w:pPr>
        <w:pStyle w:val="BodyText"/>
        <w:spacing w:after="0" w:line="240" w:lineRule="auto"/>
        <w:rPr>
          <w:rStyle w:val="Hyperlink"/>
          <w:rFonts w:cs="MetaPlusNormal-Roman"/>
          <w:color w:val="auto"/>
          <w:sz w:val="18"/>
          <w:szCs w:val="20"/>
          <w:u w:val="none"/>
        </w:rPr>
      </w:pPr>
      <w:r>
        <w:rPr>
          <w:rStyle w:val="FootnoteReference"/>
        </w:rPr>
        <w:footnoteRef/>
      </w:r>
      <w:r>
        <w:t xml:space="preserve"> </w:t>
      </w:r>
      <w:r w:rsidRPr="000F41BE">
        <w:rPr>
          <w:rStyle w:val="Hyperlink"/>
          <w:rFonts w:cs="MetaPlusNormal-Roman"/>
          <w:color w:val="auto"/>
          <w:sz w:val="18"/>
          <w:szCs w:val="20"/>
          <w:u w:val="none"/>
        </w:rPr>
        <w:t xml:space="preserve">Anglicare </w:t>
      </w:r>
      <w:r>
        <w:rPr>
          <w:rStyle w:val="Hyperlink"/>
          <w:rFonts w:cs="MetaPlusNormal-Roman"/>
          <w:color w:val="auto"/>
          <w:sz w:val="18"/>
          <w:szCs w:val="20"/>
          <w:u w:val="none"/>
        </w:rPr>
        <w:t>(</w:t>
      </w:r>
      <w:r w:rsidRPr="000F41BE">
        <w:rPr>
          <w:rStyle w:val="Hyperlink"/>
          <w:rFonts w:cs="MetaPlusNormal-Roman"/>
          <w:color w:val="auto"/>
          <w:sz w:val="18"/>
          <w:szCs w:val="20"/>
          <w:u w:val="none"/>
        </w:rPr>
        <w:t>2021</w:t>
      </w:r>
      <w:r>
        <w:rPr>
          <w:rStyle w:val="Hyperlink"/>
          <w:rFonts w:cs="MetaPlusNormal-Roman"/>
          <w:color w:val="auto"/>
          <w:sz w:val="18"/>
          <w:szCs w:val="20"/>
          <w:u w:val="none"/>
        </w:rPr>
        <w:t>)</w:t>
      </w:r>
      <w:r w:rsidRPr="000F41BE">
        <w:rPr>
          <w:rStyle w:val="Hyperlink"/>
          <w:rFonts w:cs="MetaPlusNormal-Roman"/>
          <w:color w:val="auto"/>
          <w:sz w:val="18"/>
          <w:szCs w:val="20"/>
          <w:u w:val="none"/>
        </w:rPr>
        <w:t xml:space="preserve"> Anglicare Research: </w:t>
      </w:r>
      <w:r w:rsidRPr="000F41BE">
        <w:rPr>
          <w:rStyle w:val="Hyperlink"/>
          <w:rFonts w:cs="MetaPlusNormal-Roman"/>
          <w:i/>
          <w:iCs/>
          <w:color w:val="auto"/>
          <w:sz w:val="18"/>
          <w:szCs w:val="20"/>
          <w:u w:val="none"/>
        </w:rPr>
        <w:t>Rental Affordability forcing more Canberrans into financial hardship,</w:t>
      </w:r>
      <w:r w:rsidRPr="000F41BE">
        <w:rPr>
          <w:rStyle w:val="Hyperlink"/>
          <w:rFonts w:cs="MetaPlusNormal-Roman"/>
          <w:color w:val="auto"/>
          <w:sz w:val="18"/>
          <w:szCs w:val="20"/>
          <w:u w:val="none"/>
        </w:rPr>
        <w:t xml:space="preserve"> 29 April</w:t>
      </w:r>
      <w:r>
        <w:rPr>
          <w:rStyle w:val="Hyperlink"/>
          <w:rFonts w:cs="MetaPlusNormal-Roman"/>
          <w:color w:val="auto"/>
          <w:sz w:val="18"/>
          <w:szCs w:val="20"/>
          <w:u w:val="none"/>
        </w:rPr>
        <w:t xml:space="preserve">. </w:t>
      </w:r>
      <w:hyperlink r:id="rId24" w:history="1">
        <w:r w:rsidRPr="00C156BF">
          <w:rPr>
            <w:rStyle w:val="Hyperlink"/>
            <w:rFonts w:cs="MetaPlusNormal-Roman"/>
            <w:sz w:val="18"/>
            <w:szCs w:val="20"/>
          </w:rPr>
          <w:t>https://www.anglicare.com.au/anglicare-research-rental-affordability-forcing-more-canberrans-into-financial-hardship/</w:t>
        </w:r>
      </w:hyperlink>
    </w:p>
  </w:footnote>
  <w:footnote w:id="35">
    <w:p w14:paraId="47D7E8FF" w14:textId="5FB57F22" w:rsidR="00960F29" w:rsidRPr="00F91866" w:rsidRDefault="00960F29" w:rsidP="00DA6773">
      <w:pPr>
        <w:pStyle w:val="FootnoteText"/>
        <w:rPr>
          <w:rStyle w:val="Hyperlink"/>
        </w:rPr>
      </w:pPr>
      <w:r w:rsidRPr="00F91866">
        <w:rPr>
          <w:rStyle w:val="FootnoteReference"/>
        </w:rPr>
        <w:footnoteRef/>
      </w:r>
      <w:r w:rsidRPr="00F91866">
        <w:rPr>
          <w:rStyle w:val="FootnoteReference"/>
        </w:rPr>
        <w:t xml:space="preserve"> </w:t>
      </w:r>
      <w:r w:rsidRPr="00F91866">
        <w:rPr>
          <w:rStyle w:val="Hyperlink"/>
          <w:color w:val="auto"/>
          <w:u w:val="none"/>
        </w:rPr>
        <w:t xml:space="preserve">Productivity Commission (2021) </w:t>
      </w:r>
      <w:r w:rsidRPr="00466C74">
        <w:rPr>
          <w:rStyle w:val="Hyperlink"/>
          <w:i/>
          <w:iCs/>
          <w:color w:val="auto"/>
          <w:u w:val="none"/>
        </w:rPr>
        <w:t>Report on Government Services,</w:t>
      </w:r>
      <w:r w:rsidRPr="00F91866">
        <w:rPr>
          <w:rStyle w:val="Hyperlink"/>
          <w:color w:val="auto"/>
          <w:u w:val="none"/>
        </w:rPr>
        <w:t xml:space="preserve"> ROGS Table GA.3, cited in ACTCOSS (2021) 2021 ACT Cost of Living Report, p14.</w:t>
      </w:r>
      <w:r w:rsidRPr="00F91866">
        <w:rPr>
          <w:rStyle w:val="Hyperlink"/>
          <w:color w:val="auto"/>
        </w:rPr>
        <w:t xml:space="preserve"> </w:t>
      </w:r>
      <w:hyperlink r:id="rId25" w:history="1">
        <w:r w:rsidRPr="00E04553">
          <w:rPr>
            <w:rStyle w:val="Hyperlink"/>
          </w:rPr>
          <w:t>https://www.actcoss.org.au/sites/default/files/public/publications/2021-report-ACT-Cost-of-Living.pdf</w:t>
        </w:r>
      </w:hyperlink>
    </w:p>
  </w:footnote>
  <w:footnote w:id="36">
    <w:p w14:paraId="41126AD5" w14:textId="77777777" w:rsidR="00960F29" w:rsidRPr="0017346F" w:rsidRDefault="00960F29" w:rsidP="00DA6773">
      <w:pPr>
        <w:pStyle w:val="FootnoteText"/>
        <w:rPr>
          <w:lang w:val="en-US"/>
        </w:rPr>
      </w:pPr>
      <w:r>
        <w:rPr>
          <w:rStyle w:val="FootnoteReference"/>
        </w:rPr>
        <w:footnoteRef/>
      </w:r>
      <w:r>
        <w:t xml:space="preserve"> </w:t>
      </w:r>
      <w:r w:rsidRPr="00F91866">
        <w:rPr>
          <w:rStyle w:val="Hyperlink"/>
          <w:color w:val="auto"/>
          <w:u w:val="none"/>
        </w:rPr>
        <w:t xml:space="preserve">Productivity Commission (2021) </w:t>
      </w:r>
      <w:r w:rsidRPr="00534327">
        <w:rPr>
          <w:rStyle w:val="Hyperlink"/>
          <w:i/>
          <w:iCs/>
          <w:color w:val="auto"/>
          <w:u w:val="none"/>
        </w:rPr>
        <w:t>Report on Government Services</w:t>
      </w:r>
      <w:r w:rsidRPr="00F91866">
        <w:rPr>
          <w:rStyle w:val="Hyperlink"/>
          <w:color w:val="auto"/>
          <w:u w:val="none"/>
        </w:rPr>
        <w:t>, ROGS Table</w:t>
      </w:r>
      <w:r>
        <w:rPr>
          <w:rStyle w:val="Hyperlink"/>
          <w:color w:val="auto"/>
          <w:u w:val="none"/>
        </w:rPr>
        <w:t xml:space="preserve"> 19A.18.</w:t>
      </w:r>
      <w:r w:rsidRPr="0017346F">
        <w:t xml:space="preserve"> </w:t>
      </w:r>
      <w:r>
        <w:t xml:space="preserve"> </w:t>
      </w:r>
      <w:hyperlink r:id="rId26" w:history="1">
        <w:r w:rsidRPr="00945AE8">
          <w:rPr>
            <w:rStyle w:val="Hyperlink"/>
          </w:rPr>
          <w:t>https://www.pc.gov.au/research/ongoing/report-on-government-services/2021/housing-and-homelessness/homelessness-services</w:t>
        </w:r>
      </w:hyperlink>
    </w:p>
  </w:footnote>
  <w:footnote w:id="37">
    <w:p w14:paraId="7A99524E" w14:textId="77777777" w:rsidR="00960F29" w:rsidRPr="0017346F" w:rsidRDefault="00960F29" w:rsidP="00DA6773">
      <w:pPr>
        <w:pStyle w:val="FootnoteText"/>
        <w:rPr>
          <w:lang w:val="en-US"/>
        </w:rPr>
      </w:pPr>
      <w:r>
        <w:rPr>
          <w:rStyle w:val="FootnoteReference"/>
        </w:rPr>
        <w:footnoteRef/>
      </w:r>
      <w:r>
        <w:t xml:space="preserve"> </w:t>
      </w:r>
      <w:r w:rsidRPr="00F91866">
        <w:rPr>
          <w:rStyle w:val="Hyperlink"/>
          <w:color w:val="auto"/>
          <w:u w:val="none"/>
        </w:rPr>
        <w:t xml:space="preserve">Productivity Commission (2021) </w:t>
      </w:r>
      <w:r w:rsidRPr="00534327">
        <w:rPr>
          <w:rStyle w:val="Hyperlink"/>
          <w:i/>
          <w:iCs/>
          <w:color w:val="auto"/>
          <w:u w:val="none"/>
        </w:rPr>
        <w:t>Report on Government Services</w:t>
      </w:r>
      <w:r w:rsidRPr="00F91866">
        <w:rPr>
          <w:rStyle w:val="Hyperlink"/>
          <w:color w:val="auto"/>
          <w:u w:val="none"/>
        </w:rPr>
        <w:t>, ROGS Table</w:t>
      </w:r>
      <w:r>
        <w:rPr>
          <w:rStyle w:val="Hyperlink"/>
          <w:color w:val="auto"/>
          <w:u w:val="none"/>
        </w:rPr>
        <w:t xml:space="preserve"> 19A.1. </w:t>
      </w:r>
      <w:hyperlink r:id="rId27" w:history="1">
        <w:r w:rsidRPr="004769B0">
          <w:rPr>
            <w:rStyle w:val="Hyperlink"/>
          </w:rPr>
          <w:t>https://www.pc.gov.au/research/ongoing/report-on-government-services/2021/housing-and-homelessness/homelessness-services</w:t>
        </w:r>
      </w:hyperlink>
    </w:p>
  </w:footnote>
  <w:footnote w:id="38">
    <w:p w14:paraId="66F76DE0" w14:textId="026DD525" w:rsidR="00960F29" w:rsidRPr="00534327" w:rsidRDefault="00960F29" w:rsidP="00DA6773">
      <w:pPr>
        <w:pStyle w:val="FootnoteText"/>
        <w:rPr>
          <w:rStyle w:val="Hyperlink"/>
          <w:color w:val="auto"/>
          <w:u w:val="none"/>
        </w:rPr>
      </w:pPr>
      <w:r>
        <w:rPr>
          <w:rStyle w:val="FootnoteReference"/>
        </w:rPr>
        <w:footnoteRef/>
      </w:r>
      <w:r>
        <w:t xml:space="preserve"> Unmet need among </w:t>
      </w:r>
      <w:r w:rsidRPr="003A6C41">
        <w:t>Aboriginal and Torres Strait Islander clients</w:t>
      </w:r>
      <w:r>
        <w:t xml:space="preserve"> increased </w:t>
      </w:r>
      <w:r w:rsidRPr="003A6C41">
        <w:t>from 2.1% to 11.6%</w:t>
      </w:r>
      <w:r>
        <w:t>. F</w:t>
      </w:r>
      <w:r w:rsidRPr="003A6C41">
        <w:t xml:space="preserve">or clients born outside the main </w:t>
      </w:r>
      <w:proofErr w:type="gramStart"/>
      <w:r w:rsidRPr="003A6C41">
        <w:t>English speaking</w:t>
      </w:r>
      <w:proofErr w:type="gramEnd"/>
      <w:r w:rsidRPr="003A6C41">
        <w:t xml:space="preserve"> countries</w:t>
      </w:r>
      <w:r>
        <w:t xml:space="preserve">, unmet need rose </w:t>
      </w:r>
      <w:r w:rsidRPr="003A6C41">
        <w:t>from 4% to 15%</w:t>
      </w:r>
      <w:r>
        <w:t>.</w:t>
      </w:r>
      <w:r w:rsidRPr="003A6C41">
        <w:t xml:space="preserve"> </w:t>
      </w:r>
      <w:r w:rsidRPr="00F91866">
        <w:rPr>
          <w:rStyle w:val="Hyperlink"/>
          <w:color w:val="auto"/>
          <w:u w:val="none"/>
        </w:rPr>
        <w:t xml:space="preserve">Productivity Commission (2021) </w:t>
      </w:r>
      <w:r w:rsidRPr="00534327">
        <w:rPr>
          <w:rStyle w:val="Hyperlink"/>
          <w:i/>
          <w:iCs/>
          <w:color w:val="auto"/>
          <w:u w:val="none"/>
        </w:rPr>
        <w:t>Report on Government Services</w:t>
      </w:r>
      <w:r w:rsidRPr="00F91866">
        <w:rPr>
          <w:rStyle w:val="Hyperlink"/>
          <w:color w:val="auto"/>
          <w:u w:val="none"/>
        </w:rPr>
        <w:t>, ROGS Table</w:t>
      </w:r>
      <w:r>
        <w:rPr>
          <w:rStyle w:val="Hyperlink"/>
          <w:color w:val="auto"/>
          <w:u w:val="none"/>
        </w:rPr>
        <w:t xml:space="preserve">s 19A.11. </w:t>
      </w:r>
      <w:hyperlink r:id="rId28" w:history="1">
        <w:r w:rsidRPr="004769B0">
          <w:rPr>
            <w:rStyle w:val="Hyperlink"/>
          </w:rPr>
          <w:t>https://www.pc.gov.au/research/ongoing/report-on-government-services/2021/housing-and-homelessness/homelessness-services</w:t>
        </w:r>
      </w:hyperlink>
    </w:p>
  </w:footnote>
  <w:footnote w:id="39">
    <w:p w14:paraId="539C18B6" w14:textId="57A2A9E0" w:rsidR="00873ED8" w:rsidRPr="00873ED8" w:rsidRDefault="00873ED8">
      <w:pPr>
        <w:pStyle w:val="FootnoteText"/>
        <w:rPr>
          <w:lang w:val="en-US"/>
        </w:rPr>
      </w:pPr>
      <w:r>
        <w:rPr>
          <w:rStyle w:val="FootnoteReference"/>
        </w:rPr>
        <w:footnoteRef/>
      </w:r>
      <w:r>
        <w:t xml:space="preserve"> See Media release, Andrew Barr MLA,  </w:t>
      </w:r>
      <w:hyperlink r:id="rId29" w:history="1">
        <w:r w:rsidRPr="00717EC6">
          <w:rPr>
            <w:rStyle w:val="Hyperlink"/>
          </w:rPr>
          <w:t>https://www.cmtedd.act.gov.au/open_government/inform/act_government_media_releases/barr/2021/expanding-homelessness-and-housing-services</w:t>
        </w:r>
      </w:hyperlink>
    </w:p>
  </w:footnote>
  <w:footnote w:id="40">
    <w:p w14:paraId="3D3F07D0" w14:textId="77777777" w:rsidR="00960F29" w:rsidRPr="0041339A" w:rsidRDefault="00960F29" w:rsidP="00DA6773">
      <w:pPr>
        <w:pStyle w:val="BodyText"/>
        <w:spacing w:after="0"/>
        <w:rPr>
          <w:lang w:val="en-US"/>
        </w:rPr>
      </w:pPr>
      <w:r>
        <w:rPr>
          <w:rStyle w:val="FootnoteReference"/>
        </w:rPr>
        <w:footnoteRef/>
      </w:r>
      <w:r>
        <w:t xml:space="preserve"> </w:t>
      </w:r>
      <w:r w:rsidRPr="00386B6E">
        <w:rPr>
          <w:rStyle w:val="Hyperlink"/>
          <w:rFonts w:cs="MetaPlusNormal-Roman"/>
          <w:color w:val="auto"/>
          <w:sz w:val="18"/>
          <w:szCs w:val="20"/>
          <w:u w:val="none"/>
        </w:rPr>
        <w:t xml:space="preserve">Productivity Commission, </w:t>
      </w:r>
      <w:r w:rsidRPr="00466C74">
        <w:rPr>
          <w:rStyle w:val="Hyperlink"/>
          <w:rFonts w:cs="MetaPlusNormal-Roman"/>
          <w:i/>
          <w:iCs/>
          <w:color w:val="auto"/>
          <w:sz w:val="18"/>
          <w:szCs w:val="20"/>
          <w:u w:val="none"/>
        </w:rPr>
        <w:t>Report on Government Services</w:t>
      </w:r>
      <w:r w:rsidRPr="00386B6E">
        <w:rPr>
          <w:rStyle w:val="Hyperlink"/>
          <w:rFonts w:cs="MetaPlusNormal-Roman"/>
          <w:color w:val="auto"/>
          <w:sz w:val="18"/>
          <w:szCs w:val="20"/>
          <w:u w:val="none"/>
        </w:rPr>
        <w:t>, 2021, Services for Mental Health, Table 13A</w:t>
      </w:r>
      <w:r>
        <w:rPr>
          <w:rStyle w:val="Hyperlink"/>
          <w:rFonts w:cs="MetaPlusNormal-Roman"/>
          <w:color w:val="auto"/>
          <w:sz w:val="18"/>
          <w:szCs w:val="20"/>
          <w:u w:val="none"/>
        </w:rPr>
        <w:t xml:space="preserve">.7. </w:t>
      </w:r>
    </w:p>
  </w:footnote>
  <w:footnote w:id="41">
    <w:p w14:paraId="361B7D72" w14:textId="77777777" w:rsidR="00960F29" w:rsidRPr="00616C70" w:rsidRDefault="00960F29" w:rsidP="00DA6773">
      <w:pPr>
        <w:pStyle w:val="FootnoteText"/>
        <w:rPr>
          <w:lang w:val="en-US"/>
        </w:rPr>
      </w:pPr>
      <w:r>
        <w:rPr>
          <w:rStyle w:val="FootnoteReference"/>
        </w:rPr>
        <w:footnoteRef/>
      </w:r>
      <w:r>
        <w:t xml:space="preserve"> </w:t>
      </w:r>
      <w:r>
        <w:rPr>
          <w:rStyle w:val="Hyperlink"/>
          <w:color w:val="auto"/>
          <w:u w:val="none"/>
        </w:rPr>
        <w:t xml:space="preserve">AIHW (2021) </w:t>
      </w:r>
      <w:r w:rsidRPr="00ED7668">
        <w:rPr>
          <w:rStyle w:val="Hyperlink"/>
          <w:i/>
          <w:iCs/>
          <w:color w:val="auto"/>
          <w:u w:val="none"/>
        </w:rPr>
        <w:t>Mental Health Services in Australia</w:t>
      </w:r>
      <w:r>
        <w:rPr>
          <w:rStyle w:val="Hyperlink"/>
          <w:color w:val="auto"/>
          <w:u w:val="none"/>
        </w:rPr>
        <w:t xml:space="preserve">, web report, Community mental health care services 2018-19, </w:t>
      </w:r>
      <w:hyperlink r:id="rId30" w:history="1">
        <w:r w:rsidRPr="00E04553">
          <w:rPr>
            <w:rStyle w:val="Hyperlink"/>
          </w:rPr>
          <w:t>https://www.aihw.gov.au/reports/mental-health-services/mental-health-services-in-australia/report-contents/community-mental-health-care-services</w:t>
        </w:r>
      </w:hyperlink>
    </w:p>
  </w:footnote>
  <w:footnote w:id="42">
    <w:p w14:paraId="6EF24656" w14:textId="6FCE11DA" w:rsidR="00960F29" w:rsidRDefault="00960F29">
      <w:pPr>
        <w:pStyle w:val="FootnoteText"/>
      </w:pPr>
      <w:r>
        <w:rPr>
          <w:rStyle w:val="FootnoteReference"/>
        </w:rPr>
        <w:footnoteRef/>
      </w:r>
      <w:r>
        <w:t xml:space="preserve"> </w:t>
      </w:r>
      <w:r w:rsidRPr="00133FB0">
        <w:t>The proportion of total spending going to NGOs fell from a high of 18.1% (2013-14) to 11.5% (2018-19)</w:t>
      </w:r>
      <w:r>
        <w:t xml:space="preserve">, </w:t>
      </w:r>
      <w:r w:rsidRPr="00ED1579">
        <w:t>see</w:t>
      </w:r>
      <w:r>
        <w:t xml:space="preserve"> </w:t>
      </w:r>
      <w:r w:rsidRPr="00ED1579">
        <w:fldChar w:fldCharType="begin"/>
      </w:r>
      <w:r w:rsidRPr="00ED1579">
        <w:instrText xml:space="preserve"> REF _Ref88810309 \h </w:instrText>
      </w:r>
      <w:r>
        <w:instrText xml:space="preserve"> \* MERGEFORMAT </w:instrText>
      </w:r>
      <w:r w:rsidRPr="00ED1579">
        <w:fldChar w:fldCharType="separate"/>
      </w:r>
      <w:r w:rsidR="00E405AF">
        <w:t>Figure C. 2</w:t>
      </w:r>
      <w:r w:rsidRPr="00ED1579">
        <w:fldChar w:fldCharType="end"/>
      </w:r>
      <w:r w:rsidRPr="00ED1579">
        <w:t>.</w:t>
      </w:r>
    </w:p>
  </w:footnote>
  <w:footnote w:id="43">
    <w:p w14:paraId="4A5B3DBA" w14:textId="07E2BAD0" w:rsidR="00960F29" w:rsidRPr="00E04C22" w:rsidRDefault="00960F29" w:rsidP="00133FB0">
      <w:pPr>
        <w:pStyle w:val="FootnoteText"/>
        <w:rPr>
          <w:b/>
          <w:bCs/>
          <w:lang w:val="en-US"/>
        </w:rPr>
      </w:pPr>
      <w:r>
        <w:rPr>
          <w:rStyle w:val="FootnoteReference"/>
        </w:rPr>
        <w:footnoteRef/>
      </w:r>
      <w:r>
        <w:t xml:space="preserve"> </w:t>
      </w:r>
      <w:r>
        <w:rPr>
          <w:lang w:val="en-US"/>
        </w:rPr>
        <w:t xml:space="preserve">See, for example, </w:t>
      </w:r>
      <w:r w:rsidRPr="00062092">
        <w:rPr>
          <w:lang w:val="en-US"/>
        </w:rPr>
        <w:t xml:space="preserve">Batchelor, </w:t>
      </w:r>
      <w:r>
        <w:rPr>
          <w:lang w:val="en-US"/>
        </w:rPr>
        <w:t xml:space="preserve">S., </w:t>
      </w:r>
      <w:proofErr w:type="spellStart"/>
      <w:r>
        <w:rPr>
          <w:lang w:val="en-US"/>
        </w:rPr>
        <w:t>Soyanov</w:t>
      </w:r>
      <w:proofErr w:type="spellEnd"/>
      <w:r>
        <w:rPr>
          <w:lang w:val="en-US"/>
        </w:rPr>
        <w:t xml:space="preserve">, S., </w:t>
      </w:r>
      <w:proofErr w:type="spellStart"/>
      <w:r>
        <w:rPr>
          <w:lang w:val="en-US"/>
        </w:rPr>
        <w:t>Pirkis</w:t>
      </w:r>
      <w:proofErr w:type="spellEnd"/>
      <w:r>
        <w:rPr>
          <w:lang w:val="en-US"/>
        </w:rPr>
        <w:t xml:space="preserve">, J. and </w:t>
      </w:r>
      <w:proofErr w:type="spellStart"/>
      <w:r w:rsidRPr="00062092">
        <w:rPr>
          <w:lang w:val="en-US"/>
        </w:rPr>
        <w:t>Kõlves</w:t>
      </w:r>
      <w:proofErr w:type="spellEnd"/>
      <w:r>
        <w:rPr>
          <w:lang w:val="en-US"/>
        </w:rPr>
        <w:t xml:space="preserve">, K. (2021) </w:t>
      </w:r>
      <w:r w:rsidRPr="00062092">
        <w:rPr>
          <w:lang w:val="en-US"/>
        </w:rPr>
        <w:t>Use of Kids Helpline by Children and Young People in Australia During the COVID-19 Pandemic,</w:t>
      </w:r>
      <w:r>
        <w:rPr>
          <w:lang w:val="en-US"/>
        </w:rPr>
        <w:t xml:space="preserve"> </w:t>
      </w:r>
      <w:r w:rsidRPr="00ED7668">
        <w:rPr>
          <w:i/>
          <w:iCs/>
          <w:lang w:val="en-US"/>
        </w:rPr>
        <w:t>Journal of Adolescent Health</w:t>
      </w:r>
      <w:r w:rsidRPr="00062092">
        <w:rPr>
          <w:lang w:val="en-US"/>
        </w:rPr>
        <w:t>, 68</w:t>
      </w:r>
      <w:r>
        <w:rPr>
          <w:lang w:val="en-US"/>
        </w:rPr>
        <w:t xml:space="preserve"> (</w:t>
      </w:r>
      <w:r w:rsidRPr="00062092">
        <w:rPr>
          <w:lang w:val="en-US"/>
        </w:rPr>
        <w:t>6</w:t>
      </w:r>
      <w:r>
        <w:rPr>
          <w:lang w:val="en-US"/>
        </w:rPr>
        <w:t xml:space="preserve">): </w:t>
      </w:r>
      <w:r w:rsidRPr="00062092">
        <w:rPr>
          <w:lang w:val="en-US"/>
        </w:rPr>
        <w:t>1067-1074</w:t>
      </w:r>
      <w:r>
        <w:rPr>
          <w:lang w:val="en-US"/>
        </w:rPr>
        <w:t>.</w:t>
      </w:r>
      <w:r w:rsidRPr="00E75155">
        <w:rPr>
          <w:lang w:val="en-US"/>
        </w:rPr>
        <w:t xml:space="preserve"> </w:t>
      </w:r>
      <w:hyperlink r:id="rId31" w:tgtFrame="_blank" w:tooltip="Persistent link using digital object identifier" w:history="1">
        <w:r w:rsidRPr="00E75155">
          <w:rPr>
            <w:lang w:val="en-US"/>
          </w:rPr>
          <w:t>https://doi.org/10.1016/j.jadohealth.2021.03.015</w:t>
        </w:r>
      </w:hyperlink>
      <w:r w:rsidRPr="00E75155">
        <w:rPr>
          <w:lang w:val="en-US"/>
        </w:rPr>
        <w:t xml:space="preserve">; </w:t>
      </w:r>
      <w:proofErr w:type="spellStart"/>
      <w:r w:rsidRPr="00E75155">
        <w:rPr>
          <w:lang w:val="en-US"/>
        </w:rPr>
        <w:t>Westrupp</w:t>
      </w:r>
      <w:proofErr w:type="spellEnd"/>
      <w:r w:rsidRPr="00E75155">
        <w:rPr>
          <w:lang w:val="en-US"/>
        </w:rPr>
        <w:t xml:space="preserve">, E., Bennett, C., Berkowitz, T.  et al (2021) Child, parent, and family mental health and functioning in Australia during COVID-19: comparison to pre-pandemic data. </w:t>
      </w:r>
      <w:r w:rsidRPr="00ED7668">
        <w:rPr>
          <w:i/>
          <w:iCs/>
          <w:lang w:val="en-US"/>
        </w:rPr>
        <w:t>European Child and Adolescent Psychiatry</w:t>
      </w:r>
      <w:r w:rsidRPr="00E75155">
        <w:rPr>
          <w:lang w:val="en-US"/>
        </w:rPr>
        <w:t xml:space="preserve">, </w:t>
      </w:r>
      <w:hyperlink r:id="rId32" w:history="1">
        <w:r w:rsidRPr="00E75155">
          <w:rPr>
            <w:lang w:val="en-US"/>
          </w:rPr>
          <w:t>https://doi.org/10.1007/s00787-021-01861-z</w:t>
        </w:r>
      </w:hyperlink>
      <w:r w:rsidRPr="00E75155">
        <w:rPr>
          <w:lang w:val="en-US"/>
        </w:rPr>
        <w:t xml:space="preserve">. </w:t>
      </w:r>
      <w:r>
        <w:rPr>
          <w:lang w:val="en-US"/>
        </w:rPr>
        <w:t xml:space="preserve"> </w:t>
      </w:r>
      <w:proofErr w:type="gramStart"/>
      <w:r>
        <w:rPr>
          <w:lang w:val="en-US"/>
        </w:rPr>
        <w:t>Biddle ,</w:t>
      </w:r>
      <w:proofErr w:type="gramEnd"/>
      <w:r>
        <w:rPr>
          <w:lang w:val="en-US"/>
        </w:rPr>
        <w:t xml:space="preserve">N., Edwards, B., Gray, M. and </w:t>
      </w:r>
      <w:proofErr w:type="spellStart"/>
      <w:r>
        <w:rPr>
          <w:lang w:val="en-US"/>
        </w:rPr>
        <w:t>Sollis</w:t>
      </w:r>
      <w:proofErr w:type="spellEnd"/>
      <w:r>
        <w:rPr>
          <w:lang w:val="en-US"/>
        </w:rPr>
        <w:t xml:space="preserve">, K. (2021) </w:t>
      </w:r>
      <w:r w:rsidRPr="00ED7668">
        <w:rPr>
          <w:i/>
          <w:iCs/>
        </w:rPr>
        <w:t>The impact of COVID-19 on child mental health and service barriers: The perspective of parents</w:t>
      </w:r>
      <w:r>
        <w:t xml:space="preserve"> – August 2021 ANU Centre for Social Research and Methods. </w:t>
      </w:r>
      <w:hyperlink r:id="rId33" w:history="1">
        <w:r w:rsidRPr="00945AE8">
          <w:rPr>
            <w:rStyle w:val="Hyperlink"/>
          </w:rPr>
          <w:t>https://csrm.cass.anu.edu.au/sites/default/files/docs/2021/9/Child_wellbeing_-_August_2021.pdf</w:t>
        </w:r>
      </w:hyperlink>
    </w:p>
  </w:footnote>
  <w:footnote w:id="44">
    <w:p w14:paraId="4DD5AA41" w14:textId="5D2A12DA" w:rsidR="00960F29" w:rsidRPr="00BB1CE1" w:rsidRDefault="00960F29">
      <w:pPr>
        <w:pStyle w:val="FootnoteText"/>
        <w:rPr>
          <w:lang w:val="en-US"/>
        </w:rPr>
      </w:pPr>
      <w:r>
        <w:rPr>
          <w:rStyle w:val="FootnoteReference"/>
        </w:rPr>
        <w:footnoteRef/>
      </w:r>
      <w:r>
        <w:t xml:space="preserve"> AEDC captures the proportion described as ‘developmentally vulnerable’ in physical, social, emotional, language and communication domains.</w:t>
      </w:r>
    </w:p>
  </w:footnote>
  <w:footnote w:id="45">
    <w:p w14:paraId="60BEDB74" w14:textId="77777777" w:rsidR="00960F29" w:rsidRPr="00BB1CE1" w:rsidRDefault="00960F29" w:rsidP="005835BA">
      <w:pPr>
        <w:pStyle w:val="FootnoteText"/>
        <w:rPr>
          <w:lang w:val="en-US"/>
        </w:rPr>
      </w:pPr>
      <w:r>
        <w:rPr>
          <w:rStyle w:val="FootnoteReference"/>
        </w:rPr>
        <w:footnoteRef/>
      </w:r>
      <w:r>
        <w:t xml:space="preserve"> </w:t>
      </w:r>
      <w:r>
        <w:rPr>
          <w:lang w:val="en-US"/>
        </w:rPr>
        <w:t xml:space="preserve">AIHW (2021) </w:t>
      </w:r>
      <w:r w:rsidRPr="00ED7668">
        <w:rPr>
          <w:i/>
          <w:iCs/>
          <w:lang w:val="en-US"/>
        </w:rPr>
        <w:t>Child protection 2019-20</w:t>
      </w:r>
      <w:r>
        <w:rPr>
          <w:lang w:val="en-US"/>
        </w:rPr>
        <w:t xml:space="preserve">, see </w:t>
      </w:r>
      <w:r w:rsidRPr="00BB1CE1">
        <w:rPr>
          <w:lang w:val="en-US"/>
        </w:rPr>
        <w:t xml:space="preserve">Table S2.3 </w:t>
      </w:r>
      <w:r>
        <w:rPr>
          <w:lang w:val="en-US"/>
        </w:rPr>
        <w:t xml:space="preserve">and S5.5, </w:t>
      </w:r>
      <w:hyperlink r:id="rId34" w:history="1">
        <w:r w:rsidRPr="00C714EE">
          <w:rPr>
            <w:rStyle w:val="Hyperlink"/>
            <w:lang w:val="en-US"/>
          </w:rPr>
          <w:t>https://www.aihw.gov.au/reports/child-protection/child-protection-australia-2019-20/data</w:t>
        </w:r>
      </w:hyperlink>
    </w:p>
  </w:footnote>
  <w:footnote w:id="46">
    <w:p w14:paraId="452EB483" w14:textId="2D0C1EF2" w:rsidR="00960F29" w:rsidRPr="005E67CB" w:rsidRDefault="00960F29">
      <w:pPr>
        <w:pStyle w:val="FootnoteText"/>
        <w:rPr>
          <w:lang w:val="en-US"/>
        </w:rPr>
      </w:pPr>
      <w:r>
        <w:rPr>
          <w:rStyle w:val="FootnoteReference"/>
        </w:rPr>
        <w:footnoteRef/>
      </w:r>
      <w:r>
        <w:t xml:space="preserve"> Community Services Directorate (undated</w:t>
      </w:r>
      <w:r w:rsidRPr="005E67CB">
        <w:rPr>
          <w:i/>
          <w:iCs/>
        </w:rPr>
        <w:t>) Increasing Costs Overview</w:t>
      </w:r>
      <w:r>
        <w:t>, Child, Youth and Family Services Program, internal document.</w:t>
      </w:r>
    </w:p>
  </w:footnote>
  <w:footnote w:id="47">
    <w:p w14:paraId="450A69DC" w14:textId="77777777" w:rsidR="00960F29" w:rsidRPr="00365D53" w:rsidRDefault="00960F29" w:rsidP="002A337B">
      <w:pPr>
        <w:pStyle w:val="FootnoteText"/>
        <w:rPr>
          <w:lang w:val="en-US"/>
        </w:rPr>
      </w:pPr>
      <w:r>
        <w:rPr>
          <w:rStyle w:val="FootnoteReference"/>
        </w:rPr>
        <w:footnoteRef/>
      </w:r>
      <w:r>
        <w:t xml:space="preserve"> ABS (2021) </w:t>
      </w:r>
      <w:r w:rsidRPr="00ED7668">
        <w:rPr>
          <w:i/>
          <w:iCs/>
        </w:rPr>
        <w:t>Weekly Payroll Jobs and Wages in Australia</w:t>
      </w:r>
      <w:r>
        <w:t>,</w:t>
      </w:r>
      <w:r w:rsidRPr="009A4F02">
        <w:t xml:space="preserve"> </w:t>
      </w:r>
      <w:hyperlink r:id="rId35" w:anchor="state-and-territory" w:history="1">
        <w:r w:rsidRPr="00E04553">
          <w:rPr>
            <w:rStyle w:val="Hyperlink"/>
          </w:rPr>
          <w:t>https://www.abs.gov.au/statistics/labour/earnings-and-work-hours/weekly-payroll-jobs-and-wages-australia/week-ending-22-may-2021#state-and-territory</w:t>
        </w:r>
      </w:hyperlink>
    </w:p>
  </w:footnote>
  <w:footnote w:id="48">
    <w:p w14:paraId="3B8C0945" w14:textId="4CCD46E0" w:rsidR="00960F29" w:rsidRPr="009A4F02" w:rsidRDefault="00960F29" w:rsidP="002A337B">
      <w:pPr>
        <w:pStyle w:val="FootnoteText"/>
        <w:rPr>
          <w:lang w:val="en-US"/>
        </w:rPr>
      </w:pPr>
      <w:r>
        <w:rPr>
          <w:rStyle w:val="FootnoteReference"/>
        </w:rPr>
        <w:footnoteRef/>
      </w:r>
      <w:r>
        <w:t xml:space="preserve"> Full time adult total earnings in the public sector were $2125, on average, compared with $1693 in the private sector (which includes the not-for-profit sector). See </w:t>
      </w:r>
      <w:r>
        <w:rPr>
          <w:lang w:val="en-US"/>
        </w:rPr>
        <w:t xml:space="preserve">ABS (2021) </w:t>
      </w:r>
      <w:r w:rsidRPr="00ED7668">
        <w:rPr>
          <w:i/>
          <w:iCs/>
          <w:lang w:val="en-US"/>
        </w:rPr>
        <w:t>Average Weekly Earnings, Australia,</w:t>
      </w:r>
      <w:r>
        <w:rPr>
          <w:lang w:val="en-US"/>
        </w:rPr>
        <w:t xml:space="preserve"> November 2020. </w:t>
      </w:r>
      <w:r w:rsidRPr="003439F2">
        <w:t>Given the feminisation of the community sector, it is also relevant that the ACT has the highest female earnings in the country: $1821, average weekly ordinary time earnings (all industries), compared with $1575.50 nationally.</w:t>
      </w:r>
      <w:r>
        <w:t xml:space="preserve"> </w:t>
      </w:r>
    </w:p>
  </w:footnote>
  <w:footnote w:id="49">
    <w:p w14:paraId="20D2995F" w14:textId="68690468" w:rsidR="00960F29" w:rsidRPr="00452865" w:rsidRDefault="00960F29">
      <w:pPr>
        <w:pStyle w:val="FootnoteText"/>
        <w:rPr>
          <w:lang w:val="en-US"/>
        </w:rPr>
      </w:pPr>
      <w:r>
        <w:rPr>
          <w:rStyle w:val="FootnoteReference"/>
        </w:rPr>
        <w:footnoteRef/>
      </w:r>
      <w:r>
        <w:t xml:space="preserve"> Fair Work Australia (2012) Equal Remuneration Order, </w:t>
      </w:r>
      <w:r>
        <w:rPr>
          <w:lang w:val="en-US"/>
        </w:rPr>
        <w:t xml:space="preserve">See </w:t>
      </w:r>
      <w:hyperlink r:id="rId36" w:history="1">
        <w:r w:rsidRPr="004E1518">
          <w:rPr>
            <w:rStyle w:val="Hyperlink"/>
            <w:lang w:val="en-US"/>
          </w:rPr>
          <w:t>https://www.fwc.gov.au/documents/awardsandorders/html/pr525485.htm</w:t>
        </w:r>
      </w:hyperlink>
      <w:r>
        <w:rPr>
          <w:rStyle w:val="Hyperlink"/>
          <w:lang w:val="en-US"/>
        </w:rPr>
        <w:t xml:space="preserve">  </w:t>
      </w:r>
    </w:p>
  </w:footnote>
  <w:footnote w:id="50">
    <w:p w14:paraId="38AC2635" w14:textId="77777777" w:rsidR="00960F29" w:rsidRDefault="00960F29" w:rsidP="001765E8">
      <w:pPr>
        <w:pStyle w:val="FootnoteText"/>
      </w:pPr>
      <w:r>
        <w:rPr>
          <w:rStyle w:val="FootnoteReference"/>
        </w:rPr>
        <w:footnoteRef/>
      </w:r>
      <w:r>
        <w:t xml:space="preserve"> ABS (2021) </w:t>
      </w:r>
      <w:r w:rsidRPr="00ED7668">
        <w:rPr>
          <w:i/>
          <w:iCs/>
        </w:rPr>
        <w:t>ABS Labour Force Region – SA4 data</w:t>
      </w:r>
      <w:r>
        <w:t xml:space="preserve">, </w:t>
      </w:r>
      <w:r w:rsidRPr="009A4F02">
        <w:t>https://www.abs.gov.au/statistics/labour/earnings-and-work-hours/average-weekly-earnings-australia/latest-release</w:t>
      </w:r>
    </w:p>
    <w:p w14:paraId="3F428217" w14:textId="77777777" w:rsidR="00960F29" w:rsidRPr="00F95459" w:rsidRDefault="00B54793" w:rsidP="001765E8">
      <w:pPr>
        <w:pStyle w:val="FootnoteText"/>
        <w:rPr>
          <w:lang w:val="en-US"/>
        </w:rPr>
      </w:pPr>
      <w:hyperlink r:id="rId37" w:history="1">
        <w:r w:rsidR="00960F29" w:rsidRPr="00E04553">
          <w:rPr>
            <w:rStyle w:val="Hyperlink"/>
          </w:rPr>
          <w:t>https://lmip.gov.au/default.aspx?LMIP/Downloads/ABSLabourForceRegion</w:t>
        </w:r>
      </w:hyperlink>
    </w:p>
  </w:footnote>
  <w:footnote w:id="51">
    <w:p w14:paraId="75858717" w14:textId="77777777" w:rsidR="00960F29" w:rsidRPr="004F3F9C" w:rsidRDefault="00960F29" w:rsidP="001765E8">
      <w:pPr>
        <w:pStyle w:val="FootnoteText"/>
        <w:rPr>
          <w:lang w:val="en-US"/>
        </w:rPr>
      </w:pPr>
      <w:r>
        <w:rPr>
          <w:rStyle w:val="FootnoteReference"/>
        </w:rPr>
        <w:footnoteRef/>
      </w:r>
      <w:r>
        <w:t xml:space="preserve"> </w:t>
      </w:r>
      <w:r>
        <w:rPr>
          <w:lang w:val="en-US"/>
        </w:rPr>
        <w:t xml:space="preserve">Productivity Commission (2021) </w:t>
      </w:r>
      <w:r w:rsidRPr="00ED7668">
        <w:rPr>
          <w:i/>
          <w:iCs/>
          <w:lang w:val="en-US"/>
        </w:rPr>
        <w:t>Report on Government Services</w:t>
      </w:r>
      <w:r>
        <w:rPr>
          <w:lang w:val="en-US"/>
        </w:rPr>
        <w:t xml:space="preserve">, Table 13A.12.  </w:t>
      </w:r>
    </w:p>
  </w:footnote>
  <w:footnote w:id="52">
    <w:p w14:paraId="7974E353" w14:textId="1C4C097A" w:rsidR="00960F29" w:rsidRPr="001764C9" w:rsidRDefault="00960F29" w:rsidP="00A12A22">
      <w:pPr>
        <w:pStyle w:val="FootnoteText"/>
        <w:rPr>
          <w:lang w:val="en-US"/>
        </w:rPr>
      </w:pPr>
      <w:r>
        <w:rPr>
          <w:rStyle w:val="FootnoteReference"/>
        </w:rPr>
        <w:footnoteRef/>
      </w:r>
      <w:r>
        <w:t xml:space="preserve"> </w:t>
      </w:r>
      <w:r>
        <w:rPr>
          <w:lang w:val="en-US"/>
        </w:rPr>
        <w:t xml:space="preserve">See National Skills Commission (2021) </w:t>
      </w:r>
      <w:r w:rsidRPr="000E7CC7">
        <w:rPr>
          <w:i/>
          <w:iCs/>
          <w:lang w:val="en-US"/>
        </w:rPr>
        <w:t>Nowcast of Employment by Region and Occupation, (NERO)</w:t>
      </w:r>
      <w:r>
        <w:rPr>
          <w:lang w:val="en-US"/>
        </w:rPr>
        <w:t xml:space="preserve"> </w:t>
      </w:r>
      <w:r w:rsidRPr="001764C9">
        <w:rPr>
          <w:lang w:val="en-US"/>
        </w:rPr>
        <w:t>https://www.nationalskillscommission.gov.au/our-work/nero</w:t>
      </w:r>
    </w:p>
  </w:footnote>
  <w:footnote w:id="53">
    <w:p w14:paraId="22BA735A" w14:textId="3F3F24D9" w:rsidR="00960F29" w:rsidRDefault="00960F29">
      <w:pPr>
        <w:pStyle w:val="FootnoteText"/>
      </w:pPr>
      <w:r>
        <w:rPr>
          <w:rStyle w:val="FootnoteReference"/>
        </w:rPr>
        <w:footnoteRef/>
      </w:r>
      <w:r>
        <w:t xml:space="preserve"> In addition, s</w:t>
      </w:r>
      <w:r w:rsidRPr="00A12A22">
        <w:t>ocial workers grew 66% compared with 24% nationally, and welfare support workers grew by 46% compared with 27% nationally.</w:t>
      </w:r>
      <w:r>
        <w:t xml:space="preserve"> </w:t>
      </w:r>
      <w:r>
        <w:rPr>
          <w:lang w:val="en-US"/>
        </w:rPr>
        <w:t xml:space="preserve">See National Skills Commission (2021) </w:t>
      </w:r>
      <w:r w:rsidRPr="000E7CC7">
        <w:rPr>
          <w:i/>
          <w:iCs/>
          <w:lang w:val="en-US"/>
        </w:rPr>
        <w:t>Nowcast of Employment by Region and Occupation, (NERO)</w:t>
      </w:r>
      <w:r>
        <w:rPr>
          <w:lang w:val="en-US"/>
        </w:rPr>
        <w:t xml:space="preserve"> </w:t>
      </w:r>
      <w:r w:rsidRPr="001764C9">
        <w:rPr>
          <w:lang w:val="en-US"/>
        </w:rPr>
        <w:t>https://www.nationalskillscommission.gov.au/our-work/nero</w:t>
      </w:r>
    </w:p>
  </w:footnote>
  <w:footnote w:id="54">
    <w:p w14:paraId="401C87AD" w14:textId="5884CFCF" w:rsidR="00960F29" w:rsidRPr="00A31228" w:rsidRDefault="00960F29" w:rsidP="00454AD7">
      <w:pPr>
        <w:pStyle w:val="FootnoteText"/>
        <w:rPr>
          <w:lang w:val="en-US"/>
        </w:rPr>
      </w:pPr>
      <w:r>
        <w:rPr>
          <w:rStyle w:val="FootnoteReference"/>
        </w:rPr>
        <w:footnoteRef/>
      </w:r>
      <w:r>
        <w:t xml:space="preserve"> Analysis involved identifying 105 relevant community service charities operating in the ACT in 2019, based on their ACNC Annual Information Statements. Of these, 88 also provided Annual Information Statements in 2015, and this information was used to compare expenditure on employees as a proportion of each organisation’s total expenditure. </w:t>
      </w:r>
    </w:p>
  </w:footnote>
  <w:footnote w:id="55">
    <w:p w14:paraId="496E01E6" w14:textId="4851BBE2" w:rsidR="00960F29" w:rsidRPr="00700447" w:rsidRDefault="00960F29">
      <w:pPr>
        <w:pStyle w:val="FootnoteText"/>
        <w:rPr>
          <w:lang w:val="en-US"/>
        </w:rPr>
      </w:pPr>
      <w:r>
        <w:rPr>
          <w:rStyle w:val="FootnoteReference"/>
        </w:rPr>
        <w:footnoteRef/>
      </w:r>
      <w:r>
        <w:t xml:space="preserve"> </w:t>
      </w:r>
      <w:r>
        <w:rPr>
          <w:lang w:val="en-US"/>
        </w:rPr>
        <w:t xml:space="preserve">Of the 88 relevant ACT Charities who provided Annual Information Statements </w:t>
      </w:r>
      <w:r w:rsidR="00AC7FF9">
        <w:rPr>
          <w:lang w:val="en-US"/>
        </w:rPr>
        <w:t xml:space="preserve">to the ACNC </w:t>
      </w:r>
      <w:r>
        <w:rPr>
          <w:lang w:val="en-US"/>
        </w:rPr>
        <w:t>in both 2015 and 2019, 29 had experienced growth in expenditure on employees of over 5 percentage points in the period.</w:t>
      </w:r>
    </w:p>
  </w:footnote>
  <w:footnote w:id="56">
    <w:p w14:paraId="0A27607A" w14:textId="77777777" w:rsidR="00960F29" w:rsidRPr="000916A0" w:rsidRDefault="00960F29" w:rsidP="00AE7BCB">
      <w:pPr>
        <w:pStyle w:val="FootnoteText"/>
        <w:rPr>
          <w:lang w:val="en-US"/>
        </w:rPr>
      </w:pPr>
      <w:r>
        <w:rPr>
          <w:rStyle w:val="FootnoteReference"/>
        </w:rPr>
        <w:footnoteRef/>
      </w:r>
      <w:r>
        <w:t xml:space="preserve"> This survey question was asked only where service leaders indicated the ACT </w:t>
      </w:r>
      <w:proofErr w:type="gramStart"/>
      <w:r>
        <w:t>funding</w:t>
      </w:r>
      <w:proofErr w:type="gramEnd"/>
      <w:r>
        <w:t xml:space="preserve"> they received was used to employ staff.</w:t>
      </w:r>
    </w:p>
  </w:footnote>
  <w:footnote w:id="57">
    <w:p w14:paraId="63CB1A10" w14:textId="3B602747" w:rsidR="00960F29" w:rsidRPr="00FE3D1F" w:rsidRDefault="00960F29">
      <w:pPr>
        <w:pStyle w:val="FootnoteText"/>
        <w:rPr>
          <w:lang w:val="en-US"/>
        </w:rPr>
      </w:pPr>
      <w:r>
        <w:rPr>
          <w:rStyle w:val="FootnoteReference"/>
        </w:rPr>
        <w:footnoteRef/>
      </w:r>
      <w:r>
        <w:t xml:space="preserve"> See, for example, ACT Government (undated) Commissioning for Outcomes, </w:t>
      </w:r>
      <w:r w:rsidRPr="00FE3D1F">
        <w:t>https://www.communityservices.act.gov.au/commissioning</w:t>
      </w:r>
    </w:p>
  </w:footnote>
  <w:footnote w:id="58">
    <w:p w14:paraId="10539D22" w14:textId="048F205B" w:rsidR="00960F29" w:rsidRPr="001D465C" w:rsidRDefault="00960F29">
      <w:pPr>
        <w:pStyle w:val="FootnoteText"/>
        <w:rPr>
          <w:lang w:val="en-US"/>
        </w:rPr>
      </w:pPr>
      <w:r>
        <w:rPr>
          <w:rStyle w:val="FootnoteReference"/>
        </w:rPr>
        <w:footnoteRef/>
      </w:r>
      <w:r>
        <w:t xml:space="preserve"> </w:t>
      </w:r>
      <w:proofErr w:type="spellStart"/>
      <w:r w:rsidRPr="001D465C">
        <w:t>Roennfeldt</w:t>
      </w:r>
      <w:proofErr w:type="spellEnd"/>
      <w:r w:rsidRPr="001D465C">
        <w:t xml:space="preserve">, H. and Byrne, L. (2021), Skin in the game: The professionalization of lived experience roles in mental health. </w:t>
      </w:r>
      <w:r w:rsidRPr="007B071F">
        <w:rPr>
          <w:i/>
          <w:iCs/>
        </w:rPr>
        <w:t>International Journal of Mental Health Nursing</w:t>
      </w:r>
      <w:r w:rsidRPr="001D465C">
        <w:t>, 30: 1445-1455. https://doi.org/10.1111/inm.12898</w:t>
      </w:r>
    </w:p>
  </w:footnote>
  <w:footnote w:id="59">
    <w:p w14:paraId="66EC9C79" w14:textId="716B3BE1" w:rsidR="00960F29" w:rsidRPr="00EA028D" w:rsidRDefault="00960F29" w:rsidP="00EA028D">
      <w:pPr>
        <w:pStyle w:val="FootnoteText"/>
        <w:rPr>
          <w:lang w:val="en-US"/>
        </w:rPr>
      </w:pPr>
      <w:r>
        <w:rPr>
          <w:rStyle w:val="FootnoteReference"/>
        </w:rPr>
        <w:footnoteRef/>
      </w:r>
      <w:r>
        <w:t xml:space="preserve"> ACNC (undated) </w:t>
      </w:r>
      <w:r w:rsidRPr="00ED7668">
        <w:rPr>
          <w:i/>
          <w:iCs/>
        </w:rPr>
        <w:t>Charities and Administration Costs</w:t>
      </w:r>
      <w:r>
        <w:t xml:space="preserve">, </w:t>
      </w:r>
      <w:hyperlink r:id="rId38" w:history="1">
        <w:r w:rsidRPr="00C714EE">
          <w:rPr>
            <w:rStyle w:val="Hyperlink"/>
          </w:rPr>
          <w:t>https://www.acnc.gov.au/for-public/understanding-charities/charities-and-administration-costs</w:t>
        </w:r>
      </w:hyperlink>
      <w:r>
        <w:t xml:space="preserve">. Note that while charities are independent and their governing body is responsible for administration, the ACNC may investigate </w:t>
      </w:r>
      <w:proofErr w:type="gramStart"/>
      <w:r>
        <w:t>unreasonable</w:t>
      </w:r>
      <w:proofErr w:type="gramEnd"/>
      <w:r>
        <w:t xml:space="preserve"> high administration or salary costs, as this may indicate deviation from governance standards.   </w:t>
      </w:r>
    </w:p>
  </w:footnote>
  <w:footnote w:id="60">
    <w:p w14:paraId="74F134EF" w14:textId="77777777" w:rsidR="00960F29" w:rsidRPr="00C827F8" w:rsidRDefault="00960F29" w:rsidP="00974D2D">
      <w:pPr>
        <w:pStyle w:val="FootnoteText"/>
        <w:rPr>
          <w:lang w:val="en-US"/>
        </w:rPr>
      </w:pPr>
      <w:r>
        <w:rPr>
          <w:rStyle w:val="FootnoteReference"/>
        </w:rPr>
        <w:footnoteRef/>
      </w:r>
      <w:r>
        <w:t xml:space="preserve"> Deloitte Access Economics Final report – </w:t>
      </w:r>
      <w:r w:rsidRPr="00ED7668">
        <w:rPr>
          <w:i/>
          <w:iCs/>
        </w:rPr>
        <w:t>Temporary Transformation Payment Benchmarking Survey</w:t>
      </w:r>
      <w:r>
        <w:t xml:space="preserve">, May 2020, downloaded from </w:t>
      </w:r>
      <w:hyperlink r:id="rId39" w:anchor="benchmarking-survey-results-2020-21" w:history="1">
        <w:r w:rsidRPr="004E1518">
          <w:rPr>
            <w:rStyle w:val="Hyperlink"/>
          </w:rPr>
          <w:t>https://www.ndis.gov.au/providers/pricing-arrangements/making-pricing-decisions/financial-benchmarking#benchmarking-survey-results-2020-21</w:t>
        </w:r>
      </w:hyperlink>
    </w:p>
  </w:footnote>
  <w:footnote w:id="61">
    <w:p w14:paraId="0B8393E8" w14:textId="6756744F" w:rsidR="00960F29" w:rsidRPr="0073542A" w:rsidRDefault="00960F29">
      <w:pPr>
        <w:pStyle w:val="FootnoteText"/>
        <w:rPr>
          <w:lang w:val="en-US"/>
        </w:rPr>
      </w:pPr>
      <w:r>
        <w:rPr>
          <w:rStyle w:val="FootnoteReference"/>
        </w:rPr>
        <w:footnoteRef/>
      </w:r>
      <w:r>
        <w:t xml:space="preserve"> </w:t>
      </w:r>
      <w:proofErr w:type="spellStart"/>
      <w:r>
        <w:t>McCrindle</w:t>
      </w:r>
      <w:proofErr w:type="spellEnd"/>
      <w:r>
        <w:t xml:space="preserve"> Research (2019) </w:t>
      </w:r>
      <w:r w:rsidRPr="00ED7668">
        <w:rPr>
          <w:i/>
          <w:iCs/>
        </w:rPr>
        <w:t>Australian Community Trends Report, National Research Study</w:t>
      </w:r>
      <w:r>
        <w:t xml:space="preserve">. </w:t>
      </w:r>
      <w:hyperlink r:id="rId40" w:history="1">
        <w:r w:rsidRPr="004E1518">
          <w:rPr>
            <w:rStyle w:val="Hyperlink"/>
          </w:rPr>
          <w:t>https://mccrindle.com.au/wp-content/uploads/reports/Australian-Communities-Report-2019.pdf</w:t>
        </w:r>
      </w:hyperlink>
    </w:p>
  </w:footnote>
  <w:footnote w:id="62">
    <w:p w14:paraId="2B94F945" w14:textId="47D6ED6D" w:rsidR="00960F29" w:rsidRDefault="00960F29">
      <w:pPr>
        <w:pStyle w:val="FootnoteText"/>
      </w:pPr>
      <w:r>
        <w:rPr>
          <w:rStyle w:val="FootnoteReference"/>
        </w:rPr>
        <w:footnoteRef/>
      </w:r>
      <w:r>
        <w:t xml:space="preserve"> </w:t>
      </w:r>
      <w:r w:rsidRPr="002C7411">
        <w:t>Whereas only 16% of the public felt it appropriate for administration costs to be above 20%, 53% of charity workers saw the optimum percentage of administration costs to be above 20% (mostly between 20 and 30%).</w:t>
      </w:r>
      <w:r>
        <w:t xml:space="preserve"> </w:t>
      </w:r>
      <w:proofErr w:type="spellStart"/>
      <w:r>
        <w:t>McCrindle</w:t>
      </w:r>
      <w:proofErr w:type="spellEnd"/>
      <w:r>
        <w:t xml:space="preserve"> Research (2019) </w:t>
      </w:r>
      <w:r w:rsidRPr="00ED7668">
        <w:rPr>
          <w:i/>
          <w:iCs/>
        </w:rPr>
        <w:t>Australian Community Trends Report, National Research Study</w:t>
      </w:r>
      <w:r>
        <w:t xml:space="preserve">. </w:t>
      </w:r>
      <w:hyperlink r:id="rId41" w:history="1">
        <w:r w:rsidRPr="004E1518">
          <w:rPr>
            <w:rStyle w:val="Hyperlink"/>
          </w:rPr>
          <w:t>https://mccrindle.com.au/wp-content/uploads/reports/Australian-Communities-Report-2019.pdf</w:t>
        </w:r>
      </w:hyperlink>
    </w:p>
  </w:footnote>
  <w:footnote w:id="63">
    <w:p w14:paraId="437C45DA" w14:textId="1D3CB499" w:rsidR="00960F29" w:rsidRDefault="00960F29">
      <w:pPr>
        <w:pStyle w:val="FootnoteText"/>
      </w:pPr>
      <w:r>
        <w:rPr>
          <w:rStyle w:val="FootnoteReference"/>
        </w:rPr>
        <w:footnoteRef/>
      </w:r>
      <w:r>
        <w:t xml:space="preserve"> See Section 2.2 for a description of the starvation cycle.</w:t>
      </w:r>
    </w:p>
  </w:footnote>
  <w:footnote w:id="64">
    <w:p w14:paraId="1AA4A901" w14:textId="2C031D08" w:rsidR="00960F29" w:rsidRPr="007E3EC7" w:rsidRDefault="00960F29">
      <w:pPr>
        <w:pStyle w:val="FootnoteText"/>
        <w:rPr>
          <w:lang w:val="en-US"/>
        </w:rPr>
      </w:pPr>
      <w:r>
        <w:rPr>
          <w:rStyle w:val="FootnoteReference"/>
        </w:rPr>
        <w:footnoteRef/>
      </w:r>
      <w:r>
        <w:t xml:space="preserve"> </w:t>
      </w:r>
      <w:r>
        <w:rPr>
          <w:lang w:val="en-US"/>
        </w:rPr>
        <w:t>Calculated based on the most recent financial statements available via ACNC for 40 ACT charities delivering social services and which received government funding, sourced from acnc.gov.au.</w:t>
      </w:r>
    </w:p>
  </w:footnote>
  <w:footnote w:id="65">
    <w:p w14:paraId="4C592FF0" w14:textId="42D166B4" w:rsidR="00960F29" w:rsidRPr="002A7139" w:rsidRDefault="00960F29">
      <w:pPr>
        <w:pStyle w:val="FootnoteText"/>
        <w:rPr>
          <w:lang w:val="en-US"/>
        </w:rPr>
      </w:pPr>
      <w:r>
        <w:rPr>
          <w:rStyle w:val="FootnoteReference"/>
        </w:rPr>
        <w:footnoteRef/>
      </w:r>
      <w:r>
        <w:t xml:space="preserve"> </w:t>
      </w:r>
      <w:r>
        <w:rPr>
          <w:lang w:val="en-US"/>
        </w:rPr>
        <w:t xml:space="preserve">For example through the Technology Upgrade Fund, see </w:t>
      </w:r>
      <w:hyperlink r:id="rId42" w:history="1">
        <w:r w:rsidRPr="004E1518">
          <w:rPr>
            <w:rStyle w:val="Hyperlink"/>
            <w:lang w:val="en-US"/>
          </w:rPr>
          <w:t>https://www.cmtedd.act.gov.au/open_government/inform/act_government_media_releases/davidson/2021/technology-upgrade-fund-to-build-digital-capacity-for-community-organisations</w:t>
        </w:r>
      </w:hyperlink>
    </w:p>
  </w:footnote>
  <w:footnote w:id="66">
    <w:p w14:paraId="68822C0F" w14:textId="21602628" w:rsidR="00960F29" w:rsidRPr="00396D84" w:rsidRDefault="00960F29" w:rsidP="00396D84">
      <w:pPr>
        <w:pStyle w:val="BodyText"/>
        <w:rPr>
          <w:lang w:val="en-US"/>
        </w:rPr>
      </w:pPr>
      <w:r>
        <w:rPr>
          <w:rStyle w:val="FootnoteReference"/>
        </w:rPr>
        <w:footnoteRef/>
      </w:r>
      <w:r>
        <w:t xml:space="preserve"> </w:t>
      </w:r>
      <w:r w:rsidRPr="00CD18F0">
        <w:rPr>
          <w:rFonts w:cs="MetaPlusNormal-Roman"/>
          <w:sz w:val="18"/>
          <w:szCs w:val="20"/>
        </w:rPr>
        <w:t xml:space="preserve">Better </w:t>
      </w:r>
      <w:proofErr w:type="spellStart"/>
      <w:r w:rsidRPr="00CD18F0">
        <w:rPr>
          <w:rFonts w:cs="MetaPlusNormal-Roman"/>
          <w:sz w:val="18"/>
          <w:szCs w:val="20"/>
        </w:rPr>
        <w:t>Evalaution</w:t>
      </w:r>
      <w:proofErr w:type="spellEnd"/>
      <w:r w:rsidRPr="00CD18F0">
        <w:rPr>
          <w:rFonts w:cs="MetaPlusNormal-Roman"/>
          <w:sz w:val="18"/>
          <w:szCs w:val="20"/>
        </w:rPr>
        <w:t xml:space="preserve"> (undated) Determine and secure resources, https://www.betterevaluation.org/en/rainbow_framework/manage/determine_and_secure_resources</w:t>
      </w:r>
    </w:p>
  </w:footnote>
  <w:footnote w:id="67">
    <w:p w14:paraId="3F04D0D2" w14:textId="4597C111" w:rsidR="00960F29" w:rsidRDefault="00960F29">
      <w:pPr>
        <w:pStyle w:val="FootnoteText"/>
      </w:pPr>
      <w:r>
        <w:rPr>
          <w:rStyle w:val="FootnoteReference"/>
        </w:rPr>
        <w:footnoteRef/>
      </w:r>
      <w:r>
        <w:t xml:space="preserve"> </w:t>
      </w:r>
      <w:r w:rsidR="00AC7FF9">
        <w:t>In Budget documents, t</w:t>
      </w:r>
      <w:r>
        <w:t xml:space="preserve">he ACT Treasury reports the value of the WPI and CPI rates it uses to calculate the Community Sector Funding </w:t>
      </w:r>
      <w:proofErr w:type="gramStart"/>
      <w:r>
        <w:t>Rate, but</w:t>
      </w:r>
      <w:proofErr w:type="gramEnd"/>
      <w:r>
        <w:t xml:space="preserve"> does not report which of the various Wage Price Indices or Consumer Price Indices</w:t>
      </w:r>
      <w:r w:rsidR="00AC7FF9">
        <w:t xml:space="preserve"> are used</w:t>
      </w:r>
      <w:r>
        <w:t xml:space="preserve">, </w:t>
      </w:r>
      <w:r w:rsidR="00AC7FF9">
        <w:t xml:space="preserve">the period used to </w:t>
      </w:r>
      <w:r>
        <w:t>calculate annual rates, and whether it uses rates for the ACT or Australia.</w:t>
      </w:r>
    </w:p>
  </w:footnote>
  <w:footnote w:id="68">
    <w:p w14:paraId="46A9B804" w14:textId="24FAFAB0" w:rsidR="00960F29" w:rsidRPr="00C56E6E" w:rsidRDefault="00960F29">
      <w:pPr>
        <w:pStyle w:val="FootnoteText"/>
        <w:rPr>
          <w:lang w:val="en-US"/>
        </w:rPr>
      </w:pPr>
      <w:r>
        <w:rPr>
          <w:rStyle w:val="FootnoteReference"/>
        </w:rPr>
        <w:footnoteRef/>
      </w:r>
      <w:r>
        <w:t xml:space="preserve"> Through this period, the formula for calculating the Community Sector Funding Rate has not changed. </w:t>
      </w:r>
    </w:p>
  </w:footnote>
  <w:footnote w:id="69">
    <w:p w14:paraId="44E7C4C7" w14:textId="744B66F6" w:rsidR="00960F29" w:rsidRPr="001B592E" w:rsidRDefault="00960F29">
      <w:pPr>
        <w:pStyle w:val="FootnoteText"/>
        <w:rPr>
          <w:lang w:val="en-US"/>
        </w:rPr>
      </w:pPr>
      <w:r>
        <w:rPr>
          <w:rStyle w:val="FootnoteReference"/>
        </w:rPr>
        <w:footnoteRef/>
      </w:r>
      <w:r>
        <w:t xml:space="preserve"> </w:t>
      </w:r>
      <w:r>
        <w:rPr>
          <w:lang w:val="en-US"/>
        </w:rPr>
        <w:t xml:space="preserve">See </w:t>
      </w:r>
      <w:proofErr w:type="spellStart"/>
      <w:r>
        <w:t>Cortis</w:t>
      </w:r>
      <w:proofErr w:type="spellEnd"/>
      <w:r>
        <w:t xml:space="preserve"> N and Blaxland, M (2021) </w:t>
      </w:r>
      <w:r w:rsidRPr="00ED7668">
        <w:rPr>
          <w:i/>
          <w:iCs/>
        </w:rPr>
        <w:t xml:space="preserve">Meeting community needs in difficult times: experience of Australia’s community sector. </w:t>
      </w:r>
      <w:r>
        <w:t xml:space="preserve">Sydney: ACOSS, </w:t>
      </w:r>
      <w:hyperlink r:id="rId43" w:history="1">
        <w:r w:rsidRPr="000E67C6">
          <w:rPr>
            <w:rStyle w:val="Hyperlink"/>
          </w:rPr>
          <w:t>https://www.acoss.org.au/wp-content/uploads/2021/04/meeting-community-needs-in-difficut-times_experiences-of-Australias-community-sector_WEB_v2.pdf</w:t>
        </w:r>
      </w:hyperlink>
    </w:p>
  </w:footnote>
  <w:footnote w:id="70">
    <w:p w14:paraId="69DC1CEA" w14:textId="1E3DA433" w:rsidR="00960F29" w:rsidRPr="00203040" w:rsidRDefault="00960F29" w:rsidP="00ED2BAD">
      <w:pPr>
        <w:pStyle w:val="FootnoteText"/>
        <w:rPr>
          <w:lang w:val="en-US"/>
        </w:rPr>
      </w:pPr>
      <w:r>
        <w:rPr>
          <w:rStyle w:val="FootnoteReference"/>
        </w:rPr>
        <w:footnoteRef/>
      </w:r>
      <w:r>
        <w:t xml:space="preserve"> The Service Costing Survey indicated 63% of community sector organisation receiving ACT funding were also receiving Australian Government funding.  The Australian Government does not have a consistent approach to indexing funding, and in the past, has paused indexation altogether, reducing purchasing power and service capacity. See, for example, Community Affairs References Committee (2015</w:t>
      </w:r>
      <w:r w:rsidRPr="00ED7668">
        <w:t>)</w:t>
      </w:r>
      <w:r w:rsidRPr="00ED7668">
        <w:rPr>
          <w:i/>
          <w:iCs/>
        </w:rPr>
        <w:t xml:space="preserve"> Impact on service quality, efficiency and sustainability of recent Commonwealth community service tendering process,</w:t>
      </w:r>
      <w:r>
        <w:t xml:space="preserve"> </w:t>
      </w:r>
      <w:hyperlink r:id="rId44" w:history="1">
        <w:r w:rsidRPr="00C714EE">
          <w:rPr>
            <w:rStyle w:val="Hyperlink"/>
          </w:rPr>
          <w:t>https://www.aph.gov.au/Parliamentary_Business/Committees/Senate/Community_Affairs/Grants/Final_Report</w:t>
        </w:r>
      </w:hyperlink>
      <w:r>
        <w:t xml:space="preserve">; ACOSS (2021) </w:t>
      </w:r>
      <w:r w:rsidRPr="00846E4A">
        <w:rPr>
          <w:i/>
          <w:iCs/>
        </w:rPr>
        <w:t>Budget Priorities Statement</w:t>
      </w:r>
      <w:r>
        <w:t xml:space="preserve">, </w:t>
      </w:r>
      <w:hyperlink r:id="rId45" w:history="1">
        <w:r w:rsidRPr="00C714EE">
          <w:rPr>
            <w:rStyle w:val="Hyperlink"/>
          </w:rPr>
          <w:t>https://www.acoss.org.au/wp-content/uploads/2021/02/ACOSS-BPS-FINAL.pdf</w:t>
        </w:r>
      </w:hyperlink>
    </w:p>
  </w:footnote>
  <w:footnote w:id="71">
    <w:p w14:paraId="3C4E3E2F" w14:textId="77777777" w:rsidR="00960F29" w:rsidRPr="00B70BF7" w:rsidRDefault="00960F29" w:rsidP="00ED2BAD">
      <w:pPr>
        <w:pStyle w:val="FootnoteText"/>
        <w:rPr>
          <w:lang w:val="en-US"/>
        </w:rPr>
      </w:pPr>
      <w:r>
        <w:rPr>
          <w:rStyle w:val="FootnoteReference"/>
        </w:rPr>
        <w:footnoteRef/>
      </w:r>
      <w:r>
        <w:t xml:space="preserve"> </w:t>
      </w:r>
      <w:r>
        <w:rPr>
          <w:lang w:val="en-US"/>
        </w:rPr>
        <w:t xml:space="preserve">This may not account for changes in the above award payments often needed to attract and retain experienced staff. </w:t>
      </w:r>
    </w:p>
  </w:footnote>
  <w:footnote w:id="72">
    <w:p w14:paraId="5116F7BA" w14:textId="77777777" w:rsidR="00960F29" w:rsidRPr="0015761C" w:rsidRDefault="00960F29" w:rsidP="00EF1CA2">
      <w:pPr>
        <w:pStyle w:val="FootnoteText"/>
        <w:rPr>
          <w:lang w:val="en-US"/>
        </w:rPr>
      </w:pPr>
      <w:r>
        <w:rPr>
          <w:rStyle w:val="FootnoteReference"/>
        </w:rPr>
        <w:footnoteRef/>
      </w:r>
      <w:r>
        <w:t xml:space="preserve"> </w:t>
      </w:r>
      <w:r>
        <w:rPr>
          <w:lang w:val="en-US"/>
        </w:rPr>
        <w:t>James, E. (2003) C</w:t>
      </w:r>
      <w:r w:rsidRPr="0015761C">
        <w:rPr>
          <w:lang w:val="en-US"/>
        </w:rPr>
        <w:t>ommercialism and the mission of nonprofits</w:t>
      </w:r>
      <w:r>
        <w:rPr>
          <w:lang w:val="en-US"/>
        </w:rPr>
        <w:t xml:space="preserve">, </w:t>
      </w:r>
      <w:r w:rsidRPr="00ED7668">
        <w:rPr>
          <w:i/>
          <w:iCs/>
          <w:lang w:val="en-US"/>
        </w:rPr>
        <w:t>Society</w:t>
      </w:r>
      <w:r>
        <w:rPr>
          <w:lang w:val="en-US"/>
        </w:rPr>
        <w:t xml:space="preserve"> 40(4): 29-35. </w:t>
      </w:r>
      <w:r w:rsidRPr="0015761C">
        <w:rPr>
          <w:lang w:val="en-US"/>
        </w:rPr>
        <w:t>DOI:10.1007/s12115-003-1015-y</w:t>
      </w:r>
    </w:p>
  </w:footnote>
  <w:footnote w:id="73">
    <w:p w14:paraId="5A8CD9E8" w14:textId="180D867B" w:rsidR="00960F29" w:rsidRPr="004A308F" w:rsidRDefault="00960F29" w:rsidP="004A308F">
      <w:pPr>
        <w:pStyle w:val="FootnoteText"/>
        <w:rPr>
          <w:lang w:val="en-US"/>
        </w:rPr>
      </w:pPr>
      <w:r>
        <w:rPr>
          <w:rStyle w:val="FootnoteReference"/>
        </w:rPr>
        <w:footnoteRef/>
      </w:r>
      <w:r>
        <w:t xml:space="preserve"> 74% of participants reported two or more strategies, and 29% reported using five or more strategies.</w:t>
      </w:r>
    </w:p>
  </w:footnote>
  <w:footnote w:id="74">
    <w:p w14:paraId="096FFFAE" w14:textId="2DCA68F3" w:rsidR="00960F29" w:rsidRPr="00F107E0" w:rsidRDefault="00960F29">
      <w:pPr>
        <w:pStyle w:val="FootnoteText"/>
        <w:rPr>
          <w:lang w:val="en-US"/>
        </w:rPr>
      </w:pPr>
      <w:r>
        <w:rPr>
          <w:rStyle w:val="FootnoteReference"/>
        </w:rPr>
        <w:footnoteRef/>
      </w:r>
      <w:r>
        <w:t xml:space="preserve"> In the Service Costing survey, many used multiple strategies: 84% of leaders reported that their organisation had used two or more financial strategies listed, and 29% reported using five or more, in the last three years.</w:t>
      </w:r>
    </w:p>
  </w:footnote>
  <w:footnote w:id="75">
    <w:p w14:paraId="4DE103BB" w14:textId="4590CE78" w:rsidR="00960F29" w:rsidRPr="007C676D" w:rsidRDefault="00960F29">
      <w:pPr>
        <w:pStyle w:val="FootnoteText"/>
        <w:rPr>
          <w:lang w:val="en-US"/>
        </w:rPr>
      </w:pPr>
      <w:r>
        <w:rPr>
          <w:rStyle w:val="FootnoteReference"/>
        </w:rPr>
        <w:footnoteRef/>
      </w:r>
      <w:r>
        <w:t xml:space="preserve"> </w:t>
      </w:r>
      <w:r>
        <w:rPr>
          <w:lang w:val="en-US"/>
        </w:rPr>
        <w:t xml:space="preserve">Data is provided in </w:t>
      </w:r>
      <w:r>
        <w:rPr>
          <w:lang w:val="en-US"/>
        </w:rPr>
        <w:fldChar w:fldCharType="begin"/>
      </w:r>
      <w:r>
        <w:rPr>
          <w:lang w:val="en-US"/>
        </w:rPr>
        <w:instrText xml:space="preserve"> REF _Ref88833340 \h </w:instrText>
      </w:r>
      <w:r>
        <w:rPr>
          <w:lang w:val="en-US"/>
        </w:rPr>
      </w:r>
      <w:r>
        <w:rPr>
          <w:lang w:val="en-US"/>
        </w:rPr>
        <w:fldChar w:fldCharType="separate"/>
      </w:r>
      <w:r w:rsidR="00E405AF">
        <w:t xml:space="preserve">Table C. </w:t>
      </w:r>
      <w:r w:rsidR="00E405AF">
        <w:rPr>
          <w:noProof/>
        </w:rPr>
        <w:t>10</w:t>
      </w:r>
      <w:r>
        <w:rPr>
          <w:lang w:val="en-US"/>
        </w:rPr>
        <w:fldChar w:fldCharType="end"/>
      </w:r>
      <w:r>
        <w:rPr>
          <w:lang w:val="en-US"/>
        </w:rPr>
        <w:t>.</w:t>
      </w:r>
    </w:p>
  </w:footnote>
  <w:footnote w:id="76">
    <w:p w14:paraId="0DB14F2E" w14:textId="77777777" w:rsidR="00960F29" w:rsidRPr="001A7B08" w:rsidRDefault="00960F29" w:rsidP="002A5C2E">
      <w:pPr>
        <w:pStyle w:val="FootnoteText"/>
        <w:rPr>
          <w:lang w:val="en-US"/>
        </w:rPr>
      </w:pPr>
      <w:r>
        <w:rPr>
          <w:rStyle w:val="FootnoteReference"/>
        </w:rPr>
        <w:footnoteRef/>
      </w:r>
      <w:r>
        <w:t xml:space="preserve"> ACT </w:t>
      </w:r>
      <w:r w:rsidRPr="001A7B08">
        <w:t xml:space="preserve">Government (2021) </w:t>
      </w:r>
      <w:r w:rsidRPr="00846E4A">
        <w:rPr>
          <w:i/>
          <w:iCs/>
        </w:rPr>
        <w:t>Budget Outlook, 2021-22,</w:t>
      </w:r>
      <w:r w:rsidRPr="001A7B08">
        <w:t xml:space="preserve"> </w:t>
      </w:r>
      <w:hyperlink r:id="rId46" w:history="1">
        <w:r w:rsidRPr="001A7B08">
          <w:rPr>
            <w:rStyle w:val="Hyperlink"/>
          </w:rPr>
          <w:t>https://www.treasury.act.gov.au/__data/assets/pdf_file/0008/1870136/2021-22-ACT-Budget-Outlook.pdf</w:t>
        </w:r>
      </w:hyperlink>
    </w:p>
  </w:footnote>
  <w:footnote w:id="77">
    <w:p w14:paraId="66375E5E" w14:textId="416EB63B" w:rsidR="00960F29" w:rsidRPr="001A7B08" w:rsidRDefault="00960F29" w:rsidP="002A5C2E">
      <w:pPr>
        <w:pStyle w:val="FootnoteText"/>
        <w:rPr>
          <w:lang w:val="en-US"/>
        </w:rPr>
      </w:pPr>
      <w:r w:rsidRPr="001A7B08">
        <w:rPr>
          <w:rStyle w:val="FootnoteReference"/>
        </w:rPr>
        <w:footnoteRef/>
      </w:r>
      <w:r w:rsidRPr="001A7B08">
        <w:t xml:space="preserve"> </w:t>
      </w:r>
      <w:r w:rsidRPr="001A7B08">
        <w:rPr>
          <w:lang w:val="en-US"/>
        </w:rPr>
        <w:t xml:space="preserve">See Section </w:t>
      </w:r>
      <w:r w:rsidRPr="001A7B08">
        <w:rPr>
          <w:lang w:val="en-US"/>
        </w:rPr>
        <w:fldChar w:fldCharType="begin"/>
      </w:r>
      <w:r w:rsidRPr="001A7B08">
        <w:rPr>
          <w:lang w:val="en-US"/>
        </w:rPr>
        <w:instrText xml:space="preserve"> REF _Ref87953016 \r \h </w:instrText>
      </w:r>
      <w:r>
        <w:rPr>
          <w:lang w:val="en-US"/>
        </w:rPr>
        <w:instrText xml:space="preserve"> \* MERGEFORMAT </w:instrText>
      </w:r>
      <w:r w:rsidRPr="001A7B08">
        <w:rPr>
          <w:lang w:val="en-US"/>
        </w:rPr>
      </w:r>
      <w:r w:rsidRPr="001A7B08">
        <w:rPr>
          <w:lang w:val="en-US"/>
        </w:rPr>
        <w:fldChar w:fldCharType="separate"/>
      </w:r>
      <w:r w:rsidR="00E405AF">
        <w:rPr>
          <w:lang w:val="en-US"/>
        </w:rPr>
        <w:t>6.1</w:t>
      </w:r>
      <w:r w:rsidRPr="001A7B08">
        <w:rPr>
          <w:lang w:val="en-US"/>
        </w:rPr>
        <w:fldChar w:fldCharType="end"/>
      </w:r>
      <w:r>
        <w:rPr>
          <w:lang w:val="en-US"/>
        </w:rPr>
        <w:t xml:space="preserve"> for examples of sector perspectives</w:t>
      </w:r>
      <w:r w:rsidRPr="001A7B08">
        <w:rPr>
          <w:lang w:val="en-US"/>
        </w:rPr>
        <w:t>.</w:t>
      </w:r>
    </w:p>
  </w:footnote>
  <w:footnote w:id="78">
    <w:p w14:paraId="752C2100" w14:textId="6E37E955" w:rsidR="00960F29" w:rsidRPr="00735F20" w:rsidRDefault="00960F29" w:rsidP="002A5C2E">
      <w:pPr>
        <w:pStyle w:val="FootnoteText"/>
      </w:pPr>
      <w:r w:rsidRPr="00735F20">
        <w:rPr>
          <w:rStyle w:val="FootnoteReference"/>
        </w:rPr>
        <w:footnoteRef/>
      </w:r>
      <w:r w:rsidRPr="00735F20">
        <w:rPr>
          <w:rStyle w:val="FootnoteReference"/>
        </w:rPr>
        <w:t xml:space="preserve"> </w:t>
      </w:r>
      <w:r>
        <w:t xml:space="preserve">The ABS provides some guidance on developing and adopting indices in funding contracts. It </w:t>
      </w:r>
      <w:r w:rsidRPr="005B7A7E">
        <w:t>outlines the need to ensure the ‘base’ items subject to indexation are precisely specified and weighted, that appropriate indexes are selected, that indexation is at appropriate frequency, and that the formula for calculating changes is appropriately defined.</w:t>
      </w:r>
      <w:r>
        <w:t xml:space="preserve"> See: </w:t>
      </w:r>
      <w:r w:rsidRPr="00735F20">
        <w:t xml:space="preserve">ABS (undated) </w:t>
      </w:r>
      <w:r w:rsidRPr="00846E4A">
        <w:rPr>
          <w:i/>
          <w:iCs/>
        </w:rPr>
        <w:t>Inflation and Price Indexes – Use of Price Indexes in Contracts,</w:t>
      </w:r>
      <w:r w:rsidRPr="00735F20">
        <w:t xml:space="preserve"> </w:t>
      </w:r>
      <w:hyperlink r:id="rId47" w:history="1">
        <w:r w:rsidRPr="007A5286">
          <w:rPr>
            <w:rStyle w:val="Hyperlink"/>
          </w:rPr>
          <w:t>https://www.abs.gov.au/websitedbs/D3310114.nsf/home/Inflation+and+Price+Indexes+-+Use+of+Price+Indexes+in+Contracts</w:t>
        </w:r>
      </w:hyperlink>
      <w:r>
        <w:t xml:space="preserve">. </w:t>
      </w:r>
    </w:p>
  </w:footnote>
  <w:footnote w:id="79">
    <w:p w14:paraId="38FAE992" w14:textId="77777777" w:rsidR="00960F29" w:rsidRPr="00DB428F" w:rsidRDefault="00960F29" w:rsidP="002A5C2E">
      <w:pPr>
        <w:pStyle w:val="FootnoteText"/>
        <w:rPr>
          <w:lang w:val="en-US"/>
        </w:rPr>
      </w:pPr>
      <w:r>
        <w:rPr>
          <w:rStyle w:val="FootnoteReference"/>
        </w:rPr>
        <w:footnoteRef/>
      </w:r>
      <w:r>
        <w:t xml:space="preserve"> This is considered </w:t>
      </w:r>
      <w:r w:rsidRPr="00DB428F">
        <w:t xml:space="preserve">a better reflection of </w:t>
      </w:r>
      <w:proofErr w:type="gramStart"/>
      <w:r w:rsidRPr="00DB428F">
        <w:t>cost of living</w:t>
      </w:r>
      <w:proofErr w:type="gramEnd"/>
      <w:r w:rsidRPr="00DB428F">
        <w:t xml:space="preserve"> changes for households whose main source of income is government payments</w:t>
      </w:r>
      <w:r>
        <w:t>.</w:t>
      </w:r>
    </w:p>
  </w:footnote>
  <w:footnote w:id="80">
    <w:p w14:paraId="0CDF6786" w14:textId="3ECAFC21" w:rsidR="00960F29" w:rsidRPr="00DB428F" w:rsidRDefault="00960F29" w:rsidP="002A5C2E">
      <w:pPr>
        <w:pStyle w:val="FootnoteText"/>
        <w:rPr>
          <w:lang w:val="en-US"/>
        </w:rPr>
      </w:pPr>
      <w:r>
        <w:rPr>
          <w:rStyle w:val="FootnoteReference"/>
        </w:rPr>
        <w:footnoteRef/>
      </w:r>
      <w:r>
        <w:t xml:space="preserve"> </w:t>
      </w:r>
      <w:r>
        <w:rPr>
          <w:lang w:val="en-US"/>
        </w:rPr>
        <w:t xml:space="preserve">The combined couple rate is benchmarked to 41.76% of </w:t>
      </w:r>
      <w:r w:rsidRPr="00C84954">
        <w:rPr>
          <w:lang w:val="en-US"/>
        </w:rPr>
        <w:t xml:space="preserve">male total average weekly earnings </w:t>
      </w:r>
      <w:r>
        <w:rPr>
          <w:lang w:val="en-US"/>
        </w:rPr>
        <w:t xml:space="preserve">and the single rate at 66.33% of the combined couple rate. </w:t>
      </w:r>
    </w:p>
  </w:footnote>
  <w:footnote w:id="81">
    <w:p w14:paraId="71933F37" w14:textId="2D32EAEB" w:rsidR="00960F29" w:rsidRPr="00822949" w:rsidRDefault="00960F29" w:rsidP="008F0402">
      <w:pPr>
        <w:pStyle w:val="FootnoteText"/>
        <w:rPr>
          <w:lang w:val="en-US"/>
        </w:rPr>
      </w:pPr>
      <w:r>
        <w:rPr>
          <w:rStyle w:val="FootnoteReference"/>
        </w:rPr>
        <w:footnoteRef/>
      </w:r>
      <w:r>
        <w:t xml:space="preserve"> These go back for decades, for example see </w:t>
      </w:r>
      <w:r w:rsidRPr="008F0402">
        <w:rPr>
          <w:lang w:val="en-US"/>
        </w:rPr>
        <w:t xml:space="preserve">Industry Commission (1995) </w:t>
      </w:r>
      <w:r w:rsidRPr="00846E4A">
        <w:rPr>
          <w:i/>
          <w:iCs/>
          <w:lang w:val="en-US"/>
        </w:rPr>
        <w:t>Charitable Organisations in Australia</w:t>
      </w:r>
      <w:r w:rsidRPr="008F0402">
        <w:rPr>
          <w:lang w:val="en-US"/>
        </w:rPr>
        <w:t>, Report No. 45</w:t>
      </w:r>
      <w:r>
        <w:rPr>
          <w:lang w:val="en-US"/>
        </w:rPr>
        <w:t xml:space="preserve">; </w:t>
      </w:r>
      <w:r w:rsidRPr="008F0402">
        <w:rPr>
          <w:lang w:val="en-US"/>
        </w:rPr>
        <w:t xml:space="preserve">Productivity Commission (2010) </w:t>
      </w:r>
      <w:r w:rsidRPr="00846E4A">
        <w:rPr>
          <w:i/>
          <w:iCs/>
          <w:lang w:val="en-US"/>
        </w:rPr>
        <w:t>Contribution of the Not-for-Profit Sector, Research Report</w:t>
      </w:r>
      <w:r w:rsidRPr="008F0402">
        <w:rPr>
          <w:lang w:val="en-US"/>
        </w:rPr>
        <w:t>, Canberra</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194B" w14:textId="76FB893A" w:rsidR="00960F29" w:rsidRDefault="00960F29">
    <w:pPr>
      <w:pStyle w:val="Header"/>
    </w:pPr>
    <w:r>
      <w:rPr>
        <w:noProof/>
      </w:rPr>
      <mc:AlternateContent>
        <mc:Choice Requires="wps">
          <w:drawing>
            <wp:anchor distT="0" distB="0" distL="114300" distR="114300" simplePos="0" relativeHeight="251658240" behindDoc="1" locked="0" layoutInCell="0" allowOverlap="1" wp14:anchorId="175E296F" wp14:editId="154EC85F">
              <wp:simplePos x="0" y="0"/>
              <wp:positionH relativeFrom="margin">
                <wp:align>center</wp:align>
              </wp:positionH>
              <wp:positionV relativeFrom="margin">
                <wp:align>center</wp:align>
              </wp:positionV>
              <wp:extent cx="6793865" cy="565785"/>
              <wp:effectExtent l="0" t="2152650" r="0" b="2205990"/>
              <wp:wrapNone/>
              <wp:docPr id="15" name="WordAr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B36806" w14:textId="77777777" w:rsidR="00960F29" w:rsidRDefault="00960F29"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5E296F" id="_x0000_t202" coordsize="21600,21600" o:spt="202" path="m,l,21600r21600,l21600,xe">
              <v:stroke joinstyle="miter"/>
              <v:path gradientshapeok="t" o:connecttype="rect"/>
            </v:shapetype>
            <v:shape id="WordArt 2" o:spid="_x0000_s1028" type="#_x0000_t202" alt="&quot;&quot;" style="position:absolute;margin-left:0;margin-top:0;width:534.95pt;height:44.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dt9AEAAMQ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" o:allowincell="f" filled="f" stroked="f">
              <v:stroke joinstyle="round"/>
              <o:lock v:ext="edit" shapetype="t"/>
              <v:textbox style="mso-fit-shape-to-text:t">
                <w:txbxContent>
                  <w:p w14:paraId="1BB36806" w14:textId="77777777" w:rsidR="00960F29" w:rsidRDefault="00960F29"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EF80" w14:textId="139698B5" w:rsidR="00960F29" w:rsidRPr="001A1D97" w:rsidRDefault="00960F29">
    <w:pPr>
      <w:pStyle w:val="Header"/>
      <w:rPr>
        <w:lang w:eastAsia="en-AU"/>
      </w:rPr>
    </w:pPr>
    <w:r>
      <w:rPr>
        <w:noProof/>
        <w:lang w:eastAsia="en-AU"/>
      </w:rPr>
      <w:drawing>
        <wp:anchor distT="0" distB="0" distL="114300" distR="114300" simplePos="0" relativeHeight="251658244" behindDoc="0" locked="0" layoutInCell="1" allowOverlap="1" wp14:anchorId="43E8291B" wp14:editId="3B1DC8AF">
          <wp:simplePos x="0" y="0"/>
          <wp:positionH relativeFrom="column">
            <wp:posOffset>-603057</wp:posOffset>
          </wp:positionH>
          <wp:positionV relativeFrom="paragraph">
            <wp:posOffset>223788</wp:posOffset>
          </wp:positionV>
          <wp:extent cx="3824578" cy="637024"/>
          <wp:effectExtent l="0" t="0" r="508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3909674" cy="6511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1" behindDoc="0" locked="0" layoutInCell="1" allowOverlap="1" wp14:anchorId="409EE668" wp14:editId="0A6990A6">
              <wp:simplePos x="0" y="0"/>
              <wp:positionH relativeFrom="column">
                <wp:posOffset>-1086485</wp:posOffset>
              </wp:positionH>
              <wp:positionV relativeFrom="paragraph">
                <wp:posOffset>-287020</wp:posOffset>
              </wp:positionV>
              <wp:extent cx="9466580" cy="1633855"/>
              <wp:effectExtent l="0" t="0" r="1270" b="444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66580" cy="1633855"/>
                      </a:xfrm>
                      <a:prstGeom prst="rect">
                        <a:avLst/>
                      </a:prstGeom>
                      <a:solidFill>
                        <a:srgbClr val="FFD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B03D6" w14:textId="77777777" w:rsidR="00960F29" w:rsidRDefault="00960F29" w:rsidP="00974C50">
                          <w:pPr>
                            <w:jc w:val="right"/>
                          </w:pPr>
                          <w:r w:rsidRPr="004C0C06">
                            <w:rPr>
                              <w:noProof/>
                            </w:rPr>
                            <w:drawing>
                              <wp:inline distT="0" distB="0" distL="0" distR="0" wp14:anchorId="671B5460" wp14:editId="615C0382">
                                <wp:extent cx="2574925" cy="151701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25" cy="1517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EE668" id="Rectangle 10" o:spid="_x0000_s1029" alt="&quot;&quot;" style="position:absolute;margin-left:-85.55pt;margin-top:-22.6pt;width:745.4pt;height:128.6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" fillcolor="#ffdc00" stroked="f" strokeweight="2pt">
              <v:textbox>
                <w:txbxContent>
                  <w:p w14:paraId="444B03D6" w14:textId="77777777" w:rsidR="00960F29" w:rsidRDefault="00960F29" w:rsidP="00974C50">
                    <w:pPr>
                      <w:jc w:val="right"/>
                    </w:pPr>
                    <w:r w:rsidRPr="004C0C06">
                      <w:rPr>
                        <w:noProof/>
                      </w:rPr>
                      <w:drawing>
                        <wp:inline distT="0" distB="0" distL="0" distR="0" wp14:anchorId="671B5460" wp14:editId="615C0382">
                          <wp:extent cx="2574925" cy="151701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25" cy="1517015"/>
                                  </a:xfrm>
                                  <a:prstGeom prst="rect">
                                    <a:avLst/>
                                  </a:prstGeom>
                                  <a:noFill/>
                                  <a:ln>
                                    <a:noFill/>
                                  </a:ln>
                                </pic:spPr>
                              </pic:pic>
                            </a:graphicData>
                          </a:graphic>
                        </wp:inline>
                      </w:drawing>
                    </w:r>
                  </w:p>
                </w:txbxContent>
              </v:textbox>
            </v:rect>
          </w:pict>
        </mc:Fallback>
      </mc:AlternateContent>
    </w:r>
    <w:r>
      <w:rPr>
        <w:noProof/>
        <w:lang w:eastAsia="en-AU"/>
      </w:rPr>
      <w:drawing>
        <wp:anchor distT="0" distB="0" distL="114300" distR="114300" simplePos="0" relativeHeight="251658242" behindDoc="0" locked="0" layoutInCell="1" allowOverlap="1" wp14:anchorId="53E54A09" wp14:editId="00A8A8AF">
          <wp:simplePos x="0" y="0"/>
          <wp:positionH relativeFrom="column">
            <wp:posOffset>3434715</wp:posOffset>
          </wp:positionH>
          <wp:positionV relativeFrom="paragraph">
            <wp:posOffset>-1366520</wp:posOffset>
          </wp:positionV>
          <wp:extent cx="3784600" cy="4076700"/>
          <wp:effectExtent l="25400" t="12700" r="12700" b="1079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3"/>
                  <a:stretch>
                    <a:fillRect/>
                  </a:stretch>
                </pic:blipFill>
                <pic:spPr>
                  <a:xfrm rot="16387108">
                    <a:off x="0" y="0"/>
                    <a:ext cx="3784600" cy="40767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18B5" w14:textId="0C45ECA3" w:rsidR="00960F29" w:rsidRDefault="00960F29">
    <w:pPr>
      <w:pStyle w:val="Header"/>
    </w:pPr>
    <w:r>
      <w:rPr>
        <w:noProof/>
      </w:rPr>
      <mc:AlternateContent>
        <mc:Choice Requires="wps">
          <w:drawing>
            <wp:inline distT="0" distB="0" distL="0" distR="0" wp14:anchorId="69630E99" wp14:editId="5865FD29">
              <wp:extent cx="6793865" cy="565785"/>
              <wp:effectExtent l="0" t="0" r="0" b="0"/>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BBB7A" w14:textId="77777777" w:rsidR="00960F29" w:rsidRDefault="00960F29"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inline>
          </w:drawing>
        </mc:Choice>
        <mc:Fallback>
          <w:pict>
            <v:shapetype w14:anchorId="69630E99" id="_x0000_t202" coordsize="21600,21600" o:spt="202" path="m,l,21600r21600,l21600,xe">
              <v:stroke joinstyle="miter"/>
              <v:path gradientshapeok="t" o:connecttype="rect"/>
            </v:shapetype>
            <v:shape id="WordArt 5" o:spid="_x0000_s1030" type="#_x0000_t202" style="width:534.95pt;height:44.5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" filled="f" stroked="f">
              <v:stroke joinstyle="round"/>
              <o:lock v:ext="edit" shapetype="t"/>
              <v:textbox style="mso-fit-shape-to-text:t">
                <w:txbxContent>
                  <w:p w14:paraId="600BBB7A" w14:textId="77777777" w:rsidR="00960F29" w:rsidRDefault="00960F29"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B3DE" w14:textId="77777777" w:rsidR="00960F29" w:rsidRPr="0038485C" w:rsidRDefault="00960F29" w:rsidP="003848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78DC" w14:textId="77777777" w:rsidR="00960F29" w:rsidRDefault="00960F29" w:rsidP="00CD2872">
    <w:pPr>
      <w:pStyle w:val="Header"/>
      <w:jc w:val="right"/>
    </w:pPr>
    <w:r w:rsidRPr="00CD2872">
      <w:t xml:space="preserve">Voluntary </w:t>
    </w:r>
    <w:r>
      <w:t>Income Management</w:t>
    </w:r>
    <w:r w:rsidRPr="00CD2872">
      <w:t xml:space="preserve"> in the A</w:t>
    </w:r>
    <w:r w:rsidRPr="001F3D19">
      <w:rPr>
        <w:u w:val="single"/>
      </w:rPr>
      <w:t>n</w:t>
    </w:r>
    <w:r w:rsidRPr="00CD2872">
      <w:t>angu Pitjantjatjara Yankunytjatjara (APY) Lands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FD95E" w14:textId="77777777" w:rsidR="00960F29" w:rsidRPr="00974C50" w:rsidRDefault="00960F29" w:rsidP="00974C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EB0F" w14:textId="77777777" w:rsidR="00960F29" w:rsidRPr="00974C50" w:rsidRDefault="00960F29" w:rsidP="00974C50">
    <w:pPr>
      <w:pStyle w:val="Header"/>
    </w:pPr>
  </w:p>
  <w:p w14:paraId="4CEF36D9" w14:textId="77777777" w:rsidR="00960F29" w:rsidRDefault="00960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1" w15:restartNumberingAfterBreak="0">
    <w:nsid w:val="0113622E"/>
    <w:multiLevelType w:val="hybridMultilevel"/>
    <w:tmpl w:val="B380BF9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DA7A78"/>
    <w:multiLevelType w:val="hybridMultilevel"/>
    <w:tmpl w:val="53F09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11B46"/>
    <w:multiLevelType w:val="hybridMultilevel"/>
    <w:tmpl w:val="1C067C82"/>
    <w:lvl w:ilvl="0" w:tplc="0C090001">
      <w:start w:val="1"/>
      <w:numFmt w:val="bullet"/>
      <w:lvlText w:val=""/>
      <w:lvlJc w:val="left"/>
      <w:pPr>
        <w:ind w:left="1440" w:hanging="360"/>
      </w:pPr>
      <w:rPr>
        <w:rFonts w:ascii="Symbol" w:hAnsi="Symbol" w:cs="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7" w15:restartNumberingAfterBreak="0">
    <w:nsid w:val="1C57629D"/>
    <w:multiLevelType w:val="hybridMultilevel"/>
    <w:tmpl w:val="9ED85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219045BE"/>
    <w:multiLevelType w:val="multilevel"/>
    <w:tmpl w:val="579C7C84"/>
    <w:lvl w:ilvl="0">
      <w:start w:val="1"/>
      <w:numFmt w:val="decimal"/>
      <w:pStyle w:val="sprcheading1"/>
      <w:lvlText w:val="%1."/>
      <w:lvlJc w:val="left"/>
      <w:pPr>
        <w:ind w:left="720" w:hanging="360"/>
      </w:pPr>
    </w:lvl>
    <w:lvl w:ilvl="1">
      <w:start w:val="1"/>
      <w:numFmt w:val="decimal"/>
      <w:pStyle w:val="Heading2"/>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21C82071"/>
    <w:multiLevelType w:val="hybridMultilevel"/>
    <w:tmpl w:val="B0D2F2AA"/>
    <w:lvl w:ilvl="0" w:tplc="FEB02FA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B34AE"/>
    <w:multiLevelType w:val="hybridMultilevel"/>
    <w:tmpl w:val="6E120436"/>
    <w:lvl w:ilvl="0" w:tplc="8154D3CA">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B76739"/>
    <w:multiLevelType w:val="hybridMultilevel"/>
    <w:tmpl w:val="74EE4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2B5DC2"/>
    <w:multiLevelType w:val="hybridMultilevel"/>
    <w:tmpl w:val="4C4422F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DE5DD2"/>
    <w:multiLevelType w:val="hybridMultilevel"/>
    <w:tmpl w:val="F7926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DF1CEB"/>
    <w:multiLevelType w:val="hybridMultilevel"/>
    <w:tmpl w:val="5A723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8668D6"/>
    <w:multiLevelType w:val="hybridMultilevel"/>
    <w:tmpl w:val="6C8827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575E5C"/>
    <w:multiLevelType w:val="hybridMultilevel"/>
    <w:tmpl w:val="F148DC3A"/>
    <w:lvl w:ilvl="0" w:tplc="0C090001">
      <w:start w:val="1"/>
      <w:numFmt w:val="bullet"/>
      <w:lvlText w:val=""/>
      <w:lvlJc w:val="left"/>
      <w:pPr>
        <w:ind w:left="720" w:hanging="360"/>
      </w:pPr>
      <w:rPr>
        <w:rFonts w:ascii="Symbol" w:hAnsi="Symbol" w:hint="default"/>
      </w:rPr>
    </w:lvl>
    <w:lvl w:ilvl="1" w:tplc="24E6D7C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96072C"/>
    <w:multiLevelType w:val="hybridMultilevel"/>
    <w:tmpl w:val="C61E1C2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4B013A55"/>
    <w:multiLevelType w:val="hybridMultilevel"/>
    <w:tmpl w:val="D312FB6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2" w15:restartNumberingAfterBreak="0">
    <w:nsid w:val="4EF97F07"/>
    <w:multiLevelType w:val="hybridMultilevel"/>
    <w:tmpl w:val="FD0EC4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847D85"/>
    <w:multiLevelType w:val="hybridMultilevel"/>
    <w:tmpl w:val="41FE403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3361A6"/>
    <w:multiLevelType w:val="multilevel"/>
    <w:tmpl w:val="0024D480"/>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pStyle w:val="Heading9"/>
      <w:lvlText w:val="Appendix %9"/>
      <w:lvlJc w:val="left"/>
      <w:pPr>
        <w:tabs>
          <w:tab w:val="num" w:pos="680"/>
        </w:tabs>
        <w:ind w:left="0" w:firstLine="0"/>
      </w:pPr>
      <w:rPr>
        <w:rFonts w:hint="default"/>
      </w:rPr>
    </w:lvl>
  </w:abstractNum>
  <w:abstractNum w:abstractNumId="25" w15:restartNumberingAfterBreak="0">
    <w:nsid w:val="652E5F6C"/>
    <w:multiLevelType w:val="hybridMultilevel"/>
    <w:tmpl w:val="D5C4744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3F0D19"/>
    <w:multiLevelType w:val="hybridMultilevel"/>
    <w:tmpl w:val="61AC6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903827"/>
    <w:multiLevelType w:val="hybridMultilevel"/>
    <w:tmpl w:val="02B2CA90"/>
    <w:lvl w:ilvl="0" w:tplc="0C090001">
      <w:start w:val="1"/>
      <w:numFmt w:val="bullet"/>
      <w:lvlText w:val=""/>
      <w:lvlJc w:val="left"/>
      <w:pPr>
        <w:ind w:left="841" w:hanging="360"/>
      </w:pPr>
      <w:rPr>
        <w:rFonts w:ascii="Symbol" w:hAnsi="Symbol" w:cs="Symbol" w:hint="default"/>
      </w:rPr>
    </w:lvl>
    <w:lvl w:ilvl="1" w:tplc="0C090003" w:tentative="1">
      <w:start w:val="1"/>
      <w:numFmt w:val="bullet"/>
      <w:lvlText w:val="o"/>
      <w:lvlJc w:val="left"/>
      <w:pPr>
        <w:ind w:left="1561" w:hanging="360"/>
      </w:pPr>
      <w:rPr>
        <w:rFonts w:ascii="Courier New" w:hAnsi="Courier New" w:cs="Courier New" w:hint="default"/>
      </w:rPr>
    </w:lvl>
    <w:lvl w:ilvl="2" w:tplc="0C090005" w:tentative="1">
      <w:start w:val="1"/>
      <w:numFmt w:val="bullet"/>
      <w:lvlText w:val=""/>
      <w:lvlJc w:val="left"/>
      <w:pPr>
        <w:ind w:left="2281" w:hanging="360"/>
      </w:pPr>
      <w:rPr>
        <w:rFonts w:ascii="Wingdings" w:hAnsi="Wingdings" w:hint="default"/>
      </w:rPr>
    </w:lvl>
    <w:lvl w:ilvl="3" w:tplc="0C090001" w:tentative="1">
      <w:start w:val="1"/>
      <w:numFmt w:val="bullet"/>
      <w:lvlText w:val=""/>
      <w:lvlJc w:val="left"/>
      <w:pPr>
        <w:ind w:left="3001" w:hanging="360"/>
      </w:pPr>
      <w:rPr>
        <w:rFonts w:ascii="Symbol" w:hAnsi="Symbol" w:hint="default"/>
      </w:rPr>
    </w:lvl>
    <w:lvl w:ilvl="4" w:tplc="0C090003" w:tentative="1">
      <w:start w:val="1"/>
      <w:numFmt w:val="bullet"/>
      <w:lvlText w:val="o"/>
      <w:lvlJc w:val="left"/>
      <w:pPr>
        <w:ind w:left="3721" w:hanging="360"/>
      </w:pPr>
      <w:rPr>
        <w:rFonts w:ascii="Courier New" w:hAnsi="Courier New" w:cs="Courier New" w:hint="default"/>
      </w:rPr>
    </w:lvl>
    <w:lvl w:ilvl="5" w:tplc="0C090005" w:tentative="1">
      <w:start w:val="1"/>
      <w:numFmt w:val="bullet"/>
      <w:lvlText w:val=""/>
      <w:lvlJc w:val="left"/>
      <w:pPr>
        <w:ind w:left="4441" w:hanging="360"/>
      </w:pPr>
      <w:rPr>
        <w:rFonts w:ascii="Wingdings" w:hAnsi="Wingdings" w:hint="default"/>
      </w:rPr>
    </w:lvl>
    <w:lvl w:ilvl="6" w:tplc="0C090001" w:tentative="1">
      <w:start w:val="1"/>
      <w:numFmt w:val="bullet"/>
      <w:lvlText w:val=""/>
      <w:lvlJc w:val="left"/>
      <w:pPr>
        <w:ind w:left="5161" w:hanging="360"/>
      </w:pPr>
      <w:rPr>
        <w:rFonts w:ascii="Symbol" w:hAnsi="Symbol" w:hint="default"/>
      </w:rPr>
    </w:lvl>
    <w:lvl w:ilvl="7" w:tplc="0C090003" w:tentative="1">
      <w:start w:val="1"/>
      <w:numFmt w:val="bullet"/>
      <w:lvlText w:val="o"/>
      <w:lvlJc w:val="left"/>
      <w:pPr>
        <w:ind w:left="5881" w:hanging="360"/>
      </w:pPr>
      <w:rPr>
        <w:rFonts w:ascii="Courier New" w:hAnsi="Courier New" w:cs="Courier New" w:hint="default"/>
      </w:rPr>
    </w:lvl>
    <w:lvl w:ilvl="8" w:tplc="0C090005" w:tentative="1">
      <w:start w:val="1"/>
      <w:numFmt w:val="bullet"/>
      <w:lvlText w:val=""/>
      <w:lvlJc w:val="left"/>
      <w:pPr>
        <w:ind w:left="6601" w:hanging="360"/>
      </w:pPr>
      <w:rPr>
        <w:rFonts w:ascii="Wingdings" w:hAnsi="Wingdings" w:hint="default"/>
      </w:rPr>
    </w:lvl>
  </w:abstractNum>
  <w:abstractNum w:abstractNumId="28" w15:restartNumberingAfterBreak="0">
    <w:nsid w:val="766D09CF"/>
    <w:multiLevelType w:val="hybridMultilevel"/>
    <w:tmpl w:val="0A4EB6C6"/>
    <w:lvl w:ilvl="0" w:tplc="0C09000B">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6CC3E58"/>
    <w:multiLevelType w:val="hybridMultilevel"/>
    <w:tmpl w:val="CED0BC4A"/>
    <w:lvl w:ilvl="0" w:tplc="8306064C">
      <w:start w:val="1"/>
      <w:numFmt w:val="bullet"/>
      <w:pStyle w:val="ListBullet"/>
      <w:lvlText w:val="•"/>
      <w:lvlJc w:val="left"/>
      <w:pPr>
        <w:ind w:left="1440" w:hanging="360"/>
      </w:pPr>
      <w:rPr>
        <w:rFonts w:ascii="Arial" w:hAnsi="Aria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24"/>
  </w:num>
  <w:num w:numId="4">
    <w:abstractNumId w:val="13"/>
  </w:num>
  <w:num w:numId="5">
    <w:abstractNumId w:val="29"/>
  </w:num>
  <w:num w:numId="6">
    <w:abstractNumId w:val="6"/>
  </w:num>
  <w:num w:numId="7">
    <w:abstractNumId w:val="5"/>
  </w:num>
  <w:num w:numId="8">
    <w:abstractNumId w:val="30"/>
  </w:num>
  <w:num w:numId="9">
    <w:abstractNumId w:val="2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
  </w:num>
  <w:num w:numId="13">
    <w:abstractNumId w:val="7"/>
  </w:num>
  <w:num w:numId="14">
    <w:abstractNumId w:val="17"/>
  </w:num>
  <w:num w:numId="15">
    <w:abstractNumId w:val="19"/>
  </w:num>
  <w:num w:numId="16">
    <w:abstractNumId w:val="27"/>
  </w:num>
  <w:num w:numId="17">
    <w:abstractNumId w:val="23"/>
  </w:num>
  <w:num w:numId="18">
    <w:abstractNumId w:val="1"/>
  </w:num>
  <w:num w:numId="19">
    <w:abstractNumId w:val="14"/>
  </w:num>
  <w:num w:numId="20">
    <w:abstractNumId w:val="25"/>
  </w:num>
  <w:num w:numId="21">
    <w:abstractNumId w:val="15"/>
  </w:num>
  <w:num w:numId="22">
    <w:abstractNumId w:val="9"/>
  </w:num>
  <w:num w:numId="23">
    <w:abstractNumId w:val="22"/>
  </w:num>
  <w:num w:numId="24">
    <w:abstractNumId w:val="26"/>
  </w:num>
  <w:num w:numId="25">
    <w:abstractNumId w:val="16"/>
  </w:num>
  <w:num w:numId="26">
    <w:abstractNumId w:val="12"/>
  </w:num>
  <w:num w:numId="27">
    <w:abstractNumId w:val="9"/>
  </w:num>
  <w:num w:numId="28">
    <w:abstractNumId w:val="9"/>
  </w:num>
  <w:num w:numId="29">
    <w:abstractNumId w:val="3"/>
  </w:num>
  <w:num w:numId="30">
    <w:abstractNumId w:val="21"/>
  </w:num>
  <w:num w:numId="31">
    <w:abstractNumId w:val="10"/>
  </w:num>
  <w:num w:numId="32">
    <w:abstractNumId w:val="28"/>
  </w:num>
  <w:num w:numId="33">
    <w:abstractNumId w:val="9"/>
  </w:num>
  <w:num w:numId="34">
    <w:abstractNumId w:val="9"/>
  </w:num>
  <w:num w:numId="35">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attachedTemplate r:id="rId1"/>
  <w:doNotTrackFormatting/>
  <w:defaultTabStop w:val="720"/>
  <w:drawingGridHorizontalSpacing w:val="120"/>
  <w:drawingGridVerticalSpacing w:val="181"/>
  <w:displayHorizontalDrawingGridEvery w:val="2"/>
  <w:characterSpacingControl w:val="doNotCompress"/>
  <w:hdrShapeDefaults>
    <o:shapedefaults v:ext="edit" spidmax="2050">
      <v:stroke endarrow="block"/>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372433"/>
    <w:rsid w:val="000004BD"/>
    <w:rsid w:val="00000D54"/>
    <w:rsid w:val="00000F86"/>
    <w:rsid w:val="000012EE"/>
    <w:rsid w:val="0000256F"/>
    <w:rsid w:val="0000288A"/>
    <w:rsid w:val="000030C3"/>
    <w:rsid w:val="0000360D"/>
    <w:rsid w:val="00005085"/>
    <w:rsid w:val="00005967"/>
    <w:rsid w:val="00006460"/>
    <w:rsid w:val="00006746"/>
    <w:rsid w:val="00006C52"/>
    <w:rsid w:val="00006F27"/>
    <w:rsid w:val="00007DAA"/>
    <w:rsid w:val="000104CD"/>
    <w:rsid w:val="00011602"/>
    <w:rsid w:val="00011B37"/>
    <w:rsid w:val="00011C1C"/>
    <w:rsid w:val="00011DBE"/>
    <w:rsid w:val="00012AA2"/>
    <w:rsid w:val="00012F85"/>
    <w:rsid w:val="000151E5"/>
    <w:rsid w:val="00015CC0"/>
    <w:rsid w:val="00015D1A"/>
    <w:rsid w:val="00022209"/>
    <w:rsid w:val="000244A2"/>
    <w:rsid w:val="00024ED2"/>
    <w:rsid w:val="000253CD"/>
    <w:rsid w:val="00026175"/>
    <w:rsid w:val="00026184"/>
    <w:rsid w:val="000269F3"/>
    <w:rsid w:val="00026AF3"/>
    <w:rsid w:val="00026D35"/>
    <w:rsid w:val="00027F6D"/>
    <w:rsid w:val="0003067B"/>
    <w:rsid w:val="00030A70"/>
    <w:rsid w:val="000323BB"/>
    <w:rsid w:val="000325B0"/>
    <w:rsid w:val="000325F5"/>
    <w:rsid w:val="000331BB"/>
    <w:rsid w:val="00033CC5"/>
    <w:rsid w:val="00033EC4"/>
    <w:rsid w:val="000342F9"/>
    <w:rsid w:val="000354C6"/>
    <w:rsid w:val="00035635"/>
    <w:rsid w:val="00036042"/>
    <w:rsid w:val="000373AF"/>
    <w:rsid w:val="00037562"/>
    <w:rsid w:val="0004022C"/>
    <w:rsid w:val="0004098A"/>
    <w:rsid w:val="00040CED"/>
    <w:rsid w:val="00041168"/>
    <w:rsid w:val="00041E3D"/>
    <w:rsid w:val="00042304"/>
    <w:rsid w:val="00042667"/>
    <w:rsid w:val="000432BA"/>
    <w:rsid w:val="00044530"/>
    <w:rsid w:val="00044709"/>
    <w:rsid w:val="00045AB5"/>
    <w:rsid w:val="000467B7"/>
    <w:rsid w:val="00046A85"/>
    <w:rsid w:val="00047D31"/>
    <w:rsid w:val="000509DB"/>
    <w:rsid w:val="00051E86"/>
    <w:rsid w:val="00053F93"/>
    <w:rsid w:val="00055087"/>
    <w:rsid w:val="00057BE7"/>
    <w:rsid w:val="00057EA8"/>
    <w:rsid w:val="000610DA"/>
    <w:rsid w:val="00062092"/>
    <w:rsid w:val="00062ACD"/>
    <w:rsid w:val="000637EB"/>
    <w:rsid w:val="00063BA4"/>
    <w:rsid w:val="00064550"/>
    <w:rsid w:val="00065507"/>
    <w:rsid w:val="00067881"/>
    <w:rsid w:val="00067A56"/>
    <w:rsid w:val="00067D35"/>
    <w:rsid w:val="00070C97"/>
    <w:rsid w:val="0007123F"/>
    <w:rsid w:val="00071354"/>
    <w:rsid w:val="000725D0"/>
    <w:rsid w:val="000739BB"/>
    <w:rsid w:val="00073FEB"/>
    <w:rsid w:val="0007460F"/>
    <w:rsid w:val="000751F9"/>
    <w:rsid w:val="00075207"/>
    <w:rsid w:val="00075A40"/>
    <w:rsid w:val="00077B3F"/>
    <w:rsid w:val="0008019D"/>
    <w:rsid w:val="00080A4F"/>
    <w:rsid w:val="00081540"/>
    <w:rsid w:val="000819C3"/>
    <w:rsid w:val="00081D36"/>
    <w:rsid w:val="00084264"/>
    <w:rsid w:val="00085641"/>
    <w:rsid w:val="00085E70"/>
    <w:rsid w:val="00086F84"/>
    <w:rsid w:val="000870A5"/>
    <w:rsid w:val="00087A7A"/>
    <w:rsid w:val="00087B56"/>
    <w:rsid w:val="00090076"/>
    <w:rsid w:val="000916A0"/>
    <w:rsid w:val="000936D2"/>
    <w:rsid w:val="000939B2"/>
    <w:rsid w:val="00093E5E"/>
    <w:rsid w:val="00094234"/>
    <w:rsid w:val="00094276"/>
    <w:rsid w:val="00094652"/>
    <w:rsid w:val="00094A4C"/>
    <w:rsid w:val="0009554F"/>
    <w:rsid w:val="000967E6"/>
    <w:rsid w:val="00097BFA"/>
    <w:rsid w:val="000A039C"/>
    <w:rsid w:val="000A0594"/>
    <w:rsid w:val="000A068C"/>
    <w:rsid w:val="000A1225"/>
    <w:rsid w:val="000A18ED"/>
    <w:rsid w:val="000A2504"/>
    <w:rsid w:val="000A2975"/>
    <w:rsid w:val="000A38F4"/>
    <w:rsid w:val="000A4D73"/>
    <w:rsid w:val="000A583C"/>
    <w:rsid w:val="000A58F7"/>
    <w:rsid w:val="000A614B"/>
    <w:rsid w:val="000A6477"/>
    <w:rsid w:val="000A7299"/>
    <w:rsid w:val="000A7D0C"/>
    <w:rsid w:val="000B180D"/>
    <w:rsid w:val="000B2885"/>
    <w:rsid w:val="000B2B89"/>
    <w:rsid w:val="000B3995"/>
    <w:rsid w:val="000B39C7"/>
    <w:rsid w:val="000B3CD1"/>
    <w:rsid w:val="000B675B"/>
    <w:rsid w:val="000B6A3A"/>
    <w:rsid w:val="000C12A4"/>
    <w:rsid w:val="000C16EF"/>
    <w:rsid w:val="000C1727"/>
    <w:rsid w:val="000C1F04"/>
    <w:rsid w:val="000C26EB"/>
    <w:rsid w:val="000C30D5"/>
    <w:rsid w:val="000C3A3B"/>
    <w:rsid w:val="000C49F7"/>
    <w:rsid w:val="000C4C72"/>
    <w:rsid w:val="000C4F48"/>
    <w:rsid w:val="000C6EAC"/>
    <w:rsid w:val="000C78A8"/>
    <w:rsid w:val="000D0124"/>
    <w:rsid w:val="000D034A"/>
    <w:rsid w:val="000D180B"/>
    <w:rsid w:val="000D2B45"/>
    <w:rsid w:val="000D2BB3"/>
    <w:rsid w:val="000D36C7"/>
    <w:rsid w:val="000D6BB3"/>
    <w:rsid w:val="000D76F6"/>
    <w:rsid w:val="000D7C62"/>
    <w:rsid w:val="000E1274"/>
    <w:rsid w:val="000E284E"/>
    <w:rsid w:val="000E449F"/>
    <w:rsid w:val="000E50C5"/>
    <w:rsid w:val="000E7CC7"/>
    <w:rsid w:val="000F13DE"/>
    <w:rsid w:val="000F14C2"/>
    <w:rsid w:val="000F2EF1"/>
    <w:rsid w:val="000F2EFD"/>
    <w:rsid w:val="000F3024"/>
    <w:rsid w:val="000F41BE"/>
    <w:rsid w:val="000F42B1"/>
    <w:rsid w:val="000F5523"/>
    <w:rsid w:val="000F58E9"/>
    <w:rsid w:val="000F5CF6"/>
    <w:rsid w:val="000F7A17"/>
    <w:rsid w:val="00100E1F"/>
    <w:rsid w:val="001016BB"/>
    <w:rsid w:val="00102697"/>
    <w:rsid w:val="00102B9C"/>
    <w:rsid w:val="00103988"/>
    <w:rsid w:val="0010539F"/>
    <w:rsid w:val="0010645B"/>
    <w:rsid w:val="00106ADC"/>
    <w:rsid w:val="00107B13"/>
    <w:rsid w:val="00107CAD"/>
    <w:rsid w:val="001110B8"/>
    <w:rsid w:val="0011400A"/>
    <w:rsid w:val="00114B3A"/>
    <w:rsid w:val="001150EA"/>
    <w:rsid w:val="0011558D"/>
    <w:rsid w:val="00116013"/>
    <w:rsid w:val="00116B0E"/>
    <w:rsid w:val="00116C78"/>
    <w:rsid w:val="0011769F"/>
    <w:rsid w:val="001214AE"/>
    <w:rsid w:val="00122741"/>
    <w:rsid w:val="00122786"/>
    <w:rsid w:val="00123569"/>
    <w:rsid w:val="00123649"/>
    <w:rsid w:val="00124A10"/>
    <w:rsid w:val="00125AF4"/>
    <w:rsid w:val="00125F90"/>
    <w:rsid w:val="00126037"/>
    <w:rsid w:val="001262BA"/>
    <w:rsid w:val="0012666B"/>
    <w:rsid w:val="00126D99"/>
    <w:rsid w:val="0012752A"/>
    <w:rsid w:val="00131EF1"/>
    <w:rsid w:val="00133FB0"/>
    <w:rsid w:val="001349AD"/>
    <w:rsid w:val="00134B90"/>
    <w:rsid w:val="00135631"/>
    <w:rsid w:val="001357AF"/>
    <w:rsid w:val="00137AB8"/>
    <w:rsid w:val="00137EAC"/>
    <w:rsid w:val="00140528"/>
    <w:rsid w:val="001456A8"/>
    <w:rsid w:val="0014579E"/>
    <w:rsid w:val="00145D39"/>
    <w:rsid w:val="00150527"/>
    <w:rsid w:val="00150EE0"/>
    <w:rsid w:val="00151519"/>
    <w:rsid w:val="00151533"/>
    <w:rsid w:val="00151FED"/>
    <w:rsid w:val="00152BF3"/>
    <w:rsid w:val="00155195"/>
    <w:rsid w:val="00156F33"/>
    <w:rsid w:val="0015720C"/>
    <w:rsid w:val="0015761C"/>
    <w:rsid w:val="00161386"/>
    <w:rsid w:val="00161443"/>
    <w:rsid w:val="001620AD"/>
    <w:rsid w:val="001624BC"/>
    <w:rsid w:val="001630E6"/>
    <w:rsid w:val="001635C5"/>
    <w:rsid w:val="001638CB"/>
    <w:rsid w:val="0016792E"/>
    <w:rsid w:val="001704C1"/>
    <w:rsid w:val="00170ACF"/>
    <w:rsid w:val="00170C44"/>
    <w:rsid w:val="00171CCF"/>
    <w:rsid w:val="00171EBC"/>
    <w:rsid w:val="00172FAF"/>
    <w:rsid w:val="0017346F"/>
    <w:rsid w:val="00175BD1"/>
    <w:rsid w:val="001764C9"/>
    <w:rsid w:val="001765E8"/>
    <w:rsid w:val="001769E0"/>
    <w:rsid w:val="00177B61"/>
    <w:rsid w:val="00180CA4"/>
    <w:rsid w:val="001830ED"/>
    <w:rsid w:val="001837D7"/>
    <w:rsid w:val="00184F40"/>
    <w:rsid w:val="001853C2"/>
    <w:rsid w:val="0018567E"/>
    <w:rsid w:val="00185F33"/>
    <w:rsid w:val="00186264"/>
    <w:rsid w:val="001863CA"/>
    <w:rsid w:val="00186A73"/>
    <w:rsid w:val="00187752"/>
    <w:rsid w:val="00187B67"/>
    <w:rsid w:val="00187C80"/>
    <w:rsid w:val="00187CEA"/>
    <w:rsid w:val="00190BE7"/>
    <w:rsid w:val="00190F61"/>
    <w:rsid w:val="001910E6"/>
    <w:rsid w:val="00191489"/>
    <w:rsid w:val="00191FC3"/>
    <w:rsid w:val="0019222B"/>
    <w:rsid w:val="00192848"/>
    <w:rsid w:val="00192F80"/>
    <w:rsid w:val="001945CA"/>
    <w:rsid w:val="00196729"/>
    <w:rsid w:val="00197549"/>
    <w:rsid w:val="00197CB1"/>
    <w:rsid w:val="001A000C"/>
    <w:rsid w:val="001A01F1"/>
    <w:rsid w:val="001A1993"/>
    <w:rsid w:val="001A1D97"/>
    <w:rsid w:val="001A32CA"/>
    <w:rsid w:val="001A3B35"/>
    <w:rsid w:val="001A4593"/>
    <w:rsid w:val="001A6719"/>
    <w:rsid w:val="001A6857"/>
    <w:rsid w:val="001A6CF1"/>
    <w:rsid w:val="001A7B08"/>
    <w:rsid w:val="001B2016"/>
    <w:rsid w:val="001B24CC"/>
    <w:rsid w:val="001B2A47"/>
    <w:rsid w:val="001B3586"/>
    <w:rsid w:val="001B3F2A"/>
    <w:rsid w:val="001B4DFB"/>
    <w:rsid w:val="001B592E"/>
    <w:rsid w:val="001C0048"/>
    <w:rsid w:val="001C00AF"/>
    <w:rsid w:val="001C024B"/>
    <w:rsid w:val="001C0316"/>
    <w:rsid w:val="001C07E6"/>
    <w:rsid w:val="001C08A8"/>
    <w:rsid w:val="001C0ABB"/>
    <w:rsid w:val="001C0C0B"/>
    <w:rsid w:val="001C202F"/>
    <w:rsid w:val="001C2517"/>
    <w:rsid w:val="001C25CB"/>
    <w:rsid w:val="001C3933"/>
    <w:rsid w:val="001C3F35"/>
    <w:rsid w:val="001C442E"/>
    <w:rsid w:val="001C4CF6"/>
    <w:rsid w:val="001C5051"/>
    <w:rsid w:val="001C646D"/>
    <w:rsid w:val="001C7452"/>
    <w:rsid w:val="001D02E2"/>
    <w:rsid w:val="001D0813"/>
    <w:rsid w:val="001D104A"/>
    <w:rsid w:val="001D13DE"/>
    <w:rsid w:val="001D1B97"/>
    <w:rsid w:val="001D2E0A"/>
    <w:rsid w:val="001D38E1"/>
    <w:rsid w:val="001D3BB4"/>
    <w:rsid w:val="001D3DCD"/>
    <w:rsid w:val="001D3F41"/>
    <w:rsid w:val="001D45CB"/>
    <w:rsid w:val="001D465C"/>
    <w:rsid w:val="001D47E9"/>
    <w:rsid w:val="001D5099"/>
    <w:rsid w:val="001D629D"/>
    <w:rsid w:val="001D6377"/>
    <w:rsid w:val="001D6C7E"/>
    <w:rsid w:val="001D6D87"/>
    <w:rsid w:val="001D6E69"/>
    <w:rsid w:val="001D7E46"/>
    <w:rsid w:val="001E1FC7"/>
    <w:rsid w:val="001E29A6"/>
    <w:rsid w:val="001E3552"/>
    <w:rsid w:val="001E3C07"/>
    <w:rsid w:val="001E4E1B"/>
    <w:rsid w:val="001E53F1"/>
    <w:rsid w:val="001E5B11"/>
    <w:rsid w:val="001E60F2"/>
    <w:rsid w:val="001F08B0"/>
    <w:rsid w:val="001F134F"/>
    <w:rsid w:val="001F163D"/>
    <w:rsid w:val="001F18E2"/>
    <w:rsid w:val="001F1E3E"/>
    <w:rsid w:val="001F3D19"/>
    <w:rsid w:val="001F4A70"/>
    <w:rsid w:val="001F6973"/>
    <w:rsid w:val="001F7701"/>
    <w:rsid w:val="001F77D2"/>
    <w:rsid w:val="00200F54"/>
    <w:rsid w:val="002017AF"/>
    <w:rsid w:val="00203040"/>
    <w:rsid w:val="002034F8"/>
    <w:rsid w:val="0020359A"/>
    <w:rsid w:val="0020479E"/>
    <w:rsid w:val="00205CA6"/>
    <w:rsid w:val="00207949"/>
    <w:rsid w:val="00210F42"/>
    <w:rsid w:val="00211D68"/>
    <w:rsid w:val="00212A6D"/>
    <w:rsid w:val="00212C7A"/>
    <w:rsid w:val="00215E03"/>
    <w:rsid w:val="00216676"/>
    <w:rsid w:val="002170B4"/>
    <w:rsid w:val="00217802"/>
    <w:rsid w:val="00220461"/>
    <w:rsid w:val="00221AD6"/>
    <w:rsid w:val="002237CB"/>
    <w:rsid w:val="00224ABE"/>
    <w:rsid w:val="00225932"/>
    <w:rsid w:val="00225DDC"/>
    <w:rsid w:val="0022665C"/>
    <w:rsid w:val="002277CF"/>
    <w:rsid w:val="00231656"/>
    <w:rsid w:val="00232DF1"/>
    <w:rsid w:val="00233582"/>
    <w:rsid w:val="00233DDB"/>
    <w:rsid w:val="002340A7"/>
    <w:rsid w:val="0023473F"/>
    <w:rsid w:val="002357B5"/>
    <w:rsid w:val="0023712E"/>
    <w:rsid w:val="00237BF8"/>
    <w:rsid w:val="00237CC5"/>
    <w:rsid w:val="00240E61"/>
    <w:rsid w:val="002410D1"/>
    <w:rsid w:val="00241152"/>
    <w:rsid w:val="00241549"/>
    <w:rsid w:val="00241640"/>
    <w:rsid w:val="00241EE9"/>
    <w:rsid w:val="0024240D"/>
    <w:rsid w:val="00242769"/>
    <w:rsid w:val="00242791"/>
    <w:rsid w:val="00242BB5"/>
    <w:rsid w:val="0024431C"/>
    <w:rsid w:val="00245D99"/>
    <w:rsid w:val="0024628B"/>
    <w:rsid w:val="002467CA"/>
    <w:rsid w:val="002472CD"/>
    <w:rsid w:val="00247679"/>
    <w:rsid w:val="002507AB"/>
    <w:rsid w:val="002507FA"/>
    <w:rsid w:val="00250CA2"/>
    <w:rsid w:val="00250E98"/>
    <w:rsid w:val="00250F99"/>
    <w:rsid w:val="00251CB6"/>
    <w:rsid w:val="00251E5C"/>
    <w:rsid w:val="00251EE5"/>
    <w:rsid w:val="002534A1"/>
    <w:rsid w:val="002541C7"/>
    <w:rsid w:val="00254CAB"/>
    <w:rsid w:val="00255D36"/>
    <w:rsid w:val="00256852"/>
    <w:rsid w:val="002570A8"/>
    <w:rsid w:val="00257CAD"/>
    <w:rsid w:val="002610F4"/>
    <w:rsid w:val="00262732"/>
    <w:rsid w:val="00263AC9"/>
    <w:rsid w:val="00265D00"/>
    <w:rsid w:val="0026721E"/>
    <w:rsid w:val="00270ABA"/>
    <w:rsid w:val="00270ACC"/>
    <w:rsid w:val="0027185C"/>
    <w:rsid w:val="00271AD7"/>
    <w:rsid w:val="002727EB"/>
    <w:rsid w:val="00272A54"/>
    <w:rsid w:val="002738CA"/>
    <w:rsid w:val="00274957"/>
    <w:rsid w:val="00274DA7"/>
    <w:rsid w:val="00275B9C"/>
    <w:rsid w:val="002760D1"/>
    <w:rsid w:val="002761DE"/>
    <w:rsid w:val="002762AF"/>
    <w:rsid w:val="00276B71"/>
    <w:rsid w:val="002775AE"/>
    <w:rsid w:val="002778D1"/>
    <w:rsid w:val="00277DFF"/>
    <w:rsid w:val="00280189"/>
    <w:rsid w:val="00280BD4"/>
    <w:rsid w:val="002817FD"/>
    <w:rsid w:val="00282172"/>
    <w:rsid w:val="002823C7"/>
    <w:rsid w:val="00285CAD"/>
    <w:rsid w:val="00286475"/>
    <w:rsid w:val="0029001C"/>
    <w:rsid w:val="00290867"/>
    <w:rsid w:val="00290AA9"/>
    <w:rsid w:val="00290FBC"/>
    <w:rsid w:val="002911AA"/>
    <w:rsid w:val="00291A14"/>
    <w:rsid w:val="0029207F"/>
    <w:rsid w:val="002930FC"/>
    <w:rsid w:val="00294C15"/>
    <w:rsid w:val="00294C47"/>
    <w:rsid w:val="002959BA"/>
    <w:rsid w:val="002A2797"/>
    <w:rsid w:val="002A2C96"/>
    <w:rsid w:val="002A2E45"/>
    <w:rsid w:val="002A337B"/>
    <w:rsid w:val="002A33F7"/>
    <w:rsid w:val="002A352D"/>
    <w:rsid w:val="002A4569"/>
    <w:rsid w:val="002A549A"/>
    <w:rsid w:val="002A5746"/>
    <w:rsid w:val="002A59AD"/>
    <w:rsid w:val="002A5C2E"/>
    <w:rsid w:val="002A668F"/>
    <w:rsid w:val="002A67E3"/>
    <w:rsid w:val="002A6806"/>
    <w:rsid w:val="002A68B2"/>
    <w:rsid w:val="002A6B52"/>
    <w:rsid w:val="002A6B8B"/>
    <w:rsid w:val="002A7139"/>
    <w:rsid w:val="002B03DE"/>
    <w:rsid w:val="002B1550"/>
    <w:rsid w:val="002B1612"/>
    <w:rsid w:val="002B1C78"/>
    <w:rsid w:val="002B29D2"/>
    <w:rsid w:val="002B2C9B"/>
    <w:rsid w:val="002B339F"/>
    <w:rsid w:val="002B33C9"/>
    <w:rsid w:val="002B5AF8"/>
    <w:rsid w:val="002B720A"/>
    <w:rsid w:val="002C04F2"/>
    <w:rsid w:val="002C0E25"/>
    <w:rsid w:val="002C1A00"/>
    <w:rsid w:val="002C1E3A"/>
    <w:rsid w:val="002C4183"/>
    <w:rsid w:val="002C49B1"/>
    <w:rsid w:val="002C4C84"/>
    <w:rsid w:val="002C4F97"/>
    <w:rsid w:val="002C7411"/>
    <w:rsid w:val="002C7440"/>
    <w:rsid w:val="002D003C"/>
    <w:rsid w:val="002D1061"/>
    <w:rsid w:val="002D17E6"/>
    <w:rsid w:val="002D27E7"/>
    <w:rsid w:val="002D38BF"/>
    <w:rsid w:val="002D3A82"/>
    <w:rsid w:val="002D42F6"/>
    <w:rsid w:val="002D5C23"/>
    <w:rsid w:val="002D618D"/>
    <w:rsid w:val="002D6192"/>
    <w:rsid w:val="002D638F"/>
    <w:rsid w:val="002D70F1"/>
    <w:rsid w:val="002D7DC7"/>
    <w:rsid w:val="002D7F60"/>
    <w:rsid w:val="002E024F"/>
    <w:rsid w:val="002E04DE"/>
    <w:rsid w:val="002E0A59"/>
    <w:rsid w:val="002E23B7"/>
    <w:rsid w:val="002E2677"/>
    <w:rsid w:val="002E2970"/>
    <w:rsid w:val="002E32A6"/>
    <w:rsid w:val="002E3F42"/>
    <w:rsid w:val="002E44D8"/>
    <w:rsid w:val="002E4E58"/>
    <w:rsid w:val="002E5FC1"/>
    <w:rsid w:val="002E6100"/>
    <w:rsid w:val="002E732B"/>
    <w:rsid w:val="002E734F"/>
    <w:rsid w:val="002F046F"/>
    <w:rsid w:val="002F11B3"/>
    <w:rsid w:val="002F180E"/>
    <w:rsid w:val="002F251C"/>
    <w:rsid w:val="002F494B"/>
    <w:rsid w:val="002F50CA"/>
    <w:rsid w:val="002F5441"/>
    <w:rsid w:val="002F614E"/>
    <w:rsid w:val="002F7E85"/>
    <w:rsid w:val="00301D02"/>
    <w:rsid w:val="003041FF"/>
    <w:rsid w:val="003043A7"/>
    <w:rsid w:val="00304861"/>
    <w:rsid w:val="00304A38"/>
    <w:rsid w:val="0030588E"/>
    <w:rsid w:val="00305CDE"/>
    <w:rsid w:val="003066F3"/>
    <w:rsid w:val="00311C13"/>
    <w:rsid w:val="0031391D"/>
    <w:rsid w:val="0031564D"/>
    <w:rsid w:val="003158AD"/>
    <w:rsid w:val="0031605E"/>
    <w:rsid w:val="003160C3"/>
    <w:rsid w:val="00317C7D"/>
    <w:rsid w:val="003200A6"/>
    <w:rsid w:val="0032271C"/>
    <w:rsid w:val="0032285C"/>
    <w:rsid w:val="00322C3F"/>
    <w:rsid w:val="0032303B"/>
    <w:rsid w:val="00323C97"/>
    <w:rsid w:val="00323CC6"/>
    <w:rsid w:val="003268C5"/>
    <w:rsid w:val="00326B01"/>
    <w:rsid w:val="003274B3"/>
    <w:rsid w:val="003275A9"/>
    <w:rsid w:val="00327835"/>
    <w:rsid w:val="00330DA6"/>
    <w:rsid w:val="00330F98"/>
    <w:rsid w:val="0033104B"/>
    <w:rsid w:val="00333528"/>
    <w:rsid w:val="00333713"/>
    <w:rsid w:val="00333A47"/>
    <w:rsid w:val="00334808"/>
    <w:rsid w:val="003363B4"/>
    <w:rsid w:val="003366EA"/>
    <w:rsid w:val="003367EB"/>
    <w:rsid w:val="00337DAC"/>
    <w:rsid w:val="003432B8"/>
    <w:rsid w:val="003439F2"/>
    <w:rsid w:val="00343F6F"/>
    <w:rsid w:val="00344C3D"/>
    <w:rsid w:val="003452E1"/>
    <w:rsid w:val="00345600"/>
    <w:rsid w:val="00345664"/>
    <w:rsid w:val="003458D0"/>
    <w:rsid w:val="00345F78"/>
    <w:rsid w:val="0034638F"/>
    <w:rsid w:val="00346B49"/>
    <w:rsid w:val="003473ED"/>
    <w:rsid w:val="00347EC2"/>
    <w:rsid w:val="003515B6"/>
    <w:rsid w:val="00351BCA"/>
    <w:rsid w:val="00352189"/>
    <w:rsid w:val="003524CF"/>
    <w:rsid w:val="003525D6"/>
    <w:rsid w:val="00353446"/>
    <w:rsid w:val="00354203"/>
    <w:rsid w:val="00354677"/>
    <w:rsid w:val="00354A67"/>
    <w:rsid w:val="00355388"/>
    <w:rsid w:val="003570EC"/>
    <w:rsid w:val="00357788"/>
    <w:rsid w:val="00360789"/>
    <w:rsid w:val="0036095F"/>
    <w:rsid w:val="0036125F"/>
    <w:rsid w:val="00362834"/>
    <w:rsid w:val="00364F8E"/>
    <w:rsid w:val="00365D53"/>
    <w:rsid w:val="003665B9"/>
    <w:rsid w:val="00366C4A"/>
    <w:rsid w:val="00366D0A"/>
    <w:rsid w:val="00366E02"/>
    <w:rsid w:val="003676EC"/>
    <w:rsid w:val="0037029E"/>
    <w:rsid w:val="0037187E"/>
    <w:rsid w:val="00371A14"/>
    <w:rsid w:val="00371E36"/>
    <w:rsid w:val="00372433"/>
    <w:rsid w:val="00372461"/>
    <w:rsid w:val="00372A79"/>
    <w:rsid w:val="00373E91"/>
    <w:rsid w:val="003745F1"/>
    <w:rsid w:val="00374C64"/>
    <w:rsid w:val="00376F81"/>
    <w:rsid w:val="003771B9"/>
    <w:rsid w:val="00377A87"/>
    <w:rsid w:val="00377D10"/>
    <w:rsid w:val="00380DBC"/>
    <w:rsid w:val="00382953"/>
    <w:rsid w:val="00383045"/>
    <w:rsid w:val="00383F22"/>
    <w:rsid w:val="0038485C"/>
    <w:rsid w:val="00386813"/>
    <w:rsid w:val="00386B6E"/>
    <w:rsid w:val="003875D9"/>
    <w:rsid w:val="00391241"/>
    <w:rsid w:val="00391820"/>
    <w:rsid w:val="00393D2C"/>
    <w:rsid w:val="003966FB"/>
    <w:rsid w:val="00396D84"/>
    <w:rsid w:val="00397616"/>
    <w:rsid w:val="003A058F"/>
    <w:rsid w:val="003A0C2D"/>
    <w:rsid w:val="003A1C9B"/>
    <w:rsid w:val="003A4306"/>
    <w:rsid w:val="003A572F"/>
    <w:rsid w:val="003A638C"/>
    <w:rsid w:val="003A6C41"/>
    <w:rsid w:val="003A6D12"/>
    <w:rsid w:val="003A6FA1"/>
    <w:rsid w:val="003B0289"/>
    <w:rsid w:val="003B1553"/>
    <w:rsid w:val="003B18E3"/>
    <w:rsid w:val="003B5C35"/>
    <w:rsid w:val="003B74AB"/>
    <w:rsid w:val="003C10AE"/>
    <w:rsid w:val="003C2125"/>
    <w:rsid w:val="003C2B81"/>
    <w:rsid w:val="003C3B7D"/>
    <w:rsid w:val="003C4095"/>
    <w:rsid w:val="003C4B50"/>
    <w:rsid w:val="003C4C34"/>
    <w:rsid w:val="003C554D"/>
    <w:rsid w:val="003C5CF1"/>
    <w:rsid w:val="003C5D3A"/>
    <w:rsid w:val="003C65D1"/>
    <w:rsid w:val="003C7108"/>
    <w:rsid w:val="003C7BBC"/>
    <w:rsid w:val="003D0D7B"/>
    <w:rsid w:val="003D140A"/>
    <w:rsid w:val="003D231A"/>
    <w:rsid w:val="003D342A"/>
    <w:rsid w:val="003D428B"/>
    <w:rsid w:val="003D44A5"/>
    <w:rsid w:val="003D457F"/>
    <w:rsid w:val="003D682D"/>
    <w:rsid w:val="003D6D4C"/>
    <w:rsid w:val="003D6E9A"/>
    <w:rsid w:val="003E013F"/>
    <w:rsid w:val="003E053B"/>
    <w:rsid w:val="003E0C13"/>
    <w:rsid w:val="003E0EAB"/>
    <w:rsid w:val="003E1DA0"/>
    <w:rsid w:val="003E2DDA"/>
    <w:rsid w:val="003E2E38"/>
    <w:rsid w:val="003E3D90"/>
    <w:rsid w:val="003E3DEC"/>
    <w:rsid w:val="003E3E94"/>
    <w:rsid w:val="003E542E"/>
    <w:rsid w:val="003E5B64"/>
    <w:rsid w:val="003E6CBB"/>
    <w:rsid w:val="003E775D"/>
    <w:rsid w:val="003E7B77"/>
    <w:rsid w:val="003F0AE0"/>
    <w:rsid w:val="003F0D72"/>
    <w:rsid w:val="003F0FD3"/>
    <w:rsid w:val="003F238D"/>
    <w:rsid w:val="003F5273"/>
    <w:rsid w:val="003F537E"/>
    <w:rsid w:val="003F5671"/>
    <w:rsid w:val="003F66D8"/>
    <w:rsid w:val="003F7494"/>
    <w:rsid w:val="0040077F"/>
    <w:rsid w:val="00402990"/>
    <w:rsid w:val="00402A4C"/>
    <w:rsid w:val="00402D94"/>
    <w:rsid w:val="00403766"/>
    <w:rsid w:val="00403D53"/>
    <w:rsid w:val="004048AB"/>
    <w:rsid w:val="004053C8"/>
    <w:rsid w:val="00406D43"/>
    <w:rsid w:val="004077BE"/>
    <w:rsid w:val="00407B29"/>
    <w:rsid w:val="00410207"/>
    <w:rsid w:val="00410871"/>
    <w:rsid w:val="00410E4B"/>
    <w:rsid w:val="0041170F"/>
    <w:rsid w:val="0041339A"/>
    <w:rsid w:val="00413EF4"/>
    <w:rsid w:val="0041422B"/>
    <w:rsid w:val="00414DF8"/>
    <w:rsid w:val="004153B5"/>
    <w:rsid w:val="004175DD"/>
    <w:rsid w:val="004212B9"/>
    <w:rsid w:val="00421C9B"/>
    <w:rsid w:val="00422514"/>
    <w:rsid w:val="004236F0"/>
    <w:rsid w:val="004240C6"/>
    <w:rsid w:val="00424C46"/>
    <w:rsid w:val="0042537B"/>
    <w:rsid w:val="0042539A"/>
    <w:rsid w:val="004254A8"/>
    <w:rsid w:val="004255C8"/>
    <w:rsid w:val="00425778"/>
    <w:rsid w:val="00425CCD"/>
    <w:rsid w:val="00426B15"/>
    <w:rsid w:val="00426C81"/>
    <w:rsid w:val="0042762A"/>
    <w:rsid w:val="00430000"/>
    <w:rsid w:val="004306E5"/>
    <w:rsid w:val="00432245"/>
    <w:rsid w:val="004324E3"/>
    <w:rsid w:val="00432839"/>
    <w:rsid w:val="00434105"/>
    <w:rsid w:val="00434A47"/>
    <w:rsid w:val="00434C46"/>
    <w:rsid w:val="00434FDC"/>
    <w:rsid w:val="004360B2"/>
    <w:rsid w:val="004366C3"/>
    <w:rsid w:val="004370D5"/>
    <w:rsid w:val="00437BC7"/>
    <w:rsid w:val="004401A9"/>
    <w:rsid w:val="00440464"/>
    <w:rsid w:val="00440A6A"/>
    <w:rsid w:val="004416CB"/>
    <w:rsid w:val="00441DA8"/>
    <w:rsid w:val="0044245B"/>
    <w:rsid w:val="004440BA"/>
    <w:rsid w:val="00446985"/>
    <w:rsid w:val="00447E58"/>
    <w:rsid w:val="00447FB1"/>
    <w:rsid w:val="00452292"/>
    <w:rsid w:val="00452420"/>
    <w:rsid w:val="004526CD"/>
    <w:rsid w:val="00452865"/>
    <w:rsid w:val="00454AD7"/>
    <w:rsid w:val="0045501E"/>
    <w:rsid w:val="00455157"/>
    <w:rsid w:val="00455D5C"/>
    <w:rsid w:val="004575E2"/>
    <w:rsid w:val="00460572"/>
    <w:rsid w:val="0046080B"/>
    <w:rsid w:val="00460B32"/>
    <w:rsid w:val="00460EB6"/>
    <w:rsid w:val="00461223"/>
    <w:rsid w:val="00462319"/>
    <w:rsid w:val="00462F5F"/>
    <w:rsid w:val="00463D8F"/>
    <w:rsid w:val="00466C74"/>
    <w:rsid w:val="004671FE"/>
    <w:rsid w:val="00467AD1"/>
    <w:rsid w:val="00470755"/>
    <w:rsid w:val="00471B78"/>
    <w:rsid w:val="0047249D"/>
    <w:rsid w:val="004732BA"/>
    <w:rsid w:val="004738B9"/>
    <w:rsid w:val="00473A84"/>
    <w:rsid w:val="00475AF8"/>
    <w:rsid w:val="004761D3"/>
    <w:rsid w:val="004763FD"/>
    <w:rsid w:val="00480535"/>
    <w:rsid w:val="0048058A"/>
    <w:rsid w:val="00480961"/>
    <w:rsid w:val="004817B4"/>
    <w:rsid w:val="00481EF4"/>
    <w:rsid w:val="00482E42"/>
    <w:rsid w:val="004840A6"/>
    <w:rsid w:val="0048553C"/>
    <w:rsid w:val="004868B1"/>
    <w:rsid w:val="00486A7F"/>
    <w:rsid w:val="00487687"/>
    <w:rsid w:val="0049022E"/>
    <w:rsid w:val="00490260"/>
    <w:rsid w:val="0049045D"/>
    <w:rsid w:val="0049065F"/>
    <w:rsid w:val="00492E18"/>
    <w:rsid w:val="0049344C"/>
    <w:rsid w:val="004943B8"/>
    <w:rsid w:val="004952D5"/>
    <w:rsid w:val="00495C9D"/>
    <w:rsid w:val="00495CA2"/>
    <w:rsid w:val="00496536"/>
    <w:rsid w:val="00496C8D"/>
    <w:rsid w:val="004A01FD"/>
    <w:rsid w:val="004A28A9"/>
    <w:rsid w:val="004A308F"/>
    <w:rsid w:val="004A3AAD"/>
    <w:rsid w:val="004A3C77"/>
    <w:rsid w:val="004A6EB7"/>
    <w:rsid w:val="004A73EE"/>
    <w:rsid w:val="004B1FB1"/>
    <w:rsid w:val="004B215D"/>
    <w:rsid w:val="004B2485"/>
    <w:rsid w:val="004B400B"/>
    <w:rsid w:val="004B404A"/>
    <w:rsid w:val="004B4FEC"/>
    <w:rsid w:val="004B5532"/>
    <w:rsid w:val="004B660B"/>
    <w:rsid w:val="004B703A"/>
    <w:rsid w:val="004B7ADF"/>
    <w:rsid w:val="004C0412"/>
    <w:rsid w:val="004C0BE7"/>
    <w:rsid w:val="004C0C06"/>
    <w:rsid w:val="004C0FB6"/>
    <w:rsid w:val="004C139B"/>
    <w:rsid w:val="004C1C3C"/>
    <w:rsid w:val="004C1E2E"/>
    <w:rsid w:val="004C3871"/>
    <w:rsid w:val="004C3DD2"/>
    <w:rsid w:val="004C4D36"/>
    <w:rsid w:val="004C5876"/>
    <w:rsid w:val="004C693F"/>
    <w:rsid w:val="004C6FCF"/>
    <w:rsid w:val="004C7367"/>
    <w:rsid w:val="004D008F"/>
    <w:rsid w:val="004D050C"/>
    <w:rsid w:val="004D116B"/>
    <w:rsid w:val="004D1F2B"/>
    <w:rsid w:val="004D2089"/>
    <w:rsid w:val="004D2E65"/>
    <w:rsid w:val="004D3DAC"/>
    <w:rsid w:val="004D429E"/>
    <w:rsid w:val="004D4B80"/>
    <w:rsid w:val="004D5663"/>
    <w:rsid w:val="004D5B9B"/>
    <w:rsid w:val="004D5CAE"/>
    <w:rsid w:val="004D5D8A"/>
    <w:rsid w:val="004D6076"/>
    <w:rsid w:val="004D6911"/>
    <w:rsid w:val="004D6B53"/>
    <w:rsid w:val="004D7145"/>
    <w:rsid w:val="004D736F"/>
    <w:rsid w:val="004D785F"/>
    <w:rsid w:val="004D7F2B"/>
    <w:rsid w:val="004D7FD9"/>
    <w:rsid w:val="004E0184"/>
    <w:rsid w:val="004E1580"/>
    <w:rsid w:val="004E34D8"/>
    <w:rsid w:val="004E3F60"/>
    <w:rsid w:val="004E4345"/>
    <w:rsid w:val="004E55E0"/>
    <w:rsid w:val="004E6D52"/>
    <w:rsid w:val="004E7A7C"/>
    <w:rsid w:val="004E7FFE"/>
    <w:rsid w:val="004F0F06"/>
    <w:rsid w:val="004F10E4"/>
    <w:rsid w:val="004F16B2"/>
    <w:rsid w:val="004F270E"/>
    <w:rsid w:val="004F2717"/>
    <w:rsid w:val="004F286B"/>
    <w:rsid w:val="004F2AAD"/>
    <w:rsid w:val="004F3D2D"/>
    <w:rsid w:val="004F3F9C"/>
    <w:rsid w:val="004F4DA4"/>
    <w:rsid w:val="004F5A76"/>
    <w:rsid w:val="004F7DFB"/>
    <w:rsid w:val="0050012E"/>
    <w:rsid w:val="005006E6"/>
    <w:rsid w:val="005013E9"/>
    <w:rsid w:val="00501BF4"/>
    <w:rsid w:val="00502806"/>
    <w:rsid w:val="00502F29"/>
    <w:rsid w:val="00503834"/>
    <w:rsid w:val="00503B8A"/>
    <w:rsid w:val="005066D4"/>
    <w:rsid w:val="00507015"/>
    <w:rsid w:val="005076E1"/>
    <w:rsid w:val="005102C6"/>
    <w:rsid w:val="005104DE"/>
    <w:rsid w:val="00512621"/>
    <w:rsid w:val="00512D6D"/>
    <w:rsid w:val="0051489B"/>
    <w:rsid w:val="00517B48"/>
    <w:rsid w:val="00517C6B"/>
    <w:rsid w:val="00520045"/>
    <w:rsid w:val="005209E9"/>
    <w:rsid w:val="00520C90"/>
    <w:rsid w:val="00520EF8"/>
    <w:rsid w:val="0052144F"/>
    <w:rsid w:val="00521E30"/>
    <w:rsid w:val="00523A8B"/>
    <w:rsid w:val="00523B4F"/>
    <w:rsid w:val="00523EC1"/>
    <w:rsid w:val="00523F15"/>
    <w:rsid w:val="005247E3"/>
    <w:rsid w:val="00524CD9"/>
    <w:rsid w:val="00525651"/>
    <w:rsid w:val="00526387"/>
    <w:rsid w:val="005264EC"/>
    <w:rsid w:val="0052699E"/>
    <w:rsid w:val="00526F0D"/>
    <w:rsid w:val="005273F8"/>
    <w:rsid w:val="00527F25"/>
    <w:rsid w:val="0053048C"/>
    <w:rsid w:val="00530A1E"/>
    <w:rsid w:val="00530A82"/>
    <w:rsid w:val="005319DA"/>
    <w:rsid w:val="00534327"/>
    <w:rsid w:val="00534EF5"/>
    <w:rsid w:val="005353D1"/>
    <w:rsid w:val="0053549F"/>
    <w:rsid w:val="00535FF9"/>
    <w:rsid w:val="0053642A"/>
    <w:rsid w:val="00537406"/>
    <w:rsid w:val="00537D43"/>
    <w:rsid w:val="00537D5C"/>
    <w:rsid w:val="00540339"/>
    <w:rsid w:val="005406E8"/>
    <w:rsid w:val="00540E6D"/>
    <w:rsid w:val="005410B3"/>
    <w:rsid w:val="0054229C"/>
    <w:rsid w:val="00543380"/>
    <w:rsid w:val="00543E17"/>
    <w:rsid w:val="00544146"/>
    <w:rsid w:val="00545582"/>
    <w:rsid w:val="00545837"/>
    <w:rsid w:val="00550D93"/>
    <w:rsid w:val="0055108C"/>
    <w:rsid w:val="0055199E"/>
    <w:rsid w:val="0055230B"/>
    <w:rsid w:val="00552717"/>
    <w:rsid w:val="00552CF0"/>
    <w:rsid w:val="00552DDE"/>
    <w:rsid w:val="00553C4E"/>
    <w:rsid w:val="00553E71"/>
    <w:rsid w:val="00554250"/>
    <w:rsid w:val="0055507F"/>
    <w:rsid w:val="00555879"/>
    <w:rsid w:val="00557019"/>
    <w:rsid w:val="00557143"/>
    <w:rsid w:val="005576DB"/>
    <w:rsid w:val="00557BBB"/>
    <w:rsid w:val="00557E4E"/>
    <w:rsid w:val="0056066E"/>
    <w:rsid w:val="00561A9D"/>
    <w:rsid w:val="00561B3B"/>
    <w:rsid w:val="00561FAB"/>
    <w:rsid w:val="00563495"/>
    <w:rsid w:val="00564C6A"/>
    <w:rsid w:val="00565861"/>
    <w:rsid w:val="005658AA"/>
    <w:rsid w:val="005663DC"/>
    <w:rsid w:val="00566C09"/>
    <w:rsid w:val="0057044C"/>
    <w:rsid w:val="00571D75"/>
    <w:rsid w:val="00573652"/>
    <w:rsid w:val="00574623"/>
    <w:rsid w:val="00574761"/>
    <w:rsid w:val="00575428"/>
    <w:rsid w:val="0057586A"/>
    <w:rsid w:val="00575DAA"/>
    <w:rsid w:val="0057631E"/>
    <w:rsid w:val="005810A6"/>
    <w:rsid w:val="005835BA"/>
    <w:rsid w:val="00583FE4"/>
    <w:rsid w:val="005843D4"/>
    <w:rsid w:val="0058537A"/>
    <w:rsid w:val="00585676"/>
    <w:rsid w:val="00585E7D"/>
    <w:rsid w:val="00590193"/>
    <w:rsid w:val="00590DCB"/>
    <w:rsid w:val="00590F26"/>
    <w:rsid w:val="0059389F"/>
    <w:rsid w:val="00593C3F"/>
    <w:rsid w:val="0059402B"/>
    <w:rsid w:val="00594D6F"/>
    <w:rsid w:val="005959B3"/>
    <w:rsid w:val="00595A4A"/>
    <w:rsid w:val="00595E3B"/>
    <w:rsid w:val="005964A0"/>
    <w:rsid w:val="005A0A67"/>
    <w:rsid w:val="005A1A69"/>
    <w:rsid w:val="005A31F6"/>
    <w:rsid w:val="005A35A9"/>
    <w:rsid w:val="005A4FDE"/>
    <w:rsid w:val="005A672F"/>
    <w:rsid w:val="005A722E"/>
    <w:rsid w:val="005A757B"/>
    <w:rsid w:val="005A7D97"/>
    <w:rsid w:val="005B04D5"/>
    <w:rsid w:val="005B054F"/>
    <w:rsid w:val="005B3E3F"/>
    <w:rsid w:val="005B443F"/>
    <w:rsid w:val="005B6251"/>
    <w:rsid w:val="005B766A"/>
    <w:rsid w:val="005B7B63"/>
    <w:rsid w:val="005C0516"/>
    <w:rsid w:val="005C0659"/>
    <w:rsid w:val="005C0B40"/>
    <w:rsid w:val="005C0EC1"/>
    <w:rsid w:val="005C0FF1"/>
    <w:rsid w:val="005C12C7"/>
    <w:rsid w:val="005C2C64"/>
    <w:rsid w:val="005C3408"/>
    <w:rsid w:val="005C354A"/>
    <w:rsid w:val="005C3B5F"/>
    <w:rsid w:val="005C3FA4"/>
    <w:rsid w:val="005C44AD"/>
    <w:rsid w:val="005C4F8F"/>
    <w:rsid w:val="005D1192"/>
    <w:rsid w:val="005D13FC"/>
    <w:rsid w:val="005D164E"/>
    <w:rsid w:val="005D1A7D"/>
    <w:rsid w:val="005D1B3C"/>
    <w:rsid w:val="005D2326"/>
    <w:rsid w:val="005D25B5"/>
    <w:rsid w:val="005D2B2D"/>
    <w:rsid w:val="005D39DD"/>
    <w:rsid w:val="005D5393"/>
    <w:rsid w:val="005D5456"/>
    <w:rsid w:val="005D7038"/>
    <w:rsid w:val="005D7A48"/>
    <w:rsid w:val="005E04E8"/>
    <w:rsid w:val="005E1521"/>
    <w:rsid w:val="005E1BF7"/>
    <w:rsid w:val="005E3566"/>
    <w:rsid w:val="005E3D34"/>
    <w:rsid w:val="005E4947"/>
    <w:rsid w:val="005E51EE"/>
    <w:rsid w:val="005E61EC"/>
    <w:rsid w:val="005E66DA"/>
    <w:rsid w:val="005E67CB"/>
    <w:rsid w:val="005E73D3"/>
    <w:rsid w:val="005E7721"/>
    <w:rsid w:val="005E7972"/>
    <w:rsid w:val="005E7FE4"/>
    <w:rsid w:val="005F08DE"/>
    <w:rsid w:val="005F1DB1"/>
    <w:rsid w:val="005F263D"/>
    <w:rsid w:val="005F3178"/>
    <w:rsid w:val="005F3C97"/>
    <w:rsid w:val="005F4356"/>
    <w:rsid w:val="005F506C"/>
    <w:rsid w:val="005F5AF4"/>
    <w:rsid w:val="005F7746"/>
    <w:rsid w:val="00601166"/>
    <w:rsid w:val="00601295"/>
    <w:rsid w:val="0060149B"/>
    <w:rsid w:val="006015B6"/>
    <w:rsid w:val="006015CD"/>
    <w:rsid w:val="00601FC5"/>
    <w:rsid w:val="00602BC7"/>
    <w:rsid w:val="00603058"/>
    <w:rsid w:val="0060356E"/>
    <w:rsid w:val="00604289"/>
    <w:rsid w:val="006062B7"/>
    <w:rsid w:val="0060687B"/>
    <w:rsid w:val="00607ACE"/>
    <w:rsid w:val="0061054E"/>
    <w:rsid w:val="006107DF"/>
    <w:rsid w:val="006113F7"/>
    <w:rsid w:val="00611687"/>
    <w:rsid w:val="00611B37"/>
    <w:rsid w:val="00612237"/>
    <w:rsid w:val="006123D9"/>
    <w:rsid w:val="0061428C"/>
    <w:rsid w:val="006148F5"/>
    <w:rsid w:val="00615230"/>
    <w:rsid w:val="00616C70"/>
    <w:rsid w:val="0061728C"/>
    <w:rsid w:val="00617475"/>
    <w:rsid w:val="00617552"/>
    <w:rsid w:val="0061795C"/>
    <w:rsid w:val="0062063A"/>
    <w:rsid w:val="00621DB7"/>
    <w:rsid w:val="006220F1"/>
    <w:rsid w:val="00623587"/>
    <w:rsid w:val="00623F11"/>
    <w:rsid w:val="00623F32"/>
    <w:rsid w:val="0062451C"/>
    <w:rsid w:val="00624CB7"/>
    <w:rsid w:val="00624E19"/>
    <w:rsid w:val="00625482"/>
    <w:rsid w:val="00626959"/>
    <w:rsid w:val="00626DE8"/>
    <w:rsid w:val="00627882"/>
    <w:rsid w:val="006306E0"/>
    <w:rsid w:val="00631EE4"/>
    <w:rsid w:val="00633630"/>
    <w:rsid w:val="0063381A"/>
    <w:rsid w:val="00634F92"/>
    <w:rsid w:val="00635836"/>
    <w:rsid w:val="00635EBC"/>
    <w:rsid w:val="006401F7"/>
    <w:rsid w:val="00640209"/>
    <w:rsid w:val="006410DF"/>
    <w:rsid w:val="00641FC0"/>
    <w:rsid w:val="00641FD5"/>
    <w:rsid w:val="0064216C"/>
    <w:rsid w:val="00642BD8"/>
    <w:rsid w:val="006477DD"/>
    <w:rsid w:val="006477F3"/>
    <w:rsid w:val="00647DB4"/>
    <w:rsid w:val="006509ED"/>
    <w:rsid w:val="00651E17"/>
    <w:rsid w:val="006529CC"/>
    <w:rsid w:val="00654242"/>
    <w:rsid w:val="006558A8"/>
    <w:rsid w:val="0065640E"/>
    <w:rsid w:val="00656522"/>
    <w:rsid w:val="006618EA"/>
    <w:rsid w:val="00661C02"/>
    <w:rsid w:val="00662297"/>
    <w:rsid w:val="0066319F"/>
    <w:rsid w:val="00663659"/>
    <w:rsid w:val="00663838"/>
    <w:rsid w:val="006661ED"/>
    <w:rsid w:val="00667288"/>
    <w:rsid w:val="0066795C"/>
    <w:rsid w:val="00670665"/>
    <w:rsid w:val="00670CC5"/>
    <w:rsid w:val="00670E0A"/>
    <w:rsid w:val="00671328"/>
    <w:rsid w:val="0067166D"/>
    <w:rsid w:val="006729E2"/>
    <w:rsid w:val="00672A27"/>
    <w:rsid w:val="00673FBA"/>
    <w:rsid w:val="00676035"/>
    <w:rsid w:val="0067702F"/>
    <w:rsid w:val="00680462"/>
    <w:rsid w:val="00680ACD"/>
    <w:rsid w:val="00681FCD"/>
    <w:rsid w:val="00682DAE"/>
    <w:rsid w:val="00685251"/>
    <w:rsid w:val="006857E1"/>
    <w:rsid w:val="00686143"/>
    <w:rsid w:val="00687199"/>
    <w:rsid w:val="0069045C"/>
    <w:rsid w:val="00690527"/>
    <w:rsid w:val="006922A0"/>
    <w:rsid w:val="00692636"/>
    <w:rsid w:val="00692C82"/>
    <w:rsid w:val="00692FAD"/>
    <w:rsid w:val="00693348"/>
    <w:rsid w:val="00693BBD"/>
    <w:rsid w:val="00694786"/>
    <w:rsid w:val="00694E81"/>
    <w:rsid w:val="00696C84"/>
    <w:rsid w:val="00697041"/>
    <w:rsid w:val="006A0462"/>
    <w:rsid w:val="006A1668"/>
    <w:rsid w:val="006A3137"/>
    <w:rsid w:val="006A4616"/>
    <w:rsid w:val="006A4A2C"/>
    <w:rsid w:val="006A5998"/>
    <w:rsid w:val="006A5B4B"/>
    <w:rsid w:val="006A6A4F"/>
    <w:rsid w:val="006A75A5"/>
    <w:rsid w:val="006B001F"/>
    <w:rsid w:val="006B0FF6"/>
    <w:rsid w:val="006B3025"/>
    <w:rsid w:val="006B7EE2"/>
    <w:rsid w:val="006C0632"/>
    <w:rsid w:val="006C070E"/>
    <w:rsid w:val="006C13CA"/>
    <w:rsid w:val="006C17B1"/>
    <w:rsid w:val="006C4348"/>
    <w:rsid w:val="006C4FB5"/>
    <w:rsid w:val="006C6942"/>
    <w:rsid w:val="006C7DC3"/>
    <w:rsid w:val="006D0018"/>
    <w:rsid w:val="006D0CF7"/>
    <w:rsid w:val="006D10FC"/>
    <w:rsid w:val="006D2278"/>
    <w:rsid w:val="006D34D5"/>
    <w:rsid w:val="006D5D21"/>
    <w:rsid w:val="006D6044"/>
    <w:rsid w:val="006D6321"/>
    <w:rsid w:val="006D6450"/>
    <w:rsid w:val="006E0C60"/>
    <w:rsid w:val="006E0D1B"/>
    <w:rsid w:val="006E12DA"/>
    <w:rsid w:val="006E1964"/>
    <w:rsid w:val="006E2BD3"/>
    <w:rsid w:val="006E320A"/>
    <w:rsid w:val="006E32FB"/>
    <w:rsid w:val="006E39E9"/>
    <w:rsid w:val="006E44EF"/>
    <w:rsid w:val="006E4846"/>
    <w:rsid w:val="006E4872"/>
    <w:rsid w:val="006E51CF"/>
    <w:rsid w:val="006E6C6C"/>
    <w:rsid w:val="006E7C2F"/>
    <w:rsid w:val="006F002D"/>
    <w:rsid w:val="006F0E1C"/>
    <w:rsid w:val="006F26BC"/>
    <w:rsid w:val="006F291C"/>
    <w:rsid w:val="006F308B"/>
    <w:rsid w:val="006F483C"/>
    <w:rsid w:val="006F51D5"/>
    <w:rsid w:val="006F52FA"/>
    <w:rsid w:val="006F63F3"/>
    <w:rsid w:val="006F6801"/>
    <w:rsid w:val="00700447"/>
    <w:rsid w:val="0070091A"/>
    <w:rsid w:val="00701A61"/>
    <w:rsid w:val="00702029"/>
    <w:rsid w:val="007021BB"/>
    <w:rsid w:val="007029AA"/>
    <w:rsid w:val="00703710"/>
    <w:rsid w:val="00703790"/>
    <w:rsid w:val="007038B4"/>
    <w:rsid w:val="00704400"/>
    <w:rsid w:val="00704D1C"/>
    <w:rsid w:val="007054E4"/>
    <w:rsid w:val="00705E33"/>
    <w:rsid w:val="00705F43"/>
    <w:rsid w:val="00706E0A"/>
    <w:rsid w:val="007070A2"/>
    <w:rsid w:val="00707D47"/>
    <w:rsid w:val="00707D65"/>
    <w:rsid w:val="00710E7D"/>
    <w:rsid w:val="0071286D"/>
    <w:rsid w:val="00712A59"/>
    <w:rsid w:val="007203C3"/>
    <w:rsid w:val="007224FB"/>
    <w:rsid w:val="00723475"/>
    <w:rsid w:val="007240AD"/>
    <w:rsid w:val="0072461E"/>
    <w:rsid w:val="007247AC"/>
    <w:rsid w:val="00724E4D"/>
    <w:rsid w:val="00724FAE"/>
    <w:rsid w:val="0072513F"/>
    <w:rsid w:val="00726429"/>
    <w:rsid w:val="00732E80"/>
    <w:rsid w:val="00733FD5"/>
    <w:rsid w:val="007344C7"/>
    <w:rsid w:val="00734A51"/>
    <w:rsid w:val="0073542A"/>
    <w:rsid w:val="00735EA1"/>
    <w:rsid w:val="00735F20"/>
    <w:rsid w:val="007379D4"/>
    <w:rsid w:val="00740129"/>
    <w:rsid w:val="007408F0"/>
    <w:rsid w:val="0074134E"/>
    <w:rsid w:val="007414D1"/>
    <w:rsid w:val="0074261B"/>
    <w:rsid w:val="00743C99"/>
    <w:rsid w:val="00743ED1"/>
    <w:rsid w:val="00744117"/>
    <w:rsid w:val="00744D4E"/>
    <w:rsid w:val="00745B4E"/>
    <w:rsid w:val="007506E7"/>
    <w:rsid w:val="00752744"/>
    <w:rsid w:val="007539BC"/>
    <w:rsid w:val="007540D5"/>
    <w:rsid w:val="0075473D"/>
    <w:rsid w:val="00755FCF"/>
    <w:rsid w:val="00756E8E"/>
    <w:rsid w:val="007602FC"/>
    <w:rsid w:val="00760969"/>
    <w:rsid w:val="00760F8A"/>
    <w:rsid w:val="00761F87"/>
    <w:rsid w:val="00762C24"/>
    <w:rsid w:val="00762DC6"/>
    <w:rsid w:val="00762E10"/>
    <w:rsid w:val="007631E7"/>
    <w:rsid w:val="00763E7E"/>
    <w:rsid w:val="00764A91"/>
    <w:rsid w:val="00765975"/>
    <w:rsid w:val="00765BBD"/>
    <w:rsid w:val="00766EF9"/>
    <w:rsid w:val="00767F16"/>
    <w:rsid w:val="007726DF"/>
    <w:rsid w:val="0077282C"/>
    <w:rsid w:val="00772DE7"/>
    <w:rsid w:val="007738D3"/>
    <w:rsid w:val="0077563E"/>
    <w:rsid w:val="00775B6C"/>
    <w:rsid w:val="00776BF9"/>
    <w:rsid w:val="0077761B"/>
    <w:rsid w:val="0078070A"/>
    <w:rsid w:val="00781B66"/>
    <w:rsid w:val="00781DF4"/>
    <w:rsid w:val="00783786"/>
    <w:rsid w:val="00785ADF"/>
    <w:rsid w:val="007862D1"/>
    <w:rsid w:val="00787354"/>
    <w:rsid w:val="0079015B"/>
    <w:rsid w:val="00790881"/>
    <w:rsid w:val="00791728"/>
    <w:rsid w:val="00792285"/>
    <w:rsid w:val="00792A4B"/>
    <w:rsid w:val="00793E00"/>
    <w:rsid w:val="00794066"/>
    <w:rsid w:val="00794D43"/>
    <w:rsid w:val="00794E5E"/>
    <w:rsid w:val="007953A2"/>
    <w:rsid w:val="00795DF1"/>
    <w:rsid w:val="00795EA6"/>
    <w:rsid w:val="007969C6"/>
    <w:rsid w:val="007975EF"/>
    <w:rsid w:val="00797704"/>
    <w:rsid w:val="00797E9C"/>
    <w:rsid w:val="007A0930"/>
    <w:rsid w:val="007A1644"/>
    <w:rsid w:val="007A3265"/>
    <w:rsid w:val="007A32E3"/>
    <w:rsid w:val="007A4DDF"/>
    <w:rsid w:val="007A4F60"/>
    <w:rsid w:val="007A6493"/>
    <w:rsid w:val="007A693F"/>
    <w:rsid w:val="007A7BBF"/>
    <w:rsid w:val="007B0150"/>
    <w:rsid w:val="007B071F"/>
    <w:rsid w:val="007B0849"/>
    <w:rsid w:val="007B11DD"/>
    <w:rsid w:val="007B13DC"/>
    <w:rsid w:val="007B19A5"/>
    <w:rsid w:val="007B1B52"/>
    <w:rsid w:val="007B1F13"/>
    <w:rsid w:val="007B3510"/>
    <w:rsid w:val="007B5649"/>
    <w:rsid w:val="007B5FA8"/>
    <w:rsid w:val="007B631E"/>
    <w:rsid w:val="007B6E2F"/>
    <w:rsid w:val="007B6F4C"/>
    <w:rsid w:val="007B704A"/>
    <w:rsid w:val="007B7AC9"/>
    <w:rsid w:val="007C10A4"/>
    <w:rsid w:val="007C12A1"/>
    <w:rsid w:val="007C172C"/>
    <w:rsid w:val="007C1AEC"/>
    <w:rsid w:val="007C21E1"/>
    <w:rsid w:val="007C2BDF"/>
    <w:rsid w:val="007C485D"/>
    <w:rsid w:val="007C4992"/>
    <w:rsid w:val="007C49D0"/>
    <w:rsid w:val="007C52BC"/>
    <w:rsid w:val="007C59F0"/>
    <w:rsid w:val="007C5A59"/>
    <w:rsid w:val="007C6556"/>
    <w:rsid w:val="007C676D"/>
    <w:rsid w:val="007C77B8"/>
    <w:rsid w:val="007C79AC"/>
    <w:rsid w:val="007D0E3E"/>
    <w:rsid w:val="007D0ED1"/>
    <w:rsid w:val="007D6006"/>
    <w:rsid w:val="007D60D0"/>
    <w:rsid w:val="007D6484"/>
    <w:rsid w:val="007D6A83"/>
    <w:rsid w:val="007D7940"/>
    <w:rsid w:val="007D7DD0"/>
    <w:rsid w:val="007E0922"/>
    <w:rsid w:val="007E0CA5"/>
    <w:rsid w:val="007E103F"/>
    <w:rsid w:val="007E3518"/>
    <w:rsid w:val="007E3689"/>
    <w:rsid w:val="007E3C06"/>
    <w:rsid w:val="007E3EC7"/>
    <w:rsid w:val="007E438B"/>
    <w:rsid w:val="007E4EDD"/>
    <w:rsid w:val="007E5A94"/>
    <w:rsid w:val="007E60DD"/>
    <w:rsid w:val="007E6723"/>
    <w:rsid w:val="007E70EC"/>
    <w:rsid w:val="007E763E"/>
    <w:rsid w:val="007E76A1"/>
    <w:rsid w:val="007E776C"/>
    <w:rsid w:val="007F11A9"/>
    <w:rsid w:val="007F285A"/>
    <w:rsid w:val="007F29D0"/>
    <w:rsid w:val="007F2B66"/>
    <w:rsid w:val="007F32B0"/>
    <w:rsid w:val="007F37C9"/>
    <w:rsid w:val="007F573E"/>
    <w:rsid w:val="007F581D"/>
    <w:rsid w:val="007F71E6"/>
    <w:rsid w:val="007F7264"/>
    <w:rsid w:val="007F7509"/>
    <w:rsid w:val="008016EF"/>
    <w:rsid w:val="00801E0D"/>
    <w:rsid w:val="008021DF"/>
    <w:rsid w:val="00802774"/>
    <w:rsid w:val="00802D1C"/>
    <w:rsid w:val="00802F45"/>
    <w:rsid w:val="00803313"/>
    <w:rsid w:val="00804463"/>
    <w:rsid w:val="00804489"/>
    <w:rsid w:val="00805573"/>
    <w:rsid w:val="008066FC"/>
    <w:rsid w:val="00806DF3"/>
    <w:rsid w:val="00810677"/>
    <w:rsid w:val="00810EAA"/>
    <w:rsid w:val="00811710"/>
    <w:rsid w:val="00811D65"/>
    <w:rsid w:val="00812089"/>
    <w:rsid w:val="00812D28"/>
    <w:rsid w:val="00812E69"/>
    <w:rsid w:val="00815428"/>
    <w:rsid w:val="00815830"/>
    <w:rsid w:val="00815884"/>
    <w:rsid w:val="00815D9C"/>
    <w:rsid w:val="008207CD"/>
    <w:rsid w:val="0082161E"/>
    <w:rsid w:val="00822784"/>
    <w:rsid w:val="008271AF"/>
    <w:rsid w:val="00830AC5"/>
    <w:rsid w:val="00830BC1"/>
    <w:rsid w:val="008321FC"/>
    <w:rsid w:val="00832975"/>
    <w:rsid w:val="00832DE7"/>
    <w:rsid w:val="0083400E"/>
    <w:rsid w:val="00834158"/>
    <w:rsid w:val="00836492"/>
    <w:rsid w:val="00837A0C"/>
    <w:rsid w:val="00840680"/>
    <w:rsid w:val="00840769"/>
    <w:rsid w:val="00843003"/>
    <w:rsid w:val="008445FF"/>
    <w:rsid w:val="00845F62"/>
    <w:rsid w:val="00846E4A"/>
    <w:rsid w:val="00851814"/>
    <w:rsid w:val="008524A0"/>
    <w:rsid w:val="008548C3"/>
    <w:rsid w:val="008556B9"/>
    <w:rsid w:val="00855EB5"/>
    <w:rsid w:val="0085653B"/>
    <w:rsid w:val="00856E49"/>
    <w:rsid w:val="00856E60"/>
    <w:rsid w:val="00857AF0"/>
    <w:rsid w:val="008600AB"/>
    <w:rsid w:val="00861033"/>
    <w:rsid w:val="00861666"/>
    <w:rsid w:val="00864FAC"/>
    <w:rsid w:val="00866746"/>
    <w:rsid w:val="008703B6"/>
    <w:rsid w:val="00870594"/>
    <w:rsid w:val="00872C66"/>
    <w:rsid w:val="00873DA6"/>
    <w:rsid w:val="00873ED8"/>
    <w:rsid w:val="00875001"/>
    <w:rsid w:val="008758E2"/>
    <w:rsid w:val="008762F4"/>
    <w:rsid w:val="00876933"/>
    <w:rsid w:val="008779AB"/>
    <w:rsid w:val="0088173A"/>
    <w:rsid w:val="00882487"/>
    <w:rsid w:val="008867D6"/>
    <w:rsid w:val="00891D9E"/>
    <w:rsid w:val="008924C1"/>
    <w:rsid w:val="0089338F"/>
    <w:rsid w:val="00894866"/>
    <w:rsid w:val="00894EC4"/>
    <w:rsid w:val="008951B5"/>
    <w:rsid w:val="008952B1"/>
    <w:rsid w:val="008977E9"/>
    <w:rsid w:val="008979E5"/>
    <w:rsid w:val="008A2325"/>
    <w:rsid w:val="008A23EB"/>
    <w:rsid w:val="008A34AC"/>
    <w:rsid w:val="008A40A3"/>
    <w:rsid w:val="008A4F5C"/>
    <w:rsid w:val="008A5FC4"/>
    <w:rsid w:val="008A6072"/>
    <w:rsid w:val="008A6BAB"/>
    <w:rsid w:val="008A6D84"/>
    <w:rsid w:val="008B02CF"/>
    <w:rsid w:val="008B05E3"/>
    <w:rsid w:val="008B09F4"/>
    <w:rsid w:val="008B1442"/>
    <w:rsid w:val="008B1CE3"/>
    <w:rsid w:val="008B20D6"/>
    <w:rsid w:val="008B37A3"/>
    <w:rsid w:val="008B39F0"/>
    <w:rsid w:val="008B3CD4"/>
    <w:rsid w:val="008B48DF"/>
    <w:rsid w:val="008B5BC4"/>
    <w:rsid w:val="008B60BF"/>
    <w:rsid w:val="008B7924"/>
    <w:rsid w:val="008C0E5D"/>
    <w:rsid w:val="008C0E67"/>
    <w:rsid w:val="008C10D0"/>
    <w:rsid w:val="008C1ABF"/>
    <w:rsid w:val="008C21B4"/>
    <w:rsid w:val="008C22BF"/>
    <w:rsid w:val="008C29FB"/>
    <w:rsid w:val="008C31D1"/>
    <w:rsid w:val="008C35E4"/>
    <w:rsid w:val="008C3A80"/>
    <w:rsid w:val="008C4218"/>
    <w:rsid w:val="008C430E"/>
    <w:rsid w:val="008C431D"/>
    <w:rsid w:val="008C64B5"/>
    <w:rsid w:val="008C6E04"/>
    <w:rsid w:val="008D02AE"/>
    <w:rsid w:val="008D0A8D"/>
    <w:rsid w:val="008D148C"/>
    <w:rsid w:val="008D34D5"/>
    <w:rsid w:val="008D4249"/>
    <w:rsid w:val="008D4D62"/>
    <w:rsid w:val="008D52BB"/>
    <w:rsid w:val="008D55D7"/>
    <w:rsid w:val="008D5A72"/>
    <w:rsid w:val="008D71B6"/>
    <w:rsid w:val="008D724C"/>
    <w:rsid w:val="008D7E0C"/>
    <w:rsid w:val="008E045A"/>
    <w:rsid w:val="008E3DE2"/>
    <w:rsid w:val="008E4D90"/>
    <w:rsid w:val="008E5A91"/>
    <w:rsid w:val="008E6A62"/>
    <w:rsid w:val="008E7938"/>
    <w:rsid w:val="008E7C15"/>
    <w:rsid w:val="008F0402"/>
    <w:rsid w:val="008F0A23"/>
    <w:rsid w:val="008F0D29"/>
    <w:rsid w:val="008F1008"/>
    <w:rsid w:val="008F1C43"/>
    <w:rsid w:val="008F45EE"/>
    <w:rsid w:val="008F4FB3"/>
    <w:rsid w:val="008F522F"/>
    <w:rsid w:val="008F5EA8"/>
    <w:rsid w:val="008F6E00"/>
    <w:rsid w:val="00900133"/>
    <w:rsid w:val="009005F6"/>
    <w:rsid w:val="00900775"/>
    <w:rsid w:val="00900C1F"/>
    <w:rsid w:val="00901BFD"/>
    <w:rsid w:val="00901CD4"/>
    <w:rsid w:val="00902C6B"/>
    <w:rsid w:val="0090354D"/>
    <w:rsid w:val="0090408F"/>
    <w:rsid w:val="009055B6"/>
    <w:rsid w:val="00905774"/>
    <w:rsid w:val="00905B5C"/>
    <w:rsid w:val="0090627E"/>
    <w:rsid w:val="00906342"/>
    <w:rsid w:val="00906A74"/>
    <w:rsid w:val="00907204"/>
    <w:rsid w:val="00911241"/>
    <w:rsid w:val="00911AB3"/>
    <w:rsid w:val="00911B8B"/>
    <w:rsid w:val="00911F90"/>
    <w:rsid w:val="0091204F"/>
    <w:rsid w:val="009127C4"/>
    <w:rsid w:val="00913572"/>
    <w:rsid w:val="0091435E"/>
    <w:rsid w:val="00914ECD"/>
    <w:rsid w:val="0091513F"/>
    <w:rsid w:val="009154B7"/>
    <w:rsid w:val="00915E43"/>
    <w:rsid w:val="00916AA0"/>
    <w:rsid w:val="00916C79"/>
    <w:rsid w:val="00916F61"/>
    <w:rsid w:val="00917D1D"/>
    <w:rsid w:val="009200E1"/>
    <w:rsid w:val="00921385"/>
    <w:rsid w:val="009215AD"/>
    <w:rsid w:val="009215DD"/>
    <w:rsid w:val="00921B9A"/>
    <w:rsid w:val="00921FD8"/>
    <w:rsid w:val="0092208F"/>
    <w:rsid w:val="009226EB"/>
    <w:rsid w:val="009232EE"/>
    <w:rsid w:val="00923C02"/>
    <w:rsid w:val="00925170"/>
    <w:rsid w:val="00925960"/>
    <w:rsid w:val="009261FA"/>
    <w:rsid w:val="0092676D"/>
    <w:rsid w:val="009269F8"/>
    <w:rsid w:val="009273C0"/>
    <w:rsid w:val="00927A34"/>
    <w:rsid w:val="009304BA"/>
    <w:rsid w:val="00931371"/>
    <w:rsid w:val="00932190"/>
    <w:rsid w:val="009335EE"/>
    <w:rsid w:val="00933CF7"/>
    <w:rsid w:val="009344C7"/>
    <w:rsid w:val="009347C9"/>
    <w:rsid w:val="00935B14"/>
    <w:rsid w:val="00936A6D"/>
    <w:rsid w:val="009377E8"/>
    <w:rsid w:val="00940088"/>
    <w:rsid w:val="00941509"/>
    <w:rsid w:val="0094176B"/>
    <w:rsid w:val="00942741"/>
    <w:rsid w:val="00942BBE"/>
    <w:rsid w:val="009431C3"/>
    <w:rsid w:val="00943958"/>
    <w:rsid w:val="00944F25"/>
    <w:rsid w:val="009457D3"/>
    <w:rsid w:val="00945877"/>
    <w:rsid w:val="00945B17"/>
    <w:rsid w:val="0094661C"/>
    <w:rsid w:val="00950362"/>
    <w:rsid w:val="009504DB"/>
    <w:rsid w:val="00950B72"/>
    <w:rsid w:val="0095197D"/>
    <w:rsid w:val="0095305D"/>
    <w:rsid w:val="00953782"/>
    <w:rsid w:val="00953FC7"/>
    <w:rsid w:val="009547AF"/>
    <w:rsid w:val="00954F08"/>
    <w:rsid w:val="0095533F"/>
    <w:rsid w:val="00955AE4"/>
    <w:rsid w:val="0095658B"/>
    <w:rsid w:val="00956656"/>
    <w:rsid w:val="00956D58"/>
    <w:rsid w:val="009578F5"/>
    <w:rsid w:val="00960819"/>
    <w:rsid w:val="00960F29"/>
    <w:rsid w:val="009615B5"/>
    <w:rsid w:val="00961781"/>
    <w:rsid w:val="009620A3"/>
    <w:rsid w:val="009628E4"/>
    <w:rsid w:val="009650E9"/>
    <w:rsid w:val="00966006"/>
    <w:rsid w:val="0096649F"/>
    <w:rsid w:val="00966D65"/>
    <w:rsid w:val="0096706E"/>
    <w:rsid w:val="009674C2"/>
    <w:rsid w:val="00967FA3"/>
    <w:rsid w:val="00970463"/>
    <w:rsid w:val="00971B07"/>
    <w:rsid w:val="00972FAC"/>
    <w:rsid w:val="00973CA5"/>
    <w:rsid w:val="00974C22"/>
    <w:rsid w:val="00974C50"/>
    <w:rsid w:val="00974D2D"/>
    <w:rsid w:val="00975C39"/>
    <w:rsid w:val="0097659C"/>
    <w:rsid w:val="00976676"/>
    <w:rsid w:val="00976DDA"/>
    <w:rsid w:val="00976F1E"/>
    <w:rsid w:val="00980FA9"/>
    <w:rsid w:val="009838DA"/>
    <w:rsid w:val="00983947"/>
    <w:rsid w:val="009840A9"/>
    <w:rsid w:val="00984B61"/>
    <w:rsid w:val="009851A2"/>
    <w:rsid w:val="00986A54"/>
    <w:rsid w:val="00986CDB"/>
    <w:rsid w:val="009870C4"/>
    <w:rsid w:val="0098755B"/>
    <w:rsid w:val="009879A0"/>
    <w:rsid w:val="00991164"/>
    <w:rsid w:val="009916A0"/>
    <w:rsid w:val="00993151"/>
    <w:rsid w:val="00993A21"/>
    <w:rsid w:val="00993E96"/>
    <w:rsid w:val="00997899"/>
    <w:rsid w:val="009A00B7"/>
    <w:rsid w:val="009A1852"/>
    <w:rsid w:val="009A3BF1"/>
    <w:rsid w:val="009A4546"/>
    <w:rsid w:val="009A456D"/>
    <w:rsid w:val="009A4729"/>
    <w:rsid w:val="009A4C95"/>
    <w:rsid w:val="009A4F02"/>
    <w:rsid w:val="009A5900"/>
    <w:rsid w:val="009A5906"/>
    <w:rsid w:val="009A69E1"/>
    <w:rsid w:val="009A6CBA"/>
    <w:rsid w:val="009A7564"/>
    <w:rsid w:val="009A7A42"/>
    <w:rsid w:val="009B0027"/>
    <w:rsid w:val="009B041D"/>
    <w:rsid w:val="009B09FA"/>
    <w:rsid w:val="009B263D"/>
    <w:rsid w:val="009B2FA6"/>
    <w:rsid w:val="009B3566"/>
    <w:rsid w:val="009B39B8"/>
    <w:rsid w:val="009B7125"/>
    <w:rsid w:val="009B771A"/>
    <w:rsid w:val="009C0FF4"/>
    <w:rsid w:val="009C1625"/>
    <w:rsid w:val="009C1B68"/>
    <w:rsid w:val="009C2396"/>
    <w:rsid w:val="009C342A"/>
    <w:rsid w:val="009C36C0"/>
    <w:rsid w:val="009C3B67"/>
    <w:rsid w:val="009C4010"/>
    <w:rsid w:val="009C54F9"/>
    <w:rsid w:val="009C5806"/>
    <w:rsid w:val="009C5F0B"/>
    <w:rsid w:val="009C6E93"/>
    <w:rsid w:val="009D07EC"/>
    <w:rsid w:val="009D0C25"/>
    <w:rsid w:val="009D10C7"/>
    <w:rsid w:val="009D1C9E"/>
    <w:rsid w:val="009D21AA"/>
    <w:rsid w:val="009D292A"/>
    <w:rsid w:val="009D4740"/>
    <w:rsid w:val="009D4E19"/>
    <w:rsid w:val="009D62D1"/>
    <w:rsid w:val="009D647A"/>
    <w:rsid w:val="009D7672"/>
    <w:rsid w:val="009E125B"/>
    <w:rsid w:val="009E1CA4"/>
    <w:rsid w:val="009E28FC"/>
    <w:rsid w:val="009E36B1"/>
    <w:rsid w:val="009E4AAA"/>
    <w:rsid w:val="009E5A2E"/>
    <w:rsid w:val="009E5D54"/>
    <w:rsid w:val="009E604D"/>
    <w:rsid w:val="009E74F9"/>
    <w:rsid w:val="009E760D"/>
    <w:rsid w:val="009F0913"/>
    <w:rsid w:val="009F0B6F"/>
    <w:rsid w:val="009F237B"/>
    <w:rsid w:val="009F3CB9"/>
    <w:rsid w:val="009F3E45"/>
    <w:rsid w:val="009F45BA"/>
    <w:rsid w:val="009F4849"/>
    <w:rsid w:val="009F69C2"/>
    <w:rsid w:val="009F77E2"/>
    <w:rsid w:val="00A0008C"/>
    <w:rsid w:val="00A00A8B"/>
    <w:rsid w:val="00A017C9"/>
    <w:rsid w:val="00A01997"/>
    <w:rsid w:val="00A01B44"/>
    <w:rsid w:val="00A022BA"/>
    <w:rsid w:val="00A02FF1"/>
    <w:rsid w:val="00A0315E"/>
    <w:rsid w:val="00A03CFC"/>
    <w:rsid w:val="00A03F81"/>
    <w:rsid w:val="00A04875"/>
    <w:rsid w:val="00A0503F"/>
    <w:rsid w:val="00A05136"/>
    <w:rsid w:val="00A06E07"/>
    <w:rsid w:val="00A06E52"/>
    <w:rsid w:val="00A07AAC"/>
    <w:rsid w:val="00A07E8A"/>
    <w:rsid w:val="00A12958"/>
    <w:rsid w:val="00A12A22"/>
    <w:rsid w:val="00A1376E"/>
    <w:rsid w:val="00A14EC2"/>
    <w:rsid w:val="00A17174"/>
    <w:rsid w:val="00A17F21"/>
    <w:rsid w:val="00A202DF"/>
    <w:rsid w:val="00A20BE0"/>
    <w:rsid w:val="00A2195E"/>
    <w:rsid w:val="00A221E2"/>
    <w:rsid w:val="00A22F23"/>
    <w:rsid w:val="00A254AC"/>
    <w:rsid w:val="00A257A4"/>
    <w:rsid w:val="00A26B75"/>
    <w:rsid w:val="00A27A17"/>
    <w:rsid w:val="00A31228"/>
    <w:rsid w:val="00A31771"/>
    <w:rsid w:val="00A32A9A"/>
    <w:rsid w:val="00A32DF9"/>
    <w:rsid w:val="00A331C9"/>
    <w:rsid w:val="00A3513F"/>
    <w:rsid w:val="00A363DC"/>
    <w:rsid w:val="00A374F8"/>
    <w:rsid w:val="00A40666"/>
    <w:rsid w:val="00A421BE"/>
    <w:rsid w:val="00A433E4"/>
    <w:rsid w:val="00A44512"/>
    <w:rsid w:val="00A445BC"/>
    <w:rsid w:val="00A456EF"/>
    <w:rsid w:val="00A469C8"/>
    <w:rsid w:val="00A46A3C"/>
    <w:rsid w:val="00A4727A"/>
    <w:rsid w:val="00A47659"/>
    <w:rsid w:val="00A4798A"/>
    <w:rsid w:val="00A50235"/>
    <w:rsid w:val="00A5105B"/>
    <w:rsid w:val="00A51A9C"/>
    <w:rsid w:val="00A54A4F"/>
    <w:rsid w:val="00A54D44"/>
    <w:rsid w:val="00A56398"/>
    <w:rsid w:val="00A567A2"/>
    <w:rsid w:val="00A617CC"/>
    <w:rsid w:val="00A618F3"/>
    <w:rsid w:val="00A62750"/>
    <w:rsid w:val="00A62A82"/>
    <w:rsid w:val="00A647D3"/>
    <w:rsid w:val="00A65838"/>
    <w:rsid w:val="00A66332"/>
    <w:rsid w:val="00A66C7B"/>
    <w:rsid w:val="00A70E1C"/>
    <w:rsid w:val="00A7201C"/>
    <w:rsid w:val="00A73853"/>
    <w:rsid w:val="00A74861"/>
    <w:rsid w:val="00A7555D"/>
    <w:rsid w:val="00A75B77"/>
    <w:rsid w:val="00A761BA"/>
    <w:rsid w:val="00A779CD"/>
    <w:rsid w:val="00A808B9"/>
    <w:rsid w:val="00A81858"/>
    <w:rsid w:val="00A83461"/>
    <w:rsid w:val="00A85078"/>
    <w:rsid w:val="00A87DD3"/>
    <w:rsid w:val="00A907B7"/>
    <w:rsid w:val="00A93424"/>
    <w:rsid w:val="00A96F33"/>
    <w:rsid w:val="00A97FD3"/>
    <w:rsid w:val="00AA0BCE"/>
    <w:rsid w:val="00AA1C19"/>
    <w:rsid w:val="00AA295C"/>
    <w:rsid w:val="00AA2E91"/>
    <w:rsid w:val="00AA3E2F"/>
    <w:rsid w:val="00AA4540"/>
    <w:rsid w:val="00AA48E6"/>
    <w:rsid w:val="00AA55D0"/>
    <w:rsid w:val="00AA710E"/>
    <w:rsid w:val="00AB09CF"/>
    <w:rsid w:val="00AB0ADB"/>
    <w:rsid w:val="00AB177D"/>
    <w:rsid w:val="00AB1DE2"/>
    <w:rsid w:val="00AB3ABB"/>
    <w:rsid w:val="00AB4062"/>
    <w:rsid w:val="00AB4E4B"/>
    <w:rsid w:val="00AB50E0"/>
    <w:rsid w:val="00AB5132"/>
    <w:rsid w:val="00AB5279"/>
    <w:rsid w:val="00AB5B4A"/>
    <w:rsid w:val="00AB5F69"/>
    <w:rsid w:val="00AB7337"/>
    <w:rsid w:val="00AB7C78"/>
    <w:rsid w:val="00AC18CE"/>
    <w:rsid w:val="00AC1FD7"/>
    <w:rsid w:val="00AC2374"/>
    <w:rsid w:val="00AC2AF8"/>
    <w:rsid w:val="00AC3ABA"/>
    <w:rsid w:val="00AC4C0D"/>
    <w:rsid w:val="00AC582A"/>
    <w:rsid w:val="00AC6AD3"/>
    <w:rsid w:val="00AC6D2D"/>
    <w:rsid w:val="00AC73EC"/>
    <w:rsid w:val="00AC78D5"/>
    <w:rsid w:val="00AC7FF9"/>
    <w:rsid w:val="00AD0410"/>
    <w:rsid w:val="00AD4367"/>
    <w:rsid w:val="00AD4B74"/>
    <w:rsid w:val="00AD5148"/>
    <w:rsid w:val="00AD589E"/>
    <w:rsid w:val="00AD6310"/>
    <w:rsid w:val="00AD6D48"/>
    <w:rsid w:val="00AD7A86"/>
    <w:rsid w:val="00AE20EB"/>
    <w:rsid w:val="00AE2AB4"/>
    <w:rsid w:val="00AE2E72"/>
    <w:rsid w:val="00AE37CF"/>
    <w:rsid w:val="00AE3A95"/>
    <w:rsid w:val="00AE5A38"/>
    <w:rsid w:val="00AE6E63"/>
    <w:rsid w:val="00AE7BCB"/>
    <w:rsid w:val="00AE7E98"/>
    <w:rsid w:val="00AF120E"/>
    <w:rsid w:val="00AF1B11"/>
    <w:rsid w:val="00AF2A7E"/>
    <w:rsid w:val="00AF2D6E"/>
    <w:rsid w:val="00AF34BF"/>
    <w:rsid w:val="00AF3FB3"/>
    <w:rsid w:val="00AF4128"/>
    <w:rsid w:val="00AF55D9"/>
    <w:rsid w:val="00AF55F7"/>
    <w:rsid w:val="00AF6DEA"/>
    <w:rsid w:val="00AF706D"/>
    <w:rsid w:val="00B00804"/>
    <w:rsid w:val="00B03346"/>
    <w:rsid w:val="00B05640"/>
    <w:rsid w:val="00B062EE"/>
    <w:rsid w:val="00B06FD2"/>
    <w:rsid w:val="00B077A3"/>
    <w:rsid w:val="00B07C43"/>
    <w:rsid w:val="00B11714"/>
    <w:rsid w:val="00B1188B"/>
    <w:rsid w:val="00B11B46"/>
    <w:rsid w:val="00B11BE5"/>
    <w:rsid w:val="00B11D98"/>
    <w:rsid w:val="00B12862"/>
    <w:rsid w:val="00B13DDF"/>
    <w:rsid w:val="00B149B3"/>
    <w:rsid w:val="00B15165"/>
    <w:rsid w:val="00B156E4"/>
    <w:rsid w:val="00B2060F"/>
    <w:rsid w:val="00B20766"/>
    <w:rsid w:val="00B20DBD"/>
    <w:rsid w:val="00B20F5D"/>
    <w:rsid w:val="00B21994"/>
    <w:rsid w:val="00B23588"/>
    <w:rsid w:val="00B236C0"/>
    <w:rsid w:val="00B23E92"/>
    <w:rsid w:val="00B23F54"/>
    <w:rsid w:val="00B23F5C"/>
    <w:rsid w:val="00B254E6"/>
    <w:rsid w:val="00B25A85"/>
    <w:rsid w:val="00B25DBB"/>
    <w:rsid w:val="00B26184"/>
    <w:rsid w:val="00B267AA"/>
    <w:rsid w:val="00B26E99"/>
    <w:rsid w:val="00B30995"/>
    <w:rsid w:val="00B30B10"/>
    <w:rsid w:val="00B316BA"/>
    <w:rsid w:val="00B32DD9"/>
    <w:rsid w:val="00B331A5"/>
    <w:rsid w:val="00B3323C"/>
    <w:rsid w:val="00B34107"/>
    <w:rsid w:val="00B341D2"/>
    <w:rsid w:val="00B35BCD"/>
    <w:rsid w:val="00B35BE3"/>
    <w:rsid w:val="00B36641"/>
    <w:rsid w:val="00B4249A"/>
    <w:rsid w:val="00B42C7F"/>
    <w:rsid w:val="00B43111"/>
    <w:rsid w:val="00B43567"/>
    <w:rsid w:val="00B43F1E"/>
    <w:rsid w:val="00B459B1"/>
    <w:rsid w:val="00B46DDB"/>
    <w:rsid w:val="00B46FB1"/>
    <w:rsid w:val="00B470CE"/>
    <w:rsid w:val="00B50235"/>
    <w:rsid w:val="00B50F7A"/>
    <w:rsid w:val="00B513BD"/>
    <w:rsid w:val="00B52B55"/>
    <w:rsid w:val="00B5471B"/>
    <w:rsid w:val="00B54793"/>
    <w:rsid w:val="00B557DC"/>
    <w:rsid w:val="00B55CF9"/>
    <w:rsid w:val="00B56B31"/>
    <w:rsid w:val="00B57ACF"/>
    <w:rsid w:val="00B57DA7"/>
    <w:rsid w:val="00B617D1"/>
    <w:rsid w:val="00B625CF"/>
    <w:rsid w:val="00B6356B"/>
    <w:rsid w:val="00B636C9"/>
    <w:rsid w:val="00B636FE"/>
    <w:rsid w:val="00B640C2"/>
    <w:rsid w:val="00B64AE5"/>
    <w:rsid w:val="00B64FE6"/>
    <w:rsid w:val="00B6612B"/>
    <w:rsid w:val="00B6622E"/>
    <w:rsid w:val="00B6697E"/>
    <w:rsid w:val="00B67C84"/>
    <w:rsid w:val="00B67CCD"/>
    <w:rsid w:val="00B702D6"/>
    <w:rsid w:val="00B707C6"/>
    <w:rsid w:val="00B70BF7"/>
    <w:rsid w:val="00B71A3E"/>
    <w:rsid w:val="00B72CB0"/>
    <w:rsid w:val="00B734E3"/>
    <w:rsid w:val="00B73889"/>
    <w:rsid w:val="00B738B0"/>
    <w:rsid w:val="00B738D6"/>
    <w:rsid w:val="00B73C3A"/>
    <w:rsid w:val="00B74085"/>
    <w:rsid w:val="00B764FE"/>
    <w:rsid w:val="00B76C8E"/>
    <w:rsid w:val="00B7718A"/>
    <w:rsid w:val="00B81575"/>
    <w:rsid w:val="00B83236"/>
    <w:rsid w:val="00B83474"/>
    <w:rsid w:val="00B84645"/>
    <w:rsid w:val="00B8580C"/>
    <w:rsid w:val="00B86A38"/>
    <w:rsid w:val="00B874DE"/>
    <w:rsid w:val="00B87DC4"/>
    <w:rsid w:val="00B9099F"/>
    <w:rsid w:val="00B913DE"/>
    <w:rsid w:val="00B91D43"/>
    <w:rsid w:val="00B9287D"/>
    <w:rsid w:val="00B9416E"/>
    <w:rsid w:val="00B94A21"/>
    <w:rsid w:val="00B94A3C"/>
    <w:rsid w:val="00B968A4"/>
    <w:rsid w:val="00B96BA2"/>
    <w:rsid w:val="00B971C0"/>
    <w:rsid w:val="00B97A3F"/>
    <w:rsid w:val="00B97DA6"/>
    <w:rsid w:val="00BA105B"/>
    <w:rsid w:val="00BA3AB8"/>
    <w:rsid w:val="00BA3B09"/>
    <w:rsid w:val="00BA3CD1"/>
    <w:rsid w:val="00BA6964"/>
    <w:rsid w:val="00BA7000"/>
    <w:rsid w:val="00BB034C"/>
    <w:rsid w:val="00BB1479"/>
    <w:rsid w:val="00BB1CE1"/>
    <w:rsid w:val="00BB2085"/>
    <w:rsid w:val="00BB2C05"/>
    <w:rsid w:val="00BB39DC"/>
    <w:rsid w:val="00BB3B2A"/>
    <w:rsid w:val="00BB4EBC"/>
    <w:rsid w:val="00BB4F9C"/>
    <w:rsid w:val="00BB5181"/>
    <w:rsid w:val="00BB7100"/>
    <w:rsid w:val="00BC0A7F"/>
    <w:rsid w:val="00BC0F16"/>
    <w:rsid w:val="00BC203C"/>
    <w:rsid w:val="00BC33C1"/>
    <w:rsid w:val="00BC3A75"/>
    <w:rsid w:val="00BC3B55"/>
    <w:rsid w:val="00BC3F9E"/>
    <w:rsid w:val="00BC49FA"/>
    <w:rsid w:val="00BC4D49"/>
    <w:rsid w:val="00BC55F0"/>
    <w:rsid w:val="00BC5CC6"/>
    <w:rsid w:val="00BC643D"/>
    <w:rsid w:val="00BD0960"/>
    <w:rsid w:val="00BD09E3"/>
    <w:rsid w:val="00BD0ABD"/>
    <w:rsid w:val="00BD347E"/>
    <w:rsid w:val="00BD3711"/>
    <w:rsid w:val="00BD536C"/>
    <w:rsid w:val="00BD65D8"/>
    <w:rsid w:val="00BD6BD5"/>
    <w:rsid w:val="00BD7013"/>
    <w:rsid w:val="00BE0778"/>
    <w:rsid w:val="00BE0BD6"/>
    <w:rsid w:val="00BE14AB"/>
    <w:rsid w:val="00BE2D52"/>
    <w:rsid w:val="00BE3180"/>
    <w:rsid w:val="00BE43C1"/>
    <w:rsid w:val="00BE546F"/>
    <w:rsid w:val="00BE6E4C"/>
    <w:rsid w:val="00BE76E8"/>
    <w:rsid w:val="00BE79DB"/>
    <w:rsid w:val="00BF0973"/>
    <w:rsid w:val="00BF2FB4"/>
    <w:rsid w:val="00BF4CC9"/>
    <w:rsid w:val="00BF5057"/>
    <w:rsid w:val="00BF5860"/>
    <w:rsid w:val="00BF6A5E"/>
    <w:rsid w:val="00BF6DE5"/>
    <w:rsid w:val="00BF6F9B"/>
    <w:rsid w:val="00C00B14"/>
    <w:rsid w:val="00C014FA"/>
    <w:rsid w:val="00C01F91"/>
    <w:rsid w:val="00C02382"/>
    <w:rsid w:val="00C03461"/>
    <w:rsid w:val="00C03DA5"/>
    <w:rsid w:val="00C03DAF"/>
    <w:rsid w:val="00C054DA"/>
    <w:rsid w:val="00C07369"/>
    <w:rsid w:val="00C10815"/>
    <w:rsid w:val="00C11351"/>
    <w:rsid w:val="00C11C22"/>
    <w:rsid w:val="00C12677"/>
    <w:rsid w:val="00C154A3"/>
    <w:rsid w:val="00C1701E"/>
    <w:rsid w:val="00C17313"/>
    <w:rsid w:val="00C174A8"/>
    <w:rsid w:val="00C20260"/>
    <w:rsid w:val="00C207BD"/>
    <w:rsid w:val="00C22BE3"/>
    <w:rsid w:val="00C22F1A"/>
    <w:rsid w:val="00C23370"/>
    <w:rsid w:val="00C24535"/>
    <w:rsid w:val="00C246FC"/>
    <w:rsid w:val="00C2515D"/>
    <w:rsid w:val="00C25E80"/>
    <w:rsid w:val="00C26D12"/>
    <w:rsid w:val="00C26E27"/>
    <w:rsid w:val="00C27001"/>
    <w:rsid w:val="00C27379"/>
    <w:rsid w:val="00C301B7"/>
    <w:rsid w:val="00C30228"/>
    <w:rsid w:val="00C32BAA"/>
    <w:rsid w:val="00C32CAF"/>
    <w:rsid w:val="00C33613"/>
    <w:rsid w:val="00C34F8F"/>
    <w:rsid w:val="00C352C3"/>
    <w:rsid w:val="00C36AC1"/>
    <w:rsid w:val="00C3711E"/>
    <w:rsid w:val="00C4086D"/>
    <w:rsid w:val="00C40FC6"/>
    <w:rsid w:val="00C41F4F"/>
    <w:rsid w:val="00C425DE"/>
    <w:rsid w:val="00C43FA3"/>
    <w:rsid w:val="00C448FD"/>
    <w:rsid w:val="00C454C1"/>
    <w:rsid w:val="00C455B5"/>
    <w:rsid w:val="00C45AF8"/>
    <w:rsid w:val="00C463FD"/>
    <w:rsid w:val="00C474F6"/>
    <w:rsid w:val="00C502C0"/>
    <w:rsid w:val="00C50652"/>
    <w:rsid w:val="00C50FC1"/>
    <w:rsid w:val="00C52375"/>
    <w:rsid w:val="00C52F34"/>
    <w:rsid w:val="00C5381C"/>
    <w:rsid w:val="00C56E6E"/>
    <w:rsid w:val="00C56EC6"/>
    <w:rsid w:val="00C602A5"/>
    <w:rsid w:val="00C61515"/>
    <w:rsid w:val="00C61B78"/>
    <w:rsid w:val="00C61C7F"/>
    <w:rsid w:val="00C63752"/>
    <w:rsid w:val="00C658E8"/>
    <w:rsid w:val="00C65C5A"/>
    <w:rsid w:val="00C65DD8"/>
    <w:rsid w:val="00C667D4"/>
    <w:rsid w:val="00C67F15"/>
    <w:rsid w:val="00C7023C"/>
    <w:rsid w:val="00C70A72"/>
    <w:rsid w:val="00C72551"/>
    <w:rsid w:val="00C72DA5"/>
    <w:rsid w:val="00C741D8"/>
    <w:rsid w:val="00C74443"/>
    <w:rsid w:val="00C7482D"/>
    <w:rsid w:val="00C7486D"/>
    <w:rsid w:val="00C7519B"/>
    <w:rsid w:val="00C76B58"/>
    <w:rsid w:val="00C805B4"/>
    <w:rsid w:val="00C81065"/>
    <w:rsid w:val="00C827F8"/>
    <w:rsid w:val="00C84954"/>
    <w:rsid w:val="00C849D8"/>
    <w:rsid w:val="00C8778B"/>
    <w:rsid w:val="00C87A37"/>
    <w:rsid w:val="00C87FF1"/>
    <w:rsid w:val="00C90AA3"/>
    <w:rsid w:val="00C9122F"/>
    <w:rsid w:val="00C915A8"/>
    <w:rsid w:val="00C9454C"/>
    <w:rsid w:val="00C95008"/>
    <w:rsid w:val="00C96142"/>
    <w:rsid w:val="00C969A2"/>
    <w:rsid w:val="00C96BA2"/>
    <w:rsid w:val="00CA009B"/>
    <w:rsid w:val="00CA14FC"/>
    <w:rsid w:val="00CA2182"/>
    <w:rsid w:val="00CA3F9E"/>
    <w:rsid w:val="00CA3FB5"/>
    <w:rsid w:val="00CA657C"/>
    <w:rsid w:val="00CA6596"/>
    <w:rsid w:val="00CA7557"/>
    <w:rsid w:val="00CA7A10"/>
    <w:rsid w:val="00CB0BEA"/>
    <w:rsid w:val="00CB0E5E"/>
    <w:rsid w:val="00CB2977"/>
    <w:rsid w:val="00CB3CD7"/>
    <w:rsid w:val="00CB4899"/>
    <w:rsid w:val="00CB62E1"/>
    <w:rsid w:val="00CB681D"/>
    <w:rsid w:val="00CB6AE1"/>
    <w:rsid w:val="00CB7630"/>
    <w:rsid w:val="00CC0200"/>
    <w:rsid w:val="00CC0BC3"/>
    <w:rsid w:val="00CC0FD9"/>
    <w:rsid w:val="00CC222D"/>
    <w:rsid w:val="00CC224A"/>
    <w:rsid w:val="00CC23FF"/>
    <w:rsid w:val="00CC2729"/>
    <w:rsid w:val="00CC3E22"/>
    <w:rsid w:val="00CC53B4"/>
    <w:rsid w:val="00CC706F"/>
    <w:rsid w:val="00CC71B0"/>
    <w:rsid w:val="00CC7C22"/>
    <w:rsid w:val="00CD0666"/>
    <w:rsid w:val="00CD0B78"/>
    <w:rsid w:val="00CD12CD"/>
    <w:rsid w:val="00CD18F0"/>
    <w:rsid w:val="00CD1D9A"/>
    <w:rsid w:val="00CD2872"/>
    <w:rsid w:val="00CD32CA"/>
    <w:rsid w:val="00CD51CE"/>
    <w:rsid w:val="00CD543D"/>
    <w:rsid w:val="00CD7088"/>
    <w:rsid w:val="00CE265C"/>
    <w:rsid w:val="00CE26A9"/>
    <w:rsid w:val="00CE275E"/>
    <w:rsid w:val="00CE419F"/>
    <w:rsid w:val="00CE5F15"/>
    <w:rsid w:val="00CE6737"/>
    <w:rsid w:val="00CE6B9B"/>
    <w:rsid w:val="00CF0F98"/>
    <w:rsid w:val="00CF2C95"/>
    <w:rsid w:val="00CF2D73"/>
    <w:rsid w:val="00CF2EAD"/>
    <w:rsid w:val="00CF3033"/>
    <w:rsid w:val="00CF370B"/>
    <w:rsid w:val="00CF4253"/>
    <w:rsid w:val="00CF4397"/>
    <w:rsid w:val="00CF4787"/>
    <w:rsid w:val="00CF4EFF"/>
    <w:rsid w:val="00CF50EB"/>
    <w:rsid w:val="00CF54EA"/>
    <w:rsid w:val="00CF617B"/>
    <w:rsid w:val="00D00E51"/>
    <w:rsid w:val="00D01B8A"/>
    <w:rsid w:val="00D01DDB"/>
    <w:rsid w:val="00D02172"/>
    <w:rsid w:val="00D02444"/>
    <w:rsid w:val="00D037FB"/>
    <w:rsid w:val="00D04145"/>
    <w:rsid w:val="00D05D9D"/>
    <w:rsid w:val="00D068EC"/>
    <w:rsid w:val="00D07A2F"/>
    <w:rsid w:val="00D10EAC"/>
    <w:rsid w:val="00D124B2"/>
    <w:rsid w:val="00D160F9"/>
    <w:rsid w:val="00D16159"/>
    <w:rsid w:val="00D16581"/>
    <w:rsid w:val="00D16C3B"/>
    <w:rsid w:val="00D20038"/>
    <w:rsid w:val="00D20A86"/>
    <w:rsid w:val="00D20BB2"/>
    <w:rsid w:val="00D21D3F"/>
    <w:rsid w:val="00D224BB"/>
    <w:rsid w:val="00D24F85"/>
    <w:rsid w:val="00D27EC5"/>
    <w:rsid w:val="00D32117"/>
    <w:rsid w:val="00D32D47"/>
    <w:rsid w:val="00D33A9C"/>
    <w:rsid w:val="00D33FD4"/>
    <w:rsid w:val="00D34937"/>
    <w:rsid w:val="00D349D1"/>
    <w:rsid w:val="00D34D09"/>
    <w:rsid w:val="00D34EC4"/>
    <w:rsid w:val="00D35781"/>
    <w:rsid w:val="00D35B62"/>
    <w:rsid w:val="00D36294"/>
    <w:rsid w:val="00D36EC7"/>
    <w:rsid w:val="00D37F09"/>
    <w:rsid w:val="00D40DD7"/>
    <w:rsid w:val="00D41D8C"/>
    <w:rsid w:val="00D420CF"/>
    <w:rsid w:val="00D429F6"/>
    <w:rsid w:val="00D440E0"/>
    <w:rsid w:val="00D459AA"/>
    <w:rsid w:val="00D46A4E"/>
    <w:rsid w:val="00D46E2D"/>
    <w:rsid w:val="00D5180D"/>
    <w:rsid w:val="00D51D9B"/>
    <w:rsid w:val="00D556C4"/>
    <w:rsid w:val="00D570F1"/>
    <w:rsid w:val="00D572EC"/>
    <w:rsid w:val="00D605AB"/>
    <w:rsid w:val="00D61B97"/>
    <w:rsid w:val="00D626A1"/>
    <w:rsid w:val="00D62C47"/>
    <w:rsid w:val="00D6579E"/>
    <w:rsid w:val="00D65ADA"/>
    <w:rsid w:val="00D661A3"/>
    <w:rsid w:val="00D66281"/>
    <w:rsid w:val="00D66B8B"/>
    <w:rsid w:val="00D67402"/>
    <w:rsid w:val="00D67D18"/>
    <w:rsid w:val="00D701DC"/>
    <w:rsid w:val="00D71B4F"/>
    <w:rsid w:val="00D72106"/>
    <w:rsid w:val="00D72307"/>
    <w:rsid w:val="00D7248D"/>
    <w:rsid w:val="00D725DF"/>
    <w:rsid w:val="00D74269"/>
    <w:rsid w:val="00D74D2D"/>
    <w:rsid w:val="00D75327"/>
    <w:rsid w:val="00D75C95"/>
    <w:rsid w:val="00D7649A"/>
    <w:rsid w:val="00D76A22"/>
    <w:rsid w:val="00D76E9F"/>
    <w:rsid w:val="00D772C9"/>
    <w:rsid w:val="00D77DD7"/>
    <w:rsid w:val="00D83162"/>
    <w:rsid w:val="00D84320"/>
    <w:rsid w:val="00D84597"/>
    <w:rsid w:val="00D846DD"/>
    <w:rsid w:val="00D84985"/>
    <w:rsid w:val="00D866B7"/>
    <w:rsid w:val="00D86B22"/>
    <w:rsid w:val="00D87782"/>
    <w:rsid w:val="00D909DC"/>
    <w:rsid w:val="00D91895"/>
    <w:rsid w:val="00D91BF7"/>
    <w:rsid w:val="00D92E86"/>
    <w:rsid w:val="00D93079"/>
    <w:rsid w:val="00D941F2"/>
    <w:rsid w:val="00D9525B"/>
    <w:rsid w:val="00D966A7"/>
    <w:rsid w:val="00DA01BF"/>
    <w:rsid w:val="00DA0DA9"/>
    <w:rsid w:val="00DA1119"/>
    <w:rsid w:val="00DA1227"/>
    <w:rsid w:val="00DA2AF6"/>
    <w:rsid w:val="00DA2E13"/>
    <w:rsid w:val="00DA379D"/>
    <w:rsid w:val="00DA4FBC"/>
    <w:rsid w:val="00DA6773"/>
    <w:rsid w:val="00DA67EA"/>
    <w:rsid w:val="00DA6D62"/>
    <w:rsid w:val="00DA7772"/>
    <w:rsid w:val="00DB0AA3"/>
    <w:rsid w:val="00DB0F9F"/>
    <w:rsid w:val="00DB186D"/>
    <w:rsid w:val="00DB1B11"/>
    <w:rsid w:val="00DB3F78"/>
    <w:rsid w:val="00DB52C5"/>
    <w:rsid w:val="00DB59B7"/>
    <w:rsid w:val="00DB5BA9"/>
    <w:rsid w:val="00DB5FD7"/>
    <w:rsid w:val="00DB7EA2"/>
    <w:rsid w:val="00DC02D1"/>
    <w:rsid w:val="00DC0A3E"/>
    <w:rsid w:val="00DC0F28"/>
    <w:rsid w:val="00DC1D99"/>
    <w:rsid w:val="00DC2AF8"/>
    <w:rsid w:val="00DC2E7C"/>
    <w:rsid w:val="00DC32F8"/>
    <w:rsid w:val="00DC3472"/>
    <w:rsid w:val="00DC7B52"/>
    <w:rsid w:val="00DD01AB"/>
    <w:rsid w:val="00DD3EFD"/>
    <w:rsid w:val="00DD5439"/>
    <w:rsid w:val="00DD6DA6"/>
    <w:rsid w:val="00DD6E2F"/>
    <w:rsid w:val="00DD71FA"/>
    <w:rsid w:val="00DD75E3"/>
    <w:rsid w:val="00DE1C29"/>
    <w:rsid w:val="00DE288E"/>
    <w:rsid w:val="00DE2DBC"/>
    <w:rsid w:val="00DE2EAF"/>
    <w:rsid w:val="00DE3014"/>
    <w:rsid w:val="00DE4067"/>
    <w:rsid w:val="00DE48A5"/>
    <w:rsid w:val="00DE4F8F"/>
    <w:rsid w:val="00DE6904"/>
    <w:rsid w:val="00DE7B36"/>
    <w:rsid w:val="00DF1F13"/>
    <w:rsid w:val="00DF2308"/>
    <w:rsid w:val="00DF2A16"/>
    <w:rsid w:val="00DF547B"/>
    <w:rsid w:val="00DF56B5"/>
    <w:rsid w:val="00DF6FAB"/>
    <w:rsid w:val="00E00ACD"/>
    <w:rsid w:val="00E03942"/>
    <w:rsid w:val="00E0471C"/>
    <w:rsid w:val="00E0486B"/>
    <w:rsid w:val="00E04B42"/>
    <w:rsid w:val="00E04C22"/>
    <w:rsid w:val="00E05676"/>
    <w:rsid w:val="00E057C8"/>
    <w:rsid w:val="00E068CB"/>
    <w:rsid w:val="00E06ACF"/>
    <w:rsid w:val="00E06AE8"/>
    <w:rsid w:val="00E06EAA"/>
    <w:rsid w:val="00E1029C"/>
    <w:rsid w:val="00E10891"/>
    <w:rsid w:val="00E1120B"/>
    <w:rsid w:val="00E14F9B"/>
    <w:rsid w:val="00E178BD"/>
    <w:rsid w:val="00E17DD0"/>
    <w:rsid w:val="00E21F1E"/>
    <w:rsid w:val="00E228A7"/>
    <w:rsid w:val="00E23D08"/>
    <w:rsid w:val="00E26BE9"/>
    <w:rsid w:val="00E27501"/>
    <w:rsid w:val="00E27775"/>
    <w:rsid w:val="00E306A6"/>
    <w:rsid w:val="00E320A9"/>
    <w:rsid w:val="00E32A78"/>
    <w:rsid w:val="00E333B3"/>
    <w:rsid w:val="00E33FEE"/>
    <w:rsid w:val="00E35318"/>
    <w:rsid w:val="00E3587C"/>
    <w:rsid w:val="00E36493"/>
    <w:rsid w:val="00E36576"/>
    <w:rsid w:val="00E405AF"/>
    <w:rsid w:val="00E422E8"/>
    <w:rsid w:val="00E4233C"/>
    <w:rsid w:val="00E4475E"/>
    <w:rsid w:val="00E470D0"/>
    <w:rsid w:val="00E500D0"/>
    <w:rsid w:val="00E50E4E"/>
    <w:rsid w:val="00E51279"/>
    <w:rsid w:val="00E5145A"/>
    <w:rsid w:val="00E51E19"/>
    <w:rsid w:val="00E527F9"/>
    <w:rsid w:val="00E5452C"/>
    <w:rsid w:val="00E54DF9"/>
    <w:rsid w:val="00E556E8"/>
    <w:rsid w:val="00E5609A"/>
    <w:rsid w:val="00E577AF"/>
    <w:rsid w:val="00E60121"/>
    <w:rsid w:val="00E6066E"/>
    <w:rsid w:val="00E611E8"/>
    <w:rsid w:val="00E61E7C"/>
    <w:rsid w:val="00E63837"/>
    <w:rsid w:val="00E63B2C"/>
    <w:rsid w:val="00E63C30"/>
    <w:rsid w:val="00E63D89"/>
    <w:rsid w:val="00E6411D"/>
    <w:rsid w:val="00E65D72"/>
    <w:rsid w:val="00E66290"/>
    <w:rsid w:val="00E66EFE"/>
    <w:rsid w:val="00E67531"/>
    <w:rsid w:val="00E70668"/>
    <w:rsid w:val="00E71D2D"/>
    <w:rsid w:val="00E71E83"/>
    <w:rsid w:val="00E74025"/>
    <w:rsid w:val="00E75155"/>
    <w:rsid w:val="00E7525E"/>
    <w:rsid w:val="00E7543E"/>
    <w:rsid w:val="00E76C95"/>
    <w:rsid w:val="00E80475"/>
    <w:rsid w:val="00E8051A"/>
    <w:rsid w:val="00E80AA8"/>
    <w:rsid w:val="00E81E28"/>
    <w:rsid w:val="00E82714"/>
    <w:rsid w:val="00E828AA"/>
    <w:rsid w:val="00E828D5"/>
    <w:rsid w:val="00E8373C"/>
    <w:rsid w:val="00E85163"/>
    <w:rsid w:val="00E86C63"/>
    <w:rsid w:val="00E90ACD"/>
    <w:rsid w:val="00E9103F"/>
    <w:rsid w:val="00E91342"/>
    <w:rsid w:val="00E91D92"/>
    <w:rsid w:val="00E926C8"/>
    <w:rsid w:val="00E92F16"/>
    <w:rsid w:val="00E93573"/>
    <w:rsid w:val="00E94DC3"/>
    <w:rsid w:val="00E94E6F"/>
    <w:rsid w:val="00E97DC3"/>
    <w:rsid w:val="00EA028D"/>
    <w:rsid w:val="00EA0806"/>
    <w:rsid w:val="00EA2F77"/>
    <w:rsid w:val="00EA3B9B"/>
    <w:rsid w:val="00EA3EF6"/>
    <w:rsid w:val="00EA44F5"/>
    <w:rsid w:val="00EA46BC"/>
    <w:rsid w:val="00EA4A7A"/>
    <w:rsid w:val="00EA52FC"/>
    <w:rsid w:val="00EA5BCE"/>
    <w:rsid w:val="00EA5C14"/>
    <w:rsid w:val="00EA6004"/>
    <w:rsid w:val="00EA65CE"/>
    <w:rsid w:val="00EA6EED"/>
    <w:rsid w:val="00EA72CB"/>
    <w:rsid w:val="00EA7331"/>
    <w:rsid w:val="00EA7D8F"/>
    <w:rsid w:val="00EA7FF8"/>
    <w:rsid w:val="00EB1E01"/>
    <w:rsid w:val="00EB243E"/>
    <w:rsid w:val="00EB24CB"/>
    <w:rsid w:val="00EB28F3"/>
    <w:rsid w:val="00EB28F5"/>
    <w:rsid w:val="00EB4138"/>
    <w:rsid w:val="00EB43EC"/>
    <w:rsid w:val="00EB46AA"/>
    <w:rsid w:val="00EB4D09"/>
    <w:rsid w:val="00EB57A2"/>
    <w:rsid w:val="00EB5AE6"/>
    <w:rsid w:val="00EB6054"/>
    <w:rsid w:val="00EB6D47"/>
    <w:rsid w:val="00EB7222"/>
    <w:rsid w:val="00EC0079"/>
    <w:rsid w:val="00EC01A1"/>
    <w:rsid w:val="00EC0DD1"/>
    <w:rsid w:val="00EC19A1"/>
    <w:rsid w:val="00EC4E5B"/>
    <w:rsid w:val="00EC5D18"/>
    <w:rsid w:val="00EC6B6E"/>
    <w:rsid w:val="00ED00A4"/>
    <w:rsid w:val="00ED1048"/>
    <w:rsid w:val="00ED1579"/>
    <w:rsid w:val="00ED2BAD"/>
    <w:rsid w:val="00ED2F47"/>
    <w:rsid w:val="00ED432C"/>
    <w:rsid w:val="00ED4D7C"/>
    <w:rsid w:val="00ED5F76"/>
    <w:rsid w:val="00ED619F"/>
    <w:rsid w:val="00ED6F71"/>
    <w:rsid w:val="00ED7668"/>
    <w:rsid w:val="00ED78EE"/>
    <w:rsid w:val="00ED7E09"/>
    <w:rsid w:val="00EE0390"/>
    <w:rsid w:val="00EE1B9F"/>
    <w:rsid w:val="00EE2B58"/>
    <w:rsid w:val="00EE3CC7"/>
    <w:rsid w:val="00EE3E83"/>
    <w:rsid w:val="00EE4879"/>
    <w:rsid w:val="00EE488A"/>
    <w:rsid w:val="00EE4A30"/>
    <w:rsid w:val="00EE6BE4"/>
    <w:rsid w:val="00EE7480"/>
    <w:rsid w:val="00EE74DB"/>
    <w:rsid w:val="00EF1576"/>
    <w:rsid w:val="00EF1CA2"/>
    <w:rsid w:val="00EF3A23"/>
    <w:rsid w:val="00EF425A"/>
    <w:rsid w:val="00EF462F"/>
    <w:rsid w:val="00EF4F44"/>
    <w:rsid w:val="00EF51DA"/>
    <w:rsid w:val="00EF6747"/>
    <w:rsid w:val="00EF7140"/>
    <w:rsid w:val="00F01DC3"/>
    <w:rsid w:val="00F01E18"/>
    <w:rsid w:val="00F041E1"/>
    <w:rsid w:val="00F04274"/>
    <w:rsid w:val="00F050D7"/>
    <w:rsid w:val="00F07F6A"/>
    <w:rsid w:val="00F10695"/>
    <w:rsid w:val="00F107E0"/>
    <w:rsid w:val="00F121B7"/>
    <w:rsid w:val="00F1226F"/>
    <w:rsid w:val="00F126E4"/>
    <w:rsid w:val="00F12DCF"/>
    <w:rsid w:val="00F13E8B"/>
    <w:rsid w:val="00F1440F"/>
    <w:rsid w:val="00F14E46"/>
    <w:rsid w:val="00F15A97"/>
    <w:rsid w:val="00F15F62"/>
    <w:rsid w:val="00F21179"/>
    <w:rsid w:val="00F218F3"/>
    <w:rsid w:val="00F21999"/>
    <w:rsid w:val="00F2263B"/>
    <w:rsid w:val="00F23415"/>
    <w:rsid w:val="00F23672"/>
    <w:rsid w:val="00F2375B"/>
    <w:rsid w:val="00F2406A"/>
    <w:rsid w:val="00F241D5"/>
    <w:rsid w:val="00F24E6F"/>
    <w:rsid w:val="00F25301"/>
    <w:rsid w:val="00F25A61"/>
    <w:rsid w:val="00F30400"/>
    <w:rsid w:val="00F31E98"/>
    <w:rsid w:val="00F33914"/>
    <w:rsid w:val="00F346C6"/>
    <w:rsid w:val="00F34DC4"/>
    <w:rsid w:val="00F35094"/>
    <w:rsid w:val="00F35F19"/>
    <w:rsid w:val="00F368EB"/>
    <w:rsid w:val="00F3748C"/>
    <w:rsid w:val="00F37A15"/>
    <w:rsid w:val="00F4050F"/>
    <w:rsid w:val="00F40908"/>
    <w:rsid w:val="00F40C5A"/>
    <w:rsid w:val="00F41E26"/>
    <w:rsid w:val="00F426C7"/>
    <w:rsid w:val="00F45878"/>
    <w:rsid w:val="00F45978"/>
    <w:rsid w:val="00F4618C"/>
    <w:rsid w:val="00F4785E"/>
    <w:rsid w:val="00F47DA7"/>
    <w:rsid w:val="00F5078A"/>
    <w:rsid w:val="00F50D2F"/>
    <w:rsid w:val="00F5473D"/>
    <w:rsid w:val="00F54804"/>
    <w:rsid w:val="00F54C06"/>
    <w:rsid w:val="00F55490"/>
    <w:rsid w:val="00F57663"/>
    <w:rsid w:val="00F6061D"/>
    <w:rsid w:val="00F60985"/>
    <w:rsid w:val="00F60A79"/>
    <w:rsid w:val="00F6128A"/>
    <w:rsid w:val="00F62340"/>
    <w:rsid w:val="00F63062"/>
    <w:rsid w:val="00F635E9"/>
    <w:rsid w:val="00F66DF7"/>
    <w:rsid w:val="00F671F6"/>
    <w:rsid w:val="00F70606"/>
    <w:rsid w:val="00F7129C"/>
    <w:rsid w:val="00F72B84"/>
    <w:rsid w:val="00F7401D"/>
    <w:rsid w:val="00F74572"/>
    <w:rsid w:val="00F74F92"/>
    <w:rsid w:val="00F74FB4"/>
    <w:rsid w:val="00F77E83"/>
    <w:rsid w:val="00F804B0"/>
    <w:rsid w:val="00F80C02"/>
    <w:rsid w:val="00F8101C"/>
    <w:rsid w:val="00F820B9"/>
    <w:rsid w:val="00F82100"/>
    <w:rsid w:val="00F82A49"/>
    <w:rsid w:val="00F82C2A"/>
    <w:rsid w:val="00F83731"/>
    <w:rsid w:val="00F84434"/>
    <w:rsid w:val="00F85834"/>
    <w:rsid w:val="00F8592A"/>
    <w:rsid w:val="00F85C61"/>
    <w:rsid w:val="00F874B4"/>
    <w:rsid w:val="00F90115"/>
    <w:rsid w:val="00F91866"/>
    <w:rsid w:val="00F91C79"/>
    <w:rsid w:val="00F91DA1"/>
    <w:rsid w:val="00F920D1"/>
    <w:rsid w:val="00F92D6E"/>
    <w:rsid w:val="00F92DEE"/>
    <w:rsid w:val="00F93FD9"/>
    <w:rsid w:val="00F94579"/>
    <w:rsid w:val="00F95459"/>
    <w:rsid w:val="00F956CF"/>
    <w:rsid w:val="00F978BF"/>
    <w:rsid w:val="00F97D76"/>
    <w:rsid w:val="00FA0830"/>
    <w:rsid w:val="00FA328B"/>
    <w:rsid w:val="00FA339D"/>
    <w:rsid w:val="00FA358F"/>
    <w:rsid w:val="00FA6910"/>
    <w:rsid w:val="00FB20A9"/>
    <w:rsid w:val="00FB4253"/>
    <w:rsid w:val="00FB4FEC"/>
    <w:rsid w:val="00FB57D0"/>
    <w:rsid w:val="00FB586B"/>
    <w:rsid w:val="00FB65D7"/>
    <w:rsid w:val="00FB6841"/>
    <w:rsid w:val="00FC00A0"/>
    <w:rsid w:val="00FC0701"/>
    <w:rsid w:val="00FC1F57"/>
    <w:rsid w:val="00FC2852"/>
    <w:rsid w:val="00FC3B5A"/>
    <w:rsid w:val="00FC3BA3"/>
    <w:rsid w:val="00FC406E"/>
    <w:rsid w:val="00FC4136"/>
    <w:rsid w:val="00FC4E6F"/>
    <w:rsid w:val="00FC516E"/>
    <w:rsid w:val="00FC6A0A"/>
    <w:rsid w:val="00FD2D11"/>
    <w:rsid w:val="00FD3D2B"/>
    <w:rsid w:val="00FD3E53"/>
    <w:rsid w:val="00FD487D"/>
    <w:rsid w:val="00FD5C90"/>
    <w:rsid w:val="00FD6E54"/>
    <w:rsid w:val="00FE01CA"/>
    <w:rsid w:val="00FE178D"/>
    <w:rsid w:val="00FE24EA"/>
    <w:rsid w:val="00FE348F"/>
    <w:rsid w:val="00FE39D4"/>
    <w:rsid w:val="00FE3D1F"/>
    <w:rsid w:val="00FE6092"/>
    <w:rsid w:val="00FE6165"/>
    <w:rsid w:val="00FE712A"/>
    <w:rsid w:val="00FE7157"/>
    <w:rsid w:val="00FF01CF"/>
    <w:rsid w:val="00FF0FF1"/>
    <w:rsid w:val="00FF1F45"/>
    <w:rsid w:val="00FF3035"/>
    <w:rsid w:val="00FF31FB"/>
    <w:rsid w:val="00FF3FED"/>
    <w:rsid w:val="00FF4308"/>
    <w:rsid w:val="00FF5777"/>
    <w:rsid w:val="00FF5A70"/>
    <w:rsid w:val="00FF6E79"/>
    <w:rsid w:val="00FF71F5"/>
    <w:rsid w:val="00FF78F1"/>
    <w:rsid w:val="00FF79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endarrow="block"/>
      <o:colormenu v:ext="edit" fillcolor="none [3212]"/>
    </o:shapedefaults>
    <o:shapelayout v:ext="edit">
      <o:idmap v:ext="edit" data="2"/>
    </o:shapelayout>
  </w:shapeDefaults>
  <w:decimalSymbol w:val="."/>
  <w:listSeparator w:val=","/>
  <w14:docId w14:val="226CD116"/>
  <w15:docId w15:val="{CE5BFBBF-972E-4B75-82BE-FC62D5E5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D38BF"/>
    <w:pPr>
      <w:autoSpaceDE w:val="0"/>
      <w:autoSpaceDN w:val="0"/>
      <w:adjustRightInd w:val="0"/>
      <w:spacing w:after="240" w:line="240" w:lineRule="auto"/>
      <w:ind w:right="-23"/>
    </w:pPr>
    <w:rPr>
      <w:rFonts w:asciiTheme="minorHAnsi" w:eastAsia="MetaPlusNormal-Roman" w:hAnsiTheme="minorHAnsi" w:cs="MetaPlusNormal-Roman"/>
      <w:color w:val="000000"/>
      <w:sz w:val="24"/>
      <w:szCs w:val="24"/>
    </w:rPr>
  </w:style>
  <w:style w:type="paragraph" w:styleId="Heading1">
    <w:name w:val="heading 1"/>
    <w:basedOn w:val="Normal"/>
    <w:next w:val="BodyText"/>
    <w:link w:val="Heading1Char"/>
    <w:qFormat/>
    <w:rsid w:val="0018567E"/>
    <w:pPr>
      <w:pageBreakBefore/>
      <w:spacing w:before="240" w:after="400"/>
      <w:ind w:right="0"/>
      <w:outlineLvl w:val="0"/>
    </w:pPr>
    <w:rPr>
      <w:rFonts w:ascii="Arial" w:eastAsia="MetaPlusBold-Roman" w:hAnsi="Arial" w:cs="Arial"/>
      <w:b/>
      <w:bCs/>
      <w:color w:val="auto"/>
      <w:sz w:val="40"/>
      <w:szCs w:val="42"/>
    </w:rPr>
  </w:style>
  <w:style w:type="paragraph" w:styleId="Heading2">
    <w:name w:val="heading 2"/>
    <w:basedOn w:val="Heading1"/>
    <w:next w:val="BodyText"/>
    <w:link w:val="Heading2Char"/>
    <w:autoRedefine/>
    <w:qFormat/>
    <w:rsid w:val="006E6C6C"/>
    <w:pPr>
      <w:keepNext/>
      <w:keepLines/>
      <w:pageBreakBefore w:val="0"/>
      <w:numPr>
        <w:ilvl w:val="1"/>
        <w:numId w:val="22"/>
      </w:numPr>
      <w:spacing w:before="360" w:after="280"/>
      <w:outlineLvl w:val="1"/>
    </w:pPr>
    <w:rPr>
      <w:sz w:val="32"/>
      <w:szCs w:val="36"/>
    </w:rPr>
  </w:style>
  <w:style w:type="paragraph" w:styleId="Heading3">
    <w:name w:val="heading 3"/>
    <w:basedOn w:val="Heading2"/>
    <w:next w:val="BodyText"/>
    <w:link w:val="Heading3Char"/>
    <w:qFormat/>
    <w:rsid w:val="00CC7C22"/>
    <w:pPr>
      <w:numPr>
        <w:ilvl w:val="0"/>
        <w:numId w:val="0"/>
      </w:numPr>
      <w:spacing w:after="240"/>
      <w:outlineLvl w:val="2"/>
    </w:pPr>
    <w:rPr>
      <w:sz w:val="28"/>
    </w:rPr>
  </w:style>
  <w:style w:type="paragraph" w:styleId="Heading4">
    <w:name w:val="heading 4"/>
    <w:basedOn w:val="Heading3"/>
    <w:next w:val="BodyText"/>
    <w:link w:val="Heading4Char"/>
    <w:qFormat/>
    <w:rsid w:val="00EB24CB"/>
    <w:pPr>
      <w:outlineLvl w:val="3"/>
    </w:pPr>
    <w:rPr>
      <w:b w:val="0"/>
      <w:sz w:val="24"/>
    </w:rPr>
  </w:style>
  <w:style w:type="paragraph" w:styleId="Heading5">
    <w:name w:val="heading 5"/>
    <w:basedOn w:val="Normal"/>
    <w:next w:val="Normal"/>
    <w:link w:val="Heading5Char"/>
    <w:unhideWhenUsed/>
    <w:qFormat/>
    <w:rsid w:val="000B675B"/>
    <w:pPr>
      <w:keepNext/>
      <w:keepLines/>
      <w:spacing w:before="200" w:after="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12"/>
      </w:numPr>
      <w:tabs>
        <w:tab w:val="left" w:pos="-1440"/>
      </w:tabs>
      <w:autoSpaceDE/>
      <w:autoSpaceDN/>
      <w:adjustRightInd/>
      <w:spacing w:after="0"/>
      <w:ind w:left="283" w:right="0" w:hanging="283"/>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192F80"/>
    <w:p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192F80"/>
    <w:pPr>
      <w:keepNext/>
      <w:widowControl w:val="0"/>
      <w:tabs>
        <w:tab w:val="right" w:leader="dot" w:pos="6521"/>
        <w:tab w:val="left" w:pos="6946"/>
      </w:tabs>
      <w:autoSpaceDE/>
      <w:autoSpaceDN/>
      <w:adjustRightInd/>
      <w:spacing w:after="0"/>
      <w:ind w:right="0" w:firstLine="72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3"/>
      </w:numPr>
      <w:tabs>
        <w:tab w:val="clear" w:pos="680"/>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3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6E6C6C"/>
    <w:rPr>
      <w:rFonts w:ascii="Arial" w:eastAsia="MetaPlusBold-Roman" w:hAnsi="Arial" w:cs="Arial"/>
      <w:b/>
      <w:bCs/>
      <w:sz w:val="32"/>
      <w:szCs w:val="36"/>
    </w:rPr>
  </w:style>
  <w:style w:type="character" w:customStyle="1" w:styleId="Heading1Char">
    <w:name w:val="Heading 1 Char"/>
    <w:basedOn w:val="DefaultParagraphFont"/>
    <w:link w:val="Heading1"/>
    <w:rsid w:val="0018567E"/>
    <w:rPr>
      <w:rFonts w:ascii="Arial" w:eastAsia="MetaPlusBold-Roman" w:hAnsi="Arial" w:cs="Arial"/>
      <w:b/>
      <w:bCs/>
      <w:sz w:val="40"/>
      <w:szCs w:val="42"/>
    </w:rPr>
  </w:style>
  <w:style w:type="character" w:customStyle="1" w:styleId="Heading3Char">
    <w:name w:val="Heading 3 Char"/>
    <w:basedOn w:val="DefaultParagraphFont"/>
    <w:link w:val="Heading3"/>
    <w:rsid w:val="0018567E"/>
    <w:rPr>
      <w:rFonts w:ascii="Arial" w:eastAsia="MetaPlusBold-Roman" w:hAnsi="Arial" w:cs="Arial"/>
      <w:b/>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40077F"/>
    <w:pPr>
      <w:tabs>
        <w:tab w:val="left" w:pos="480"/>
        <w:tab w:val="right" w:leader="dot" w:pos="9356"/>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D349D1"/>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rsid w:val="00EB24CB"/>
    <w:rPr>
      <w:rFonts w:ascii="Arial" w:eastAsia="MetaPlusBold-Roman" w:hAnsi="Arial" w:cs="Arial"/>
      <w:bCs/>
      <w:sz w:val="24"/>
      <w:szCs w:val="36"/>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5"/>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4"/>
      </w:numPr>
      <w:spacing w:after="120" w:line="240"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numPr>
        <w:numId w:val="7"/>
      </w:numPr>
    </w:pPr>
    <w:rPr>
      <w:bCs w:val="0"/>
      <w:color w:val="000000"/>
    </w:rPr>
  </w:style>
  <w:style w:type="character" w:customStyle="1" w:styleId="Heading5Char">
    <w:name w:val="Heading 5 Char"/>
    <w:basedOn w:val="DefaultParagraphFont"/>
    <w:link w:val="Heading5"/>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basedOn w:val="DefaultParagraphFont"/>
    <w:link w:val="ListParagraph"/>
    <w:uiPriority w:val="34"/>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pPr>
      <w:spacing w:after="0"/>
    </w:p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6"/>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1C3F35"/>
    <w:pPr>
      <w:spacing w:after="120"/>
    </w:pPr>
    <w:rPr>
      <w:b w:val="0"/>
      <w:sz w:val="28"/>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autoSpaceDE/>
      <w:autoSpaceDN/>
      <w:adjustRightInd/>
      <w:spacing w:before="480" w:after="240"/>
      <w:outlineLvl w:val="9"/>
    </w:pPr>
    <w:rPr>
      <w:rFonts w:eastAsiaTheme="majorEastAsia" w:cstheme="majorBidi"/>
      <w:b w:val="0"/>
      <w:szCs w:val="26"/>
    </w:rPr>
  </w:style>
  <w:style w:type="paragraph" w:customStyle="1" w:styleId="Appendixheading">
    <w:name w:val="Appendix heading"/>
    <w:basedOn w:val="Heading1"/>
    <w:uiPriority w:val="1"/>
    <w:qFormat/>
    <w:rsid w:val="00BD09E3"/>
    <w:pPr>
      <w:numPr>
        <w:numId w:val="8"/>
      </w:numPr>
      <w:ind w:left="0" w:firstLine="0"/>
    </w:pPr>
  </w:style>
  <w:style w:type="paragraph" w:customStyle="1" w:styleId="BasicParagraph">
    <w:name w:val="[Basic Paragraph]"/>
    <w:basedOn w:val="Normal"/>
    <w:uiPriority w:val="99"/>
    <w:rsid w:val="0038485C"/>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ind w:right="0"/>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1630E6"/>
    <w:pPr>
      <w:spacing w:before="240" w:after="0" w:line="240" w:lineRule="auto"/>
    </w:pPr>
    <w:rPr>
      <w:rFonts w:eastAsiaTheme="minorHAnsi"/>
      <w:color w:val="auto"/>
      <w:sz w:val="20"/>
      <w:szCs w:val="24"/>
      <w:lang w:eastAsia="en-AU"/>
    </w:rPr>
  </w:style>
  <w:style w:type="character" w:customStyle="1" w:styleId="BodytextChar0">
    <w:name w:val="Body text Char"/>
    <w:basedOn w:val="DefaultParagraphFont"/>
    <w:link w:val="BodyText1"/>
    <w:rsid w:val="001630E6"/>
    <w:rPr>
      <w:rFonts w:ascii="Arial" w:hAnsi="Arial" w:cs="Arial"/>
      <w:sz w:val="20"/>
      <w:szCs w:val="24"/>
      <w:lang w:eastAsia="en-AU"/>
    </w:rPr>
  </w:style>
  <w:style w:type="numbering" w:customStyle="1" w:styleId="Lists">
    <w:name w:val="Lists"/>
    <w:uiPriority w:val="99"/>
    <w:rsid w:val="00354A67"/>
    <w:pPr>
      <w:numPr>
        <w:numId w:val="9"/>
      </w:numPr>
    </w:pPr>
  </w:style>
  <w:style w:type="paragraph" w:styleId="ListNumber3">
    <w:name w:val="List Number 3"/>
    <w:basedOn w:val="Normal"/>
    <w:uiPriority w:val="16"/>
    <w:qFormat/>
    <w:rsid w:val="00354A67"/>
    <w:pPr>
      <w:tabs>
        <w:tab w:val="left" w:pos="357"/>
        <w:tab w:val="num" w:pos="1077"/>
        <w:tab w:val="right" w:leader="dot" w:pos="9072"/>
      </w:tabs>
      <w:autoSpaceDE/>
      <w:autoSpaceDN/>
      <w:adjustRightInd/>
      <w:spacing w:line="288" w:lineRule="auto"/>
      <w:ind w:left="1077" w:right="0" w:hanging="357"/>
    </w:pPr>
    <w:rPr>
      <w:rFonts w:ascii="Arial" w:eastAsiaTheme="minorHAnsi" w:hAnsi="Arial" w:cstheme="minorBidi"/>
      <w:color w:val="auto"/>
      <w:sz w:val="22"/>
      <w:szCs w:val="22"/>
    </w:rPr>
  </w:style>
  <w:style w:type="paragraph" w:customStyle="1" w:styleId="Acknowledgement">
    <w:name w:val="Acknowledgement"/>
    <w:basedOn w:val="Normal"/>
    <w:uiPriority w:val="39"/>
    <w:rsid w:val="00354A67"/>
    <w:pPr>
      <w:tabs>
        <w:tab w:val="left" w:pos="357"/>
      </w:tabs>
      <w:autoSpaceDE/>
      <w:autoSpaceDN/>
      <w:adjustRightInd/>
      <w:spacing w:line="288" w:lineRule="auto"/>
      <w:ind w:right="0"/>
    </w:pPr>
    <w:rPr>
      <w:rFonts w:ascii="Arial" w:eastAsiaTheme="minorHAnsi" w:hAnsi="Arial" w:cstheme="minorBidi"/>
      <w:color w:val="auto"/>
      <w:sz w:val="20"/>
      <w:szCs w:val="22"/>
    </w:rPr>
  </w:style>
  <w:style w:type="paragraph" w:customStyle="1" w:styleId="Acknowledgementtext">
    <w:name w:val="Acknowledgement text"/>
    <w:basedOn w:val="Normal"/>
    <w:uiPriority w:val="39"/>
    <w:rsid w:val="00354A67"/>
    <w:pPr>
      <w:tabs>
        <w:tab w:val="num" w:pos="360"/>
      </w:tabs>
      <w:autoSpaceDE/>
      <w:autoSpaceDN/>
      <w:adjustRightInd/>
      <w:spacing w:before="120" w:line="288" w:lineRule="auto"/>
      <w:ind w:right="3969"/>
    </w:pPr>
    <w:rPr>
      <w:rFonts w:ascii="Arial" w:eastAsiaTheme="minorHAnsi" w:hAnsi="Arial" w:cstheme="minorBidi"/>
      <w:color w:val="auto"/>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autoSpaceDE/>
      <w:autoSpaceDN/>
      <w:adjustRightInd/>
      <w:spacing w:after="320"/>
      <w:ind w:left="374" w:right="0"/>
    </w:pPr>
    <w:rPr>
      <w:rFonts w:ascii="Arial" w:eastAsiaTheme="minorHAnsi" w:hAnsi="Arial" w:cstheme="minorBidi"/>
      <w:color w:val="auto"/>
      <w:sz w:val="28"/>
      <w:szCs w:val="22"/>
    </w:rPr>
  </w:style>
  <w:style w:type="paragraph" w:customStyle="1" w:styleId="Author">
    <w:name w:val="Author"/>
    <w:basedOn w:val="Preparedfor"/>
    <w:uiPriority w:val="99"/>
    <w:qFormat/>
    <w:rsid w:val="00354A67"/>
    <w:pPr>
      <w:spacing w:before="120"/>
    </w:pPr>
    <w:rPr>
      <w:sz w:val="24"/>
    </w:rPr>
  </w:style>
  <w:style w:type="character" w:styleId="UnresolvedMention">
    <w:name w:val="Unresolved Mention"/>
    <w:basedOn w:val="DefaultParagraphFont"/>
    <w:uiPriority w:val="99"/>
    <w:semiHidden/>
    <w:unhideWhenUsed/>
    <w:rsid w:val="009B09FA"/>
    <w:rPr>
      <w:color w:val="605E5C"/>
      <w:shd w:val="clear" w:color="auto" w:fill="E1DFDD"/>
    </w:rPr>
  </w:style>
  <w:style w:type="character" w:customStyle="1" w:styleId="nlmyear">
    <w:name w:val="nlm_year"/>
    <w:basedOn w:val="DefaultParagraphFont"/>
    <w:rsid w:val="00D32117"/>
  </w:style>
  <w:style w:type="character" w:customStyle="1" w:styleId="nlmmonth">
    <w:name w:val="nlm_month"/>
    <w:basedOn w:val="DefaultParagraphFont"/>
    <w:rsid w:val="00D32117"/>
  </w:style>
  <w:style w:type="character" w:customStyle="1" w:styleId="nlmpublisher-loc">
    <w:name w:val="nlm_publisher-loc"/>
    <w:basedOn w:val="DefaultParagraphFont"/>
    <w:rsid w:val="00D32117"/>
  </w:style>
  <w:style w:type="character" w:customStyle="1" w:styleId="nlmpublisher-name">
    <w:name w:val="nlm_publisher-name"/>
    <w:basedOn w:val="DefaultParagraphFont"/>
    <w:rsid w:val="00D32117"/>
  </w:style>
  <w:style w:type="table" w:styleId="PlainTable3">
    <w:name w:val="Plain Table 3"/>
    <w:basedOn w:val="TableNormal"/>
    <w:uiPriority w:val="43"/>
    <w:rsid w:val="005410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410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410B3"/>
    <w:pPr>
      <w:spacing w:after="0" w:line="240" w:lineRule="auto"/>
    </w:pPr>
    <w:tblPr>
      <w:tblStyleRowBandSize w:val="1"/>
      <w:tblStyleColBandSize w:val="1"/>
      <w:tblBorders>
        <w:top w:val="single" w:sz="4" w:space="0" w:color="76AAD0" w:themeColor="accent1" w:themeTint="99"/>
        <w:left w:val="single" w:sz="4" w:space="0" w:color="76AAD0" w:themeColor="accent1" w:themeTint="99"/>
        <w:bottom w:val="single" w:sz="4" w:space="0" w:color="76AAD0" w:themeColor="accent1" w:themeTint="99"/>
        <w:right w:val="single" w:sz="4" w:space="0" w:color="76AAD0" w:themeColor="accent1" w:themeTint="99"/>
        <w:insideH w:val="single" w:sz="4" w:space="0" w:color="76AAD0" w:themeColor="accent1" w:themeTint="99"/>
        <w:insideV w:val="single" w:sz="4" w:space="0" w:color="76AAD0" w:themeColor="accent1" w:themeTint="99"/>
      </w:tblBorders>
    </w:tblPr>
    <w:tblStylePr w:type="firstRow">
      <w:rPr>
        <w:b/>
        <w:bCs/>
        <w:color w:val="FFFFFF" w:themeColor="background1"/>
      </w:rPr>
      <w:tblPr/>
      <w:tcPr>
        <w:tcBorders>
          <w:top w:val="single" w:sz="4" w:space="0" w:color="346F99" w:themeColor="accent1"/>
          <w:left w:val="single" w:sz="4" w:space="0" w:color="346F99" w:themeColor="accent1"/>
          <w:bottom w:val="single" w:sz="4" w:space="0" w:color="346F99" w:themeColor="accent1"/>
          <w:right w:val="single" w:sz="4" w:space="0" w:color="346F99" w:themeColor="accent1"/>
          <w:insideH w:val="nil"/>
          <w:insideV w:val="nil"/>
        </w:tcBorders>
        <w:shd w:val="clear" w:color="auto" w:fill="346F99" w:themeFill="accent1"/>
      </w:tcPr>
    </w:tblStylePr>
    <w:tblStylePr w:type="lastRow">
      <w:rPr>
        <w:b/>
        <w:bCs/>
      </w:rPr>
      <w:tblPr/>
      <w:tcPr>
        <w:tcBorders>
          <w:top w:val="double" w:sz="4" w:space="0" w:color="346F99" w:themeColor="accent1"/>
        </w:tcBorders>
      </w:tcPr>
    </w:tblStylePr>
    <w:tblStylePr w:type="firstCol">
      <w:rPr>
        <w:b/>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table" w:styleId="TableGridLight">
    <w:name w:val="Grid Table Light"/>
    <w:basedOn w:val="TableNormal"/>
    <w:uiPriority w:val="40"/>
    <w:rsid w:val="007E67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4">
    <w:name w:val="Grid Table 4 Accent 4"/>
    <w:basedOn w:val="TableNormal"/>
    <w:uiPriority w:val="49"/>
    <w:rsid w:val="00B64FE6"/>
    <w:pPr>
      <w:spacing w:after="0" w:line="240" w:lineRule="auto"/>
    </w:pPr>
    <w:tblPr>
      <w:tblStyleRowBandSize w:val="1"/>
      <w:tblStyleColBandSize w:val="1"/>
      <w:tblBorders>
        <w:top w:val="single" w:sz="4" w:space="0" w:color="D8D2D6" w:themeColor="accent4" w:themeTint="99"/>
        <w:left w:val="single" w:sz="4" w:space="0" w:color="D8D2D6" w:themeColor="accent4" w:themeTint="99"/>
        <w:bottom w:val="single" w:sz="4" w:space="0" w:color="D8D2D6" w:themeColor="accent4" w:themeTint="99"/>
        <w:right w:val="single" w:sz="4" w:space="0" w:color="D8D2D6" w:themeColor="accent4" w:themeTint="99"/>
        <w:insideH w:val="single" w:sz="4" w:space="0" w:color="D8D2D6" w:themeColor="accent4" w:themeTint="99"/>
        <w:insideV w:val="single" w:sz="4" w:space="0" w:color="D8D2D6" w:themeColor="accent4" w:themeTint="99"/>
      </w:tblBorders>
    </w:tblPr>
    <w:tblStylePr w:type="firstRow">
      <w:rPr>
        <w:b/>
        <w:bCs/>
        <w:color w:val="FFFFFF" w:themeColor="background1"/>
      </w:rPr>
      <w:tblPr/>
      <w:tcPr>
        <w:tcBorders>
          <w:top w:val="single" w:sz="4" w:space="0" w:color="BFB5BC" w:themeColor="accent4"/>
          <w:left w:val="single" w:sz="4" w:space="0" w:color="BFB5BC" w:themeColor="accent4"/>
          <w:bottom w:val="single" w:sz="4" w:space="0" w:color="BFB5BC" w:themeColor="accent4"/>
          <w:right w:val="single" w:sz="4" w:space="0" w:color="BFB5BC" w:themeColor="accent4"/>
          <w:insideH w:val="nil"/>
          <w:insideV w:val="nil"/>
        </w:tcBorders>
        <w:shd w:val="clear" w:color="auto" w:fill="BFB5BC" w:themeFill="accent4"/>
      </w:tcPr>
    </w:tblStylePr>
    <w:tblStylePr w:type="lastRow">
      <w:rPr>
        <w:b/>
        <w:bCs/>
      </w:rPr>
      <w:tblPr/>
      <w:tcPr>
        <w:tcBorders>
          <w:top w:val="double" w:sz="4" w:space="0" w:color="BFB5BC" w:themeColor="accent4"/>
        </w:tcBorders>
      </w:tcPr>
    </w:tblStylePr>
    <w:tblStylePr w:type="firstCol">
      <w:rPr>
        <w:b/>
        <w:bCs/>
      </w:rPr>
    </w:tblStylePr>
    <w:tblStylePr w:type="lastCol">
      <w:rPr>
        <w:b/>
        <w:bCs/>
      </w:rPr>
    </w:tblStylePr>
    <w:tblStylePr w:type="band1Vert">
      <w:tblPr/>
      <w:tcPr>
        <w:shd w:val="clear" w:color="auto" w:fill="F2F0F1" w:themeFill="accent4" w:themeFillTint="33"/>
      </w:tcPr>
    </w:tblStylePr>
    <w:tblStylePr w:type="band1Horz">
      <w:tblPr/>
      <w:tcPr>
        <w:shd w:val="clear" w:color="auto" w:fill="F2F0F1" w:themeFill="accent4" w:themeFillTint="33"/>
      </w:tcPr>
    </w:tblStylePr>
  </w:style>
  <w:style w:type="table" w:styleId="GridTable5Dark-Accent4">
    <w:name w:val="Grid Table 5 Dark Accent 4"/>
    <w:basedOn w:val="TableNormal"/>
    <w:uiPriority w:val="50"/>
    <w:rsid w:val="00B64F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5B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5B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5B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5BC" w:themeFill="accent4"/>
      </w:tcPr>
    </w:tblStylePr>
    <w:tblStylePr w:type="band1Vert">
      <w:tblPr/>
      <w:tcPr>
        <w:shd w:val="clear" w:color="auto" w:fill="E5E1E4" w:themeFill="accent4" w:themeFillTint="66"/>
      </w:tcPr>
    </w:tblStylePr>
    <w:tblStylePr w:type="band1Horz">
      <w:tblPr/>
      <w:tcPr>
        <w:shd w:val="clear" w:color="auto" w:fill="E5E1E4" w:themeFill="accent4" w:themeFillTint="66"/>
      </w:tcPr>
    </w:tblStylePr>
  </w:style>
  <w:style w:type="table" w:styleId="ListTable3-Accent4">
    <w:name w:val="List Table 3 Accent 4"/>
    <w:basedOn w:val="TableNormal"/>
    <w:uiPriority w:val="48"/>
    <w:rsid w:val="00B64FE6"/>
    <w:pPr>
      <w:spacing w:after="0" w:line="240" w:lineRule="auto"/>
    </w:pPr>
    <w:tblPr>
      <w:tblStyleRowBandSize w:val="1"/>
      <w:tblStyleColBandSize w:val="1"/>
      <w:tblBorders>
        <w:top w:val="single" w:sz="4" w:space="0" w:color="BFB5BC" w:themeColor="accent4"/>
        <w:left w:val="single" w:sz="4" w:space="0" w:color="BFB5BC" w:themeColor="accent4"/>
        <w:bottom w:val="single" w:sz="4" w:space="0" w:color="BFB5BC" w:themeColor="accent4"/>
        <w:right w:val="single" w:sz="4" w:space="0" w:color="BFB5BC" w:themeColor="accent4"/>
      </w:tblBorders>
    </w:tblPr>
    <w:tblStylePr w:type="firstRow">
      <w:rPr>
        <w:b/>
        <w:bCs/>
        <w:color w:val="FFFFFF" w:themeColor="background1"/>
      </w:rPr>
      <w:tblPr/>
      <w:tcPr>
        <w:shd w:val="clear" w:color="auto" w:fill="BFB5BC" w:themeFill="accent4"/>
      </w:tcPr>
    </w:tblStylePr>
    <w:tblStylePr w:type="lastRow">
      <w:rPr>
        <w:b/>
        <w:bCs/>
      </w:rPr>
      <w:tblPr/>
      <w:tcPr>
        <w:tcBorders>
          <w:top w:val="double" w:sz="4" w:space="0" w:color="BFB5B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5BC" w:themeColor="accent4"/>
          <w:right w:val="single" w:sz="4" w:space="0" w:color="BFB5BC" w:themeColor="accent4"/>
        </w:tcBorders>
      </w:tcPr>
    </w:tblStylePr>
    <w:tblStylePr w:type="band1Horz">
      <w:tblPr/>
      <w:tcPr>
        <w:tcBorders>
          <w:top w:val="single" w:sz="4" w:space="0" w:color="BFB5BC" w:themeColor="accent4"/>
          <w:bottom w:val="single" w:sz="4" w:space="0" w:color="BFB5B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5BC" w:themeColor="accent4"/>
          <w:left w:val="nil"/>
        </w:tcBorders>
      </w:tcPr>
    </w:tblStylePr>
    <w:tblStylePr w:type="swCell">
      <w:tblPr/>
      <w:tcPr>
        <w:tcBorders>
          <w:top w:val="double" w:sz="4" w:space="0" w:color="BFB5BC" w:themeColor="accent4"/>
          <w:right w:val="nil"/>
        </w:tcBorders>
      </w:tcPr>
    </w:tblStylePr>
  </w:style>
  <w:style w:type="table" w:styleId="ListTable3-Accent1">
    <w:name w:val="List Table 3 Accent 1"/>
    <w:basedOn w:val="TableNormal"/>
    <w:uiPriority w:val="48"/>
    <w:rsid w:val="00B64FE6"/>
    <w:pPr>
      <w:spacing w:after="0" w:line="240" w:lineRule="auto"/>
    </w:pPr>
    <w:tblPr>
      <w:tblStyleRowBandSize w:val="1"/>
      <w:tblStyleColBandSize w:val="1"/>
      <w:tblBorders>
        <w:top w:val="single" w:sz="4" w:space="0" w:color="346F99" w:themeColor="accent1"/>
        <w:left w:val="single" w:sz="4" w:space="0" w:color="346F99" w:themeColor="accent1"/>
        <w:bottom w:val="single" w:sz="4" w:space="0" w:color="346F99" w:themeColor="accent1"/>
        <w:right w:val="single" w:sz="4" w:space="0" w:color="346F99" w:themeColor="accent1"/>
      </w:tblBorders>
    </w:tblPr>
    <w:tblStylePr w:type="firstRow">
      <w:rPr>
        <w:b/>
        <w:bCs/>
        <w:color w:val="FFFFFF" w:themeColor="background1"/>
      </w:rPr>
      <w:tblPr/>
      <w:tcPr>
        <w:shd w:val="clear" w:color="auto" w:fill="346F99" w:themeFill="accent1"/>
      </w:tcPr>
    </w:tblStylePr>
    <w:tblStylePr w:type="lastRow">
      <w:rPr>
        <w:b/>
        <w:bCs/>
      </w:rPr>
      <w:tblPr/>
      <w:tcPr>
        <w:tcBorders>
          <w:top w:val="double" w:sz="4" w:space="0" w:color="346F9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6F99" w:themeColor="accent1"/>
          <w:right w:val="single" w:sz="4" w:space="0" w:color="346F99" w:themeColor="accent1"/>
        </w:tcBorders>
      </w:tcPr>
    </w:tblStylePr>
    <w:tblStylePr w:type="band1Horz">
      <w:tblPr/>
      <w:tcPr>
        <w:tcBorders>
          <w:top w:val="single" w:sz="4" w:space="0" w:color="346F99" w:themeColor="accent1"/>
          <w:bottom w:val="single" w:sz="4" w:space="0" w:color="346F9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6F99" w:themeColor="accent1"/>
          <w:left w:val="nil"/>
        </w:tcBorders>
      </w:tcPr>
    </w:tblStylePr>
    <w:tblStylePr w:type="swCell">
      <w:tblPr/>
      <w:tcPr>
        <w:tcBorders>
          <w:top w:val="double" w:sz="4" w:space="0" w:color="346F99" w:themeColor="accent1"/>
          <w:right w:val="nil"/>
        </w:tcBorders>
      </w:tcPr>
    </w:tblStylePr>
  </w:style>
  <w:style w:type="table" w:styleId="ListTable3-Accent2">
    <w:name w:val="List Table 3 Accent 2"/>
    <w:basedOn w:val="TableNormal"/>
    <w:uiPriority w:val="48"/>
    <w:rsid w:val="00B64FE6"/>
    <w:pPr>
      <w:spacing w:after="0" w:line="240" w:lineRule="auto"/>
    </w:pPr>
    <w:tblPr>
      <w:tblStyleRowBandSize w:val="1"/>
      <w:tblStyleColBandSize w:val="1"/>
      <w:tblBorders>
        <w:top w:val="single" w:sz="4" w:space="0" w:color="7998B6" w:themeColor="accent2"/>
        <w:left w:val="single" w:sz="4" w:space="0" w:color="7998B6" w:themeColor="accent2"/>
        <w:bottom w:val="single" w:sz="4" w:space="0" w:color="7998B6" w:themeColor="accent2"/>
        <w:right w:val="single" w:sz="4" w:space="0" w:color="7998B6" w:themeColor="accent2"/>
      </w:tblBorders>
    </w:tblPr>
    <w:tblStylePr w:type="firstRow">
      <w:rPr>
        <w:b/>
        <w:bCs/>
        <w:color w:val="FFFFFF" w:themeColor="background1"/>
      </w:rPr>
      <w:tblPr/>
      <w:tcPr>
        <w:shd w:val="clear" w:color="auto" w:fill="7998B6" w:themeFill="accent2"/>
      </w:tcPr>
    </w:tblStylePr>
    <w:tblStylePr w:type="lastRow">
      <w:rPr>
        <w:b/>
        <w:bCs/>
      </w:rPr>
      <w:tblPr/>
      <w:tcPr>
        <w:tcBorders>
          <w:top w:val="double" w:sz="4" w:space="0" w:color="7998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8B6" w:themeColor="accent2"/>
          <w:right w:val="single" w:sz="4" w:space="0" w:color="7998B6" w:themeColor="accent2"/>
        </w:tcBorders>
      </w:tcPr>
    </w:tblStylePr>
    <w:tblStylePr w:type="band1Horz">
      <w:tblPr/>
      <w:tcPr>
        <w:tcBorders>
          <w:top w:val="single" w:sz="4" w:space="0" w:color="7998B6" w:themeColor="accent2"/>
          <w:bottom w:val="single" w:sz="4" w:space="0" w:color="7998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8B6" w:themeColor="accent2"/>
          <w:left w:val="nil"/>
        </w:tcBorders>
      </w:tcPr>
    </w:tblStylePr>
    <w:tblStylePr w:type="swCell">
      <w:tblPr/>
      <w:tcPr>
        <w:tcBorders>
          <w:top w:val="double" w:sz="4" w:space="0" w:color="7998B6" w:themeColor="accent2"/>
          <w:right w:val="nil"/>
        </w:tcBorders>
      </w:tcPr>
    </w:tblStylePr>
  </w:style>
  <w:style w:type="paragraph" w:customStyle="1" w:styleId="xmsonormal">
    <w:name w:val="x_msonormal"/>
    <w:basedOn w:val="Normal"/>
    <w:rsid w:val="007D7940"/>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SubtleEmphasis">
    <w:name w:val="Subtle Emphasis"/>
    <w:basedOn w:val="DefaultParagraphFont"/>
    <w:uiPriority w:val="19"/>
    <w:qFormat/>
    <w:rsid w:val="008D02AE"/>
    <w:rPr>
      <w:i/>
      <w:iCs/>
      <w:color w:val="595959" w:themeColor="text1" w:themeTint="A6"/>
    </w:rPr>
  </w:style>
  <w:style w:type="character" w:styleId="Emphasis">
    <w:name w:val="Emphasis"/>
    <w:basedOn w:val="DefaultParagraphFont"/>
    <w:uiPriority w:val="20"/>
    <w:qFormat/>
    <w:rsid w:val="00A456EF"/>
    <w:rPr>
      <w:i/>
      <w:iCs/>
    </w:rPr>
  </w:style>
  <w:style w:type="character" w:customStyle="1" w:styleId="name">
    <w:name w:val="name"/>
    <w:basedOn w:val="DefaultParagraphFont"/>
    <w:rsid w:val="00D40DD7"/>
  </w:style>
  <w:style w:type="character" w:customStyle="1" w:styleId="surname">
    <w:name w:val="surname"/>
    <w:basedOn w:val="DefaultParagraphFont"/>
    <w:rsid w:val="00D40DD7"/>
  </w:style>
  <w:style w:type="character" w:customStyle="1" w:styleId="given-names">
    <w:name w:val="given-names"/>
    <w:basedOn w:val="DefaultParagraphFont"/>
    <w:rsid w:val="00D40DD7"/>
  </w:style>
  <w:style w:type="character" w:customStyle="1" w:styleId="source">
    <w:name w:val="source"/>
    <w:basedOn w:val="DefaultParagraphFont"/>
    <w:rsid w:val="00D40DD7"/>
  </w:style>
  <w:style w:type="character" w:customStyle="1" w:styleId="publisher-loc">
    <w:name w:val="publisher-loc"/>
    <w:basedOn w:val="DefaultParagraphFont"/>
    <w:rsid w:val="00D40DD7"/>
  </w:style>
  <w:style w:type="character" w:customStyle="1" w:styleId="publisher-name">
    <w:name w:val="publisher-name"/>
    <w:basedOn w:val="DefaultParagraphFont"/>
    <w:rsid w:val="00D40DD7"/>
  </w:style>
  <w:style w:type="character" w:customStyle="1" w:styleId="year">
    <w:name w:val="year"/>
    <w:basedOn w:val="DefaultParagraphFont"/>
    <w:rsid w:val="00D40DD7"/>
  </w:style>
  <w:style w:type="character" w:styleId="FollowedHyperlink">
    <w:name w:val="FollowedHyperlink"/>
    <w:basedOn w:val="DefaultParagraphFont"/>
    <w:uiPriority w:val="99"/>
    <w:semiHidden/>
    <w:unhideWhenUsed/>
    <w:rsid w:val="00534327"/>
    <w:rPr>
      <w:color w:val="7030A0" w:themeColor="followedHyperlink"/>
      <w:u w:val="single"/>
    </w:rPr>
  </w:style>
  <w:style w:type="character" w:styleId="PlaceholderText">
    <w:name w:val="Placeholder Text"/>
    <w:basedOn w:val="DefaultParagraphFont"/>
    <w:uiPriority w:val="99"/>
    <w:semiHidden/>
    <w:rsid w:val="0061054E"/>
    <w:rPr>
      <w:color w:val="808080"/>
    </w:rPr>
  </w:style>
  <w:style w:type="character" w:customStyle="1" w:styleId="nlmarticle-title">
    <w:name w:val="nlm_article-title"/>
    <w:basedOn w:val="DefaultParagraphFont"/>
    <w:rsid w:val="006E0C60"/>
  </w:style>
  <w:style w:type="character" w:customStyle="1" w:styleId="nlmfpage">
    <w:name w:val="nlm_fpage"/>
    <w:basedOn w:val="DefaultParagraphFont"/>
    <w:rsid w:val="006E0C60"/>
  </w:style>
  <w:style w:type="character" w:customStyle="1" w:styleId="nlmlpage">
    <w:name w:val="nlm_lpage"/>
    <w:basedOn w:val="DefaultParagraphFont"/>
    <w:rsid w:val="006E0C60"/>
  </w:style>
  <w:style w:type="paragraph" w:customStyle="1" w:styleId="sprcheading2">
    <w:name w:val="sprc heading 2"/>
    <w:basedOn w:val="Heading2"/>
    <w:link w:val="sprcheading2Char"/>
    <w:uiPriority w:val="1"/>
    <w:qFormat/>
    <w:rsid w:val="005E66DA"/>
  </w:style>
  <w:style w:type="paragraph" w:customStyle="1" w:styleId="sprcheading1">
    <w:name w:val="sprc heading 1"/>
    <w:basedOn w:val="Heading1"/>
    <w:link w:val="sprcheading1Char"/>
    <w:uiPriority w:val="1"/>
    <w:qFormat/>
    <w:rsid w:val="005E66DA"/>
    <w:pPr>
      <w:numPr>
        <w:numId w:val="22"/>
      </w:numPr>
    </w:pPr>
  </w:style>
  <w:style w:type="character" w:customStyle="1" w:styleId="sprcheading2Char">
    <w:name w:val="sprc heading 2 Char"/>
    <w:basedOn w:val="Heading2Char"/>
    <w:link w:val="sprcheading2"/>
    <w:uiPriority w:val="1"/>
    <w:rsid w:val="005E66DA"/>
    <w:rPr>
      <w:rFonts w:ascii="Arial" w:eastAsia="MetaPlusBold-Roman" w:hAnsi="Arial" w:cs="Arial"/>
      <w:b/>
      <w:bCs/>
      <w:sz w:val="32"/>
      <w:szCs w:val="36"/>
    </w:rPr>
  </w:style>
  <w:style w:type="character" w:customStyle="1" w:styleId="sprcheading1Char">
    <w:name w:val="sprc heading 1 Char"/>
    <w:basedOn w:val="Heading1Char"/>
    <w:link w:val="sprcheading1"/>
    <w:uiPriority w:val="1"/>
    <w:rsid w:val="005E66DA"/>
    <w:rPr>
      <w:rFonts w:ascii="Arial" w:eastAsia="MetaPlusBold-Roman" w:hAnsi="Arial" w:cs="Arial"/>
      <w:b/>
      <w:bCs/>
      <w:sz w:val="40"/>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46611507">
      <w:bodyDiv w:val="1"/>
      <w:marLeft w:val="0"/>
      <w:marRight w:val="0"/>
      <w:marTop w:val="0"/>
      <w:marBottom w:val="0"/>
      <w:divBdr>
        <w:top w:val="none" w:sz="0" w:space="0" w:color="auto"/>
        <w:left w:val="none" w:sz="0" w:space="0" w:color="auto"/>
        <w:bottom w:val="none" w:sz="0" w:space="0" w:color="auto"/>
        <w:right w:val="none" w:sz="0" w:space="0" w:color="auto"/>
      </w:divBdr>
    </w:div>
    <w:div w:id="59015125">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138767655">
      <w:bodyDiv w:val="1"/>
      <w:marLeft w:val="0"/>
      <w:marRight w:val="0"/>
      <w:marTop w:val="0"/>
      <w:marBottom w:val="0"/>
      <w:divBdr>
        <w:top w:val="none" w:sz="0" w:space="0" w:color="auto"/>
        <w:left w:val="none" w:sz="0" w:space="0" w:color="auto"/>
        <w:bottom w:val="none" w:sz="0" w:space="0" w:color="auto"/>
        <w:right w:val="none" w:sz="0" w:space="0" w:color="auto"/>
      </w:divBdr>
      <w:divsChild>
        <w:div w:id="878125371">
          <w:marLeft w:val="0"/>
          <w:marRight w:val="0"/>
          <w:marTop w:val="0"/>
          <w:marBottom w:val="450"/>
          <w:divBdr>
            <w:top w:val="none" w:sz="0" w:space="0" w:color="auto"/>
            <w:left w:val="none" w:sz="0" w:space="0" w:color="auto"/>
            <w:bottom w:val="none" w:sz="0" w:space="0" w:color="auto"/>
            <w:right w:val="none" w:sz="0" w:space="0" w:color="auto"/>
          </w:divBdr>
        </w:div>
      </w:divsChild>
    </w:div>
    <w:div w:id="206722179">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27424665">
      <w:bodyDiv w:val="1"/>
      <w:marLeft w:val="0"/>
      <w:marRight w:val="0"/>
      <w:marTop w:val="0"/>
      <w:marBottom w:val="0"/>
      <w:divBdr>
        <w:top w:val="none" w:sz="0" w:space="0" w:color="auto"/>
        <w:left w:val="none" w:sz="0" w:space="0" w:color="auto"/>
        <w:bottom w:val="none" w:sz="0" w:space="0" w:color="auto"/>
        <w:right w:val="none" w:sz="0" w:space="0" w:color="auto"/>
      </w:divBdr>
    </w:div>
    <w:div w:id="227494254">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08558802">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21860395">
      <w:bodyDiv w:val="1"/>
      <w:marLeft w:val="0"/>
      <w:marRight w:val="0"/>
      <w:marTop w:val="0"/>
      <w:marBottom w:val="0"/>
      <w:divBdr>
        <w:top w:val="none" w:sz="0" w:space="0" w:color="auto"/>
        <w:left w:val="none" w:sz="0" w:space="0" w:color="auto"/>
        <w:bottom w:val="none" w:sz="0" w:space="0" w:color="auto"/>
        <w:right w:val="none" w:sz="0" w:space="0" w:color="auto"/>
      </w:divBdr>
    </w:div>
    <w:div w:id="356850162">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387387970">
      <w:bodyDiv w:val="1"/>
      <w:marLeft w:val="0"/>
      <w:marRight w:val="0"/>
      <w:marTop w:val="0"/>
      <w:marBottom w:val="0"/>
      <w:divBdr>
        <w:top w:val="none" w:sz="0" w:space="0" w:color="auto"/>
        <w:left w:val="none" w:sz="0" w:space="0" w:color="auto"/>
        <w:bottom w:val="none" w:sz="0" w:space="0" w:color="auto"/>
        <w:right w:val="none" w:sz="0" w:space="0" w:color="auto"/>
      </w:divBdr>
    </w:div>
    <w:div w:id="436949551">
      <w:bodyDiv w:val="1"/>
      <w:marLeft w:val="0"/>
      <w:marRight w:val="0"/>
      <w:marTop w:val="0"/>
      <w:marBottom w:val="0"/>
      <w:divBdr>
        <w:top w:val="none" w:sz="0" w:space="0" w:color="auto"/>
        <w:left w:val="none" w:sz="0" w:space="0" w:color="auto"/>
        <w:bottom w:val="none" w:sz="0" w:space="0" w:color="auto"/>
        <w:right w:val="none" w:sz="0" w:space="0" w:color="auto"/>
      </w:divBdr>
    </w:div>
    <w:div w:id="439640333">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467746328">
      <w:bodyDiv w:val="1"/>
      <w:marLeft w:val="0"/>
      <w:marRight w:val="0"/>
      <w:marTop w:val="0"/>
      <w:marBottom w:val="0"/>
      <w:divBdr>
        <w:top w:val="none" w:sz="0" w:space="0" w:color="auto"/>
        <w:left w:val="none" w:sz="0" w:space="0" w:color="auto"/>
        <w:bottom w:val="none" w:sz="0" w:space="0" w:color="auto"/>
        <w:right w:val="none" w:sz="0" w:space="0" w:color="auto"/>
      </w:divBdr>
    </w:div>
    <w:div w:id="479924572">
      <w:bodyDiv w:val="1"/>
      <w:marLeft w:val="0"/>
      <w:marRight w:val="0"/>
      <w:marTop w:val="0"/>
      <w:marBottom w:val="0"/>
      <w:divBdr>
        <w:top w:val="none" w:sz="0" w:space="0" w:color="auto"/>
        <w:left w:val="none" w:sz="0" w:space="0" w:color="auto"/>
        <w:bottom w:val="none" w:sz="0" w:space="0" w:color="auto"/>
        <w:right w:val="none" w:sz="0" w:space="0" w:color="auto"/>
      </w:divBdr>
    </w:div>
    <w:div w:id="481435033">
      <w:bodyDiv w:val="1"/>
      <w:marLeft w:val="0"/>
      <w:marRight w:val="0"/>
      <w:marTop w:val="0"/>
      <w:marBottom w:val="0"/>
      <w:divBdr>
        <w:top w:val="none" w:sz="0" w:space="0" w:color="auto"/>
        <w:left w:val="none" w:sz="0" w:space="0" w:color="auto"/>
        <w:bottom w:val="none" w:sz="0" w:space="0" w:color="auto"/>
        <w:right w:val="none" w:sz="0" w:space="0" w:color="auto"/>
      </w:divBdr>
    </w:div>
    <w:div w:id="507327943">
      <w:bodyDiv w:val="1"/>
      <w:marLeft w:val="0"/>
      <w:marRight w:val="0"/>
      <w:marTop w:val="0"/>
      <w:marBottom w:val="0"/>
      <w:divBdr>
        <w:top w:val="none" w:sz="0" w:space="0" w:color="auto"/>
        <w:left w:val="none" w:sz="0" w:space="0" w:color="auto"/>
        <w:bottom w:val="none" w:sz="0" w:space="0" w:color="auto"/>
        <w:right w:val="none" w:sz="0" w:space="0" w:color="auto"/>
      </w:divBdr>
    </w:div>
    <w:div w:id="532184669">
      <w:bodyDiv w:val="1"/>
      <w:marLeft w:val="0"/>
      <w:marRight w:val="0"/>
      <w:marTop w:val="0"/>
      <w:marBottom w:val="0"/>
      <w:divBdr>
        <w:top w:val="none" w:sz="0" w:space="0" w:color="auto"/>
        <w:left w:val="none" w:sz="0" w:space="0" w:color="auto"/>
        <w:bottom w:val="none" w:sz="0" w:space="0" w:color="auto"/>
        <w:right w:val="none" w:sz="0" w:space="0" w:color="auto"/>
      </w:divBdr>
    </w:div>
    <w:div w:id="539364866">
      <w:bodyDiv w:val="1"/>
      <w:marLeft w:val="0"/>
      <w:marRight w:val="0"/>
      <w:marTop w:val="0"/>
      <w:marBottom w:val="0"/>
      <w:divBdr>
        <w:top w:val="none" w:sz="0" w:space="0" w:color="auto"/>
        <w:left w:val="none" w:sz="0" w:space="0" w:color="auto"/>
        <w:bottom w:val="none" w:sz="0" w:space="0" w:color="auto"/>
        <w:right w:val="none" w:sz="0" w:space="0" w:color="auto"/>
      </w:divBdr>
    </w:div>
    <w:div w:id="593787677">
      <w:bodyDiv w:val="1"/>
      <w:marLeft w:val="0"/>
      <w:marRight w:val="0"/>
      <w:marTop w:val="0"/>
      <w:marBottom w:val="0"/>
      <w:divBdr>
        <w:top w:val="none" w:sz="0" w:space="0" w:color="auto"/>
        <w:left w:val="none" w:sz="0" w:space="0" w:color="auto"/>
        <w:bottom w:val="none" w:sz="0" w:space="0" w:color="auto"/>
        <w:right w:val="none" w:sz="0" w:space="0" w:color="auto"/>
      </w:divBdr>
    </w:div>
    <w:div w:id="599483914">
      <w:bodyDiv w:val="1"/>
      <w:marLeft w:val="0"/>
      <w:marRight w:val="0"/>
      <w:marTop w:val="0"/>
      <w:marBottom w:val="0"/>
      <w:divBdr>
        <w:top w:val="none" w:sz="0" w:space="0" w:color="auto"/>
        <w:left w:val="none" w:sz="0" w:space="0" w:color="auto"/>
        <w:bottom w:val="none" w:sz="0" w:space="0" w:color="auto"/>
        <w:right w:val="none" w:sz="0" w:space="0" w:color="auto"/>
      </w:divBdr>
      <w:divsChild>
        <w:div w:id="411777014">
          <w:marLeft w:val="0"/>
          <w:marRight w:val="0"/>
          <w:marTop w:val="0"/>
          <w:marBottom w:val="0"/>
          <w:divBdr>
            <w:top w:val="none" w:sz="0" w:space="0" w:color="auto"/>
            <w:left w:val="none" w:sz="0" w:space="0" w:color="auto"/>
            <w:bottom w:val="none" w:sz="0" w:space="0" w:color="auto"/>
            <w:right w:val="none" w:sz="0" w:space="0" w:color="auto"/>
          </w:divBdr>
        </w:div>
        <w:div w:id="1791436969">
          <w:marLeft w:val="0"/>
          <w:marRight w:val="0"/>
          <w:marTop w:val="0"/>
          <w:marBottom w:val="0"/>
          <w:divBdr>
            <w:top w:val="none" w:sz="0" w:space="0" w:color="auto"/>
            <w:left w:val="none" w:sz="0" w:space="0" w:color="auto"/>
            <w:bottom w:val="none" w:sz="0" w:space="0" w:color="auto"/>
            <w:right w:val="none" w:sz="0" w:space="0" w:color="auto"/>
          </w:divBdr>
        </w:div>
        <w:div w:id="2106686864">
          <w:marLeft w:val="0"/>
          <w:marRight w:val="0"/>
          <w:marTop w:val="0"/>
          <w:marBottom w:val="0"/>
          <w:divBdr>
            <w:top w:val="none" w:sz="0" w:space="0" w:color="auto"/>
            <w:left w:val="none" w:sz="0" w:space="0" w:color="auto"/>
            <w:bottom w:val="none" w:sz="0" w:space="0" w:color="auto"/>
            <w:right w:val="none" w:sz="0" w:space="0" w:color="auto"/>
          </w:divBdr>
        </w:div>
      </w:divsChild>
    </w:div>
    <w:div w:id="685136789">
      <w:bodyDiv w:val="1"/>
      <w:marLeft w:val="0"/>
      <w:marRight w:val="0"/>
      <w:marTop w:val="0"/>
      <w:marBottom w:val="0"/>
      <w:divBdr>
        <w:top w:val="none" w:sz="0" w:space="0" w:color="auto"/>
        <w:left w:val="none" w:sz="0" w:space="0" w:color="auto"/>
        <w:bottom w:val="none" w:sz="0" w:space="0" w:color="auto"/>
        <w:right w:val="none" w:sz="0" w:space="0" w:color="auto"/>
      </w:divBdr>
    </w:div>
    <w:div w:id="714543134">
      <w:bodyDiv w:val="1"/>
      <w:marLeft w:val="0"/>
      <w:marRight w:val="0"/>
      <w:marTop w:val="0"/>
      <w:marBottom w:val="0"/>
      <w:divBdr>
        <w:top w:val="none" w:sz="0" w:space="0" w:color="auto"/>
        <w:left w:val="none" w:sz="0" w:space="0" w:color="auto"/>
        <w:bottom w:val="none" w:sz="0" w:space="0" w:color="auto"/>
        <w:right w:val="none" w:sz="0" w:space="0" w:color="auto"/>
      </w:divBdr>
    </w:div>
    <w:div w:id="720665542">
      <w:bodyDiv w:val="1"/>
      <w:marLeft w:val="0"/>
      <w:marRight w:val="0"/>
      <w:marTop w:val="0"/>
      <w:marBottom w:val="0"/>
      <w:divBdr>
        <w:top w:val="none" w:sz="0" w:space="0" w:color="auto"/>
        <w:left w:val="none" w:sz="0" w:space="0" w:color="auto"/>
        <w:bottom w:val="none" w:sz="0" w:space="0" w:color="auto"/>
        <w:right w:val="none" w:sz="0" w:space="0" w:color="auto"/>
      </w:divBdr>
    </w:div>
    <w:div w:id="750086041">
      <w:bodyDiv w:val="1"/>
      <w:marLeft w:val="0"/>
      <w:marRight w:val="0"/>
      <w:marTop w:val="0"/>
      <w:marBottom w:val="0"/>
      <w:divBdr>
        <w:top w:val="none" w:sz="0" w:space="0" w:color="auto"/>
        <w:left w:val="none" w:sz="0" w:space="0" w:color="auto"/>
        <w:bottom w:val="none" w:sz="0" w:space="0" w:color="auto"/>
        <w:right w:val="none" w:sz="0" w:space="0" w:color="auto"/>
      </w:divBdr>
    </w:div>
    <w:div w:id="763258640">
      <w:bodyDiv w:val="1"/>
      <w:marLeft w:val="0"/>
      <w:marRight w:val="0"/>
      <w:marTop w:val="0"/>
      <w:marBottom w:val="0"/>
      <w:divBdr>
        <w:top w:val="none" w:sz="0" w:space="0" w:color="auto"/>
        <w:left w:val="none" w:sz="0" w:space="0" w:color="auto"/>
        <w:bottom w:val="none" w:sz="0" w:space="0" w:color="auto"/>
        <w:right w:val="none" w:sz="0" w:space="0" w:color="auto"/>
      </w:divBdr>
    </w:div>
    <w:div w:id="791363096">
      <w:bodyDiv w:val="1"/>
      <w:marLeft w:val="0"/>
      <w:marRight w:val="0"/>
      <w:marTop w:val="0"/>
      <w:marBottom w:val="0"/>
      <w:divBdr>
        <w:top w:val="none" w:sz="0" w:space="0" w:color="auto"/>
        <w:left w:val="none" w:sz="0" w:space="0" w:color="auto"/>
        <w:bottom w:val="none" w:sz="0" w:space="0" w:color="auto"/>
        <w:right w:val="none" w:sz="0" w:space="0" w:color="auto"/>
      </w:divBdr>
    </w:div>
    <w:div w:id="818234327">
      <w:bodyDiv w:val="1"/>
      <w:marLeft w:val="0"/>
      <w:marRight w:val="0"/>
      <w:marTop w:val="0"/>
      <w:marBottom w:val="0"/>
      <w:divBdr>
        <w:top w:val="none" w:sz="0" w:space="0" w:color="auto"/>
        <w:left w:val="none" w:sz="0" w:space="0" w:color="auto"/>
        <w:bottom w:val="none" w:sz="0" w:space="0" w:color="auto"/>
        <w:right w:val="none" w:sz="0" w:space="0" w:color="auto"/>
      </w:divBdr>
    </w:div>
    <w:div w:id="878475012">
      <w:bodyDiv w:val="1"/>
      <w:marLeft w:val="0"/>
      <w:marRight w:val="0"/>
      <w:marTop w:val="0"/>
      <w:marBottom w:val="0"/>
      <w:divBdr>
        <w:top w:val="none" w:sz="0" w:space="0" w:color="auto"/>
        <w:left w:val="none" w:sz="0" w:space="0" w:color="auto"/>
        <w:bottom w:val="none" w:sz="0" w:space="0" w:color="auto"/>
        <w:right w:val="none" w:sz="0" w:space="0" w:color="auto"/>
      </w:divBdr>
    </w:div>
    <w:div w:id="915014427">
      <w:bodyDiv w:val="1"/>
      <w:marLeft w:val="0"/>
      <w:marRight w:val="0"/>
      <w:marTop w:val="0"/>
      <w:marBottom w:val="0"/>
      <w:divBdr>
        <w:top w:val="none" w:sz="0" w:space="0" w:color="auto"/>
        <w:left w:val="none" w:sz="0" w:space="0" w:color="auto"/>
        <w:bottom w:val="none" w:sz="0" w:space="0" w:color="auto"/>
        <w:right w:val="none" w:sz="0" w:space="0" w:color="auto"/>
      </w:divBdr>
    </w:div>
    <w:div w:id="923685320">
      <w:bodyDiv w:val="1"/>
      <w:marLeft w:val="0"/>
      <w:marRight w:val="0"/>
      <w:marTop w:val="0"/>
      <w:marBottom w:val="0"/>
      <w:divBdr>
        <w:top w:val="none" w:sz="0" w:space="0" w:color="auto"/>
        <w:left w:val="none" w:sz="0" w:space="0" w:color="auto"/>
        <w:bottom w:val="none" w:sz="0" w:space="0" w:color="auto"/>
        <w:right w:val="none" w:sz="0" w:space="0" w:color="auto"/>
      </w:divBdr>
    </w:div>
    <w:div w:id="931202430">
      <w:bodyDiv w:val="1"/>
      <w:marLeft w:val="0"/>
      <w:marRight w:val="0"/>
      <w:marTop w:val="0"/>
      <w:marBottom w:val="0"/>
      <w:divBdr>
        <w:top w:val="none" w:sz="0" w:space="0" w:color="auto"/>
        <w:left w:val="none" w:sz="0" w:space="0" w:color="auto"/>
        <w:bottom w:val="none" w:sz="0" w:space="0" w:color="auto"/>
        <w:right w:val="none" w:sz="0" w:space="0" w:color="auto"/>
      </w:divBdr>
    </w:div>
    <w:div w:id="944727358">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996226123">
      <w:bodyDiv w:val="1"/>
      <w:marLeft w:val="0"/>
      <w:marRight w:val="0"/>
      <w:marTop w:val="0"/>
      <w:marBottom w:val="0"/>
      <w:divBdr>
        <w:top w:val="none" w:sz="0" w:space="0" w:color="auto"/>
        <w:left w:val="none" w:sz="0" w:space="0" w:color="auto"/>
        <w:bottom w:val="none" w:sz="0" w:space="0" w:color="auto"/>
        <w:right w:val="none" w:sz="0" w:space="0" w:color="auto"/>
      </w:divBdr>
    </w:div>
    <w:div w:id="1060396358">
      <w:bodyDiv w:val="1"/>
      <w:marLeft w:val="0"/>
      <w:marRight w:val="0"/>
      <w:marTop w:val="0"/>
      <w:marBottom w:val="0"/>
      <w:divBdr>
        <w:top w:val="none" w:sz="0" w:space="0" w:color="auto"/>
        <w:left w:val="none" w:sz="0" w:space="0" w:color="auto"/>
        <w:bottom w:val="none" w:sz="0" w:space="0" w:color="auto"/>
        <w:right w:val="none" w:sz="0" w:space="0" w:color="auto"/>
      </w:divBdr>
    </w:div>
    <w:div w:id="1200169221">
      <w:bodyDiv w:val="1"/>
      <w:marLeft w:val="0"/>
      <w:marRight w:val="0"/>
      <w:marTop w:val="0"/>
      <w:marBottom w:val="0"/>
      <w:divBdr>
        <w:top w:val="none" w:sz="0" w:space="0" w:color="auto"/>
        <w:left w:val="none" w:sz="0" w:space="0" w:color="auto"/>
        <w:bottom w:val="none" w:sz="0" w:space="0" w:color="auto"/>
        <w:right w:val="none" w:sz="0" w:space="0" w:color="auto"/>
      </w:divBdr>
    </w:div>
    <w:div w:id="1230379900">
      <w:bodyDiv w:val="1"/>
      <w:marLeft w:val="0"/>
      <w:marRight w:val="0"/>
      <w:marTop w:val="0"/>
      <w:marBottom w:val="0"/>
      <w:divBdr>
        <w:top w:val="none" w:sz="0" w:space="0" w:color="auto"/>
        <w:left w:val="none" w:sz="0" w:space="0" w:color="auto"/>
        <w:bottom w:val="none" w:sz="0" w:space="0" w:color="auto"/>
        <w:right w:val="none" w:sz="0" w:space="0" w:color="auto"/>
      </w:divBdr>
    </w:div>
    <w:div w:id="1311520379">
      <w:bodyDiv w:val="1"/>
      <w:marLeft w:val="0"/>
      <w:marRight w:val="0"/>
      <w:marTop w:val="0"/>
      <w:marBottom w:val="0"/>
      <w:divBdr>
        <w:top w:val="none" w:sz="0" w:space="0" w:color="auto"/>
        <w:left w:val="none" w:sz="0" w:space="0" w:color="auto"/>
        <w:bottom w:val="none" w:sz="0" w:space="0" w:color="auto"/>
        <w:right w:val="none" w:sz="0" w:space="0" w:color="auto"/>
      </w:divBdr>
    </w:div>
    <w:div w:id="1360005880">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33361197">
      <w:bodyDiv w:val="1"/>
      <w:marLeft w:val="0"/>
      <w:marRight w:val="0"/>
      <w:marTop w:val="0"/>
      <w:marBottom w:val="0"/>
      <w:divBdr>
        <w:top w:val="none" w:sz="0" w:space="0" w:color="auto"/>
        <w:left w:val="none" w:sz="0" w:space="0" w:color="auto"/>
        <w:bottom w:val="none" w:sz="0" w:space="0" w:color="auto"/>
        <w:right w:val="none" w:sz="0" w:space="0" w:color="auto"/>
      </w:divBdr>
    </w:div>
    <w:div w:id="1445415832">
      <w:bodyDiv w:val="1"/>
      <w:marLeft w:val="0"/>
      <w:marRight w:val="0"/>
      <w:marTop w:val="0"/>
      <w:marBottom w:val="0"/>
      <w:divBdr>
        <w:top w:val="none" w:sz="0" w:space="0" w:color="auto"/>
        <w:left w:val="none" w:sz="0" w:space="0" w:color="auto"/>
        <w:bottom w:val="none" w:sz="0" w:space="0" w:color="auto"/>
        <w:right w:val="none" w:sz="0" w:space="0" w:color="auto"/>
      </w:divBdr>
    </w:div>
    <w:div w:id="1447388843">
      <w:bodyDiv w:val="1"/>
      <w:marLeft w:val="0"/>
      <w:marRight w:val="0"/>
      <w:marTop w:val="0"/>
      <w:marBottom w:val="0"/>
      <w:divBdr>
        <w:top w:val="none" w:sz="0" w:space="0" w:color="auto"/>
        <w:left w:val="none" w:sz="0" w:space="0" w:color="auto"/>
        <w:bottom w:val="none" w:sz="0" w:space="0" w:color="auto"/>
        <w:right w:val="none" w:sz="0" w:space="0" w:color="auto"/>
      </w:divBdr>
    </w:div>
    <w:div w:id="1480875876">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488325883">
      <w:bodyDiv w:val="1"/>
      <w:marLeft w:val="0"/>
      <w:marRight w:val="0"/>
      <w:marTop w:val="0"/>
      <w:marBottom w:val="0"/>
      <w:divBdr>
        <w:top w:val="none" w:sz="0" w:space="0" w:color="auto"/>
        <w:left w:val="none" w:sz="0" w:space="0" w:color="auto"/>
        <w:bottom w:val="none" w:sz="0" w:space="0" w:color="auto"/>
        <w:right w:val="none" w:sz="0" w:space="0" w:color="auto"/>
      </w:divBdr>
      <w:divsChild>
        <w:div w:id="266162034">
          <w:marLeft w:val="1200"/>
          <w:marRight w:val="480"/>
          <w:marTop w:val="240"/>
          <w:marBottom w:val="120"/>
          <w:divBdr>
            <w:top w:val="none" w:sz="0" w:space="0" w:color="auto"/>
            <w:left w:val="none" w:sz="0" w:space="0" w:color="auto"/>
            <w:bottom w:val="none" w:sz="0" w:space="0" w:color="auto"/>
            <w:right w:val="none" w:sz="0" w:space="0" w:color="auto"/>
          </w:divBdr>
        </w:div>
        <w:div w:id="353505542">
          <w:marLeft w:val="0"/>
          <w:marRight w:val="0"/>
          <w:marTop w:val="0"/>
          <w:marBottom w:val="0"/>
          <w:divBdr>
            <w:top w:val="none" w:sz="0" w:space="0" w:color="auto"/>
            <w:left w:val="none" w:sz="0" w:space="0" w:color="auto"/>
            <w:bottom w:val="none" w:sz="0" w:space="0" w:color="auto"/>
            <w:right w:val="none" w:sz="0" w:space="0" w:color="auto"/>
          </w:divBdr>
          <w:divsChild>
            <w:div w:id="1656298674">
              <w:marLeft w:val="0"/>
              <w:marRight w:val="0"/>
              <w:marTop w:val="0"/>
              <w:marBottom w:val="120"/>
              <w:divBdr>
                <w:top w:val="none" w:sz="0" w:space="0" w:color="auto"/>
                <w:left w:val="none" w:sz="0" w:space="0" w:color="auto"/>
                <w:bottom w:val="none" w:sz="0" w:space="0" w:color="auto"/>
                <w:right w:val="none" w:sz="0" w:space="0" w:color="auto"/>
              </w:divBdr>
            </w:div>
            <w:div w:id="1765109208">
              <w:marLeft w:val="840"/>
              <w:marRight w:val="0"/>
              <w:marTop w:val="0"/>
              <w:marBottom w:val="120"/>
              <w:divBdr>
                <w:top w:val="none" w:sz="0" w:space="0" w:color="auto"/>
                <w:left w:val="none" w:sz="0" w:space="0" w:color="auto"/>
                <w:bottom w:val="none" w:sz="0" w:space="0" w:color="auto"/>
                <w:right w:val="none" w:sz="0" w:space="0" w:color="auto"/>
              </w:divBdr>
            </w:div>
          </w:divsChild>
        </w:div>
        <w:div w:id="768158749">
          <w:marLeft w:val="0"/>
          <w:marRight w:val="0"/>
          <w:marTop w:val="0"/>
          <w:marBottom w:val="0"/>
          <w:divBdr>
            <w:top w:val="none" w:sz="0" w:space="0" w:color="auto"/>
            <w:left w:val="none" w:sz="0" w:space="0" w:color="auto"/>
            <w:bottom w:val="none" w:sz="0" w:space="0" w:color="auto"/>
            <w:right w:val="none" w:sz="0" w:space="0" w:color="auto"/>
          </w:divBdr>
          <w:divsChild>
            <w:div w:id="1323774050">
              <w:marLeft w:val="840"/>
              <w:marRight w:val="0"/>
              <w:marTop w:val="0"/>
              <w:marBottom w:val="120"/>
              <w:divBdr>
                <w:top w:val="none" w:sz="0" w:space="0" w:color="auto"/>
                <w:left w:val="none" w:sz="0" w:space="0" w:color="auto"/>
                <w:bottom w:val="none" w:sz="0" w:space="0" w:color="auto"/>
                <w:right w:val="none" w:sz="0" w:space="0" w:color="auto"/>
              </w:divBdr>
            </w:div>
          </w:divsChild>
        </w:div>
        <w:div w:id="1749113452">
          <w:marLeft w:val="0"/>
          <w:marRight w:val="0"/>
          <w:marTop w:val="0"/>
          <w:marBottom w:val="0"/>
          <w:divBdr>
            <w:top w:val="none" w:sz="0" w:space="0" w:color="auto"/>
            <w:left w:val="none" w:sz="0" w:space="0" w:color="auto"/>
            <w:bottom w:val="none" w:sz="0" w:space="0" w:color="auto"/>
            <w:right w:val="none" w:sz="0" w:space="0" w:color="auto"/>
          </w:divBdr>
          <w:divsChild>
            <w:div w:id="514350142">
              <w:marLeft w:val="840"/>
              <w:marRight w:val="0"/>
              <w:marTop w:val="0"/>
              <w:marBottom w:val="120"/>
              <w:divBdr>
                <w:top w:val="none" w:sz="0" w:space="0" w:color="auto"/>
                <w:left w:val="none" w:sz="0" w:space="0" w:color="auto"/>
                <w:bottom w:val="none" w:sz="0" w:space="0" w:color="auto"/>
                <w:right w:val="none" w:sz="0" w:space="0" w:color="auto"/>
              </w:divBdr>
            </w:div>
            <w:div w:id="768543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29949738">
      <w:bodyDiv w:val="1"/>
      <w:marLeft w:val="0"/>
      <w:marRight w:val="0"/>
      <w:marTop w:val="0"/>
      <w:marBottom w:val="0"/>
      <w:divBdr>
        <w:top w:val="none" w:sz="0" w:space="0" w:color="auto"/>
        <w:left w:val="none" w:sz="0" w:space="0" w:color="auto"/>
        <w:bottom w:val="none" w:sz="0" w:space="0" w:color="auto"/>
        <w:right w:val="none" w:sz="0" w:space="0" w:color="auto"/>
      </w:divBdr>
    </w:div>
    <w:div w:id="1565603604">
      <w:bodyDiv w:val="1"/>
      <w:marLeft w:val="0"/>
      <w:marRight w:val="0"/>
      <w:marTop w:val="0"/>
      <w:marBottom w:val="0"/>
      <w:divBdr>
        <w:top w:val="none" w:sz="0" w:space="0" w:color="auto"/>
        <w:left w:val="none" w:sz="0" w:space="0" w:color="auto"/>
        <w:bottom w:val="none" w:sz="0" w:space="0" w:color="auto"/>
        <w:right w:val="none" w:sz="0" w:space="0" w:color="auto"/>
      </w:divBdr>
      <w:divsChild>
        <w:div w:id="524561446">
          <w:marLeft w:val="0"/>
          <w:marRight w:val="0"/>
          <w:marTop w:val="0"/>
          <w:marBottom w:val="0"/>
          <w:divBdr>
            <w:top w:val="none" w:sz="0" w:space="0" w:color="auto"/>
            <w:left w:val="none" w:sz="0" w:space="0" w:color="auto"/>
            <w:bottom w:val="none" w:sz="0" w:space="0" w:color="auto"/>
            <w:right w:val="none" w:sz="0" w:space="0" w:color="auto"/>
          </w:divBdr>
          <w:divsChild>
            <w:div w:id="1084494750">
              <w:marLeft w:val="840"/>
              <w:marRight w:val="0"/>
              <w:marTop w:val="0"/>
              <w:marBottom w:val="120"/>
              <w:divBdr>
                <w:top w:val="none" w:sz="0" w:space="0" w:color="auto"/>
                <w:left w:val="none" w:sz="0" w:space="0" w:color="auto"/>
                <w:bottom w:val="none" w:sz="0" w:space="0" w:color="auto"/>
                <w:right w:val="none" w:sz="0" w:space="0" w:color="auto"/>
              </w:divBdr>
            </w:div>
          </w:divsChild>
        </w:div>
        <w:div w:id="1279528179">
          <w:marLeft w:val="1200"/>
          <w:marRight w:val="480"/>
          <w:marTop w:val="240"/>
          <w:marBottom w:val="120"/>
          <w:divBdr>
            <w:top w:val="none" w:sz="0" w:space="0" w:color="auto"/>
            <w:left w:val="none" w:sz="0" w:space="0" w:color="auto"/>
            <w:bottom w:val="none" w:sz="0" w:space="0" w:color="auto"/>
            <w:right w:val="none" w:sz="0" w:space="0" w:color="auto"/>
          </w:divBdr>
        </w:div>
      </w:divsChild>
    </w:div>
    <w:div w:id="1588226074">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87829415">
      <w:bodyDiv w:val="1"/>
      <w:marLeft w:val="0"/>
      <w:marRight w:val="0"/>
      <w:marTop w:val="0"/>
      <w:marBottom w:val="0"/>
      <w:divBdr>
        <w:top w:val="none" w:sz="0" w:space="0" w:color="auto"/>
        <w:left w:val="none" w:sz="0" w:space="0" w:color="auto"/>
        <w:bottom w:val="none" w:sz="0" w:space="0" w:color="auto"/>
        <w:right w:val="none" w:sz="0" w:space="0" w:color="auto"/>
      </w:divBdr>
    </w:div>
    <w:div w:id="1719740395">
      <w:bodyDiv w:val="1"/>
      <w:marLeft w:val="0"/>
      <w:marRight w:val="0"/>
      <w:marTop w:val="0"/>
      <w:marBottom w:val="0"/>
      <w:divBdr>
        <w:top w:val="none" w:sz="0" w:space="0" w:color="auto"/>
        <w:left w:val="none" w:sz="0" w:space="0" w:color="auto"/>
        <w:bottom w:val="none" w:sz="0" w:space="0" w:color="auto"/>
        <w:right w:val="none" w:sz="0" w:space="0" w:color="auto"/>
      </w:divBdr>
      <w:divsChild>
        <w:div w:id="180630950">
          <w:marLeft w:val="0"/>
          <w:marRight w:val="0"/>
          <w:marTop w:val="0"/>
          <w:marBottom w:val="0"/>
          <w:divBdr>
            <w:top w:val="none" w:sz="0" w:space="0" w:color="auto"/>
            <w:left w:val="none" w:sz="0" w:space="0" w:color="auto"/>
            <w:bottom w:val="none" w:sz="0" w:space="0" w:color="auto"/>
            <w:right w:val="none" w:sz="0" w:space="0" w:color="auto"/>
          </w:divBdr>
        </w:div>
        <w:div w:id="936982391">
          <w:marLeft w:val="0"/>
          <w:marRight w:val="0"/>
          <w:marTop w:val="0"/>
          <w:marBottom w:val="0"/>
          <w:divBdr>
            <w:top w:val="none" w:sz="0" w:space="0" w:color="auto"/>
            <w:left w:val="none" w:sz="0" w:space="0" w:color="auto"/>
            <w:bottom w:val="none" w:sz="0" w:space="0" w:color="auto"/>
            <w:right w:val="none" w:sz="0" w:space="0" w:color="auto"/>
          </w:divBdr>
        </w:div>
      </w:divsChild>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736079988">
      <w:bodyDiv w:val="1"/>
      <w:marLeft w:val="0"/>
      <w:marRight w:val="0"/>
      <w:marTop w:val="0"/>
      <w:marBottom w:val="0"/>
      <w:divBdr>
        <w:top w:val="none" w:sz="0" w:space="0" w:color="auto"/>
        <w:left w:val="none" w:sz="0" w:space="0" w:color="auto"/>
        <w:bottom w:val="none" w:sz="0" w:space="0" w:color="auto"/>
        <w:right w:val="none" w:sz="0" w:space="0" w:color="auto"/>
      </w:divBdr>
    </w:div>
    <w:div w:id="1806318117">
      <w:bodyDiv w:val="1"/>
      <w:marLeft w:val="0"/>
      <w:marRight w:val="0"/>
      <w:marTop w:val="0"/>
      <w:marBottom w:val="0"/>
      <w:divBdr>
        <w:top w:val="none" w:sz="0" w:space="0" w:color="auto"/>
        <w:left w:val="none" w:sz="0" w:space="0" w:color="auto"/>
        <w:bottom w:val="none" w:sz="0" w:space="0" w:color="auto"/>
        <w:right w:val="none" w:sz="0" w:space="0" w:color="auto"/>
      </w:divBdr>
    </w:div>
    <w:div w:id="1860583191">
      <w:bodyDiv w:val="1"/>
      <w:marLeft w:val="0"/>
      <w:marRight w:val="0"/>
      <w:marTop w:val="0"/>
      <w:marBottom w:val="0"/>
      <w:divBdr>
        <w:top w:val="none" w:sz="0" w:space="0" w:color="auto"/>
        <w:left w:val="none" w:sz="0" w:space="0" w:color="auto"/>
        <w:bottom w:val="none" w:sz="0" w:space="0" w:color="auto"/>
        <w:right w:val="none" w:sz="0" w:space="0" w:color="auto"/>
      </w:divBdr>
    </w:div>
    <w:div w:id="1928465195">
      <w:bodyDiv w:val="1"/>
      <w:marLeft w:val="0"/>
      <w:marRight w:val="0"/>
      <w:marTop w:val="0"/>
      <w:marBottom w:val="0"/>
      <w:divBdr>
        <w:top w:val="none" w:sz="0" w:space="0" w:color="auto"/>
        <w:left w:val="none" w:sz="0" w:space="0" w:color="auto"/>
        <w:bottom w:val="none" w:sz="0" w:space="0" w:color="auto"/>
        <w:right w:val="none" w:sz="0" w:space="0" w:color="auto"/>
      </w:divBdr>
    </w:div>
    <w:div w:id="1945654166">
      <w:bodyDiv w:val="1"/>
      <w:marLeft w:val="0"/>
      <w:marRight w:val="0"/>
      <w:marTop w:val="0"/>
      <w:marBottom w:val="0"/>
      <w:divBdr>
        <w:top w:val="none" w:sz="0" w:space="0" w:color="auto"/>
        <w:left w:val="none" w:sz="0" w:space="0" w:color="auto"/>
        <w:bottom w:val="none" w:sz="0" w:space="0" w:color="auto"/>
        <w:right w:val="none" w:sz="0" w:space="0" w:color="auto"/>
      </w:divBdr>
    </w:div>
    <w:div w:id="1949313975">
      <w:bodyDiv w:val="1"/>
      <w:marLeft w:val="0"/>
      <w:marRight w:val="0"/>
      <w:marTop w:val="0"/>
      <w:marBottom w:val="0"/>
      <w:divBdr>
        <w:top w:val="none" w:sz="0" w:space="0" w:color="auto"/>
        <w:left w:val="none" w:sz="0" w:space="0" w:color="auto"/>
        <w:bottom w:val="none" w:sz="0" w:space="0" w:color="auto"/>
        <w:right w:val="none" w:sz="0" w:space="0" w:color="auto"/>
      </w:divBdr>
      <w:divsChild>
        <w:div w:id="107434603">
          <w:marLeft w:val="0"/>
          <w:marRight w:val="0"/>
          <w:marTop w:val="0"/>
          <w:marBottom w:val="0"/>
          <w:divBdr>
            <w:top w:val="none" w:sz="0" w:space="0" w:color="auto"/>
            <w:left w:val="none" w:sz="0" w:space="0" w:color="auto"/>
            <w:bottom w:val="none" w:sz="0" w:space="0" w:color="auto"/>
            <w:right w:val="none" w:sz="0" w:space="0" w:color="auto"/>
          </w:divBdr>
        </w:div>
        <w:div w:id="1278442455">
          <w:marLeft w:val="0"/>
          <w:marRight w:val="0"/>
          <w:marTop w:val="0"/>
          <w:marBottom w:val="0"/>
          <w:divBdr>
            <w:top w:val="none" w:sz="0" w:space="0" w:color="auto"/>
            <w:left w:val="none" w:sz="0" w:space="0" w:color="auto"/>
            <w:bottom w:val="none" w:sz="0" w:space="0" w:color="auto"/>
            <w:right w:val="none" w:sz="0" w:space="0" w:color="auto"/>
          </w:divBdr>
        </w:div>
      </w:divsChild>
    </w:div>
    <w:div w:id="1997293391">
      <w:bodyDiv w:val="1"/>
      <w:marLeft w:val="0"/>
      <w:marRight w:val="0"/>
      <w:marTop w:val="0"/>
      <w:marBottom w:val="0"/>
      <w:divBdr>
        <w:top w:val="none" w:sz="0" w:space="0" w:color="auto"/>
        <w:left w:val="none" w:sz="0" w:space="0" w:color="auto"/>
        <w:bottom w:val="none" w:sz="0" w:space="0" w:color="auto"/>
        <w:right w:val="none" w:sz="0" w:space="0" w:color="auto"/>
      </w:divBdr>
    </w:div>
    <w:div w:id="2015254435">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prc@unsw.edu.au" TargetMode="External"/><Relationship Id="rId26" Type="http://schemas.openxmlformats.org/officeDocument/2006/relationships/chart" Target="charts/chart1.xml"/><Relationship Id="rId39" Type="http://schemas.openxmlformats.org/officeDocument/2006/relationships/chart" Target="charts/chart11.xml"/><Relationship Id="rId21" Type="http://schemas.openxmlformats.org/officeDocument/2006/relationships/footer" Target="footer4.xml"/><Relationship Id="rId34" Type="http://schemas.openxmlformats.org/officeDocument/2006/relationships/hyperlink" Target="https://calculate.fairwork.gov.au/FindYourAward" TargetMode="External"/><Relationship Id="rId42" Type="http://schemas.openxmlformats.org/officeDocument/2006/relationships/hyperlink" Target="https://www.aedc.gov.au/data/data-explorer" TargetMode="External"/><Relationship Id="rId47" Type="http://schemas.openxmlformats.org/officeDocument/2006/relationships/chart" Target="charts/chart16.xml"/><Relationship Id="rId50" Type="http://schemas.openxmlformats.org/officeDocument/2006/relationships/hyperlink" Target="https://calculate.fairwork.gov.au/FindYourAward" TargetMode="External"/><Relationship Id="rId55"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chart" Target="charts/chart6.xml"/><Relationship Id="rId38" Type="http://schemas.openxmlformats.org/officeDocument/2006/relationships/chart" Target="charts/chart10.xml"/><Relationship Id="rId46" Type="http://schemas.openxmlformats.org/officeDocument/2006/relationships/hyperlink" Target="https://lmip.gov.au/default.aspx?LMIP/GainInsights/VacancyRepor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chart" Target="charts/chart13.xml"/><Relationship Id="rId54" Type="http://schemas.openxmlformats.org/officeDocument/2006/relationships/hyperlink" Target="https://www.communityservices.act.gov.au/publications/annual-repor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6.xml"/><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5.xml"/><Relationship Id="rId53" Type="http://schemas.openxmlformats.org/officeDocument/2006/relationships/chart" Target="charts/chart2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chart" Target="charts/chart18.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rts.unsw.edu.au/sprc" TargetMode="External"/><Relationship Id="rId31" Type="http://schemas.openxmlformats.org/officeDocument/2006/relationships/chart" Target="charts/chart4.xml"/><Relationship Id="rId44" Type="http://schemas.openxmlformats.org/officeDocument/2006/relationships/hyperlink" Target="https://calculate.fairwork.gov.au/FindYourAward" TargetMode="External"/><Relationship Id="rId52" Type="http://schemas.openxmlformats.org/officeDocument/2006/relationships/chart" Target="charts/chart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hart" Target="charts/chart2.xml"/><Relationship Id="rId30" Type="http://schemas.openxmlformats.org/officeDocument/2006/relationships/footer" Target="footer7.xml"/><Relationship Id="rId35" Type="http://schemas.openxmlformats.org/officeDocument/2006/relationships/chart" Target="charts/chart7.xml"/><Relationship Id="rId43" Type="http://schemas.openxmlformats.org/officeDocument/2006/relationships/chart" Target="charts/chart14.xml"/><Relationship Id="rId48" Type="http://schemas.openxmlformats.org/officeDocument/2006/relationships/chart" Target="charts/chart17.xm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chart" Target="charts/chart19.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doi.org/10.1177/0899764018824669" TargetMode="External"/><Relationship Id="rId13" Type="http://schemas.openxmlformats.org/officeDocument/2006/relationships/hyperlink" Target="https://www.pc.gov.au/inquiries/completed/ndis-costs/report/ndis-costs.pdf" TargetMode="External"/><Relationship Id="rId18" Type="http://schemas.openxmlformats.org/officeDocument/2006/relationships/hyperlink" Target="https://www.abs.gov.au/statistics/people/aboriginal-and-torres-strait-islander-peoples/estimates-and-projections-aboriginal-and-torres-strait-islander-australians/2006-2031" TargetMode="External"/><Relationship Id="rId26" Type="http://schemas.openxmlformats.org/officeDocument/2006/relationships/hyperlink" Target="https://www.pc.gov.au/research/ongoing/report-on-government-services/2021/housing-and-homelessness/homelessness-services" TargetMode="External"/><Relationship Id="rId39" Type="http://schemas.openxmlformats.org/officeDocument/2006/relationships/hyperlink" Target="https://www.ndis.gov.au/providers/pricing-arrangements/making-pricing-decisions/financial-benchmarking" TargetMode="External"/><Relationship Id="rId3" Type="http://schemas.openxmlformats.org/officeDocument/2006/relationships/hyperlink" Target="https://www.act.gov.au/__data/assets/pdf_file/0004/1498198/ACT-wellbeing-framework.pdf" TargetMode="External"/><Relationship Id="rId21" Type="http://schemas.openxmlformats.org/officeDocument/2006/relationships/hyperlink" Target="https://povertyandinequality.acoss.org.au/covid_maps-2/" TargetMode="External"/><Relationship Id="rId34" Type="http://schemas.openxmlformats.org/officeDocument/2006/relationships/hyperlink" Target="https://www.aihw.gov.au/reports/child-protection/child-protection-australia-2019-20/data" TargetMode="External"/><Relationship Id="rId42" Type="http://schemas.openxmlformats.org/officeDocument/2006/relationships/hyperlink" Target="https://www.cmtedd.act.gov.au/open_government/inform/act_government_media_releases/davidson/2021/technology-upgrade-fund-to-build-digital-capacity-for-community-organisations" TargetMode="External"/><Relationship Id="rId47" Type="http://schemas.openxmlformats.org/officeDocument/2006/relationships/hyperlink" Target="https://www.abs.gov.au/websitedbs/D3310114.nsf/home/Inflation+and+Price+Indexes+-+Use+of+Price+Indexes+in+Contracts" TargetMode="External"/><Relationship Id="rId7" Type="http://schemas.openxmlformats.org/officeDocument/2006/relationships/hyperlink" Target="https://doi.org/10.1177/0899764014527175" TargetMode="External"/><Relationship Id="rId12" Type="http://schemas.openxmlformats.org/officeDocument/2006/relationships/hyperlink" Target="https://parlinfo.aph.gov.au/parlInfo/download/committees/reportjnt/024501/toc_pdf/NDISWorkforceInterimReport.pdf;fileType=application%2Fpdf" TargetMode="External"/><Relationship Id="rId17" Type="http://schemas.openxmlformats.org/officeDocument/2006/relationships/hyperlink" Target="https://www.abs.gov.au/statistics/people/population/national-state-and-territory-population/latest-release" TargetMode="External"/><Relationship Id="rId25" Type="http://schemas.openxmlformats.org/officeDocument/2006/relationships/hyperlink" Target="https://www.actcoss.org.au/sites/default/files/public/publications/2021-report-ACT-Cost-of-Living.pdf" TargetMode="External"/><Relationship Id="rId33" Type="http://schemas.openxmlformats.org/officeDocument/2006/relationships/hyperlink" Target="https://csrm.cass.anu.edu.au/sites/default/files/docs/2021/9/Child_wellbeing_-_August_2021.pdf" TargetMode="External"/><Relationship Id="rId38" Type="http://schemas.openxmlformats.org/officeDocument/2006/relationships/hyperlink" Target="https://www.acnc.gov.au/for-public/understanding-charities/charities-and-administration-costs" TargetMode="External"/><Relationship Id="rId46" Type="http://schemas.openxmlformats.org/officeDocument/2006/relationships/hyperlink" Target="https://www.treasury.act.gov.au/__data/assets/pdf_file/0008/1870136/2021-22-ACT-Budget-Outlook.pdf" TargetMode="External"/><Relationship Id="rId2" Type="http://schemas.openxmlformats.org/officeDocument/2006/relationships/hyperlink" Target="https://www.treasury.act.gov.au/__data/assets/pdf_file/0008/1870136/2021-22-ACT-Budget-Outlook.pdf" TargetMode="External"/><Relationship Id="rId16" Type="http://schemas.openxmlformats.org/officeDocument/2006/relationships/hyperlink" Target="https://apps.treasury.act.gov.au/__data/assets/pdf_file/0005/1305581/ACT-Population-Projections-Paper-FINAL.pdf" TargetMode="External"/><Relationship Id="rId20" Type="http://schemas.openxmlformats.org/officeDocument/2006/relationships/hyperlink" Target="https://www.health.gov.au/sites/default/files/documents/2021/09/covid-19-vaccine-rollout-update-20-september-2021.pdf" TargetMode="External"/><Relationship Id="rId29" Type="http://schemas.openxmlformats.org/officeDocument/2006/relationships/hyperlink" Target="https://www.cmtedd.act.gov.au/open_government/inform/act_government_media_releases/barr/2021/expanding-homelessness-and-housing-services" TargetMode="External"/><Relationship Id="rId41" Type="http://schemas.openxmlformats.org/officeDocument/2006/relationships/hyperlink" Target="https://mccrindle.com.au/wp-content/uploads/reports/Australian-Communities-Report-2019.pdf" TargetMode="External"/><Relationship Id="rId1" Type="http://schemas.openxmlformats.org/officeDocument/2006/relationships/hyperlink" Target="https://www.communityservices.act.gov.au/__data/assets/pdf_file/0006/1815189/ACTHDCSD-Commissioning-Roadmap-2021-2023.pdf" TargetMode="External"/><Relationship Id="rId6" Type="http://schemas.openxmlformats.org/officeDocument/2006/relationships/hyperlink" Target="https://www.researchgate.net/publication/299451983_The_Social_and_Community_Services_Sector_in_NSW_Structure_Workforce_and_Pay_Equity_Issues" TargetMode="External"/><Relationship Id="rId11" Type="http://schemas.openxmlformats.org/officeDocument/2006/relationships/hyperlink" Target="https://www.aph.gov.au/Parliamentary_Business/Committees/Joint/National_Disability_Insurance_Scheme/workforce/Interim_Report/section?id=committees%2Freportjnt%2F024501%2F75157" TargetMode="External"/><Relationship Id="rId24" Type="http://schemas.openxmlformats.org/officeDocument/2006/relationships/hyperlink" Target="https://www.anglicare.com.au/anglicare-research-rental-affordability-forcing-more-canberrans-into-financial-hardship/" TargetMode="External"/><Relationship Id="rId32" Type="http://schemas.openxmlformats.org/officeDocument/2006/relationships/hyperlink" Target="https://doi.org/10.1007/s00787-021-01861-z" TargetMode="External"/><Relationship Id="rId37" Type="http://schemas.openxmlformats.org/officeDocument/2006/relationships/hyperlink" Target="https://lmip.gov.au/default.aspx?LMIP/Downloads/ABSLabourForceRegion" TargetMode="External"/><Relationship Id="rId40" Type="http://schemas.openxmlformats.org/officeDocument/2006/relationships/hyperlink" Target="https://mccrindle.com.au/wp-content/uploads/reports/Australian-Communities-Report-2019.pdf" TargetMode="External"/><Relationship Id="rId45" Type="http://schemas.openxmlformats.org/officeDocument/2006/relationships/hyperlink" Target="https://www.acoss.org.au/wp-content/uploads/2021/02/ACOSS-BPS-FINAL.pdf" TargetMode="External"/><Relationship Id="rId5" Type="http://schemas.openxmlformats.org/officeDocument/2006/relationships/hyperlink" Target="https://www.actcoss.org.au/sites/default/files/public/publications/2016-report-state-of-the-community-service-sector-act.pdf" TargetMode="External"/><Relationship Id="rId15" Type="http://schemas.openxmlformats.org/officeDocument/2006/relationships/hyperlink" Target="https://www.actcoss.org.au/sites/default/files/public/publications/2016-report-state-of-the-community-service-sector-act.pdf" TargetMode="External"/><Relationship Id="rId23" Type="http://schemas.openxmlformats.org/officeDocument/2006/relationships/hyperlink" Target="https://www.communityservices.act.gov.au/hcs/services/social_housing/waiting_lists" TargetMode="External"/><Relationship Id="rId28" Type="http://schemas.openxmlformats.org/officeDocument/2006/relationships/hyperlink" Target="https://www.pc.gov.au/research/ongoing/report-on-government-services/2021/housing-and-homelessness/homelessness-services" TargetMode="External"/><Relationship Id="rId36" Type="http://schemas.openxmlformats.org/officeDocument/2006/relationships/hyperlink" Target="https://www.fwc.gov.au/documents/awardsandorders/html/pr525485.htm" TargetMode="External"/><Relationship Id="rId10" Type="http://schemas.openxmlformats.org/officeDocument/2006/relationships/hyperlink" Target="https://www.unsworks.unsw.edu.au/permalink/f/5gm2j3/unsworks_modsunsworks_76724" TargetMode="External"/><Relationship Id="rId19" Type="http://schemas.openxmlformats.org/officeDocument/2006/relationships/hyperlink" Target="https://www.communityservices.act.gov.au/__data/assets/pdf_file/0004/1282810/ACT-Multicultural-Community-Profile-2016.pdf" TargetMode="External"/><Relationship Id="rId31" Type="http://schemas.openxmlformats.org/officeDocument/2006/relationships/hyperlink" Target="https://doi.org/10.1016/j.jadohealth.2021.03.015" TargetMode="External"/><Relationship Id="rId44" Type="http://schemas.openxmlformats.org/officeDocument/2006/relationships/hyperlink" Target="https://www.aph.gov.au/Parliamentary_Business/Committees/Senate/Community_Affairs/Grants/Final_Report" TargetMode="External"/><Relationship Id="rId4" Type="http://schemas.openxmlformats.org/officeDocument/2006/relationships/hyperlink" Target="https://www.acoss.org.au/wp-content/uploads/2020/03/2020-ACSS_final-3.pdf" TargetMode="External"/><Relationship Id="rId9" Type="http://schemas.openxmlformats.org/officeDocument/2006/relationships/hyperlink" Target="https://doi.org/10.1177/0899764014527175" TargetMode="External"/><Relationship Id="rId14" Type="http://schemas.openxmlformats.org/officeDocument/2006/relationships/hyperlink" Target="https://www.communityservices.act.gov.au/__data/assets/pdf_file/0006/1815189/ACTHDCSD-Commissioning-Roadmap-2021-2023.pdf" TargetMode="External"/><Relationship Id="rId22" Type="http://schemas.openxmlformats.org/officeDocument/2006/relationships/hyperlink" Target="https://www.actcoss.org.au/sites/default/files/public/publications/2021-report-ACT-Cost-of-Living.pdf" TargetMode="External"/><Relationship Id="rId27" Type="http://schemas.openxmlformats.org/officeDocument/2006/relationships/hyperlink" Target="https://www.pc.gov.au/research/ongoing/report-on-government-services/2021/housing-and-homelessness/homelessness-services" TargetMode="External"/><Relationship Id="rId30" Type="http://schemas.openxmlformats.org/officeDocument/2006/relationships/hyperlink" Target="https://www.aihw.gov.au/reports/mental-health-services/mental-health-services-in-australia/report-contents/community-mental-health-care-services" TargetMode="External"/><Relationship Id="rId35" Type="http://schemas.openxmlformats.org/officeDocument/2006/relationships/hyperlink" Target="https://www.abs.gov.au/statistics/labour/earnings-and-work-hours/weekly-payroll-jobs-and-wages-australia/week-ending-22-may-2021" TargetMode="External"/><Relationship Id="rId43" Type="http://schemas.openxmlformats.org/officeDocument/2006/relationships/hyperlink" Target="https://www.acoss.org.au/wp-content/uploads/2021/04/meeting-community-needs-in-difficut-times_experiences-of-Australias-community-sector_WEB_v2.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w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S\Report%20template\SPRC%20Report%20Template%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data%20for%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ad.unsw.edu.au\OneUNSW\FAS\SPR\Projects\ACT%20COSS\Service%20costing%20analysis\DATA\ACTCOSS%20service%20costing_doc%20review%205.7.21%20(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xml"/><Relationship Id="rId4" Type="http://schemas.openxmlformats.org/officeDocument/2006/relationships/oleObject" Target="file:///\\ad.unsw.edu.au\OneUNSW\FAS\SPR\Projects\ACT%20COSS\Service%20costing%20analysis\DATA\rogs-2021-parte-section13-services-for-mental-health-data-tables.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chads%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IVI_DATA_regional%20-%20May%202010%20onward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ad.unsw.edu.au\OneUNSW\FAS\SPR\Projects\ACT%20COSS\Service%20costing%20analysis\DATA\survey%20data\NC%20actcoss%20working%20data%20for%20report.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chads%20analy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Govt%20data\indexation%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data%20for%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data%20for%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89675354751783E-2"/>
          <c:y val="4.7619047619047616E-2"/>
          <c:w val="0.72547374626300043"/>
          <c:h val="0.72229334969492454"/>
        </c:manualLayout>
      </c:layout>
      <c:barChart>
        <c:barDir val="col"/>
        <c:grouping val="percentStacked"/>
        <c:varyColors val="0"/>
        <c:ser>
          <c:idx val="0"/>
          <c:order val="0"/>
          <c:tx>
            <c:strRef>
              <c:f>'true cost'!$B$15</c:f>
              <c:strCache>
                <c:ptCount val="1"/>
                <c:pt idx="0">
                  <c:v>Strongly 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cost'!$C$15:$H$15</c:f>
              <c:numCache>
                <c:formatCode>0%</c:formatCode>
                <c:ptCount val="6"/>
                <c:pt idx="0">
                  <c:v>0.26400000000000001</c:v>
                </c:pt>
                <c:pt idx="1">
                  <c:v>0.45454545454545453</c:v>
                </c:pt>
                <c:pt idx="2">
                  <c:v>0.215</c:v>
                </c:pt>
                <c:pt idx="3">
                  <c:v>0.46600000000000003</c:v>
                </c:pt>
                <c:pt idx="4">
                  <c:v>0.183</c:v>
                </c:pt>
                <c:pt idx="5">
                  <c:v>0.26400000000000001</c:v>
                </c:pt>
              </c:numCache>
            </c:numRef>
          </c:val>
          <c:extLst>
            <c:ext xmlns:c16="http://schemas.microsoft.com/office/drawing/2014/chart" uri="{C3380CC4-5D6E-409C-BE32-E72D297353CC}">
              <c16:uniqueId val="{00000000-3B80-43D5-ABB2-CBEE3F3BCAF4}"/>
            </c:ext>
          </c:extLst>
        </c:ser>
        <c:ser>
          <c:idx val="1"/>
          <c:order val="1"/>
          <c:tx>
            <c:strRef>
              <c:f>'true cost'!$B$16</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cost'!$C$16:$H$16</c:f>
              <c:numCache>
                <c:formatCode>0%</c:formatCode>
                <c:ptCount val="6"/>
                <c:pt idx="0">
                  <c:v>0.38</c:v>
                </c:pt>
                <c:pt idx="1">
                  <c:v>0.36363636363636365</c:v>
                </c:pt>
                <c:pt idx="2">
                  <c:v>0.39</c:v>
                </c:pt>
                <c:pt idx="3">
                  <c:v>0.318</c:v>
                </c:pt>
                <c:pt idx="4">
                  <c:v>0.313</c:v>
                </c:pt>
                <c:pt idx="5">
                  <c:v>0.28699999999999998</c:v>
                </c:pt>
              </c:numCache>
            </c:numRef>
          </c:val>
          <c:extLst>
            <c:ext xmlns:c16="http://schemas.microsoft.com/office/drawing/2014/chart" uri="{C3380CC4-5D6E-409C-BE32-E72D297353CC}">
              <c16:uniqueId val="{00000001-3B80-43D5-ABB2-CBEE3F3BCAF4}"/>
            </c:ext>
          </c:extLst>
        </c:ser>
        <c:ser>
          <c:idx val="2"/>
          <c:order val="2"/>
          <c:tx>
            <c:strRef>
              <c:f>'true cost'!$B$17</c:f>
              <c:strCache>
                <c:ptCount val="1"/>
                <c:pt idx="0">
                  <c:v>Neutral / not 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cost'!$C$17:$H$17</c:f>
              <c:numCache>
                <c:formatCode>0%</c:formatCode>
                <c:ptCount val="6"/>
                <c:pt idx="0">
                  <c:v>0.20899999999999999</c:v>
                </c:pt>
                <c:pt idx="1">
                  <c:v>7.9545454545454544E-2</c:v>
                </c:pt>
                <c:pt idx="2">
                  <c:v>0.247</c:v>
                </c:pt>
                <c:pt idx="3">
                  <c:v>9.0999999999999998E-2</c:v>
                </c:pt>
                <c:pt idx="4">
                  <c:v>0.313</c:v>
                </c:pt>
                <c:pt idx="5">
                  <c:v>0.20599999999999999</c:v>
                </c:pt>
              </c:numCache>
            </c:numRef>
          </c:val>
          <c:extLst>
            <c:ext xmlns:c16="http://schemas.microsoft.com/office/drawing/2014/chart" uri="{C3380CC4-5D6E-409C-BE32-E72D297353CC}">
              <c16:uniqueId val="{00000002-3B80-43D5-ABB2-CBEE3F3BCAF4}"/>
            </c:ext>
          </c:extLst>
        </c:ser>
        <c:ser>
          <c:idx val="3"/>
          <c:order val="3"/>
          <c:tx>
            <c:strRef>
              <c:f>'true cost'!$B$18</c:f>
              <c:strCache>
                <c:ptCount val="1"/>
                <c:pt idx="0">
                  <c:v>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cost'!$C$18:$H$18</c:f>
              <c:numCache>
                <c:formatCode>0%</c:formatCode>
                <c:ptCount val="6"/>
                <c:pt idx="0">
                  <c:v>0.10100000000000001</c:v>
                </c:pt>
                <c:pt idx="1">
                  <c:v>7.9545454545454544E-2</c:v>
                </c:pt>
                <c:pt idx="2">
                  <c:v>9.1999999999999998E-2</c:v>
                </c:pt>
                <c:pt idx="3">
                  <c:v>0.10199999999999999</c:v>
                </c:pt>
                <c:pt idx="4">
                  <c:v>0.16</c:v>
                </c:pt>
                <c:pt idx="5">
                  <c:v>0.20699999999999999</c:v>
                </c:pt>
              </c:numCache>
            </c:numRef>
          </c:val>
          <c:extLst>
            <c:ext xmlns:c16="http://schemas.microsoft.com/office/drawing/2014/chart" uri="{C3380CC4-5D6E-409C-BE32-E72D297353CC}">
              <c16:uniqueId val="{00000003-3B80-43D5-ABB2-CBEE3F3BCAF4}"/>
            </c:ext>
          </c:extLst>
        </c:ser>
        <c:ser>
          <c:idx val="4"/>
          <c:order val="4"/>
          <c:tx>
            <c:strRef>
              <c:f>'true cost'!$B$19</c:f>
              <c:strCache>
                <c:ptCount val="1"/>
                <c:pt idx="0">
                  <c:v>Strongly Agree</c:v>
                </c:pt>
              </c:strCache>
            </c:strRef>
          </c:tx>
          <c:spPr>
            <a:solidFill>
              <a:schemeClr val="accent5"/>
            </a:solidFill>
            <a:ln>
              <a:noFill/>
            </a:ln>
            <a:effectLst/>
          </c:spPr>
          <c:invertIfNegative val="0"/>
          <c:dLbls>
            <c:dLbl>
              <c:idx val="0"/>
              <c:layout>
                <c:manualLayout>
                  <c:x val="1.9683102056883986E-3"/>
                  <c:y val="-2.5974025974025976E-2"/>
                </c:manualLayout>
              </c:layout>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80-43D5-ABB2-CBEE3F3BCAF4}"/>
                </c:ext>
              </c:extLst>
            </c:dLbl>
            <c:dLbl>
              <c:idx val="1"/>
              <c:layout>
                <c:manualLayout>
                  <c:x val="7.7492527783008529E-8"/>
                  <c:y val="-2.0682295377268865E-2"/>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8510066666821649E-2"/>
                      <c:h val="6.6549519986320235E-2"/>
                    </c:manualLayout>
                  </c15:layout>
                </c:ext>
                <c:ext xmlns:c16="http://schemas.microsoft.com/office/drawing/2014/chart" uri="{C3380CC4-5D6E-409C-BE32-E72D297353CC}">
                  <c16:uniqueId val="{00000005-3B80-43D5-ABB2-CBEE3F3BCAF4}"/>
                </c:ext>
              </c:extLst>
            </c:dLbl>
            <c:dLbl>
              <c:idx val="2"/>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4573446255444819E-2"/>
                      <c:h val="8.3536874333314332E-2"/>
                    </c:manualLayout>
                  </c15:layout>
                </c:ext>
                <c:ext xmlns:c16="http://schemas.microsoft.com/office/drawing/2014/chart" uri="{C3380CC4-5D6E-409C-BE32-E72D297353CC}">
                  <c16:uniqueId val="{00000006-3B80-43D5-ABB2-CBEE3F3BCAF4}"/>
                </c:ext>
              </c:extLst>
            </c:dLbl>
            <c:dLbl>
              <c:idx val="3"/>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3B80-43D5-ABB2-CBEE3F3BCAF4}"/>
                </c:ext>
              </c:extLst>
            </c:dLbl>
            <c:dLbl>
              <c:idx val="4"/>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0478376872510061E-2"/>
                      <c:h val="8.3536874333314332E-2"/>
                    </c:manualLayout>
                  </c15:layout>
                </c:ext>
                <c:ext xmlns:c16="http://schemas.microsoft.com/office/drawing/2014/chart" uri="{C3380CC4-5D6E-409C-BE32-E72D297353CC}">
                  <c16:uniqueId val="{00000008-3B80-43D5-ABB2-CBEE3F3BCAF4}"/>
                </c:ext>
              </c:extLst>
            </c:dLbl>
            <c:dLbl>
              <c:idx val="5"/>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3B80-43D5-ABB2-CBEE3F3BCA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cost'!$C$19:$H$19</c:f>
              <c:numCache>
                <c:formatCode>0%</c:formatCode>
                <c:ptCount val="6"/>
                <c:pt idx="0">
                  <c:v>4.7E-2</c:v>
                </c:pt>
                <c:pt idx="1">
                  <c:v>2.2727272727272728E-2</c:v>
                </c:pt>
                <c:pt idx="2">
                  <c:v>4.5999999999999999E-2</c:v>
                </c:pt>
                <c:pt idx="3">
                  <c:v>2.3E-2</c:v>
                </c:pt>
                <c:pt idx="4">
                  <c:v>3.1E-2</c:v>
                </c:pt>
                <c:pt idx="5">
                  <c:v>3.4000000000000002E-2</c:v>
                </c:pt>
              </c:numCache>
            </c:numRef>
          </c:val>
          <c:extLst>
            <c:ext xmlns:c16="http://schemas.microsoft.com/office/drawing/2014/chart" uri="{C3380CC4-5D6E-409C-BE32-E72D297353CC}">
              <c16:uniqueId val="{0000000A-3B80-43D5-ABB2-CBEE3F3BCAF4}"/>
            </c:ext>
          </c:extLst>
        </c:ser>
        <c:dLbls>
          <c:showLegendKey val="0"/>
          <c:showVal val="0"/>
          <c:showCatName val="0"/>
          <c:showSerName val="0"/>
          <c:showPercent val="0"/>
          <c:showBubbleSize val="0"/>
        </c:dLbls>
        <c:gapWidth val="50"/>
        <c:overlap val="100"/>
        <c:axId val="1695702512"/>
        <c:axId val="1695706256"/>
      </c:barChart>
      <c:catAx>
        <c:axId val="169570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706256"/>
        <c:crosses val="autoZero"/>
        <c:auto val="1"/>
        <c:lblAlgn val="ctr"/>
        <c:lblOffset val="100"/>
        <c:noMultiLvlLbl val="0"/>
      </c:catAx>
      <c:valAx>
        <c:axId val="1695706256"/>
        <c:scaling>
          <c:orientation val="minMax"/>
        </c:scaling>
        <c:delete val="0"/>
        <c:axPos val="l"/>
        <c:numFmt formatCode="0%" sourceLinked="1"/>
        <c:majorTickMark val="none"/>
        <c:minorTickMark val="none"/>
        <c:tickLblPos val="nextTo"/>
        <c:spPr>
          <a:noFill/>
          <a:ln>
            <a:solidFill>
              <a:schemeClr val="accent3">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702512"/>
        <c:crosses val="autoZero"/>
        <c:crossBetween val="between"/>
      </c:valAx>
      <c:spPr>
        <a:noFill/>
        <a:ln>
          <a:noFill/>
        </a:ln>
        <a:effectLst/>
      </c:spPr>
    </c:plotArea>
    <c:legend>
      <c:legendPos val="r"/>
      <c:layout>
        <c:manualLayout>
          <c:xMode val="edge"/>
          <c:yMode val="edge"/>
          <c:x val="0.81743753421196685"/>
          <c:y val="7.3204651501895632E-2"/>
          <c:w val="0.16708863531096044"/>
          <c:h val="0.622109215514727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accent3"/>
              </a:solidFill>
            </a:ln>
          </c:spPr>
          <c:dPt>
            <c:idx val="0"/>
            <c:bubble3D val="0"/>
            <c:spPr>
              <a:solidFill>
                <a:schemeClr val="bg1">
                  <a:lumMod val="85000"/>
                </a:schemeClr>
              </a:solidFill>
              <a:ln w="19050">
                <a:solidFill>
                  <a:schemeClr val="accent3"/>
                </a:solidFill>
              </a:ln>
              <a:effectLst/>
            </c:spPr>
            <c:extLst>
              <c:ext xmlns:c16="http://schemas.microsoft.com/office/drawing/2014/chart" uri="{C3380CC4-5D6E-409C-BE32-E72D297353CC}">
                <c16:uniqueId val="{00000001-1DD0-4A35-A22F-574DA2A84E20}"/>
              </c:ext>
            </c:extLst>
          </c:dPt>
          <c:dPt>
            <c:idx val="1"/>
            <c:bubble3D val="0"/>
            <c:spPr>
              <a:solidFill>
                <a:schemeClr val="accent3">
                  <a:lumMod val="60000"/>
                  <a:lumOff val="40000"/>
                </a:schemeClr>
              </a:solidFill>
              <a:ln w="19050">
                <a:solidFill>
                  <a:schemeClr val="accent3"/>
                </a:solidFill>
              </a:ln>
              <a:effectLst/>
            </c:spPr>
            <c:extLst>
              <c:ext xmlns:c16="http://schemas.microsoft.com/office/drawing/2014/chart" uri="{C3380CC4-5D6E-409C-BE32-E72D297353CC}">
                <c16:uniqueId val="{00000003-1DD0-4A35-A22F-574DA2A84E20}"/>
              </c:ext>
            </c:extLst>
          </c:dPt>
          <c:dPt>
            <c:idx val="2"/>
            <c:bubble3D val="0"/>
            <c:spPr>
              <a:solidFill>
                <a:schemeClr val="accent2"/>
              </a:solidFill>
              <a:ln w="19050">
                <a:solidFill>
                  <a:schemeClr val="accent3"/>
                </a:solidFill>
              </a:ln>
              <a:effectLst/>
            </c:spPr>
            <c:extLst>
              <c:ext xmlns:c16="http://schemas.microsoft.com/office/drawing/2014/chart" uri="{C3380CC4-5D6E-409C-BE32-E72D297353CC}">
                <c16:uniqueId val="{00000005-1DD0-4A35-A22F-574DA2A84E20}"/>
              </c:ext>
            </c:extLst>
          </c:dPt>
          <c:dPt>
            <c:idx val="3"/>
            <c:bubble3D val="0"/>
            <c:spPr>
              <a:solidFill>
                <a:schemeClr val="accent2">
                  <a:lumMod val="50000"/>
                </a:schemeClr>
              </a:solidFill>
              <a:ln w="19050">
                <a:solidFill>
                  <a:schemeClr val="accent3"/>
                </a:solidFill>
              </a:ln>
              <a:effectLst/>
            </c:spPr>
            <c:extLst>
              <c:ext xmlns:c16="http://schemas.microsoft.com/office/drawing/2014/chart" uri="{C3380CC4-5D6E-409C-BE32-E72D297353CC}">
                <c16:uniqueId val="{00000007-1DD0-4A35-A22F-574DA2A84E20}"/>
              </c:ext>
            </c:extLst>
          </c:dPt>
          <c:dLbls>
            <c:dLbl>
              <c:idx val="0"/>
              <c:layout>
                <c:manualLayout>
                  <c:x val="-0.21885940046967822"/>
                  <c:y val="8.50816168275470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D0-4A35-A22F-574DA2A84E20}"/>
                </c:ext>
              </c:extLst>
            </c:dLbl>
            <c:dLbl>
              <c:idx val="1"/>
              <c:layout>
                <c:manualLayout>
                  <c:x val="0.14036955380577429"/>
                  <c:y val="-0.269202120119736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D0-4A35-A22F-574DA2A84E20}"/>
                </c:ext>
              </c:extLst>
            </c:dLbl>
            <c:dLbl>
              <c:idx val="2"/>
              <c:layout>
                <c:manualLayout>
                  <c:x val="-1.6636045494313337E-3"/>
                  <c:y val="4.2543828362918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D0-4A35-A22F-574DA2A84E20}"/>
                </c:ext>
              </c:extLst>
            </c:dLbl>
            <c:dLbl>
              <c:idx val="3"/>
              <c:layout>
                <c:manualLayout>
                  <c:x val="1.1107392825896763E-2"/>
                  <c:y val="1.71465152221825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D0-4A35-A22F-574DA2A84E20}"/>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'number core and proj'!$K$26:$K$29</c:f>
              <c:strCache>
                <c:ptCount val="4"/>
                <c:pt idx="0">
                  <c:v>No project funding</c:v>
                </c:pt>
                <c:pt idx="1">
                  <c:v>One Directorate</c:v>
                </c:pt>
                <c:pt idx="2">
                  <c:v>Two Directorates</c:v>
                </c:pt>
                <c:pt idx="3">
                  <c:v>Three or more Directorates</c:v>
                </c:pt>
              </c:strCache>
            </c:strRef>
          </c:cat>
          <c:val>
            <c:numRef>
              <c:f>'number core and proj'!$L$26:$L$29</c:f>
              <c:numCache>
                <c:formatCode>0%</c:formatCode>
                <c:ptCount val="4"/>
                <c:pt idx="0">
                  <c:v>0.36399999999999999</c:v>
                </c:pt>
                <c:pt idx="1">
                  <c:v>0.38600000000000001</c:v>
                </c:pt>
                <c:pt idx="2">
                  <c:v>0.14799999999999999</c:v>
                </c:pt>
                <c:pt idx="3">
                  <c:v>0.10199999999999999</c:v>
                </c:pt>
              </c:numCache>
            </c:numRef>
          </c:val>
          <c:extLst>
            <c:ext xmlns:c16="http://schemas.microsoft.com/office/drawing/2014/chart" uri="{C3380CC4-5D6E-409C-BE32-E72D297353CC}">
              <c16:uniqueId val="{00000008-1DD0-4A35-A22F-574DA2A84E2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236220472440949E-2"/>
          <c:y val="5.0925925925925923E-2"/>
          <c:w val="0.67382708841536787"/>
          <c:h val="0.8416746864975212"/>
        </c:manualLayout>
      </c:layout>
      <c:areaChart>
        <c:grouping val="stacked"/>
        <c:varyColors val="0"/>
        <c:ser>
          <c:idx val="2"/>
          <c:order val="0"/>
          <c:tx>
            <c:strRef>
              <c:f>DSS!$I$30</c:f>
              <c:strCache>
                <c:ptCount val="1"/>
                <c:pt idx="0">
                  <c:v>JobSeeker Payment / Newstart</c:v>
                </c:pt>
              </c:strCache>
            </c:strRef>
          </c:tx>
          <c:spPr>
            <a:solidFill>
              <a:schemeClr val="accent3"/>
            </a:solidFill>
            <a:ln>
              <a:noFill/>
            </a:ln>
            <a:effectLst/>
          </c:spPr>
          <c:cat>
            <c:numRef>
              <c:f>DSS!$F$31:$F$36</c:f>
              <c:numCache>
                <c:formatCode>mmm\-yy</c:formatCode>
                <c:ptCount val="6"/>
                <c:pt idx="0">
                  <c:v>44348</c:v>
                </c:pt>
                <c:pt idx="1">
                  <c:v>43983</c:v>
                </c:pt>
                <c:pt idx="2">
                  <c:v>43617</c:v>
                </c:pt>
                <c:pt idx="3">
                  <c:v>43252</c:v>
                </c:pt>
                <c:pt idx="4">
                  <c:v>42887</c:v>
                </c:pt>
                <c:pt idx="5">
                  <c:v>42522</c:v>
                </c:pt>
              </c:numCache>
            </c:numRef>
          </c:cat>
          <c:val>
            <c:numRef>
              <c:f>DSS!$I$31:$I$36</c:f>
              <c:numCache>
                <c:formatCode>#,##0</c:formatCode>
                <c:ptCount val="6"/>
                <c:pt idx="0">
                  <c:v>8406</c:v>
                </c:pt>
                <c:pt idx="1">
                  <c:v>13056</c:v>
                </c:pt>
                <c:pt idx="2">
                  <c:v>5508</c:v>
                </c:pt>
                <c:pt idx="3">
                  <c:v>6039</c:v>
                </c:pt>
                <c:pt idx="4">
                  <c:v>5978</c:v>
                </c:pt>
                <c:pt idx="5">
                  <c:v>5894</c:v>
                </c:pt>
              </c:numCache>
            </c:numRef>
          </c:val>
          <c:extLst>
            <c:ext xmlns:c16="http://schemas.microsoft.com/office/drawing/2014/chart" uri="{C3380CC4-5D6E-409C-BE32-E72D297353CC}">
              <c16:uniqueId val="{00000000-81A7-409B-81FA-AFF21E9590A4}"/>
            </c:ext>
          </c:extLst>
        </c:ser>
        <c:ser>
          <c:idx val="3"/>
          <c:order val="1"/>
          <c:tx>
            <c:strRef>
              <c:f>DSS!$J$30</c:f>
              <c:strCache>
                <c:ptCount val="1"/>
                <c:pt idx="0">
                  <c:v>Parenting Payment Single</c:v>
                </c:pt>
              </c:strCache>
            </c:strRef>
          </c:tx>
          <c:spPr>
            <a:solidFill>
              <a:schemeClr val="accent4"/>
            </a:solidFill>
            <a:ln>
              <a:noFill/>
            </a:ln>
            <a:effectLst/>
          </c:spPr>
          <c:cat>
            <c:numRef>
              <c:f>DSS!$F$31:$F$36</c:f>
              <c:numCache>
                <c:formatCode>mmm\-yy</c:formatCode>
                <c:ptCount val="6"/>
                <c:pt idx="0">
                  <c:v>44348</c:v>
                </c:pt>
                <c:pt idx="1">
                  <c:v>43983</c:v>
                </c:pt>
                <c:pt idx="2">
                  <c:v>43617</c:v>
                </c:pt>
                <c:pt idx="3">
                  <c:v>43252</c:v>
                </c:pt>
                <c:pt idx="4">
                  <c:v>42887</c:v>
                </c:pt>
                <c:pt idx="5">
                  <c:v>42522</c:v>
                </c:pt>
              </c:numCache>
            </c:numRef>
          </c:cat>
          <c:val>
            <c:numRef>
              <c:f>DSS!$J$31:$J$36</c:f>
              <c:numCache>
                <c:formatCode>#,##0</c:formatCode>
                <c:ptCount val="6"/>
                <c:pt idx="0">
                  <c:v>2347</c:v>
                </c:pt>
                <c:pt idx="1">
                  <c:v>2461</c:v>
                </c:pt>
                <c:pt idx="2">
                  <c:v>2325</c:v>
                </c:pt>
                <c:pt idx="3">
                  <c:v>2607</c:v>
                </c:pt>
                <c:pt idx="4">
                  <c:v>2727</c:v>
                </c:pt>
                <c:pt idx="5">
                  <c:v>2747</c:v>
                </c:pt>
              </c:numCache>
            </c:numRef>
          </c:val>
          <c:extLst>
            <c:ext xmlns:c16="http://schemas.microsoft.com/office/drawing/2014/chart" uri="{C3380CC4-5D6E-409C-BE32-E72D297353CC}">
              <c16:uniqueId val="{00000001-81A7-409B-81FA-AFF21E9590A4}"/>
            </c:ext>
          </c:extLst>
        </c:ser>
        <c:ser>
          <c:idx val="4"/>
          <c:order val="2"/>
          <c:tx>
            <c:strRef>
              <c:f>DSS!$K$30</c:f>
              <c:strCache>
                <c:ptCount val="1"/>
                <c:pt idx="0">
                  <c:v>Youth Allowance</c:v>
                </c:pt>
              </c:strCache>
            </c:strRef>
          </c:tx>
          <c:spPr>
            <a:solidFill>
              <a:schemeClr val="accent5"/>
            </a:solidFill>
            <a:ln>
              <a:noFill/>
            </a:ln>
            <a:effectLst/>
          </c:spPr>
          <c:cat>
            <c:numRef>
              <c:f>DSS!$F$31:$F$36</c:f>
              <c:numCache>
                <c:formatCode>mmm\-yy</c:formatCode>
                <c:ptCount val="6"/>
                <c:pt idx="0">
                  <c:v>44348</c:v>
                </c:pt>
                <c:pt idx="1">
                  <c:v>43983</c:v>
                </c:pt>
                <c:pt idx="2">
                  <c:v>43617</c:v>
                </c:pt>
                <c:pt idx="3">
                  <c:v>43252</c:v>
                </c:pt>
                <c:pt idx="4">
                  <c:v>42887</c:v>
                </c:pt>
                <c:pt idx="5">
                  <c:v>42522</c:v>
                </c:pt>
              </c:numCache>
            </c:numRef>
          </c:cat>
          <c:val>
            <c:numRef>
              <c:f>DSS!$K$31:$K$36</c:f>
              <c:numCache>
                <c:formatCode>#,##0</c:formatCode>
                <c:ptCount val="6"/>
                <c:pt idx="0">
                  <c:v>4870</c:v>
                </c:pt>
                <c:pt idx="1">
                  <c:v>5558</c:v>
                </c:pt>
                <c:pt idx="2">
                  <c:v>3976</c:v>
                </c:pt>
                <c:pt idx="3">
                  <c:v>4200</c:v>
                </c:pt>
                <c:pt idx="4">
                  <c:v>4331</c:v>
                </c:pt>
                <c:pt idx="5">
                  <c:v>4830</c:v>
                </c:pt>
              </c:numCache>
            </c:numRef>
          </c:val>
          <c:extLst>
            <c:ext xmlns:c16="http://schemas.microsoft.com/office/drawing/2014/chart" uri="{C3380CC4-5D6E-409C-BE32-E72D297353CC}">
              <c16:uniqueId val="{00000002-81A7-409B-81FA-AFF21E9590A4}"/>
            </c:ext>
          </c:extLst>
        </c:ser>
        <c:dLbls>
          <c:showLegendKey val="0"/>
          <c:showVal val="0"/>
          <c:showCatName val="0"/>
          <c:showSerName val="0"/>
          <c:showPercent val="0"/>
          <c:showBubbleSize val="0"/>
        </c:dLbls>
        <c:axId val="240461360"/>
        <c:axId val="240465936"/>
      </c:areaChart>
      <c:dateAx>
        <c:axId val="2404613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465936"/>
        <c:crosses val="autoZero"/>
        <c:auto val="1"/>
        <c:lblOffset val="100"/>
        <c:baseTimeUnit val="years"/>
      </c:dateAx>
      <c:valAx>
        <c:axId val="24046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461360"/>
        <c:crosses val="autoZero"/>
        <c:crossBetween val="midCat"/>
        <c:majorUnit val="10000"/>
      </c:valAx>
      <c:spPr>
        <a:noFill/>
        <a:ln>
          <a:noFill/>
        </a:ln>
        <a:effectLst/>
      </c:spPr>
    </c:plotArea>
    <c:legend>
      <c:legendPos val="r"/>
      <c:layout>
        <c:manualLayout>
          <c:xMode val="edge"/>
          <c:yMode val="edge"/>
          <c:x val="0.78100686783112883"/>
          <c:y val="2.838641759138906E-2"/>
          <c:w val="0.20681659024528856"/>
          <c:h val="0.912297859084121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616770417499664E-2"/>
          <c:y val="0.17100123869060985"/>
          <c:w val="0.91155592467844837"/>
          <c:h val="0.73998869966461178"/>
        </c:manualLayout>
      </c:layout>
      <c:barChart>
        <c:barDir val="col"/>
        <c:grouping val="stacked"/>
        <c:varyColors val="0"/>
        <c:ser>
          <c:idx val="0"/>
          <c:order val="0"/>
          <c:tx>
            <c:strRef>
              <c:f>'Table 13A.3'!$AE$19</c:f>
              <c:strCache>
                <c:ptCount val="1"/>
                <c:pt idx="0">
                  <c:v>Real recurrent expenditure on NGOs ($m)</c:v>
                </c:pt>
              </c:strCache>
            </c:strRef>
          </c:tx>
          <c:spPr>
            <a:solidFill>
              <a:schemeClr val="accent1"/>
            </a:solidFill>
            <a:ln w="34925">
              <a:noFill/>
            </a:ln>
            <a:effectLst/>
          </c:spPr>
          <c:invertIfNegative val="0"/>
          <c:dLbls>
            <c:numFmt formatCode="&quot;$&quot;#,##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13A.3'!$AF$17:$AO$17</c:f>
              <c:strCache>
                <c:ptCount val="10"/>
                <c:pt idx="0">
                  <c:v>2018-19</c:v>
                </c:pt>
                <c:pt idx="1">
                  <c:v>2017-18</c:v>
                </c:pt>
                <c:pt idx="2">
                  <c:v>2016-17</c:v>
                </c:pt>
                <c:pt idx="3">
                  <c:v>2015-16</c:v>
                </c:pt>
                <c:pt idx="4">
                  <c:v>2014-15</c:v>
                </c:pt>
                <c:pt idx="5">
                  <c:v>2013-14</c:v>
                </c:pt>
                <c:pt idx="6">
                  <c:v>2012-13</c:v>
                </c:pt>
                <c:pt idx="7">
                  <c:v>2011-12</c:v>
                </c:pt>
                <c:pt idx="8">
                  <c:v>2010-11</c:v>
                </c:pt>
                <c:pt idx="9">
                  <c:v>2009-10</c:v>
                </c:pt>
              </c:strCache>
            </c:strRef>
          </c:cat>
          <c:val>
            <c:numRef>
              <c:f>'Table 13A.3'!$AF$19:$AO$19</c:f>
              <c:numCache>
                <c:formatCode>_("$"* #,##0.00_);_("$"* \(#,##0.00\);_("$"* "-"??_);_(@_)</c:formatCode>
                <c:ptCount val="10"/>
                <c:pt idx="0">
                  <c:v>10</c:v>
                </c:pt>
                <c:pt idx="1">
                  <c:v>8.6999999999999993</c:v>
                </c:pt>
                <c:pt idx="2">
                  <c:v>9.9</c:v>
                </c:pt>
                <c:pt idx="3">
                  <c:v>12.4</c:v>
                </c:pt>
                <c:pt idx="4">
                  <c:v>18.899999999999999</c:v>
                </c:pt>
                <c:pt idx="5">
                  <c:v>17.2</c:v>
                </c:pt>
                <c:pt idx="6">
                  <c:v>14.9</c:v>
                </c:pt>
                <c:pt idx="7">
                  <c:v>12.2</c:v>
                </c:pt>
                <c:pt idx="8">
                  <c:v>10.3</c:v>
                </c:pt>
                <c:pt idx="9">
                  <c:v>9.5</c:v>
                </c:pt>
              </c:numCache>
            </c:numRef>
          </c:val>
          <c:extLst>
            <c:ext xmlns:c16="http://schemas.microsoft.com/office/drawing/2014/chart" uri="{C3380CC4-5D6E-409C-BE32-E72D297353CC}">
              <c16:uniqueId val="{00000000-4778-47F0-905F-A98087A3F3D8}"/>
            </c:ext>
          </c:extLst>
        </c:ser>
        <c:ser>
          <c:idx val="2"/>
          <c:order val="2"/>
          <c:tx>
            <c:strRef>
              <c:f>'Table 13A.3'!$AE$20</c:f>
              <c:strCache>
                <c:ptCount val="1"/>
                <c:pt idx="0">
                  <c:v>Total real recurrent expenditure</c:v>
                </c:pt>
              </c:strCache>
            </c:strRef>
          </c:tx>
          <c:spPr>
            <a:solidFill>
              <a:srgbClr val="B4C7D6"/>
            </a:solidFill>
            <a:ln>
              <a:noFill/>
            </a:ln>
            <a:effectLst/>
          </c:spPr>
          <c:invertIfNegative val="0"/>
          <c:dLbls>
            <c:numFmt formatCode="&quot;$&quot;#,##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13A.3'!$AF$17:$AO$17</c:f>
              <c:strCache>
                <c:ptCount val="10"/>
                <c:pt idx="0">
                  <c:v>2018-19</c:v>
                </c:pt>
                <c:pt idx="1">
                  <c:v>2017-18</c:v>
                </c:pt>
                <c:pt idx="2">
                  <c:v>2016-17</c:v>
                </c:pt>
                <c:pt idx="3">
                  <c:v>2015-16</c:v>
                </c:pt>
                <c:pt idx="4">
                  <c:v>2014-15</c:v>
                </c:pt>
                <c:pt idx="5">
                  <c:v>2013-14</c:v>
                </c:pt>
                <c:pt idx="6">
                  <c:v>2012-13</c:v>
                </c:pt>
                <c:pt idx="7">
                  <c:v>2011-12</c:v>
                </c:pt>
                <c:pt idx="8">
                  <c:v>2010-11</c:v>
                </c:pt>
                <c:pt idx="9">
                  <c:v>2009-10</c:v>
                </c:pt>
              </c:strCache>
            </c:strRef>
          </c:cat>
          <c:val>
            <c:numRef>
              <c:f>'Table 13A.3'!$AF$20:$AO$20</c:f>
              <c:numCache>
                <c:formatCode>_("$"* #,##0.00_);_("$"* \(#,##0.00\);_("$"* "-"??_);_(@_)</c:formatCode>
                <c:ptCount val="10"/>
                <c:pt idx="0">
                  <c:v>121.5</c:v>
                </c:pt>
                <c:pt idx="1">
                  <c:v>109.9</c:v>
                </c:pt>
                <c:pt idx="2">
                  <c:v>105.5</c:v>
                </c:pt>
                <c:pt idx="3">
                  <c:v>100.2</c:v>
                </c:pt>
                <c:pt idx="4">
                  <c:v>104.4</c:v>
                </c:pt>
                <c:pt idx="5">
                  <c:v>99.8</c:v>
                </c:pt>
                <c:pt idx="6">
                  <c:v>96.1</c:v>
                </c:pt>
                <c:pt idx="7">
                  <c:v>92.1</c:v>
                </c:pt>
                <c:pt idx="8">
                  <c:v>86.5</c:v>
                </c:pt>
                <c:pt idx="9">
                  <c:v>82.6</c:v>
                </c:pt>
              </c:numCache>
            </c:numRef>
          </c:val>
          <c:extLst>
            <c:ext xmlns:c16="http://schemas.microsoft.com/office/drawing/2014/chart" uri="{C3380CC4-5D6E-409C-BE32-E72D297353CC}">
              <c16:uniqueId val="{00000001-4778-47F0-905F-A98087A3F3D8}"/>
            </c:ext>
          </c:extLst>
        </c:ser>
        <c:dLbls>
          <c:showLegendKey val="0"/>
          <c:showVal val="0"/>
          <c:showCatName val="0"/>
          <c:showSerName val="0"/>
          <c:showPercent val="0"/>
          <c:showBubbleSize val="0"/>
        </c:dLbls>
        <c:gapWidth val="50"/>
        <c:overlap val="100"/>
        <c:axId val="704341376"/>
        <c:axId val="704341792"/>
      </c:barChart>
      <c:lineChart>
        <c:grouping val="standard"/>
        <c:varyColors val="0"/>
        <c:ser>
          <c:idx val="1"/>
          <c:order val="1"/>
          <c:tx>
            <c:strRef>
              <c:f>'Table 13A.3'!$AE$18</c:f>
              <c:strCache>
                <c:ptCount val="1"/>
                <c:pt idx="0">
                  <c:v>% to NGOs</c:v>
                </c:pt>
              </c:strCache>
            </c:strRef>
          </c:tx>
          <c:spPr>
            <a:ln w="34925" cap="rnd">
              <a:solidFill>
                <a:schemeClr val="accent6">
                  <a:lumMod val="50000"/>
                </a:schemeClr>
              </a:solidFill>
              <a:round/>
            </a:ln>
            <a:effectLst/>
          </c:spPr>
          <c:marker>
            <c:symbol val="none"/>
          </c:marker>
          <c:dLbls>
            <c:dLbl>
              <c:idx val="0"/>
              <c:layout>
                <c:manualLayout>
                  <c:x val="-3.112303170030702E-2"/>
                  <c:y val="-4.8829623353099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78-47F0-905F-A98087A3F3D8}"/>
                </c:ext>
              </c:extLst>
            </c:dLbl>
            <c:dLbl>
              <c:idx val="1"/>
              <c:layout>
                <c:manualLayout>
                  <c:x val="-3.0925998098436127E-2"/>
                  <c:y val="-3.6330287757655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78-47F0-905F-A98087A3F3D8}"/>
                </c:ext>
              </c:extLst>
            </c:dLbl>
            <c:dLbl>
              <c:idx val="4"/>
              <c:layout>
                <c:manualLayout>
                  <c:x val="-4.4111971477730126E-2"/>
                  <c:y val="-2.4425403320413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78-47F0-905F-A98087A3F3D8}"/>
                </c:ext>
              </c:extLst>
            </c:dLbl>
            <c:dLbl>
              <c:idx val="5"/>
              <c:layout>
                <c:manualLayout>
                  <c:x val="-4.1651035267962849E-2"/>
                  <c:y val="3.4756853310002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78-47F0-905F-A98087A3F3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13A.3'!$AF$17:$AO$17</c:f>
              <c:strCache>
                <c:ptCount val="10"/>
                <c:pt idx="0">
                  <c:v>2018-19</c:v>
                </c:pt>
                <c:pt idx="1">
                  <c:v>2017-18</c:v>
                </c:pt>
                <c:pt idx="2">
                  <c:v>2016-17</c:v>
                </c:pt>
                <c:pt idx="3">
                  <c:v>2015-16</c:v>
                </c:pt>
                <c:pt idx="4">
                  <c:v>2014-15</c:v>
                </c:pt>
                <c:pt idx="5">
                  <c:v>2013-14</c:v>
                </c:pt>
                <c:pt idx="6">
                  <c:v>2012-13</c:v>
                </c:pt>
                <c:pt idx="7">
                  <c:v>2011-12</c:v>
                </c:pt>
                <c:pt idx="8">
                  <c:v>2010-11</c:v>
                </c:pt>
                <c:pt idx="9">
                  <c:v>2009-10</c:v>
                </c:pt>
              </c:strCache>
            </c:strRef>
          </c:cat>
          <c:val>
            <c:numRef>
              <c:f>'Table 13A.3'!$AF$18:$AO$18</c:f>
              <c:numCache>
                <c:formatCode>0.0%</c:formatCode>
                <c:ptCount val="10"/>
                <c:pt idx="0">
                  <c:v>8.2000000000000003E-2</c:v>
                </c:pt>
                <c:pt idx="1">
                  <c:v>7.9000000000000001E-2</c:v>
                </c:pt>
                <c:pt idx="2">
                  <c:v>9.4E-2</c:v>
                </c:pt>
                <c:pt idx="3">
                  <c:v>0.123</c:v>
                </c:pt>
                <c:pt idx="4">
                  <c:v>0.18099999999999999</c:v>
                </c:pt>
                <c:pt idx="5">
                  <c:v>0.17199999999999999</c:v>
                </c:pt>
                <c:pt idx="6">
                  <c:v>0.155</c:v>
                </c:pt>
                <c:pt idx="7">
                  <c:v>0.13300000000000001</c:v>
                </c:pt>
                <c:pt idx="8">
                  <c:v>0.11899999999999999</c:v>
                </c:pt>
                <c:pt idx="9">
                  <c:v>0.115</c:v>
                </c:pt>
              </c:numCache>
            </c:numRef>
          </c:val>
          <c:smooth val="0"/>
          <c:extLst>
            <c:ext xmlns:c16="http://schemas.microsoft.com/office/drawing/2014/chart" uri="{C3380CC4-5D6E-409C-BE32-E72D297353CC}">
              <c16:uniqueId val="{00000006-4778-47F0-905F-A98087A3F3D8}"/>
            </c:ext>
          </c:extLst>
        </c:ser>
        <c:dLbls>
          <c:showLegendKey val="0"/>
          <c:showVal val="0"/>
          <c:showCatName val="0"/>
          <c:showSerName val="0"/>
          <c:showPercent val="0"/>
          <c:showBubbleSize val="0"/>
        </c:dLbls>
        <c:marker val="1"/>
        <c:smooth val="0"/>
        <c:axId val="346258512"/>
        <c:axId val="346253936"/>
      </c:lineChart>
      <c:catAx>
        <c:axId val="7043413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41792"/>
        <c:crosses val="autoZero"/>
        <c:auto val="1"/>
        <c:lblAlgn val="ctr"/>
        <c:lblOffset val="100"/>
        <c:noMultiLvlLbl val="0"/>
      </c:catAx>
      <c:valAx>
        <c:axId val="704341792"/>
        <c:scaling>
          <c:orientation val="minMax"/>
        </c:scaling>
        <c:delete val="0"/>
        <c:axPos val="r"/>
        <c:numFmt formatCode="_(&quot;$&quot;* #,##0_);_(&quot;$&quot;* \(#,##0\);_(&quot;$&quot;* &quot;-&quot;_);_(@_)"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41376"/>
        <c:crosses val="autoZero"/>
        <c:crossBetween val="between"/>
      </c:valAx>
      <c:valAx>
        <c:axId val="3462539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58512"/>
        <c:crosses val="max"/>
        <c:crossBetween val="between"/>
      </c:valAx>
      <c:catAx>
        <c:axId val="346258512"/>
        <c:scaling>
          <c:orientation val="minMax"/>
        </c:scaling>
        <c:delete val="1"/>
        <c:axPos val="b"/>
        <c:numFmt formatCode="General" sourceLinked="1"/>
        <c:majorTickMark val="out"/>
        <c:minorTickMark val="none"/>
        <c:tickLblPos val="nextTo"/>
        <c:crossAx val="346253936"/>
        <c:crosses val="autoZero"/>
        <c:auto val="1"/>
        <c:lblAlgn val="ctr"/>
        <c:lblOffset val="100"/>
        <c:noMultiLvlLbl val="0"/>
      </c:catAx>
      <c:spPr>
        <a:noFill/>
        <a:ln>
          <a:noFill/>
        </a:ln>
        <a:effectLst/>
      </c:spPr>
    </c:plotArea>
    <c:legend>
      <c:legendPos val="t"/>
      <c:layout>
        <c:manualLayout>
          <c:xMode val="edge"/>
          <c:yMode val="edge"/>
          <c:x val="9.9802781967049725E-2"/>
          <c:y val="6.3191153238546603E-3"/>
          <c:w val="0.85227225565470011"/>
          <c:h val="0.13074373997089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Sheet1!$C$6</c:f>
              <c:strCache>
                <c:ptCount val="1"/>
                <c:pt idx="0">
                  <c:v>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Sheet1!$F$4:$I$5</c:f>
              <c:multiLvlStrCache>
                <c:ptCount val="4"/>
                <c:lvl>
                  <c:pt idx="0">
                    <c:v>Developmentally vulnerable on 1 domain</c:v>
                  </c:pt>
                  <c:pt idx="1">
                    <c:v>Developmentally vulnerable on 2 domains</c:v>
                  </c:pt>
                  <c:pt idx="2">
                    <c:v>Developmentally vulnerable on 1 domain</c:v>
                  </c:pt>
                  <c:pt idx="3">
                    <c:v>Developmentally vulnerable on 2 domains</c:v>
                  </c:pt>
                </c:lvl>
                <c:lvl>
                  <c:pt idx="0">
                    <c:v>2015</c:v>
                  </c:pt>
                  <c:pt idx="2">
                    <c:v>2018</c:v>
                  </c:pt>
                </c:lvl>
              </c:multiLvlStrCache>
            </c:multiLvlStrRef>
          </c:cat>
          <c:val>
            <c:numRef>
              <c:f>Sheet1!$F$6:$I$6</c:f>
              <c:numCache>
                <c:formatCode>0%</c:formatCode>
                <c:ptCount val="4"/>
                <c:pt idx="0">
                  <c:v>0.22500000000000001</c:v>
                </c:pt>
                <c:pt idx="1">
                  <c:v>0.10299999999999999</c:v>
                </c:pt>
                <c:pt idx="2">
                  <c:v>0.246</c:v>
                </c:pt>
                <c:pt idx="3">
                  <c:v>0.124</c:v>
                </c:pt>
              </c:numCache>
            </c:numRef>
          </c:val>
          <c:extLst>
            <c:ext xmlns:c16="http://schemas.microsoft.com/office/drawing/2014/chart" uri="{C3380CC4-5D6E-409C-BE32-E72D297353CC}">
              <c16:uniqueId val="{00000000-C8CC-4A69-A6F5-B2F0AD62796A}"/>
            </c:ext>
          </c:extLst>
        </c:ser>
        <c:ser>
          <c:idx val="1"/>
          <c:order val="1"/>
          <c:tx>
            <c:strRef>
              <c:f>Sheet1!$C$7</c:f>
              <c:strCache>
                <c:ptCount val="1"/>
                <c:pt idx="0">
                  <c:v>Australia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Sheet1!$F$4:$I$5</c:f>
              <c:multiLvlStrCache>
                <c:ptCount val="4"/>
                <c:lvl>
                  <c:pt idx="0">
                    <c:v>Developmentally vulnerable on 1 domain</c:v>
                  </c:pt>
                  <c:pt idx="1">
                    <c:v>Developmentally vulnerable on 2 domains</c:v>
                  </c:pt>
                  <c:pt idx="2">
                    <c:v>Developmentally vulnerable on 1 domain</c:v>
                  </c:pt>
                  <c:pt idx="3">
                    <c:v>Developmentally vulnerable on 2 domains</c:v>
                  </c:pt>
                </c:lvl>
                <c:lvl>
                  <c:pt idx="0">
                    <c:v>2015</c:v>
                  </c:pt>
                  <c:pt idx="2">
                    <c:v>2018</c:v>
                  </c:pt>
                </c:lvl>
              </c:multiLvlStrCache>
            </c:multiLvlStrRef>
          </c:cat>
          <c:val>
            <c:numRef>
              <c:f>Sheet1!$F$7:$I$7</c:f>
              <c:numCache>
                <c:formatCode>0%</c:formatCode>
                <c:ptCount val="4"/>
                <c:pt idx="0">
                  <c:v>0.22</c:v>
                </c:pt>
                <c:pt idx="1">
                  <c:v>0.111</c:v>
                </c:pt>
                <c:pt idx="2">
                  <c:v>0.217</c:v>
                </c:pt>
                <c:pt idx="3">
                  <c:v>0.11</c:v>
                </c:pt>
              </c:numCache>
            </c:numRef>
          </c:val>
          <c:extLst>
            <c:ext xmlns:c16="http://schemas.microsoft.com/office/drawing/2014/chart" uri="{C3380CC4-5D6E-409C-BE32-E72D297353CC}">
              <c16:uniqueId val="{00000001-C8CC-4A69-A6F5-B2F0AD62796A}"/>
            </c:ext>
          </c:extLst>
        </c:ser>
        <c:dLbls>
          <c:showLegendKey val="0"/>
          <c:showVal val="0"/>
          <c:showCatName val="0"/>
          <c:showSerName val="0"/>
          <c:showPercent val="0"/>
          <c:showBubbleSize val="0"/>
        </c:dLbls>
        <c:gapWidth val="219"/>
        <c:overlap val="-27"/>
        <c:axId val="575942512"/>
        <c:axId val="575942928"/>
      </c:barChart>
      <c:catAx>
        <c:axId val="57594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942928"/>
        <c:crosses val="autoZero"/>
        <c:auto val="1"/>
        <c:lblAlgn val="ctr"/>
        <c:lblOffset val="100"/>
        <c:noMultiLvlLbl val="0"/>
      </c:catAx>
      <c:valAx>
        <c:axId val="575942928"/>
        <c:scaling>
          <c:orientation val="minMax"/>
        </c:scaling>
        <c:delete val="0"/>
        <c:axPos val="l"/>
        <c:numFmt formatCode="0%" sourceLinked="1"/>
        <c:majorTickMark val="none"/>
        <c:minorTickMark val="none"/>
        <c:tickLblPos val="nextTo"/>
        <c:spPr>
          <a:noFill/>
          <a:ln>
            <a:solidFill>
              <a:schemeClr val="accent3">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94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206741430459974E-2"/>
          <c:y val="0.13324607596426277"/>
          <c:w val="0.75400160640999947"/>
          <c:h val="0.69616953916341551"/>
        </c:manualLayout>
      </c:layout>
      <c:lineChart>
        <c:grouping val="standard"/>
        <c:varyColors val="0"/>
        <c:ser>
          <c:idx val="0"/>
          <c:order val="0"/>
          <c:tx>
            <c:strRef>
              <c:f>'% increases'!$B$6</c:f>
              <c:strCache>
                <c:ptCount val="1"/>
                <c:pt idx="0">
                  <c:v>Level 1 - pay point 1</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B25B-44A7-9203-FF125A1FF7D9}"/>
                </c:ext>
              </c:extLst>
            </c:dLbl>
            <c:dLbl>
              <c:idx val="1"/>
              <c:delete val="1"/>
              <c:extLst>
                <c:ext xmlns:c15="http://schemas.microsoft.com/office/drawing/2012/chart" uri="{CE6537A1-D6FC-4f65-9D91-7224C49458BB}"/>
                <c:ext xmlns:c16="http://schemas.microsoft.com/office/drawing/2014/chart" uri="{C3380CC4-5D6E-409C-BE32-E72D297353CC}">
                  <c16:uniqueId val="{00000001-B25B-44A7-9203-FF125A1FF7D9}"/>
                </c:ext>
              </c:extLst>
            </c:dLbl>
            <c:dLbl>
              <c:idx val="2"/>
              <c:delete val="1"/>
              <c:extLst>
                <c:ext xmlns:c15="http://schemas.microsoft.com/office/drawing/2012/chart" uri="{CE6537A1-D6FC-4f65-9D91-7224C49458BB}"/>
                <c:ext xmlns:c16="http://schemas.microsoft.com/office/drawing/2014/chart" uri="{C3380CC4-5D6E-409C-BE32-E72D297353CC}">
                  <c16:uniqueId val="{00000002-B25B-44A7-9203-FF125A1FF7D9}"/>
                </c:ext>
              </c:extLst>
            </c:dLbl>
            <c:dLbl>
              <c:idx val="3"/>
              <c:delete val="1"/>
              <c:extLst>
                <c:ext xmlns:c15="http://schemas.microsoft.com/office/drawing/2012/chart" uri="{CE6537A1-D6FC-4f65-9D91-7224C49458BB}"/>
                <c:ext xmlns:c16="http://schemas.microsoft.com/office/drawing/2014/chart" uri="{C3380CC4-5D6E-409C-BE32-E72D297353CC}">
                  <c16:uniqueId val="{00000003-B25B-44A7-9203-FF125A1FF7D9}"/>
                </c:ext>
              </c:extLst>
            </c:dLbl>
            <c:dLbl>
              <c:idx val="4"/>
              <c:delete val="1"/>
              <c:extLst>
                <c:ext xmlns:c15="http://schemas.microsoft.com/office/drawing/2012/chart" uri="{CE6537A1-D6FC-4f65-9D91-7224C49458BB}"/>
                <c:ext xmlns:c16="http://schemas.microsoft.com/office/drawing/2014/chart" uri="{C3380CC4-5D6E-409C-BE32-E72D297353CC}">
                  <c16:uniqueId val="{00000004-B25B-44A7-9203-FF125A1FF7D9}"/>
                </c:ext>
              </c:extLst>
            </c:dLbl>
            <c:dLbl>
              <c:idx val="5"/>
              <c:delete val="1"/>
              <c:extLst>
                <c:ext xmlns:c15="http://schemas.microsoft.com/office/drawing/2012/chart" uri="{CE6537A1-D6FC-4f65-9D91-7224C49458BB}"/>
                <c:ext xmlns:c16="http://schemas.microsoft.com/office/drawing/2014/chart" uri="{C3380CC4-5D6E-409C-BE32-E72D297353CC}">
                  <c16:uniqueId val="{00000005-B25B-44A7-9203-FF125A1FF7D9}"/>
                </c:ext>
              </c:extLst>
            </c:dLbl>
            <c:dLbl>
              <c:idx val="6"/>
              <c:delete val="1"/>
              <c:extLst>
                <c:ext xmlns:c15="http://schemas.microsoft.com/office/drawing/2012/chart" uri="{CE6537A1-D6FC-4f65-9D91-7224C49458BB}"/>
                <c:ext xmlns:c16="http://schemas.microsoft.com/office/drawing/2014/chart" uri="{C3380CC4-5D6E-409C-BE32-E72D297353CC}">
                  <c16:uniqueId val="{00000006-B25B-44A7-9203-FF125A1FF7D9}"/>
                </c:ext>
              </c:extLst>
            </c:dLbl>
            <c:dLbl>
              <c:idx val="7"/>
              <c:delete val="1"/>
              <c:extLst>
                <c:ext xmlns:c15="http://schemas.microsoft.com/office/drawing/2012/chart" uri="{CE6537A1-D6FC-4f65-9D91-7224C49458BB}"/>
                <c:ext xmlns:c16="http://schemas.microsoft.com/office/drawing/2014/chart" uri="{C3380CC4-5D6E-409C-BE32-E72D297353CC}">
                  <c16:uniqueId val="{00000007-B25B-44A7-9203-FF125A1FF7D9}"/>
                </c:ext>
              </c:extLst>
            </c:dLbl>
            <c:dLbl>
              <c:idx val="8"/>
              <c:delete val="1"/>
              <c:extLst>
                <c:ext xmlns:c15="http://schemas.microsoft.com/office/drawing/2012/chart" uri="{CE6537A1-D6FC-4f65-9D91-7224C49458BB}"/>
                <c:ext xmlns:c16="http://schemas.microsoft.com/office/drawing/2014/chart" uri="{C3380CC4-5D6E-409C-BE32-E72D297353CC}">
                  <c16:uniqueId val="{00000008-B25B-44A7-9203-FF125A1FF7D9}"/>
                </c:ext>
              </c:extLst>
            </c:dLbl>
            <c:dLbl>
              <c:idx val="9"/>
              <c:delete val="1"/>
              <c:extLst>
                <c:ext xmlns:c15="http://schemas.microsoft.com/office/drawing/2012/chart" uri="{CE6537A1-D6FC-4f65-9D91-7224C49458BB}"/>
                <c:ext xmlns:c16="http://schemas.microsoft.com/office/drawing/2014/chart" uri="{C3380CC4-5D6E-409C-BE32-E72D297353CC}">
                  <c16:uniqueId val="{00000009-B25B-44A7-9203-FF125A1FF7D9}"/>
                </c:ext>
              </c:extLst>
            </c:dLbl>
            <c:dLbl>
              <c:idx val="10"/>
              <c:delete val="1"/>
              <c:extLst>
                <c:ext xmlns:c15="http://schemas.microsoft.com/office/drawing/2012/chart" uri="{CE6537A1-D6FC-4f65-9D91-7224C49458BB}"/>
                <c:ext xmlns:c16="http://schemas.microsoft.com/office/drawing/2014/chart" uri="{C3380CC4-5D6E-409C-BE32-E72D297353CC}">
                  <c16:uniqueId val="{0000000A-B25B-44A7-9203-FF125A1FF7D9}"/>
                </c:ext>
              </c:extLst>
            </c:dLbl>
            <c:dLbl>
              <c:idx val="11"/>
              <c:delete val="1"/>
              <c:extLst>
                <c:ext xmlns:c15="http://schemas.microsoft.com/office/drawing/2012/chart" uri="{CE6537A1-D6FC-4f65-9D91-7224C49458BB}"/>
                <c:ext xmlns:c16="http://schemas.microsoft.com/office/drawing/2014/chart" uri="{C3380CC4-5D6E-409C-BE32-E72D297353CC}">
                  <c16:uniqueId val="{0000000B-B25B-44A7-9203-FF125A1FF7D9}"/>
                </c:ext>
              </c:extLst>
            </c:dLbl>
            <c:dLbl>
              <c:idx val="12"/>
              <c:delete val="1"/>
              <c:extLst>
                <c:ext xmlns:c15="http://schemas.microsoft.com/office/drawing/2012/chart" uri="{CE6537A1-D6FC-4f65-9D91-7224C49458BB}"/>
                <c:ext xmlns:c16="http://schemas.microsoft.com/office/drawing/2014/chart" uri="{C3380CC4-5D6E-409C-BE32-E72D297353CC}">
                  <c16:uniqueId val="{0000000C-B25B-44A7-9203-FF125A1FF7D9}"/>
                </c:ext>
              </c:extLst>
            </c:dLbl>
            <c:dLbl>
              <c:idx val="13"/>
              <c:delete val="1"/>
              <c:extLst>
                <c:ext xmlns:c15="http://schemas.microsoft.com/office/drawing/2012/chart" uri="{CE6537A1-D6FC-4f65-9D91-7224C49458BB}"/>
                <c:ext xmlns:c16="http://schemas.microsoft.com/office/drawing/2014/chart" uri="{C3380CC4-5D6E-409C-BE32-E72D297353CC}">
                  <c16:uniqueId val="{0000000D-B25B-44A7-9203-FF125A1FF7D9}"/>
                </c:ext>
              </c:extLst>
            </c:dLbl>
            <c:dLbl>
              <c:idx val="14"/>
              <c:layout>
                <c:manualLayout>
                  <c:x val="-1.6173926082776478E-2"/>
                  <c:y val="7.90352615246988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6286501146767754"/>
                      <c:h val="0.11849891958067686"/>
                    </c:manualLayout>
                  </c15:layout>
                </c:ext>
                <c:ext xmlns:c16="http://schemas.microsoft.com/office/drawing/2014/chart" uri="{C3380CC4-5D6E-409C-BE32-E72D297353CC}">
                  <c16:uniqueId val="{0000000E-B25B-44A7-9203-FF125A1FF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increases'!$C$6:$Q$6</c:f>
              <c:numCache>
                <c:formatCode>"$"#,##0.00_);[Red]\("$"#,##0.00\)</c:formatCode>
                <c:ptCount val="15"/>
                <c:pt idx="0">
                  <c:v>18.34</c:v>
                </c:pt>
                <c:pt idx="1">
                  <c:v>18.34</c:v>
                </c:pt>
                <c:pt idx="2">
                  <c:v>18.8</c:v>
                </c:pt>
                <c:pt idx="3">
                  <c:v>18.8</c:v>
                </c:pt>
                <c:pt idx="4">
                  <c:v>19.25</c:v>
                </c:pt>
                <c:pt idx="5">
                  <c:v>19.25</c:v>
                </c:pt>
                <c:pt idx="6">
                  <c:v>19.88</c:v>
                </c:pt>
                <c:pt idx="7">
                  <c:v>19.88</c:v>
                </c:pt>
                <c:pt idx="8">
                  <c:v>20.58</c:v>
                </c:pt>
                <c:pt idx="9">
                  <c:v>20.58</c:v>
                </c:pt>
                <c:pt idx="10">
                  <c:v>21.2</c:v>
                </c:pt>
                <c:pt idx="11">
                  <c:v>21.2</c:v>
                </c:pt>
                <c:pt idx="12">
                  <c:v>21.57</c:v>
                </c:pt>
                <c:pt idx="13">
                  <c:v>21.57</c:v>
                </c:pt>
                <c:pt idx="14">
                  <c:v>22.11</c:v>
                </c:pt>
              </c:numCache>
            </c:numRef>
          </c:val>
          <c:smooth val="0"/>
          <c:extLst>
            <c:ext xmlns:c16="http://schemas.microsoft.com/office/drawing/2014/chart" uri="{C3380CC4-5D6E-409C-BE32-E72D297353CC}">
              <c16:uniqueId val="{0000000F-B25B-44A7-9203-FF125A1FF7D9}"/>
            </c:ext>
          </c:extLst>
        </c:ser>
        <c:ser>
          <c:idx val="1"/>
          <c:order val="1"/>
          <c:tx>
            <c:strRef>
              <c:f>'% increases'!$B$7</c:f>
              <c:strCache>
                <c:ptCount val="1"/>
                <c:pt idx="0">
                  <c:v>Level 2 - pay point 1</c:v>
                </c:pt>
              </c:strCache>
            </c:strRef>
          </c:tx>
          <c:spPr>
            <a:ln w="28575" cap="rnd">
              <a:solidFill>
                <a:schemeClr val="accent2"/>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increases'!$C$7:$Q$7</c:f>
              <c:numCache>
                <c:formatCode>"$"#,##0.00_);[Red]\("$"#,##0.00\)</c:formatCode>
                <c:ptCount val="15"/>
                <c:pt idx="0">
                  <c:v>20.64</c:v>
                </c:pt>
                <c:pt idx="1">
                  <c:v>21.14</c:v>
                </c:pt>
                <c:pt idx="2">
                  <c:v>21.67</c:v>
                </c:pt>
                <c:pt idx="3">
                  <c:v>22.19</c:v>
                </c:pt>
                <c:pt idx="4">
                  <c:v>22.72</c:v>
                </c:pt>
                <c:pt idx="5">
                  <c:v>23.25</c:v>
                </c:pt>
                <c:pt idx="6">
                  <c:v>24.01</c:v>
                </c:pt>
                <c:pt idx="7">
                  <c:v>24.56</c:v>
                </c:pt>
                <c:pt idx="8">
                  <c:v>25.42</c:v>
                </c:pt>
                <c:pt idx="9">
                  <c:v>25.98</c:v>
                </c:pt>
                <c:pt idx="10">
                  <c:v>26.76</c:v>
                </c:pt>
                <c:pt idx="11">
                  <c:v>27.34</c:v>
                </c:pt>
                <c:pt idx="12">
                  <c:v>27.82</c:v>
                </c:pt>
                <c:pt idx="13">
                  <c:v>28.41</c:v>
                </c:pt>
                <c:pt idx="14">
                  <c:v>29.12</c:v>
                </c:pt>
              </c:numCache>
            </c:numRef>
          </c:val>
          <c:smooth val="0"/>
          <c:extLst>
            <c:ext xmlns:c16="http://schemas.microsoft.com/office/drawing/2014/chart" uri="{C3380CC4-5D6E-409C-BE32-E72D297353CC}">
              <c16:uniqueId val="{00000010-B25B-44A7-9203-FF125A1FF7D9}"/>
            </c:ext>
          </c:extLst>
        </c:ser>
        <c:ser>
          <c:idx val="2"/>
          <c:order val="2"/>
          <c:tx>
            <c:strRef>
              <c:f>'% increases'!$B$8</c:f>
              <c:strCache>
                <c:ptCount val="1"/>
                <c:pt idx="0">
                  <c:v>Level 3 - pay point 1</c:v>
                </c:pt>
              </c:strCache>
            </c:strRef>
          </c:tx>
          <c:spPr>
            <a:ln w="28575" cap="rnd">
              <a:solidFill>
                <a:schemeClr val="accent3"/>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increases'!$C$8:$Q$8</c:f>
              <c:numCache>
                <c:formatCode>"$"#,##0.00_);[Red]\("$"#,##0.00\)</c:formatCode>
                <c:ptCount val="15"/>
                <c:pt idx="0">
                  <c:v>23.51</c:v>
                </c:pt>
                <c:pt idx="1">
                  <c:v>24.01</c:v>
                </c:pt>
                <c:pt idx="2">
                  <c:v>24.61</c:v>
                </c:pt>
                <c:pt idx="3">
                  <c:v>25.12</c:v>
                </c:pt>
                <c:pt idx="4">
                  <c:v>25.72</c:v>
                </c:pt>
                <c:pt idx="5">
                  <c:v>26.24</c:v>
                </c:pt>
                <c:pt idx="6">
                  <c:v>27.11</c:v>
                </c:pt>
                <c:pt idx="7">
                  <c:v>27.26</c:v>
                </c:pt>
                <c:pt idx="8">
                  <c:v>28.62</c:v>
                </c:pt>
                <c:pt idx="9">
                  <c:v>29.18</c:v>
                </c:pt>
                <c:pt idx="10">
                  <c:v>30.05</c:v>
                </c:pt>
                <c:pt idx="11">
                  <c:v>30.63</c:v>
                </c:pt>
                <c:pt idx="12">
                  <c:v>31.17</c:v>
                </c:pt>
                <c:pt idx="13">
                  <c:v>31.75</c:v>
                </c:pt>
                <c:pt idx="14">
                  <c:v>32.54</c:v>
                </c:pt>
              </c:numCache>
            </c:numRef>
          </c:val>
          <c:smooth val="0"/>
          <c:extLst>
            <c:ext xmlns:c16="http://schemas.microsoft.com/office/drawing/2014/chart" uri="{C3380CC4-5D6E-409C-BE32-E72D297353CC}">
              <c16:uniqueId val="{00000011-B25B-44A7-9203-FF125A1FF7D9}"/>
            </c:ext>
          </c:extLst>
        </c:ser>
        <c:ser>
          <c:idx val="3"/>
          <c:order val="3"/>
          <c:tx>
            <c:strRef>
              <c:f>'% increases'!$B$9</c:f>
              <c:strCache>
                <c:ptCount val="1"/>
                <c:pt idx="0">
                  <c:v>Level 4 - pay point 1</c:v>
                </c:pt>
              </c:strCache>
            </c:strRef>
          </c:tx>
          <c:spPr>
            <a:ln w="28575" cap="rnd">
              <a:solidFill>
                <a:schemeClr val="accent4"/>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increases'!$C$9:$Q$9</c:f>
              <c:numCache>
                <c:formatCode>"$"#,##0.00_);[Red]\("$"#,##0.00\)</c:formatCode>
                <c:ptCount val="15"/>
                <c:pt idx="0">
                  <c:v>25.74</c:v>
                </c:pt>
                <c:pt idx="1">
                  <c:v>26.51</c:v>
                </c:pt>
                <c:pt idx="2">
                  <c:v>27.18</c:v>
                </c:pt>
                <c:pt idx="3">
                  <c:v>27.97</c:v>
                </c:pt>
                <c:pt idx="4">
                  <c:v>28.64</c:v>
                </c:pt>
                <c:pt idx="5">
                  <c:v>29.45</c:v>
                </c:pt>
                <c:pt idx="6">
                  <c:v>30.42</c:v>
                </c:pt>
                <c:pt idx="7">
                  <c:v>31.03</c:v>
                </c:pt>
                <c:pt idx="8">
                  <c:v>32.35</c:v>
                </c:pt>
                <c:pt idx="9">
                  <c:v>33.21</c:v>
                </c:pt>
                <c:pt idx="10">
                  <c:v>34.21</c:v>
                </c:pt>
                <c:pt idx="11">
                  <c:v>35.1</c:v>
                </c:pt>
                <c:pt idx="12">
                  <c:v>35.71</c:v>
                </c:pt>
                <c:pt idx="13">
                  <c:v>36.619999999999997</c:v>
                </c:pt>
                <c:pt idx="14">
                  <c:v>37.54</c:v>
                </c:pt>
              </c:numCache>
            </c:numRef>
          </c:val>
          <c:smooth val="0"/>
          <c:extLst>
            <c:ext xmlns:c16="http://schemas.microsoft.com/office/drawing/2014/chart" uri="{C3380CC4-5D6E-409C-BE32-E72D297353CC}">
              <c16:uniqueId val="{00000012-B25B-44A7-9203-FF125A1FF7D9}"/>
            </c:ext>
          </c:extLst>
        </c:ser>
        <c:ser>
          <c:idx val="4"/>
          <c:order val="4"/>
          <c:tx>
            <c:strRef>
              <c:f>'% increases'!$B$10</c:f>
              <c:strCache>
                <c:ptCount val="1"/>
                <c:pt idx="0">
                  <c:v>Level 5 - pay point 1</c:v>
                </c:pt>
              </c:strCache>
            </c:strRef>
          </c:tx>
          <c:spPr>
            <a:ln w="28575" cap="rnd">
              <a:solidFill>
                <a:schemeClr val="accent5"/>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increases'!$C$10:$Q$10</c:f>
              <c:numCache>
                <c:formatCode>"$"#,##0.00_);[Red]\("$"#,##0.00\)</c:formatCode>
                <c:ptCount val="15"/>
                <c:pt idx="0">
                  <c:v>28.14</c:v>
                </c:pt>
                <c:pt idx="1">
                  <c:v>29.21</c:v>
                </c:pt>
                <c:pt idx="2">
                  <c:v>29.94</c:v>
                </c:pt>
                <c:pt idx="3">
                  <c:v>31.03</c:v>
                </c:pt>
                <c:pt idx="4">
                  <c:v>31.78</c:v>
                </c:pt>
                <c:pt idx="5">
                  <c:v>32.9</c:v>
                </c:pt>
                <c:pt idx="6">
                  <c:v>33.979999999999997</c:v>
                </c:pt>
                <c:pt idx="7">
                  <c:v>35.14</c:v>
                </c:pt>
                <c:pt idx="8">
                  <c:v>36.369999999999997</c:v>
                </c:pt>
                <c:pt idx="9">
                  <c:v>37.57</c:v>
                </c:pt>
                <c:pt idx="10">
                  <c:v>38.700000000000003</c:v>
                </c:pt>
                <c:pt idx="11">
                  <c:v>39.94</c:v>
                </c:pt>
                <c:pt idx="12">
                  <c:v>40.64</c:v>
                </c:pt>
                <c:pt idx="13">
                  <c:v>41.89</c:v>
                </c:pt>
                <c:pt idx="14">
                  <c:v>42.94</c:v>
                </c:pt>
              </c:numCache>
            </c:numRef>
          </c:val>
          <c:smooth val="0"/>
          <c:extLst>
            <c:ext xmlns:c16="http://schemas.microsoft.com/office/drawing/2014/chart" uri="{C3380CC4-5D6E-409C-BE32-E72D297353CC}">
              <c16:uniqueId val="{00000013-B25B-44A7-9203-FF125A1FF7D9}"/>
            </c:ext>
          </c:extLst>
        </c:ser>
        <c:ser>
          <c:idx val="5"/>
          <c:order val="5"/>
          <c:tx>
            <c:strRef>
              <c:f>'% increases'!$B$11</c:f>
              <c:strCache>
                <c:ptCount val="1"/>
                <c:pt idx="0">
                  <c:v>Level 6 - pay point 1</c:v>
                </c:pt>
              </c:strCache>
            </c:strRef>
          </c:tx>
          <c:spPr>
            <a:ln w="28575" cap="rnd">
              <a:solidFill>
                <a:schemeClr val="accent6"/>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increases'!$C$11:$Q$11</c:f>
              <c:numCache>
                <c:formatCode>"$"#,##0.00_);[Red]\("$"#,##0.00\)</c:formatCode>
                <c:ptCount val="15"/>
                <c:pt idx="0">
                  <c:v>30.27</c:v>
                </c:pt>
                <c:pt idx="1">
                  <c:v>31.5</c:v>
                </c:pt>
                <c:pt idx="2">
                  <c:v>32.29</c:v>
                </c:pt>
                <c:pt idx="3">
                  <c:v>33.549999999999997</c:v>
                </c:pt>
                <c:pt idx="4">
                  <c:v>34.36</c:v>
                </c:pt>
                <c:pt idx="5">
                  <c:v>35.659999999999997</c:v>
                </c:pt>
                <c:pt idx="6">
                  <c:v>36.83</c:v>
                </c:pt>
                <c:pt idx="7">
                  <c:v>38.17</c:v>
                </c:pt>
                <c:pt idx="8">
                  <c:v>39.51</c:v>
                </c:pt>
                <c:pt idx="9">
                  <c:v>40.9</c:v>
                </c:pt>
                <c:pt idx="10">
                  <c:v>42.12</c:v>
                </c:pt>
                <c:pt idx="11">
                  <c:v>43.55</c:v>
                </c:pt>
                <c:pt idx="12">
                  <c:v>44.32</c:v>
                </c:pt>
                <c:pt idx="13">
                  <c:v>45.77</c:v>
                </c:pt>
                <c:pt idx="14">
                  <c:v>46.91</c:v>
                </c:pt>
              </c:numCache>
            </c:numRef>
          </c:val>
          <c:smooth val="0"/>
          <c:extLst>
            <c:ext xmlns:c16="http://schemas.microsoft.com/office/drawing/2014/chart" uri="{C3380CC4-5D6E-409C-BE32-E72D297353CC}">
              <c16:uniqueId val="{00000014-B25B-44A7-9203-FF125A1FF7D9}"/>
            </c:ext>
          </c:extLst>
        </c:ser>
        <c:ser>
          <c:idx val="6"/>
          <c:order val="6"/>
          <c:tx>
            <c:strRef>
              <c:f>'% increases'!$B$12</c:f>
              <c:strCache>
                <c:ptCount val="1"/>
                <c:pt idx="0">
                  <c:v>Level 7 - pay point 1</c:v>
                </c:pt>
              </c:strCache>
            </c:strRef>
          </c:tx>
          <c:spPr>
            <a:ln w="28575" cap="rnd">
              <a:solidFill>
                <a:schemeClr val="accent1">
                  <a:lumMod val="60000"/>
                </a:schemeClr>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increases'!$C$12:$Q$12</c:f>
              <c:numCache>
                <c:formatCode>"$"#,##0.00_);[Red]\("$"#,##0.00\)</c:formatCode>
                <c:ptCount val="15"/>
                <c:pt idx="0">
                  <c:v>32.409999999999997</c:v>
                </c:pt>
                <c:pt idx="1">
                  <c:v>33.79</c:v>
                </c:pt>
                <c:pt idx="2">
                  <c:v>34.64</c:v>
                </c:pt>
                <c:pt idx="3">
                  <c:v>36.06</c:v>
                </c:pt>
                <c:pt idx="4">
                  <c:v>36.92</c:v>
                </c:pt>
                <c:pt idx="5">
                  <c:v>38.369999999999997</c:v>
                </c:pt>
                <c:pt idx="6">
                  <c:v>39.64</c:v>
                </c:pt>
                <c:pt idx="7">
                  <c:v>41.14</c:v>
                </c:pt>
                <c:pt idx="8">
                  <c:v>42.58</c:v>
                </c:pt>
                <c:pt idx="9">
                  <c:v>44.13</c:v>
                </c:pt>
                <c:pt idx="10">
                  <c:v>45.45</c:v>
                </c:pt>
                <c:pt idx="11">
                  <c:v>47.05</c:v>
                </c:pt>
                <c:pt idx="12">
                  <c:v>47.88</c:v>
                </c:pt>
                <c:pt idx="13">
                  <c:v>49.5</c:v>
                </c:pt>
                <c:pt idx="14">
                  <c:v>50.74</c:v>
                </c:pt>
              </c:numCache>
            </c:numRef>
          </c:val>
          <c:smooth val="0"/>
          <c:extLst>
            <c:ext xmlns:c16="http://schemas.microsoft.com/office/drawing/2014/chart" uri="{C3380CC4-5D6E-409C-BE32-E72D297353CC}">
              <c16:uniqueId val="{00000015-B25B-44A7-9203-FF125A1FF7D9}"/>
            </c:ext>
          </c:extLst>
        </c:ser>
        <c:ser>
          <c:idx val="7"/>
          <c:order val="7"/>
          <c:tx>
            <c:strRef>
              <c:f>'% increases'!$B$13</c:f>
              <c:strCache>
                <c:ptCount val="1"/>
                <c:pt idx="0">
                  <c:v>Level 8 - pay point 1</c:v>
                </c:pt>
              </c:strCache>
            </c:strRef>
          </c:tx>
          <c:spPr>
            <a:ln w="28575" cap="rnd">
              <a:solidFill>
                <a:schemeClr val="accent2">
                  <a:lumMod val="60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6-B25B-44A7-9203-FF125A1FF7D9}"/>
                </c:ext>
              </c:extLst>
            </c:dLbl>
            <c:dLbl>
              <c:idx val="1"/>
              <c:delete val="1"/>
              <c:extLst>
                <c:ext xmlns:c15="http://schemas.microsoft.com/office/drawing/2012/chart" uri="{CE6537A1-D6FC-4f65-9D91-7224C49458BB}"/>
                <c:ext xmlns:c16="http://schemas.microsoft.com/office/drawing/2014/chart" uri="{C3380CC4-5D6E-409C-BE32-E72D297353CC}">
                  <c16:uniqueId val="{00000017-B25B-44A7-9203-FF125A1FF7D9}"/>
                </c:ext>
              </c:extLst>
            </c:dLbl>
            <c:dLbl>
              <c:idx val="2"/>
              <c:delete val="1"/>
              <c:extLst>
                <c:ext xmlns:c15="http://schemas.microsoft.com/office/drawing/2012/chart" uri="{CE6537A1-D6FC-4f65-9D91-7224C49458BB}"/>
                <c:ext xmlns:c16="http://schemas.microsoft.com/office/drawing/2014/chart" uri="{C3380CC4-5D6E-409C-BE32-E72D297353CC}">
                  <c16:uniqueId val="{00000018-B25B-44A7-9203-FF125A1FF7D9}"/>
                </c:ext>
              </c:extLst>
            </c:dLbl>
            <c:dLbl>
              <c:idx val="3"/>
              <c:delete val="1"/>
              <c:extLst>
                <c:ext xmlns:c15="http://schemas.microsoft.com/office/drawing/2012/chart" uri="{CE6537A1-D6FC-4f65-9D91-7224C49458BB}"/>
                <c:ext xmlns:c16="http://schemas.microsoft.com/office/drawing/2014/chart" uri="{C3380CC4-5D6E-409C-BE32-E72D297353CC}">
                  <c16:uniqueId val="{00000019-B25B-44A7-9203-FF125A1FF7D9}"/>
                </c:ext>
              </c:extLst>
            </c:dLbl>
            <c:dLbl>
              <c:idx val="4"/>
              <c:delete val="1"/>
              <c:extLst>
                <c:ext xmlns:c15="http://schemas.microsoft.com/office/drawing/2012/chart" uri="{CE6537A1-D6FC-4f65-9D91-7224C49458BB}"/>
                <c:ext xmlns:c16="http://schemas.microsoft.com/office/drawing/2014/chart" uri="{C3380CC4-5D6E-409C-BE32-E72D297353CC}">
                  <c16:uniqueId val="{0000001A-B25B-44A7-9203-FF125A1FF7D9}"/>
                </c:ext>
              </c:extLst>
            </c:dLbl>
            <c:dLbl>
              <c:idx val="5"/>
              <c:delete val="1"/>
              <c:extLst>
                <c:ext xmlns:c15="http://schemas.microsoft.com/office/drawing/2012/chart" uri="{CE6537A1-D6FC-4f65-9D91-7224C49458BB}"/>
                <c:ext xmlns:c16="http://schemas.microsoft.com/office/drawing/2014/chart" uri="{C3380CC4-5D6E-409C-BE32-E72D297353CC}">
                  <c16:uniqueId val="{0000001B-B25B-44A7-9203-FF125A1FF7D9}"/>
                </c:ext>
              </c:extLst>
            </c:dLbl>
            <c:dLbl>
              <c:idx val="6"/>
              <c:delete val="1"/>
              <c:extLst>
                <c:ext xmlns:c15="http://schemas.microsoft.com/office/drawing/2012/chart" uri="{CE6537A1-D6FC-4f65-9D91-7224C49458BB}"/>
                <c:ext xmlns:c16="http://schemas.microsoft.com/office/drawing/2014/chart" uri="{C3380CC4-5D6E-409C-BE32-E72D297353CC}">
                  <c16:uniqueId val="{0000001C-B25B-44A7-9203-FF125A1FF7D9}"/>
                </c:ext>
              </c:extLst>
            </c:dLbl>
            <c:dLbl>
              <c:idx val="7"/>
              <c:delete val="1"/>
              <c:extLst>
                <c:ext xmlns:c15="http://schemas.microsoft.com/office/drawing/2012/chart" uri="{CE6537A1-D6FC-4f65-9D91-7224C49458BB}"/>
                <c:ext xmlns:c16="http://schemas.microsoft.com/office/drawing/2014/chart" uri="{C3380CC4-5D6E-409C-BE32-E72D297353CC}">
                  <c16:uniqueId val="{0000001D-B25B-44A7-9203-FF125A1FF7D9}"/>
                </c:ext>
              </c:extLst>
            </c:dLbl>
            <c:dLbl>
              <c:idx val="8"/>
              <c:delete val="1"/>
              <c:extLst>
                <c:ext xmlns:c15="http://schemas.microsoft.com/office/drawing/2012/chart" uri="{CE6537A1-D6FC-4f65-9D91-7224C49458BB}"/>
                <c:ext xmlns:c16="http://schemas.microsoft.com/office/drawing/2014/chart" uri="{C3380CC4-5D6E-409C-BE32-E72D297353CC}">
                  <c16:uniqueId val="{0000001E-B25B-44A7-9203-FF125A1FF7D9}"/>
                </c:ext>
              </c:extLst>
            </c:dLbl>
            <c:dLbl>
              <c:idx val="9"/>
              <c:delete val="1"/>
              <c:extLst>
                <c:ext xmlns:c15="http://schemas.microsoft.com/office/drawing/2012/chart" uri="{CE6537A1-D6FC-4f65-9D91-7224C49458BB}"/>
                <c:ext xmlns:c16="http://schemas.microsoft.com/office/drawing/2014/chart" uri="{C3380CC4-5D6E-409C-BE32-E72D297353CC}">
                  <c16:uniqueId val="{0000001F-B25B-44A7-9203-FF125A1FF7D9}"/>
                </c:ext>
              </c:extLst>
            </c:dLbl>
            <c:dLbl>
              <c:idx val="10"/>
              <c:delete val="1"/>
              <c:extLst>
                <c:ext xmlns:c15="http://schemas.microsoft.com/office/drawing/2012/chart" uri="{CE6537A1-D6FC-4f65-9D91-7224C49458BB}"/>
                <c:ext xmlns:c16="http://schemas.microsoft.com/office/drawing/2014/chart" uri="{C3380CC4-5D6E-409C-BE32-E72D297353CC}">
                  <c16:uniqueId val="{00000020-B25B-44A7-9203-FF125A1FF7D9}"/>
                </c:ext>
              </c:extLst>
            </c:dLbl>
            <c:dLbl>
              <c:idx val="11"/>
              <c:delete val="1"/>
              <c:extLst>
                <c:ext xmlns:c15="http://schemas.microsoft.com/office/drawing/2012/chart" uri="{CE6537A1-D6FC-4f65-9D91-7224C49458BB}"/>
                <c:ext xmlns:c16="http://schemas.microsoft.com/office/drawing/2014/chart" uri="{C3380CC4-5D6E-409C-BE32-E72D297353CC}">
                  <c16:uniqueId val="{00000021-B25B-44A7-9203-FF125A1FF7D9}"/>
                </c:ext>
              </c:extLst>
            </c:dLbl>
            <c:dLbl>
              <c:idx val="12"/>
              <c:delete val="1"/>
              <c:extLst>
                <c:ext xmlns:c15="http://schemas.microsoft.com/office/drawing/2012/chart" uri="{CE6537A1-D6FC-4f65-9D91-7224C49458BB}"/>
                <c:ext xmlns:c16="http://schemas.microsoft.com/office/drawing/2014/chart" uri="{C3380CC4-5D6E-409C-BE32-E72D297353CC}">
                  <c16:uniqueId val="{00000022-B25B-44A7-9203-FF125A1FF7D9}"/>
                </c:ext>
              </c:extLst>
            </c:dLbl>
            <c:dLbl>
              <c:idx val="13"/>
              <c:delete val="1"/>
              <c:extLst>
                <c:ext xmlns:c15="http://schemas.microsoft.com/office/drawing/2012/chart" uri="{CE6537A1-D6FC-4f65-9D91-7224C49458BB}"/>
                <c:ext xmlns:c16="http://schemas.microsoft.com/office/drawing/2014/chart" uri="{C3380CC4-5D6E-409C-BE32-E72D297353CC}">
                  <c16:uniqueId val="{00000023-B25B-44A7-9203-FF125A1FF7D9}"/>
                </c:ext>
              </c:extLst>
            </c:dLbl>
            <c:dLbl>
              <c:idx val="14"/>
              <c:layout>
                <c:manualLayout>
                  <c:x val="1.5173557309946892E-2"/>
                  <c:y val="-4.562614803435470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902472011057916"/>
                      <c:h val="0.12733628135055761"/>
                    </c:manualLayout>
                  </c15:layout>
                </c:ext>
                <c:ext xmlns:c16="http://schemas.microsoft.com/office/drawing/2014/chart" uri="{C3380CC4-5D6E-409C-BE32-E72D297353CC}">
                  <c16:uniqueId val="{00000024-B25B-44A7-9203-FF125A1FF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increases'!$C$13:$Q$13</c:f>
              <c:numCache>
                <c:formatCode>"$"#,##0.00_);[Red]\("$"#,##0.00\)</c:formatCode>
                <c:ptCount val="15"/>
                <c:pt idx="0">
                  <c:v>34.65</c:v>
                </c:pt>
                <c:pt idx="1">
                  <c:v>36.22</c:v>
                </c:pt>
                <c:pt idx="2">
                  <c:v>37.130000000000003</c:v>
                </c:pt>
                <c:pt idx="3">
                  <c:v>38.74</c:v>
                </c:pt>
                <c:pt idx="4">
                  <c:v>39.67</c:v>
                </c:pt>
                <c:pt idx="5">
                  <c:v>41.32</c:v>
                </c:pt>
                <c:pt idx="6">
                  <c:v>42.69</c:v>
                </c:pt>
                <c:pt idx="7">
                  <c:v>44.39</c:v>
                </c:pt>
                <c:pt idx="8">
                  <c:v>45.95</c:v>
                </c:pt>
                <c:pt idx="9">
                  <c:v>47.71</c:v>
                </c:pt>
                <c:pt idx="10">
                  <c:v>49.14</c:v>
                </c:pt>
                <c:pt idx="11">
                  <c:v>50.96</c:v>
                </c:pt>
                <c:pt idx="12">
                  <c:v>51.86</c:v>
                </c:pt>
                <c:pt idx="13">
                  <c:v>53.71</c:v>
                </c:pt>
                <c:pt idx="14">
                  <c:v>55.05</c:v>
                </c:pt>
              </c:numCache>
            </c:numRef>
          </c:val>
          <c:smooth val="0"/>
          <c:extLst>
            <c:ext xmlns:c16="http://schemas.microsoft.com/office/drawing/2014/chart" uri="{C3380CC4-5D6E-409C-BE32-E72D297353CC}">
              <c16:uniqueId val="{00000025-B25B-44A7-9203-FF125A1FF7D9}"/>
            </c:ext>
          </c:extLst>
        </c:ser>
        <c:dLbls>
          <c:showLegendKey val="0"/>
          <c:showVal val="0"/>
          <c:showCatName val="0"/>
          <c:showSerName val="0"/>
          <c:showPercent val="0"/>
          <c:showBubbleSize val="0"/>
        </c:dLbls>
        <c:smooth val="0"/>
        <c:axId val="872378336"/>
        <c:axId val="872379584"/>
      </c:lineChart>
      <c:dateAx>
        <c:axId val="872378336"/>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379584"/>
        <c:crosses val="autoZero"/>
        <c:auto val="1"/>
        <c:lblOffset val="100"/>
        <c:baseTimeUnit val="months"/>
      </c:dateAx>
      <c:valAx>
        <c:axId val="8723795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37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95045029452081E-2"/>
          <c:y val="9.8486540926570207E-2"/>
          <c:w val="0.659027274632496"/>
          <c:h val="0.6886230901600876"/>
        </c:manualLayout>
      </c:layout>
      <c:lineChart>
        <c:grouping val="standard"/>
        <c:varyColors val="0"/>
        <c:ser>
          <c:idx val="0"/>
          <c:order val="0"/>
          <c:tx>
            <c:strRef>
              <c:f>Sheet1!$E$4</c:f>
              <c:strCache>
                <c:ptCount val="1"/>
                <c:pt idx="0">
                  <c:v>Health and Welfare Support Workers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Sheet1!$F$3:$EL$3</c:f>
              <c:numCache>
                <c:formatCode>mmm\-yy</c:formatCode>
                <c:ptCount val="137"/>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pt idx="133">
                  <c:v>44348</c:v>
                </c:pt>
                <c:pt idx="134">
                  <c:v>44378</c:v>
                </c:pt>
                <c:pt idx="135">
                  <c:v>44409</c:v>
                </c:pt>
                <c:pt idx="136">
                  <c:v>44440</c:v>
                </c:pt>
              </c:numCache>
            </c:numRef>
          </c:cat>
          <c:val>
            <c:numRef>
              <c:f>Sheet1!$F$4:$EL$4</c:f>
              <c:numCache>
                <c:formatCode>#,##0</c:formatCode>
                <c:ptCount val="137"/>
                <c:pt idx="0">
                  <c:v>17.652999999999999</c:v>
                </c:pt>
                <c:pt idx="1">
                  <c:v>17.629000000000001</c:v>
                </c:pt>
                <c:pt idx="2">
                  <c:v>20.222999999999999</c:v>
                </c:pt>
                <c:pt idx="3">
                  <c:v>17.792999999999999</c:v>
                </c:pt>
                <c:pt idx="4">
                  <c:v>16.672000000000001</c:v>
                </c:pt>
                <c:pt idx="5">
                  <c:v>13.053000000000001</c:v>
                </c:pt>
                <c:pt idx="6">
                  <c:v>15.459</c:v>
                </c:pt>
                <c:pt idx="7">
                  <c:v>13.865</c:v>
                </c:pt>
                <c:pt idx="8">
                  <c:v>16.579999999999998</c:v>
                </c:pt>
                <c:pt idx="9">
                  <c:v>12.053000000000001</c:v>
                </c:pt>
                <c:pt idx="10">
                  <c:v>13.72</c:v>
                </c:pt>
                <c:pt idx="11">
                  <c:v>10.193</c:v>
                </c:pt>
                <c:pt idx="12">
                  <c:v>11.907999999999999</c:v>
                </c:pt>
                <c:pt idx="13">
                  <c:v>11.884</c:v>
                </c:pt>
                <c:pt idx="14">
                  <c:v>13.744</c:v>
                </c:pt>
                <c:pt idx="15">
                  <c:v>13.459</c:v>
                </c:pt>
                <c:pt idx="16">
                  <c:v>12.507999999999999</c:v>
                </c:pt>
                <c:pt idx="17">
                  <c:v>14.029</c:v>
                </c:pt>
                <c:pt idx="18">
                  <c:v>11.077999999999999</c:v>
                </c:pt>
                <c:pt idx="19">
                  <c:v>8.6720000000000006</c:v>
                </c:pt>
                <c:pt idx="20">
                  <c:v>8.6479999999999997</c:v>
                </c:pt>
                <c:pt idx="21">
                  <c:v>11.672000000000001</c:v>
                </c:pt>
                <c:pt idx="22">
                  <c:v>14.555999999999999</c:v>
                </c:pt>
                <c:pt idx="23">
                  <c:v>14.701000000000001</c:v>
                </c:pt>
                <c:pt idx="24">
                  <c:v>16.033999999999999</c:v>
                </c:pt>
                <c:pt idx="25">
                  <c:v>15.72</c:v>
                </c:pt>
                <c:pt idx="26">
                  <c:v>14.169</c:v>
                </c:pt>
                <c:pt idx="27">
                  <c:v>18</c:v>
                </c:pt>
                <c:pt idx="28">
                  <c:v>18</c:v>
                </c:pt>
                <c:pt idx="29">
                  <c:v>17</c:v>
                </c:pt>
                <c:pt idx="30">
                  <c:v>13</c:v>
                </c:pt>
                <c:pt idx="31">
                  <c:v>11.333</c:v>
                </c:pt>
                <c:pt idx="32">
                  <c:v>13.667</c:v>
                </c:pt>
                <c:pt idx="33">
                  <c:v>16</c:v>
                </c:pt>
                <c:pt idx="34">
                  <c:v>18.667000000000002</c:v>
                </c:pt>
                <c:pt idx="35">
                  <c:v>17.667000000000002</c:v>
                </c:pt>
                <c:pt idx="36">
                  <c:v>14.667</c:v>
                </c:pt>
                <c:pt idx="37">
                  <c:v>17</c:v>
                </c:pt>
                <c:pt idx="38">
                  <c:v>16.667000000000002</c:v>
                </c:pt>
                <c:pt idx="39">
                  <c:v>17</c:v>
                </c:pt>
                <c:pt idx="40">
                  <c:v>15</c:v>
                </c:pt>
                <c:pt idx="41">
                  <c:v>17.667000000000002</c:v>
                </c:pt>
                <c:pt idx="42">
                  <c:v>15.667</c:v>
                </c:pt>
                <c:pt idx="43">
                  <c:v>14.333</c:v>
                </c:pt>
                <c:pt idx="44">
                  <c:v>13.667</c:v>
                </c:pt>
                <c:pt idx="45">
                  <c:v>16.332999999999998</c:v>
                </c:pt>
                <c:pt idx="46">
                  <c:v>17</c:v>
                </c:pt>
                <c:pt idx="47">
                  <c:v>16.667000000000002</c:v>
                </c:pt>
                <c:pt idx="48">
                  <c:v>17.332999999999998</c:v>
                </c:pt>
                <c:pt idx="49">
                  <c:v>16.332999999999998</c:v>
                </c:pt>
                <c:pt idx="50">
                  <c:v>15.333</c:v>
                </c:pt>
                <c:pt idx="51">
                  <c:v>15.333</c:v>
                </c:pt>
                <c:pt idx="52">
                  <c:v>20</c:v>
                </c:pt>
                <c:pt idx="53">
                  <c:v>19</c:v>
                </c:pt>
                <c:pt idx="54">
                  <c:v>19</c:v>
                </c:pt>
                <c:pt idx="55">
                  <c:v>13</c:v>
                </c:pt>
                <c:pt idx="56">
                  <c:v>13.667</c:v>
                </c:pt>
                <c:pt idx="57">
                  <c:v>12</c:v>
                </c:pt>
                <c:pt idx="58">
                  <c:v>15.333</c:v>
                </c:pt>
                <c:pt idx="59">
                  <c:v>14.333</c:v>
                </c:pt>
                <c:pt idx="60">
                  <c:v>15.667</c:v>
                </c:pt>
                <c:pt idx="61">
                  <c:v>14.333</c:v>
                </c:pt>
                <c:pt idx="62">
                  <c:v>17.332999999999998</c:v>
                </c:pt>
                <c:pt idx="63">
                  <c:v>21</c:v>
                </c:pt>
                <c:pt idx="64">
                  <c:v>24.332999999999998</c:v>
                </c:pt>
                <c:pt idx="65">
                  <c:v>26.332999999999998</c:v>
                </c:pt>
                <c:pt idx="66">
                  <c:v>24</c:v>
                </c:pt>
                <c:pt idx="67">
                  <c:v>20.332999999999998</c:v>
                </c:pt>
                <c:pt idx="68">
                  <c:v>20</c:v>
                </c:pt>
                <c:pt idx="69">
                  <c:v>20.332999999999998</c:v>
                </c:pt>
                <c:pt idx="70">
                  <c:v>25</c:v>
                </c:pt>
                <c:pt idx="71">
                  <c:v>24.667000000000002</c:v>
                </c:pt>
                <c:pt idx="72">
                  <c:v>22.332999999999998</c:v>
                </c:pt>
                <c:pt idx="73">
                  <c:v>21.332999999999998</c:v>
                </c:pt>
                <c:pt idx="74">
                  <c:v>18.332999999999998</c:v>
                </c:pt>
                <c:pt idx="75">
                  <c:v>22.332999999999998</c:v>
                </c:pt>
                <c:pt idx="76">
                  <c:v>20.667000000000002</c:v>
                </c:pt>
                <c:pt idx="77">
                  <c:v>24</c:v>
                </c:pt>
                <c:pt idx="78">
                  <c:v>21</c:v>
                </c:pt>
                <c:pt idx="79">
                  <c:v>19</c:v>
                </c:pt>
                <c:pt idx="80">
                  <c:v>15</c:v>
                </c:pt>
                <c:pt idx="81">
                  <c:v>15</c:v>
                </c:pt>
                <c:pt idx="82">
                  <c:v>19.667000000000002</c:v>
                </c:pt>
                <c:pt idx="83">
                  <c:v>20.667000000000002</c:v>
                </c:pt>
                <c:pt idx="84">
                  <c:v>22.332999999999998</c:v>
                </c:pt>
                <c:pt idx="85">
                  <c:v>19.332999999999998</c:v>
                </c:pt>
                <c:pt idx="86">
                  <c:v>20</c:v>
                </c:pt>
                <c:pt idx="87">
                  <c:v>18.332999999999998</c:v>
                </c:pt>
                <c:pt idx="88">
                  <c:v>20.667000000000002</c:v>
                </c:pt>
                <c:pt idx="89">
                  <c:v>20.667000000000002</c:v>
                </c:pt>
                <c:pt idx="90">
                  <c:v>21.667000000000002</c:v>
                </c:pt>
                <c:pt idx="91">
                  <c:v>17.667000000000002</c:v>
                </c:pt>
                <c:pt idx="92">
                  <c:v>17.667000000000002</c:v>
                </c:pt>
                <c:pt idx="93">
                  <c:v>15.333</c:v>
                </c:pt>
                <c:pt idx="94">
                  <c:v>17.667000000000002</c:v>
                </c:pt>
                <c:pt idx="95">
                  <c:v>20.332999999999998</c:v>
                </c:pt>
                <c:pt idx="96">
                  <c:v>22</c:v>
                </c:pt>
                <c:pt idx="97">
                  <c:v>23.667000000000002</c:v>
                </c:pt>
                <c:pt idx="98">
                  <c:v>22.332999999999998</c:v>
                </c:pt>
                <c:pt idx="99">
                  <c:v>22</c:v>
                </c:pt>
                <c:pt idx="100">
                  <c:v>21.667000000000002</c:v>
                </c:pt>
                <c:pt idx="101">
                  <c:v>21.667000000000002</c:v>
                </c:pt>
                <c:pt idx="102">
                  <c:v>22</c:v>
                </c:pt>
                <c:pt idx="103">
                  <c:v>21.667000000000002</c:v>
                </c:pt>
                <c:pt idx="104">
                  <c:v>22.667000000000002</c:v>
                </c:pt>
                <c:pt idx="105">
                  <c:v>25.332999999999998</c:v>
                </c:pt>
                <c:pt idx="106">
                  <c:v>28.332999999999998</c:v>
                </c:pt>
                <c:pt idx="107">
                  <c:v>31.667000000000002</c:v>
                </c:pt>
                <c:pt idx="108">
                  <c:v>35</c:v>
                </c:pt>
                <c:pt idx="109">
                  <c:v>31.667000000000002</c:v>
                </c:pt>
                <c:pt idx="110">
                  <c:v>30</c:v>
                </c:pt>
                <c:pt idx="111">
                  <c:v>27.667000000000002</c:v>
                </c:pt>
                <c:pt idx="112">
                  <c:v>31</c:v>
                </c:pt>
                <c:pt idx="113">
                  <c:v>32.332999999999998</c:v>
                </c:pt>
                <c:pt idx="114">
                  <c:v>32.332999999999998</c:v>
                </c:pt>
                <c:pt idx="115">
                  <c:v>30</c:v>
                </c:pt>
                <c:pt idx="116">
                  <c:v>30.332999999999998</c:v>
                </c:pt>
                <c:pt idx="117">
                  <c:v>27.667000000000002</c:v>
                </c:pt>
                <c:pt idx="118">
                  <c:v>26.332999999999998</c:v>
                </c:pt>
                <c:pt idx="119">
                  <c:v>19</c:v>
                </c:pt>
                <c:pt idx="120">
                  <c:v>15.667</c:v>
                </c:pt>
                <c:pt idx="121">
                  <c:v>17.667000000000002</c:v>
                </c:pt>
                <c:pt idx="122">
                  <c:v>22.667000000000002</c:v>
                </c:pt>
                <c:pt idx="123">
                  <c:v>34.332999999999998</c:v>
                </c:pt>
                <c:pt idx="124">
                  <c:v>38</c:v>
                </c:pt>
                <c:pt idx="125">
                  <c:v>41.332999999999998</c:v>
                </c:pt>
                <c:pt idx="126">
                  <c:v>34.667000000000002</c:v>
                </c:pt>
                <c:pt idx="127">
                  <c:v>27.332999999999998</c:v>
                </c:pt>
                <c:pt idx="128">
                  <c:v>27.667000000000002</c:v>
                </c:pt>
                <c:pt idx="129">
                  <c:v>29.667000000000002</c:v>
                </c:pt>
                <c:pt idx="130">
                  <c:v>39.667000000000002</c:v>
                </c:pt>
                <c:pt idx="131">
                  <c:v>39.667000000000002</c:v>
                </c:pt>
                <c:pt idx="132">
                  <c:v>46.332999999999998</c:v>
                </c:pt>
                <c:pt idx="133">
                  <c:v>42.667000000000002</c:v>
                </c:pt>
                <c:pt idx="134">
                  <c:v>45</c:v>
                </c:pt>
                <c:pt idx="135">
                  <c:v>38.332999999999998</c:v>
                </c:pt>
                <c:pt idx="136">
                  <c:v>39.667000000000002</c:v>
                </c:pt>
              </c:numCache>
            </c:numRef>
          </c:val>
          <c:smooth val="0"/>
          <c:extLst>
            <c:ext xmlns:c16="http://schemas.microsoft.com/office/drawing/2014/chart" uri="{C3380CC4-5D6E-409C-BE32-E72D297353CC}">
              <c16:uniqueId val="{00000001-4D8A-4037-88D8-34EBB3AFAE19}"/>
            </c:ext>
          </c:extLst>
        </c:ser>
        <c:ser>
          <c:idx val="1"/>
          <c:order val="1"/>
          <c:tx>
            <c:strRef>
              <c:f>Sheet1!$E$5</c:f>
              <c:strCache>
                <c:ptCount val="1"/>
                <c:pt idx="0">
                  <c:v>Carers and Aides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Sheet1!$F$3:$EL$3</c:f>
              <c:numCache>
                <c:formatCode>mmm\-yy</c:formatCode>
                <c:ptCount val="137"/>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pt idx="133">
                  <c:v>44348</c:v>
                </c:pt>
                <c:pt idx="134">
                  <c:v>44378</c:v>
                </c:pt>
                <c:pt idx="135">
                  <c:v>44409</c:v>
                </c:pt>
                <c:pt idx="136">
                  <c:v>44440</c:v>
                </c:pt>
              </c:numCache>
            </c:numRef>
          </c:cat>
          <c:val>
            <c:numRef>
              <c:f>Sheet1!$F$5:$EL$5</c:f>
              <c:numCache>
                <c:formatCode>#,##0</c:formatCode>
                <c:ptCount val="137"/>
                <c:pt idx="0">
                  <c:v>82.42</c:v>
                </c:pt>
                <c:pt idx="1">
                  <c:v>84.753</c:v>
                </c:pt>
                <c:pt idx="2">
                  <c:v>99.120999999999995</c:v>
                </c:pt>
                <c:pt idx="3">
                  <c:v>104.541</c:v>
                </c:pt>
                <c:pt idx="4">
                  <c:v>120.29900000000001</c:v>
                </c:pt>
                <c:pt idx="5">
                  <c:v>129.74799999999999</c:v>
                </c:pt>
                <c:pt idx="6">
                  <c:v>149.773</c:v>
                </c:pt>
                <c:pt idx="7">
                  <c:v>142.69499999999999</c:v>
                </c:pt>
                <c:pt idx="8">
                  <c:v>142.57400000000001</c:v>
                </c:pt>
                <c:pt idx="9">
                  <c:v>130.05199999999999</c:v>
                </c:pt>
                <c:pt idx="10">
                  <c:v>154.49299999999999</c:v>
                </c:pt>
                <c:pt idx="11">
                  <c:v>154.589</c:v>
                </c:pt>
                <c:pt idx="12">
                  <c:v>157.75299999999999</c:v>
                </c:pt>
                <c:pt idx="13">
                  <c:v>136.56</c:v>
                </c:pt>
                <c:pt idx="14">
                  <c:v>135.173</c:v>
                </c:pt>
                <c:pt idx="15">
                  <c:v>133.24100000000001</c:v>
                </c:pt>
                <c:pt idx="16">
                  <c:v>137.64699999999999</c:v>
                </c:pt>
                <c:pt idx="17">
                  <c:v>130.24100000000001</c:v>
                </c:pt>
                <c:pt idx="18">
                  <c:v>128.762</c:v>
                </c:pt>
                <c:pt idx="19">
                  <c:v>125.182</c:v>
                </c:pt>
                <c:pt idx="20">
                  <c:v>126.125</c:v>
                </c:pt>
                <c:pt idx="21">
                  <c:v>131.41999999999999</c:v>
                </c:pt>
                <c:pt idx="22">
                  <c:v>144.86600000000001</c:v>
                </c:pt>
                <c:pt idx="23">
                  <c:v>151.06800000000001</c:v>
                </c:pt>
                <c:pt idx="24">
                  <c:v>144.928</c:v>
                </c:pt>
                <c:pt idx="25">
                  <c:v>128.20099999999999</c:v>
                </c:pt>
                <c:pt idx="26">
                  <c:v>130.63</c:v>
                </c:pt>
                <c:pt idx="27">
                  <c:v>134.333</c:v>
                </c:pt>
                <c:pt idx="28">
                  <c:v>145.667</c:v>
                </c:pt>
                <c:pt idx="29">
                  <c:v>144</c:v>
                </c:pt>
                <c:pt idx="30">
                  <c:v>143.667</c:v>
                </c:pt>
                <c:pt idx="31">
                  <c:v>126</c:v>
                </c:pt>
                <c:pt idx="32">
                  <c:v>122.667</c:v>
                </c:pt>
                <c:pt idx="33">
                  <c:v>110.667</c:v>
                </c:pt>
                <c:pt idx="34">
                  <c:v>124.667</c:v>
                </c:pt>
                <c:pt idx="35">
                  <c:v>125.333</c:v>
                </c:pt>
                <c:pt idx="36">
                  <c:v>133.333</c:v>
                </c:pt>
                <c:pt idx="37">
                  <c:v>130.667</c:v>
                </c:pt>
                <c:pt idx="38">
                  <c:v>137.333</c:v>
                </c:pt>
                <c:pt idx="39">
                  <c:v>141.667</c:v>
                </c:pt>
                <c:pt idx="40">
                  <c:v>139.667</c:v>
                </c:pt>
                <c:pt idx="41">
                  <c:v>139</c:v>
                </c:pt>
                <c:pt idx="42">
                  <c:v>137.333</c:v>
                </c:pt>
                <c:pt idx="43">
                  <c:v>134.667</c:v>
                </c:pt>
                <c:pt idx="44">
                  <c:v>132.333</c:v>
                </c:pt>
                <c:pt idx="45">
                  <c:v>122</c:v>
                </c:pt>
                <c:pt idx="46">
                  <c:v>135.333</c:v>
                </c:pt>
                <c:pt idx="47">
                  <c:v>138</c:v>
                </c:pt>
                <c:pt idx="48">
                  <c:v>158.333</c:v>
                </c:pt>
                <c:pt idx="49">
                  <c:v>165</c:v>
                </c:pt>
                <c:pt idx="50">
                  <c:v>165.667</c:v>
                </c:pt>
                <c:pt idx="51">
                  <c:v>162.333</c:v>
                </c:pt>
                <c:pt idx="52">
                  <c:v>153.667</c:v>
                </c:pt>
                <c:pt idx="53">
                  <c:v>138.333</c:v>
                </c:pt>
                <c:pt idx="54">
                  <c:v>116</c:v>
                </c:pt>
                <c:pt idx="55">
                  <c:v>95.332999999999998</c:v>
                </c:pt>
                <c:pt idx="56">
                  <c:v>93.332999999999998</c:v>
                </c:pt>
                <c:pt idx="57">
                  <c:v>100.667</c:v>
                </c:pt>
                <c:pt idx="58">
                  <c:v>109.333</c:v>
                </c:pt>
                <c:pt idx="59">
                  <c:v>121</c:v>
                </c:pt>
                <c:pt idx="60">
                  <c:v>120.333</c:v>
                </c:pt>
                <c:pt idx="61">
                  <c:v>124.333</c:v>
                </c:pt>
                <c:pt idx="62">
                  <c:v>121</c:v>
                </c:pt>
                <c:pt idx="63">
                  <c:v>121</c:v>
                </c:pt>
                <c:pt idx="64">
                  <c:v>129</c:v>
                </c:pt>
                <c:pt idx="65">
                  <c:v>136.667</c:v>
                </c:pt>
                <c:pt idx="66">
                  <c:v>140.667</c:v>
                </c:pt>
                <c:pt idx="67">
                  <c:v>129.667</c:v>
                </c:pt>
                <c:pt idx="68">
                  <c:v>131.667</c:v>
                </c:pt>
                <c:pt idx="69">
                  <c:v>136.667</c:v>
                </c:pt>
                <c:pt idx="70">
                  <c:v>151</c:v>
                </c:pt>
                <c:pt idx="71">
                  <c:v>154</c:v>
                </c:pt>
                <c:pt idx="72">
                  <c:v>160</c:v>
                </c:pt>
                <c:pt idx="73">
                  <c:v>162.667</c:v>
                </c:pt>
                <c:pt idx="74">
                  <c:v>168.333</c:v>
                </c:pt>
                <c:pt idx="75">
                  <c:v>181</c:v>
                </c:pt>
                <c:pt idx="76">
                  <c:v>187</c:v>
                </c:pt>
                <c:pt idx="77">
                  <c:v>190.333</c:v>
                </c:pt>
                <c:pt idx="78">
                  <c:v>186</c:v>
                </c:pt>
                <c:pt idx="79">
                  <c:v>173.667</c:v>
                </c:pt>
                <c:pt idx="80">
                  <c:v>177.333</c:v>
                </c:pt>
                <c:pt idx="81">
                  <c:v>173.333</c:v>
                </c:pt>
                <c:pt idx="82">
                  <c:v>183.333</c:v>
                </c:pt>
                <c:pt idx="83">
                  <c:v>155</c:v>
                </c:pt>
                <c:pt idx="84">
                  <c:v>153</c:v>
                </c:pt>
                <c:pt idx="85">
                  <c:v>144.333</c:v>
                </c:pt>
                <c:pt idx="86">
                  <c:v>162.333</c:v>
                </c:pt>
                <c:pt idx="87">
                  <c:v>159.667</c:v>
                </c:pt>
                <c:pt idx="88">
                  <c:v>175.667</c:v>
                </c:pt>
                <c:pt idx="89">
                  <c:v>172.667</c:v>
                </c:pt>
                <c:pt idx="90">
                  <c:v>170.667</c:v>
                </c:pt>
                <c:pt idx="91">
                  <c:v>141</c:v>
                </c:pt>
                <c:pt idx="92">
                  <c:v>134.333</c:v>
                </c:pt>
                <c:pt idx="93">
                  <c:v>147</c:v>
                </c:pt>
                <c:pt idx="94">
                  <c:v>161.667</c:v>
                </c:pt>
                <c:pt idx="95">
                  <c:v>164.667</c:v>
                </c:pt>
                <c:pt idx="96">
                  <c:v>155.667</c:v>
                </c:pt>
                <c:pt idx="97">
                  <c:v>150</c:v>
                </c:pt>
                <c:pt idx="98">
                  <c:v>152</c:v>
                </c:pt>
                <c:pt idx="99">
                  <c:v>154.333</c:v>
                </c:pt>
                <c:pt idx="100">
                  <c:v>157</c:v>
                </c:pt>
                <c:pt idx="101">
                  <c:v>171.333</c:v>
                </c:pt>
                <c:pt idx="102">
                  <c:v>176.333</c:v>
                </c:pt>
                <c:pt idx="103">
                  <c:v>177.333</c:v>
                </c:pt>
                <c:pt idx="104">
                  <c:v>167.333</c:v>
                </c:pt>
                <c:pt idx="105">
                  <c:v>171</c:v>
                </c:pt>
                <c:pt idx="106">
                  <c:v>180</c:v>
                </c:pt>
                <c:pt idx="107">
                  <c:v>185</c:v>
                </c:pt>
                <c:pt idx="108">
                  <c:v>185</c:v>
                </c:pt>
                <c:pt idx="109">
                  <c:v>186</c:v>
                </c:pt>
                <c:pt idx="110">
                  <c:v>189.333</c:v>
                </c:pt>
                <c:pt idx="111">
                  <c:v>196.333</c:v>
                </c:pt>
                <c:pt idx="112">
                  <c:v>196.667</c:v>
                </c:pt>
                <c:pt idx="113">
                  <c:v>194.667</c:v>
                </c:pt>
                <c:pt idx="114">
                  <c:v>187</c:v>
                </c:pt>
                <c:pt idx="115">
                  <c:v>170.667</c:v>
                </c:pt>
                <c:pt idx="116">
                  <c:v>165.333</c:v>
                </c:pt>
                <c:pt idx="117">
                  <c:v>157</c:v>
                </c:pt>
                <c:pt idx="118">
                  <c:v>155.667</c:v>
                </c:pt>
                <c:pt idx="119">
                  <c:v>122</c:v>
                </c:pt>
                <c:pt idx="120">
                  <c:v>98.667000000000002</c:v>
                </c:pt>
                <c:pt idx="121">
                  <c:v>107</c:v>
                </c:pt>
                <c:pt idx="122">
                  <c:v>145</c:v>
                </c:pt>
                <c:pt idx="123">
                  <c:v>183</c:v>
                </c:pt>
                <c:pt idx="124">
                  <c:v>183</c:v>
                </c:pt>
                <c:pt idx="125">
                  <c:v>180</c:v>
                </c:pt>
                <c:pt idx="126">
                  <c:v>158</c:v>
                </c:pt>
                <c:pt idx="127">
                  <c:v>155</c:v>
                </c:pt>
                <c:pt idx="128">
                  <c:v>157</c:v>
                </c:pt>
                <c:pt idx="129">
                  <c:v>169.333</c:v>
                </c:pt>
                <c:pt idx="130">
                  <c:v>200</c:v>
                </c:pt>
                <c:pt idx="131">
                  <c:v>216.333</c:v>
                </c:pt>
                <c:pt idx="132">
                  <c:v>225</c:v>
                </c:pt>
                <c:pt idx="133">
                  <c:v>216</c:v>
                </c:pt>
                <c:pt idx="134">
                  <c:v>215.667</c:v>
                </c:pt>
                <c:pt idx="135">
                  <c:v>199.333</c:v>
                </c:pt>
                <c:pt idx="136">
                  <c:v>186.667</c:v>
                </c:pt>
              </c:numCache>
            </c:numRef>
          </c:val>
          <c:smooth val="0"/>
          <c:extLst>
            <c:ext xmlns:c16="http://schemas.microsoft.com/office/drawing/2014/chart" uri="{C3380CC4-5D6E-409C-BE32-E72D297353CC}">
              <c16:uniqueId val="{00000003-4D8A-4037-88D8-34EBB3AFAE19}"/>
            </c:ext>
          </c:extLst>
        </c:ser>
        <c:ser>
          <c:idx val="2"/>
          <c:order val="2"/>
          <c:tx>
            <c:strRef>
              <c:f>Sheet1!$E$6</c:f>
              <c:strCache>
                <c:ptCount val="1"/>
                <c:pt idx="0">
                  <c:v>Legal, Social and Welfare Professionals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Sheet1!$F$3:$EL$3</c:f>
              <c:numCache>
                <c:formatCode>mmm\-yy</c:formatCode>
                <c:ptCount val="137"/>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pt idx="133">
                  <c:v>44348</c:v>
                </c:pt>
                <c:pt idx="134">
                  <c:v>44378</c:v>
                </c:pt>
                <c:pt idx="135">
                  <c:v>44409</c:v>
                </c:pt>
                <c:pt idx="136">
                  <c:v>44440</c:v>
                </c:pt>
              </c:numCache>
            </c:numRef>
          </c:cat>
          <c:val>
            <c:numRef>
              <c:f>Sheet1!$F$6:$EL$6</c:f>
              <c:numCache>
                <c:formatCode>#,##0</c:formatCode>
                <c:ptCount val="137"/>
                <c:pt idx="0">
                  <c:v>90.003</c:v>
                </c:pt>
                <c:pt idx="1">
                  <c:v>98.93</c:v>
                </c:pt>
                <c:pt idx="2">
                  <c:v>111.81399999999999</c:v>
                </c:pt>
                <c:pt idx="3">
                  <c:v>117.099</c:v>
                </c:pt>
                <c:pt idx="4">
                  <c:v>112.027</c:v>
                </c:pt>
                <c:pt idx="5">
                  <c:v>99.959000000000003</c:v>
                </c:pt>
                <c:pt idx="6">
                  <c:v>100.01300000000001</c:v>
                </c:pt>
                <c:pt idx="7">
                  <c:v>100.34099999999999</c:v>
                </c:pt>
                <c:pt idx="8">
                  <c:v>121.5</c:v>
                </c:pt>
                <c:pt idx="9">
                  <c:v>139.804</c:v>
                </c:pt>
                <c:pt idx="10">
                  <c:v>148.785</c:v>
                </c:pt>
                <c:pt idx="11">
                  <c:v>143.35499999999999</c:v>
                </c:pt>
                <c:pt idx="12">
                  <c:v>126.16200000000001</c:v>
                </c:pt>
                <c:pt idx="13">
                  <c:v>128.09399999999999</c:v>
                </c:pt>
                <c:pt idx="14">
                  <c:v>127.22</c:v>
                </c:pt>
                <c:pt idx="15">
                  <c:v>138.72800000000001</c:v>
                </c:pt>
                <c:pt idx="16">
                  <c:v>138.01300000000001</c:v>
                </c:pt>
                <c:pt idx="17">
                  <c:v>139.98400000000001</c:v>
                </c:pt>
                <c:pt idx="18">
                  <c:v>137.76599999999999</c:v>
                </c:pt>
                <c:pt idx="19">
                  <c:v>125.355</c:v>
                </c:pt>
                <c:pt idx="20">
                  <c:v>115.81399999999999</c:v>
                </c:pt>
                <c:pt idx="21">
                  <c:v>109.40900000000001</c:v>
                </c:pt>
                <c:pt idx="22">
                  <c:v>115.34099999999999</c:v>
                </c:pt>
                <c:pt idx="23">
                  <c:v>108.568</c:v>
                </c:pt>
                <c:pt idx="24">
                  <c:v>116.476</c:v>
                </c:pt>
                <c:pt idx="25">
                  <c:v>118.746</c:v>
                </c:pt>
                <c:pt idx="26">
                  <c:v>118.378</c:v>
                </c:pt>
                <c:pt idx="27">
                  <c:v>106.333</c:v>
                </c:pt>
                <c:pt idx="28">
                  <c:v>96.332999999999998</c:v>
                </c:pt>
                <c:pt idx="29">
                  <c:v>100.667</c:v>
                </c:pt>
                <c:pt idx="30">
                  <c:v>96</c:v>
                </c:pt>
                <c:pt idx="31">
                  <c:v>87.332999999999998</c:v>
                </c:pt>
                <c:pt idx="32">
                  <c:v>77</c:v>
                </c:pt>
                <c:pt idx="33">
                  <c:v>76.332999999999998</c:v>
                </c:pt>
                <c:pt idx="34">
                  <c:v>82</c:v>
                </c:pt>
                <c:pt idx="35">
                  <c:v>88</c:v>
                </c:pt>
                <c:pt idx="36">
                  <c:v>92</c:v>
                </c:pt>
                <c:pt idx="37">
                  <c:v>92</c:v>
                </c:pt>
                <c:pt idx="38">
                  <c:v>96</c:v>
                </c:pt>
                <c:pt idx="39">
                  <c:v>99.667000000000002</c:v>
                </c:pt>
                <c:pt idx="40">
                  <c:v>111.333</c:v>
                </c:pt>
                <c:pt idx="41">
                  <c:v>110.333</c:v>
                </c:pt>
                <c:pt idx="42">
                  <c:v>97.667000000000002</c:v>
                </c:pt>
                <c:pt idx="43">
                  <c:v>75</c:v>
                </c:pt>
                <c:pt idx="44">
                  <c:v>69</c:v>
                </c:pt>
                <c:pt idx="45">
                  <c:v>71.332999999999998</c:v>
                </c:pt>
                <c:pt idx="46">
                  <c:v>92.332999999999998</c:v>
                </c:pt>
                <c:pt idx="47">
                  <c:v>92</c:v>
                </c:pt>
                <c:pt idx="48">
                  <c:v>92</c:v>
                </c:pt>
                <c:pt idx="49">
                  <c:v>97.667000000000002</c:v>
                </c:pt>
                <c:pt idx="50">
                  <c:v>101.667</c:v>
                </c:pt>
                <c:pt idx="51">
                  <c:v>110.333</c:v>
                </c:pt>
                <c:pt idx="52">
                  <c:v>102</c:v>
                </c:pt>
                <c:pt idx="53">
                  <c:v>120</c:v>
                </c:pt>
                <c:pt idx="54">
                  <c:v>119.333</c:v>
                </c:pt>
                <c:pt idx="55">
                  <c:v>111.667</c:v>
                </c:pt>
                <c:pt idx="56">
                  <c:v>93.667000000000002</c:v>
                </c:pt>
                <c:pt idx="57">
                  <c:v>88</c:v>
                </c:pt>
                <c:pt idx="58">
                  <c:v>96</c:v>
                </c:pt>
                <c:pt idx="59">
                  <c:v>108.333</c:v>
                </c:pt>
                <c:pt idx="60">
                  <c:v>118</c:v>
                </c:pt>
                <c:pt idx="61">
                  <c:v>123.333</c:v>
                </c:pt>
                <c:pt idx="62">
                  <c:v>126</c:v>
                </c:pt>
                <c:pt idx="63">
                  <c:v>133</c:v>
                </c:pt>
                <c:pt idx="64">
                  <c:v>135</c:v>
                </c:pt>
                <c:pt idx="65">
                  <c:v>132</c:v>
                </c:pt>
                <c:pt idx="66">
                  <c:v>119</c:v>
                </c:pt>
                <c:pt idx="67">
                  <c:v>108.667</c:v>
                </c:pt>
                <c:pt idx="68">
                  <c:v>109</c:v>
                </c:pt>
                <c:pt idx="69">
                  <c:v>112.333</c:v>
                </c:pt>
                <c:pt idx="70">
                  <c:v>116</c:v>
                </c:pt>
                <c:pt idx="71">
                  <c:v>110.667</c:v>
                </c:pt>
                <c:pt idx="72">
                  <c:v>118.667</c:v>
                </c:pt>
                <c:pt idx="73">
                  <c:v>133.333</c:v>
                </c:pt>
                <c:pt idx="74">
                  <c:v>144.333</c:v>
                </c:pt>
                <c:pt idx="75">
                  <c:v>152.667</c:v>
                </c:pt>
                <c:pt idx="76">
                  <c:v>164</c:v>
                </c:pt>
                <c:pt idx="77">
                  <c:v>170.667</c:v>
                </c:pt>
                <c:pt idx="78">
                  <c:v>173.667</c:v>
                </c:pt>
                <c:pt idx="79">
                  <c:v>154</c:v>
                </c:pt>
                <c:pt idx="80">
                  <c:v>151.333</c:v>
                </c:pt>
                <c:pt idx="81">
                  <c:v>145</c:v>
                </c:pt>
                <c:pt idx="82">
                  <c:v>177</c:v>
                </c:pt>
                <c:pt idx="83">
                  <c:v>175.667</c:v>
                </c:pt>
                <c:pt idx="84">
                  <c:v>198.667</c:v>
                </c:pt>
                <c:pt idx="85">
                  <c:v>196</c:v>
                </c:pt>
                <c:pt idx="86">
                  <c:v>212.667</c:v>
                </c:pt>
                <c:pt idx="87">
                  <c:v>206.667</c:v>
                </c:pt>
                <c:pt idx="88">
                  <c:v>191</c:v>
                </c:pt>
                <c:pt idx="89">
                  <c:v>181</c:v>
                </c:pt>
                <c:pt idx="90">
                  <c:v>169.667</c:v>
                </c:pt>
                <c:pt idx="91">
                  <c:v>150.333</c:v>
                </c:pt>
                <c:pt idx="92">
                  <c:v>138</c:v>
                </c:pt>
                <c:pt idx="93">
                  <c:v>131.667</c:v>
                </c:pt>
                <c:pt idx="94">
                  <c:v>140.333</c:v>
                </c:pt>
                <c:pt idx="95">
                  <c:v>140</c:v>
                </c:pt>
                <c:pt idx="96">
                  <c:v>144</c:v>
                </c:pt>
                <c:pt idx="97">
                  <c:v>148.333</c:v>
                </c:pt>
                <c:pt idx="98">
                  <c:v>161</c:v>
                </c:pt>
                <c:pt idx="99">
                  <c:v>177.333</c:v>
                </c:pt>
                <c:pt idx="100">
                  <c:v>192.667</c:v>
                </c:pt>
                <c:pt idx="101">
                  <c:v>192.667</c:v>
                </c:pt>
                <c:pt idx="102">
                  <c:v>188</c:v>
                </c:pt>
                <c:pt idx="103">
                  <c:v>165.667</c:v>
                </c:pt>
                <c:pt idx="104">
                  <c:v>170.333</c:v>
                </c:pt>
                <c:pt idx="105">
                  <c:v>159</c:v>
                </c:pt>
                <c:pt idx="106">
                  <c:v>185</c:v>
                </c:pt>
                <c:pt idx="107">
                  <c:v>186</c:v>
                </c:pt>
                <c:pt idx="108">
                  <c:v>199.333</c:v>
                </c:pt>
                <c:pt idx="109">
                  <c:v>197.667</c:v>
                </c:pt>
                <c:pt idx="110">
                  <c:v>202.333</c:v>
                </c:pt>
                <c:pt idx="111">
                  <c:v>204</c:v>
                </c:pt>
                <c:pt idx="112">
                  <c:v>213.667</c:v>
                </c:pt>
                <c:pt idx="113">
                  <c:v>215.667</c:v>
                </c:pt>
                <c:pt idx="114">
                  <c:v>227</c:v>
                </c:pt>
                <c:pt idx="115">
                  <c:v>213</c:v>
                </c:pt>
                <c:pt idx="116">
                  <c:v>210.333</c:v>
                </c:pt>
                <c:pt idx="117">
                  <c:v>195.667</c:v>
                </c:pt>
                <c:pt idx="118">
                  <c:v>197</c:v>
                </c:pt>
                <c:pt idx="119">
                  <c:v>176.667</c:v>
                </c:pt>
                <c:pt idx="120">
                  <c:v>148</c:v>
                </c:pt>
                <c:pt idx="121">
                  <c:v>159.667</c:v>
                </c:pt>
                <c:pt idx="122">
                  <c:v>159.333</c:v>
                </c:pt>
                <c:pt idx="123">
                  <c:v>189.667</c:v>
                </c:pt>
                <c:pt idx="124">
                  <c:v>188.667</c:v>
                </c:pt>
                <c:pt idx="125">
                  <c:v>212.667</c:v>
                </c:pt>
                <c:pt idx="126">
                  <c:v>219.333</c:v>
                </c:pt>
                <c:pt idx="127">
                  <c:v>198</c:v>
                </c:pt>
                <c:pt idx="128">
                  <c:v>199</c:v>
                </c:pt>
                <c:pt idx="129">
                  <c:v>199.667</c:v>
                </c:pt>
                <c:pt idx="130">
                  <c:v>224</c:v>
                </c:pt>
                <c:pt idx="131">
                  <c:v>224.667</c:v>
                </c:pt>
                <c:pt idx="132">
                  <c:v>218</c:v>
                </c:pt>
                <c:pt idx="133">
                  <c:v>215.667</c:v>
                </c:pt>
                <c:pt idx="134">
                  <c:v>236</c:v>
                </c:pt>
                <c:pt idx="135">
                  <c:v>250.333</c:v>
                </c:pt>
                <c:pt idx="136">
                  <c:v>248.667</c:v>
                </c:pt>
              </c:numCache>
            </c:numRef>
          </c:val>
          <c:smooth val="0"/>
          <c:extLst>
            <c:ext xmlns:c16="http://schemas.microsoft.com/office/drawing/2014/chart" uri="{C3380CC4-5D6E-409C-BE32-E72D297353CC}">
              <c16:uniqueId val="{00000005-4D8A-4037-88D8-34EBB3AFAE19}"/>
            </c:ext>
          </c:extLst>
        </c:ser>
        <c:dLbls>
          <c:showLegendKey val="0"/>
          <c:showVal val="0"/>
          <c:showCatName val="0"/>
          <c:showSerName val="0"/>
          <c:showPercent val="0"/>
          <c:showBubbleSize val="0"/>
        </c:dLbls>
        <c:smooth val="0"/>
        <c:axId val="2043448704"/>
        <c:axId val="2043445376"/>
      </c:lineChart>
      <c:dateAx>
        <c:axId val="20434487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43445376"/>
        <c:crosses val="autoZero"/>
        <c:auto val="1"/>
        <c:lblOffset val="100"/>
        <c:baseTimeUnit val="months"/>
      </c:dateAx>
      <c:valAx>
        <c:axId val="2043445376"/>
        <c:scaling>
          <c:orientation val="minMax"/>
        </c:scaling>
        <c:delete val="0"/>
        <c:axPos val="l"/>
        <c:numFmt formatCode="#,##0" sourceLinked="1"/>
        <c:majorTickMark val="none"/>
        <c:minorTickMark val="none"/>
        <c:tickLblPos val="nextTo"/>
        <c:spPr>
          <a:noFill/>
          <a:ln>
            <a:solidFill>
              <a:schemeClr val="accent3">
                <a:lumMod val="40000"/>
                <a:lumOff val="6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43448704"/>
        <c:crosses val="autoZero"/>
        <c:crossBetween val="between"/>
      </c:valAx>
      <c:spPr>
        <a:noFill/>
        <a:ln>
          <a:noFill/>
        </a:ln>
        <a:effectLst/>
      </c:spPr>
    </c:plotArea>
    <c:legend>
      <c:legendPos val="r"/>
      <c:layout>
        <c:manualLayout>
          <c:xMode val="edge"/>
          <c:yMode val="edge"/>
          <c:x val="0.74661327505164521"/>
          <c:y val="5.9943691631569304E-2"/>
          <c:w val="0.23553231939163494"/>
          <c:h val="0.7180341033529750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2"/>
          <c:order val="0"/>
          <c:tx>
            <c:strRef>
              <c:f>'ratings infrastructure'!$AK$18</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infrastructure'!$AK$19:$AK$33</c:f>
              <c:numCache>
                <c:formatCode>0%</c:formatCode>
                <c:ptCount val="15"/>
                <c:pt idx="0">
                  <c:v>0.1744186046511628</c:v>
                </c:pt>
                <c:pt idx="1">
                  <c:v>0.24390243902439024</c:v>
                </c:pt>
                <c:pt idx="2">
                  <c:v>0.23863636363636365</c:v>
                </c:pt>
                <c:pt idx="3">
                  <c:v>0.28282828282828282</c:v>
                </c:pt>
                <c:pt idx="4">
                  <c:v>0.29032258064516131</c:v>
                </c:pt>
                <c:pt idx="5">
                  <c:v>0.29347826086956524</c:v>
                </c:pt>
                <c:pt idx="6">
                  <c:v>0.29213483146067415</c:v>
                </c:pt>
                <c:pt idx="7">
                  <c:v>0.30864197530864196</c:v>
                </c:pt>
                <c:pt idx="8">
                  <c:v>0.30851063829787234</c:v>
                </c:pt>
                <c:pt idx="9">
                  <c:v>0.34831460674157305</c:v>
                </c:pt>
                <c:pt idx="10">
                  <c:v>0.35714285714285715</c:v>
                </c:pt>
                <c:pt idx="11">
                  <c:v>0.36082474226804123</c:v>
                </c:pt>
                <c:pt idx="12">
                  <c:v>0.36585365853658536</c:v>
                </c:pt>
                <c:pt idx="13">
                  <c:v>0.44210526315789472</c:v>
                </c:pt>
                <c:pt idx="14">
                  <c:v>0.4375</c:v>
                </c:pt>
              </c:numCache>
            </c:numRef>
          </c:val>
          <c:extLst>
            <c:ext xmlns:c16="http://schemas.microsoft.com/office/drawing/2014/chart" uri="{C3380CC4-5D6E-409C-BE32-E72D297353CC}">
              <c16:uniqueId val="{00000000-62FE-485B-8CD7-271E80C84C9D}"/>
            </c:ext>
          </c:extLst>
        </c:ser>
        <c:ser>
          <c:idx val="1"/>
          <c:order val="1"/>
          <c:tx>
            <c:strRef>
              <c:f>'ratings infrastructure'!$AJ$18</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infrastructure'!$AJ$19:$AJ$33</c:f>
              <c:numCache>
                <c:formatCode>0%</c:formatCode>
                <c:ptCount val="15"/>
                <c:pt idx="0">
                  <c:v>0.19767441860465115</c:v>
                </c:pt>
                <c:pt idx="1">
                  <c:v>0.3048780487804878</c:v>
                </c:pt>
                <c:pt idx="2">
                  <c:v>0.32954545454545453</c:v>
                </c:pt>
                <c:pt idx="3">
                  <c:v>0.41414141414141414</c:v>
                </c:pt>
                <c:pt idx="4">
                  <c:v>0.29032258064516131</c:v>
                </c:pt>
                <c:pt idx="5">
                  <c:v>0.31521739130434784</c:v>
                </c:pt>
                <c:pt idx="6">
                  <c:v>0.3258426966292135</c:v>
                </c:pt>
                <c:pt idx="7">
                  <c:v>0.29629629629629628</c:v>
                </c:pt>
                <c:pt idx="8">
                  <c:v>0.39361702127659576</c:v>
                </c:pt>
                <c:pt idx="9">
                  <c:v>0.30337078651685395</c:v>
                </c:pt>
                <c:pt idx="10">
                  <c:v>0.25</c:v>
                </c:pt>
                <c:pt idx="11">
                  <c:v>0.40206185567010311</c:v>
                </c:pt>
                <c:pt idx="12">
                  <c:v>0.25609756097560976</c:v>
                </c:pt>
                <c:pt idx="13">
                  <c:v>0.29473684210526313</c:v>
                </c:pt>
                <c:pt idx="14">
                  <c:v>0.29166666666666669</c:v>
                </c:pt>
              </c:numCache>
            </c:numRef>
          </c:val>
          <c:extLst>
            <c:ext xmlns:c16="http://schemas.microsoft.com/office/drawing/2014/chart" uri="{C3380CC4-5D6E-409C-BE32-E72D297353CC}">
              <c16:uniqueId val="{00000001-62FE-485B-8CD7-271E80C84C9D}"/>
            </c:ext>
          </c:extLst>
        </c:ser>
        <c:ser>
          <c:idx val="0"/>
          <c:order val="2"/>
          <c:tx>
            <c:strRef>
              <c:f>'ratings infrastructure'!$AI$18</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infrastructure'!$AI$19:$AI$33</c:f>
              <c:numCache>
                <c:formatCode>0%</c:formatCode>
                <c:ptCount val="15"/>
                <c:pt idx="0">
                  <c:v>0.58139534883720934</c:v>
                </c:pt>
                <c:pt idx="1">
                  <c:v>0.45121951219512196</c:v>
                </c:pt>
                <c:pt idx="2">
                  <c:v>0.42045454545454547</c:v>
                </c:pt>
                <c:pt idx="3">
                  <c:v>0.29292929292929293</c:v>
                </c:pt>
                <c:pt idx="4">
                  <c:v>0.41935483870967744</c:v>
                </c:pt>
                <c:pt idx="5">
                  <c:v>0.38043478260869568</c:v>
                </c:pt>
                <c:pt idx="6">
                  <c:v>0.3707865168539326</c:v>
                </c:pt>
                <c:pt idx="7">
                  <c:v>0.39506172839506171</c:v>
                </c:pt>
                <c:pt idx="8">
                  <c:v>0.28723404255319152</c:v>
                </c:pt>
                <c:pt idx="9">
                  <c:v>0.33707865168539325</c:v>
                </c:pt>
                <c:pt idx="10">
                  <c:v>0.35714285714285715</c:v>
                </c:pt>
                <c:pt idx="11">
                  <c:v>0.23711340206185566</c:v>
                </c:pt>
                <c:pt idx="12">
                  <c:v>0.36585365853658536</c:v>
                </c:pt>
                <c:pt idx="13">
                  <c:v>0.23157894736842105</c:v>
                </c:pt>
                <c:pt idx="14">
                  <c:v>0.27083333333333331</c:v>
                </c:pt>
              </c:numCache>
            </c:numRef>
          </c:val>
          <c:extLst>
            <c:ext xmlns:c16="http://schemas.microsoft.com/office/drawing/2014/chart" uri="{C3380CC4-5D6E-409C-BE32-E72D297353CC}">
              <c16:uniqueId val="{00000002-62FE-485B-8CD7-271E80C84C9D}"/>
            </c:ext>
          </c:extLst>
        </c:ser>
        <c:ser>
          <c:idx val="3"/>
          <c:order val="3"/>
          <c:tx>
            <c:strRef>
              <c:f>'ratings infrastructure'!$AL$18</c:f>
              <c:strCache>
                <c:ptCount val="1"/>
                <c:pt idx="0">
                  <c:v>Not sure</c:v>
                </c:pt>
              </c:strCache>
            </c:strRef>
          </c:tx>
          <c:spPr>
            <a:solidFill>
              <a:schemeClr val="accent4"/>
            </a:solidFill>
            <a:ln>
              <a:noFill/>
            </a:ln>
            <a:effectLst/>
          </c:spPr>
          <c:invertIfNegative val="0"/>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infrastructure'!$AL$19:$AL$33</c:f>
              <c:numCache>
                <c:formatCode>0%</c:formatCode>
                <c:ptCount val="15"/>
                <c:pt idx="0">
                  <c:v>4.6511627906976744E-2</c:v>
                </c:pt>
                <c:pt idx="1">
                  <c:v>0</c:v>
                </c:pt>
                <c:pt idx="2">
                  <c:v>1.1363636363636364E-2</c:v>
                </c:pt>
                <c:pt idx="3">
                  <c:v>1.0101010101010102E-2</c:v>
                </c:pt>
                <c:pt idx="4">
                  <c:v>0</c:v>
                </c:pt>
                <c:pt idx="5">
                  <c:v>1.0869565217391304E-2</c:v>
                </c:pt>
                <c:pt idx="6">
                  <c:v>1.1235955056179775E-2</c:v>
                </c:pt>
                <c:pt idx="7">
                  <c:v>0</c:v>
                </c:pt>
                <c:pt idx="8">
                  <c:v>1.0638297872340425E-2</c:v>
                </c:pt>
                <c:pt idx="9">
                  <c:v>1.1235955056179775E-2</c:v>
                </c:pt>
                <c:pt idx="10">
                  <c:v>3.5714285714285712E-2</c:v>
                </c:pt>
                <c:pt idx="11">
                  <c:v>0</c:v>
                </c:pt>
                <c:pt idx="12">
                  <c:v>1.2195121951219513E-2</c:v>
                </c:pt>
                <c:pt idx="13">
                  <c:v>3.1578947368421054E-2</c:v>
                </c:pt>
                <c:pt idx="14">
                  <c:v>0</c:v>
                </c:pt>
              </c:numCache>
            </c:numRef>
          </c:val>
          <c:extLst>
            <c:ext xmlns:c16="http://schemas.microsoft.com/office/drawing/2014/chart" uri="{C3380CC4-5D6E-409C-BE32-E72D297353CC}">
              <c16:uniqueId val="{00000003-62FE-485B-8CD7-271E80C84C9D}"/>
            </c:ext>
          </c:extLst>
        </c:ser>
        <c:dLbls>
          <c:showLegendKey val="0"/>
          <c:showVal val="0"/>
          <c:showCatName val="0"/>
          <c:showSerName val="0"/>
          <c:showPercent val="0"/>
          <c:showBubbleSize val="0"/>
        </c:dLbls>
        <c:gapWidth val="50"/>
        <c:overlap val="100"/>
        <c:axId val="1266253455"/>
        <c:axId val="1266255951"/>
      </c:barChart>
      <c:catAx>
        <c:axId val="1266253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255951"/>
        <c:crosses val="autoZero"/>
        <c:auto val="1"/>
        <c:lblAlgn val="ctr"/>
        <c:lblOffset val="100"/>
        <c:noMultiLvlLbl val="0"/>
      </c:catAx>
      <c:valAx>
        <c:axId val="1266255951"/>
        <c:scaling>
          <c:orientation val="minMax"/>
        </c:scaling>
        <c:delete val="1"/>
        <c:axPos val="t"/>
        <c:numFmt formatCode="0%" sourceLinked="1"/>
        <c:majorTickMark val="none"/>
        <c:minorTickMark val="none"/>
        <c:tickLblPos val="nextTo"/>
        <c:crossAx val="1266253455"/>
        <c:crosses val="autoZero"/>
        <c:crossBetween val="between"/>
      </c:valAx>
      <c:spPr>
        <a:noFill/>
        <a:ln>
          <a:noFill/>
        </a:ln>
        <a:effectLst/>
      </c:spPr>
    </c:plotArea>
    <c:legend>
      <c:legendPos val="t"/>
      <c:layout>
        <c:manualLayout>
          <c:xMode val="edge"/>
          <c:yMode val="edge"/>
          <c:x val="0.27979973462430685"/>
          <c:y val="1.8935707360904216E-2"/>
          <c:w val="0.67272750248977764"/>
          <c:h val="7.632971554231396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524727343379965"/>
          <c:y val="0.11213043239426618"/>
          <c:w val="0.6347527265662003"/>
          <c:h val="0.85043550260658463"/>
        </c:manualLayout>
      </c:layout>
      <c:barChart>
        <c:barDir val="bar"/>
        <c:grouping val="percentStacked"/>
        <c:varyColors val="0"/>
        <c:ser>
          <c:idx val="2"/>
          <c:order val="0"/>
          <c:tx>
            <c:strRef>
              <c:f>'other ratings'!$X$17</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ratings'!$X$18:$X$23</c:f>
              <c:numCache>
                <c:formatCode>0%</c:formatCode>
                <c:ptCount val="6"/>
                <c:pt idx="0">
                  <c:v>8.4210526315789472E-2</c:v>
                </c:pt>
                <c:pt idx="1">
                  <c:v>9.5744680851063829E-2</c:v>
                </c:pt>
                <c:pt idx="2">
                  <c:v>0.12244897959183673</c:v>
                </c:pt>
                <c:pt idx="3">
                  <c:v>0.13402061855670103</c:v>
                </c:pt>
                <c:pt idx="4">
                  <c:v>0.30927835051546393</c:v>
                </c:pt>
                <c:pt idx="5">
                  <c:v>0.35714285714285715</c:v>
                </c:pt>
              </c:numCache>
            </c:numRef>
          </c:val>
          <c:extLst>
            <c:ext xmlns:c16="http://schemas.microsoft.com/office/drawing/2014/chart" uri="{C3380CC4-5D6E-409C-BE32-E72D297353CC}">
              <c16:uniqueId val="{00000000-5C4E-4A4C-AEA0-7F2E53D4974D}"/>
            </c:ext>
          </c:extLst>
        </c:ser>
        <c:ser>
          <c:idx val="1"/>
          <c:order val="1"/>
          <c:tx>
            <c:strRef>
              <c:f>'other ratings'!$W$17</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ratings'!$W$18:$W$23</c:f>
              <c:numCache>
                <c:formatCode>0%</c:formatCode>
                <c:ptCount val="6"/>
                <c:pt idx="0">
                  <c:v>0.26315789473684209</c:v>
                </c:pt>
                <c:pt idx="1">
                  <c:v>0.24468085106382978</c:v>
                </c:pt>
                <c:pt idx="2">
                  <c:v>0.36734693877551022</c:v>
                </c:pt>
                <c:pt idx="3">
                  <c:v>0.4329896907216495</c:v>
                </c:pt>
                <c:pt idx="4">
                  <c:v>0.29896907216494845</c:v>
                </c:pt>
                <c:pt idx="5">
                  <c:v>0.43877551020408162</c:v>
                </c:pt>
              </c:numCache>
            </c:numRef>
          </c:val>
          <c:extLst>
            <c:ext xmlns:c16="http://schemas.microsoft.com/office/drawing/2014/chart" uri="{C3380CC4-5D6E-409C-BE32-E72D297353CC}">
              <c16:uniqueId val="{00000001-5C4E-4A4C-AEA0-7F2E53D4974D}"/>
            </c:ext>
          </c:extLst>
        </c:ser>
        <c:ser>
          <c:idx val="0"/>
          <c:order val="2"/>
          <c:tx>
            <c:strRef>
              <c:f>'other ratings'!$V$17</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ratings'!$V$18:$V$23</c:f>
              <c:numCache>
                <c:formatCode>0%</c:formatCode>
                <c:ptCount val="6"/>
                <c:pt idx="0">
                  <c:v>0.65263157894736845</c:v>
                </c:pt>
                <c:pt idx="1">
                  <c:v>0.64893617021276595</c:v>
                </c:pt>
                <c:pt idx="2">
                  <c:v>0.5</c:v>
                </c:pt>
                <c:pt idx="3">
                  <c:v>0.4329896907216495</c:v>
                </c:pt>
                <c:pt idx="4">
                  <c:v>0.38144329896907214</c:v>
                </c:pt>
                <c:pt idx="5">
                  <c:v>0.20408163265306123</c:v>
                </c:pt>
              </c:numCache>
            </c:numRef>
          </c:val>
          <c:extLst>
            <c:ext xmlns:c16="http://schemas.microsoft.com/office/drawing/2014/chart" uri="{C3380CC4-5D6E-409C-BE32-E72D297353CC}">
              <c16:uniqueId val="{00000002-5C4E-4A4C-AEA0-7F2E53D4974D}"/>
            </c:ext>
          </c:extLst>
        </c:ser>
        <c:ser>
          <c:idx val="3"/>
          <c:order val="3"/>
          <c:tx>
            <c:strRef>
              <c:f>'other ratings'!$Y$17</c:f>
              <c:strCache>
                <c:ptCount val="1"/>
                <c:pt idx="0">
                  <c:v>Unsure</c:v>
                </c:pt>
              </c:strCache>
            </c:strRef>
          </c:tx>
          <c:spPr>
            <a:solidFill>
              <a:schemeClr val="accent4"/>
            </a:solidFill>
            <a:ln>
              <a:noFill/>
            </a:ln>
            <a:effectLst/>
          </c:spPr>
          <c:invertIfNegative val="0"/>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ratings'!$Y$18:$Y$23</c:f>
              <c:numCache>
                <c:formatCode>0%</c:formatCode>
                <c:ptCount val="6"/>
                <c:pt idx="0">
                  <c:v>0</c:v>
                </c:pt>
                <c:pt idx="1">
                  <c:v>1.0638297872340425E-2</c:v>
                </c:pt>
                <c:pt idx="2">
                  <c:v>1.020408163265306E-2</c:v>
                </c:pt>
                <c:pt idx="3">
                  <c:v>0</c:v>
                </c:pt>
                <c:pt idx="4">
                  <c:v>1.0309278350515464E-2</c:v>
                </c:pt>
                <c:pt idx="5">
                  <c:v>0</c:v>
                </c:pt>
              </c:numCache>
            </c:numRef>
          </c:val>
          <c:extLst>
            <c:ext xmlns:c16="http://schemas.microsoft.com/office/drawing/2014/chart" uri="{C3380CC4-5D6E-409C-BE32-E72D297353CC}">
              <c16:uniqueId val="{00000003-5C4E-4A4C-AEA0-7F2E53D4974D}"/>
            </c:ext>
          </c:extLst>
        </c:ser>
        <c:dLbls>
          <c:showLegendKey val="0"/>
          <c:showVal val="0"/>
          <c:showCatName val="0"/>
          <c:showSerName val="0"/>
          <c:showPercent val="0"/>
          <c:showBubbleSize val="0"/>
        </c:dLbls>
        <c:gapWidth val="50"/>
        <c:overlap val="100"/>
        <c:axId val="234525712"/>
        <c:axId val="234526960"/>
      </c:barChart>
      <c:catAx>
        <c:axId val="23452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526960"/>
        <c:crosses val="autoZero"/>
        <c:auto val="1"/>
        <c:lblAlgn val="ctr"/>
        <c:lblOffset val="100"/>
        <c:noMultiLvlLbl val="0"/>
      </c:catAx>
      <c:valAx>
        <c:axId val="234526960"/>
        <c:scaling>
          <c:orientation val="minMax"/>
        </c:scaling>
        <c:delete val="1"/>
        <c:axPos val="b"/>
        <c:numFmt formatCode="0%" sourceLinked="1"/>
        <c:majorTickMark val="none"/>
        <c:minorTickMark val="none"/>
        <c:tickLblPos val="nextTo"/>
        <c:crossAx val="234525712"/>
        <c:crosses val="autoZero"/>
        <c:crossBetween val="between"/>
      </c:valAx>
      <c:spPr>
        <a:noFill/>
        <a:ln>
          <a:noFill/>
        </a:ln>
        <a:effectLst/>
      </c:spPr>
    </c:plotArea>
    <c:legend>
      <c:legendPos val="t"/>
      <c:layout>
        <c:manualLayout>
          <c:xMode val="edge"/>
          <c:yMode val="edge"/>
          <c:x val="0.32122614938343313"/>
          <c:y val="2.0788217173031625E-2"/>
          <c:w val="0.64713353888486236"/>
          <c:h val="5.84672700160249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 increases'!$U$26</c:f>
              <c:strCache>
                <c:ptCount val="1"/>
                <c:pt idx="0">
                  <c:v>Community Sector Funding Rate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increases'!$V$24:$AB$24</c:f>
              <c:numCache>
                <c:formatCode>General</c:formatCode>
                <c:ptCount val="7"/>
                <c:pt idx="0">
                  <c:v>2015</c:v>
                </c:pt>
                <c:pt idx="1">
                  <c:v>2016</c:v>
                </c:pt>
                <c:pt idx="2">
                  <c:v>2017</c:v>
                </c:pt>
                <c:pt idx="3">
                  <c:v>2018</c:v>
                </c:pt>
                <c:pt idx="4">
                  <c:v>2019</c:v>
                </c:pt>
                <c:pt idx="5">
                  <c:v>2020</c:v>
                </c:pt>
                <c:pt idx="6">
                  <c:v>2021</c:v>
                </c:pt>
              </c:numCache>
            </c:numRef>
          </c:cat>
          <c:val>
            <c:numRef>
              <c:f>'% increases'!$V$26:$AB$26</c:f>
              <c:numCache>
                <c:formatCode>0.0%</c:formatCode>
                <c:ptCount val="7"/>
                <c:pt idx="0">
                  <c:v>2.9000000000000001E-2</c:v>
                </c:pt>
                <c:pt idx="1">
                  <c:v>2.7E-2</c:v>
                </c:pt>
                <c:pt idx="2">
                  <c:v>1.7999999999999999E-2</c:v>
                </c:pt>
                <c:pt idx="3" formatCode="0%">
                  <c:v>0.02</c:v>
                </c:pt>
                <c:pt idx="4" formatCode="0.00%">
                  <c:v>2.4500000000000001E-2</c:v>
                </c:pt>
                <c:pt idx="5" formatCode="0.00%">
                  <c:v>2.4500000000000001E-2</c:v>
                </c:pt>
                <c:pt idx="6">
                  <c:v>1.4999999999999999E-2</c:v>
                </c:pt>
              </c:numCache>
            </c:numRef>
          </c:val>
          <c:extLst>
            <c:ext xmlns:c16="http://schemas.microsoft.com/office/drawing/2014/chart" uri="{C3380CC4-5D6E-409C-BE32-E72D297353CC}">
              <c16:uniqueId val="{00000000-8D13-4EEA-9560-9FBB6C7DDC4F}"/>
            </c:ext>
          </c:extLst>
        </c:ser>
        <c:dLbls>
          <c:showLegendKey val="0"/>
          <c:showVal val="0"/>
          <c:showCatName val="0"/>
          <c:showSerName val="0"/>
          <c:showPercent val="0"/>
          <c:showBubbleSize val="0"/>
        </c:dLbls>
        <c:gapWidth val="50"/>
        <c:axId val="2103814112"/>
        <c:axId val="2103819936"/>
      </c:barChart>
      <c:lineChart>
        <c:grouping val="standard"/>
        <c:varyColors val="0"/>
        <c:ser>
          <c:idx val="0"/>
          <c:order val="0"/>
          <c:tx>
            <c:strRef>
              <c:f>'% increases'!$U$25</c:f>
              <c:strCache>
                <c:ptCount val="1"/>
                <c:pt idx="0">
                  <c:v>Annual Wage Review Increase</c:v>
                </c:pt>
              </c:strCache>
            </c:strRef>
          </c:tx>
          <c:spPr>
            <a:ln w="28575" cap="rnd">
              <a:solidFill>
                <a:schemeClr val="accent1"/>
              </a:solidFill>
              <a:round/>
            </a:ln>
            <a:effectLst/>
          </c:spPr>
          <c:marker>
            <c:symbol val="none"/>
          </c:marker>
          <c:dLbls>
            <c:dLbl>
              <c:idx val="0"/>
              <c:layout>
                <c:manualLayout>
                  <c:x val="-3.2676874437662672E-2"/>
                  <c:y val="3.0534351145038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3-4EEA-9560-9FBB6C7DDC4F}"/>
                </c:ext>
              </c:extLst>
            </c:dLbl>
            <c:dLbl>
              <c:idx val="1"/>
              <c:layout>
                <c:manualLayout>
                  <c:x val="4.0996207850773807E-3"/>
                  <c:y val="1.535818533337961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87250179358413E-2"/>
                      <c:h val="6.6596426838467018E-2"/>
                    </c:manualLayout>
                  </c15:layout>
                </c:ext>
                <c:ext xmlns:c16="http://schemas.microsoft.com/office/drawing/2014/chart" uri="{C3380CC4-5D6E-409C-BE32-E72D297353CC}">
                  <c16:uniqueId val="{00000006-8D13-4EEA-9560-9FBB6C7DDC4F}"/>
                </c:ext>
              </c:extLst>
            </c:dLbl>
            <c:dLbl>
              <c:idx val="2"/>
              <c:layout>
                <c:manualLayout>
                  <c:x val="-2.2465351175893086E-2"/>
                  <c:y val="-3.0534351145038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3-4EEA-9560-9FBB6C7DDC4F}"/>
                </c:ext>
              </c:extLst>
            </c:dLbl>
            <c:dLbl>
              <c:idx val="6"/>
              <c:layout>
                <c:manualLayout>
                  <c:x val="-1.4976727771491494E-16"/>
                  <c:y val="-1.3570822731128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3-4EEA-9560-9FBB6C7DDC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increases'!$V$24:$AB$24</c:f>
              <c:numCache>
                <c:formatCode>General</c:formatCode>
                <c:ptCount val="7"/>
                <c:pt idx="0">
                  <c:v>2015</c:v>
                </c:pt>
                <c:pt idx="1">
                  <c:v>2016</c:v>
                </c:pt>
                <c:pt idx="2">
                  <c:v>2017</c:v>
                </c:pt>
                <c:pt idx="3">
                  <c:v>2018</c:v>
                </c:pt>
                <c:pt idx="4">
                  <c:v>2019</c:v>
                </c:pt>
                <c:pt idx="5">
                  <c:v>2020</c:v>
                </c:pt>
                <c:pt idx="6">
                  <c:v>2021</c:v>
                </c:pt>
              </c:numCache>
            </c:numRef>
          </c:cat>
          <c:val>
            <c:numRef>
              <c:f>'% increases'!$V$25:$AB$25</c:f>
              <c:numCache>
                <c:formatCode>0.0%</c:formatCode>
                <c:ptCount val="7"/>
                <c:pt idx="0">
                  <c:v>2.5070955534531748E-2</c:v>
                </c:pt>
                <c:pt idx="1">
                  <c:v>2.388463271744018E-2</c:v>
                </c:pt>
                <c:pt idx="2">
                  <c:v>3.2688172043010819E-2</c:v>
                </c:pt>
                <c:pt idx="3">
                  <c:v>3.5016286644951267E-2</c:v>
                </c:pt>
                <c:pt idx="4">
                  <c:v>3.0023094688221751E-2</c:v>
                </c:pt>
                <c:pt idx="5">
                  <c:v>1.7556693489392847E-2</c:v>
                </c:pt>
                <c:pt idx="6">
                  <c:v>2.4991200281591019E-2</c:v>
                </c:pt>
              </c:numCache>
            </c:numRef>
          </c:val>
          <c:smooth val="0"/>
          <c:extLst>
            <c:ext xmlns:c16="http://schemas.microsoft.com/office/drawing/2014/chart" uri="{C3380CC4-5D6E-409C-BE32-E72D297353CC}">
              <c16:uniqueId val="{00000004-8D13-4EEA-9560-9FBB6C7DDC4F}"/>
            </c:ext>
          </c:extLst>
        </c:ser>
        <c:dLbls>
          <c:showLegendKey val="0"/>
          <c:showVal val="0"/>
          <c:showCatName val="0"/>
          <c:showSerName val="0"/>
          <c:showPercent val="0"/>
          <c:showBubbleSize val="0"/>
        </c:dLbls>
        <c:marker val="1"/>
        <c:smooth val="0"/>
        <c:axId val="2103814112"/>
        <c:axId val="2103819936"/>
      </c:lineChart>
      <c:catAx>
        <c:axId val="21038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819936"/>
        <c:crosses val="autoZero"/>
        <c:auto val="1"/>
        <c:lblAlgn val="ctr"/>
        <c:lblOffset val="100"/>
        <c:noMultiLvlLbl val="0"/>
      </c:catAx>
      <c:valAx>
        <c:axId val="2103819936"/>
        <c:scaling>
          <c:orientation val="minMax"/>
        </c:scaling>
        <c:delete val="0"/>
        <c:axPos val="l"/>
        <c:numFmt formatCode="0.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81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considerations'!$M$2:$M$13</c:f>
              <c:strCache>
                <c:ptCount val="12"/>
                <c:pt idx="0">
                  <c:v>Cross-subsidising other functions</c:v>
                </c:pt>
                <c:pt idx="1">
                  <c:v>Responding to Board requirements/directions</c:v>
                </c:pt>
                <c:pt idx="2">
                  <c:v>Diversifying our income</c:v>
                </c:pt>
                <c:pt idx="3">
                  <c:v>Building our reputation</c:v>
                </c:pt>
                <c:pt idx="4">
                  <c:v>Ensuring our overheads are covered</c:v>
                </c:pt>
                <c:pt idx="5">
                  <c:v>Growing our organisation</c:v>
                </c:pt>
                <c:pt idx="6">
                  <c:v>Achieving financial sustainability</c:v>
                </c:pt>
                <c:pt idx="7">
                  <c:v>Ensuring government gets good value for money</c:v>
                </c:pt>
                <c:pt idx="8">
                  <c:v>Retaining staff</c:v>
                </c:pt>
                <c:pt idx="9">
                  <c:v>Ensuring project costs are fully covered</c:v>
                </c:pt>
                <c:pt idx="10">
                  <c:v>Ensuring users get the highest quality services</c:v>
                </c:pt>
                <c:pt idx="11">
                  <c:v>Delivering services aligned to our organisation's mission</c:v>
                </c:pt>
              </c:strCache>
            </c:strRef>
          </c:cat>
          <c:val>
            <c:numRef>
              <c:f>'top considerations'!$O$2:$O$13</c:f>
              <c:numCache>
                <c:formatCode>0%</c:formatCode>
                <c:ptCount val="12"/>
                <c:pt idx="0">
                  <c:v>6.8181818181818177E-2</c:v>
                </c:pt>
                <c:pt idx="1">
                  <c:v>9.0909090909090912E-2</c:v>
                </c:pt>
                <c:pt idx="2">
                  <c:v>0.26136363636363635</c:v>
                </c:pt>
                <c:pt idx="3">
                  <c:v>0.31818181818181818</c:v>
                </c:pt>
                <c:pt idx="4">
                  <c:v>0.34090909090909088</c:v>
                </c:pt>
                <c:pt idx="5">
                  <c:v>0.34090909090909088</c:v>
                </c:pt>
                <c:pt idx="6">
                  <c:v>0.375</c:v>
                </c:pt>
                <c:pt idx="7">
                  <c:v>0.42045454545454547</c:v>
                </c:pt>
                <c:pt idx="8">
                  <c:v>0.42045454545454547</c:v>
                </c:pt>
                <c:pt idx="9">
                  <c:v>0.48863636363636365</c:v>
                </c:pt>
                <c:pt idx="10">
                  <c:v>0.84090909090909094</c:v>
                </c:pt>
                <c:pt idx="11">
                  <c:v>0.88636363636363635</c:v>
                </c:pt>
              </c:numCache>
            </c:numRef>
          </c:val>
          <c:extLst>
            <c:ext xmlns:c16="http://schemas.microsoft.com/office/drawing/2014/chart" uri="{C3380CC4-5D6E-409C-BE32-E72D297353CC}">
              <c16:uniqueId val="{00000000-C1AC-4947-9F49-1897F0D6C21B}"/>
            </c:ext>
          </c:extLst>
        </c:ser>
        <c:dLbls>
          <c:showLegendKey val="0"/>
          <c:showVal val="0"/>
          <c:showCatName val="0"/>
          <c:showSerName val="0"/>
          <c:showPercent val="0"/>
          <c:showBubbleSize val="0"/>
        </c:dLbls>
        <c:gapWidth val="50"/>
        <c:axId val="707059440"/>
        <c:axId val="707057360"/>
      </c:barChart>
      <c:catAx>
        <c:axId val="70705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057360"/>
        <c:crosses val="autoZero"/>
        <c:auto val="1"/>
        <c:lblAlgn val="ctr"/>
        <c:lblOffset val="100"/>
        <c:noMultiLvlLbl val="0"/>
      </c:catAx>
      <c:valAx>
        <c:axId val="707057360"/>
        <c:scaling>
          <c:orientation val="minMax"/>
        </c:scaling>
        <c:delete val="1"/>
        <c:axPos val="b"/>
        <c:numFmt formatCode="0%" sourceLinked="1"/>
        <c:majorTickMark val="none"/>
        <c:minorTickMark val="none"/>
        <c:tickLblPos val="nextTo"/>
        <c:crossAx val="70705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76199279198686"/>
          <c:y val="9.5367662978451867E-2"/>
          <c:w val="0.61523800720801314"/>
          <c:h val="0.8727944209578723"/>
        </c:manualLayout>
      </c:layout>
      <c:barChart>
        <c:barDir val="bar"/>
        <c:grouping val="percentStacked"/>
        <c:varyColors val="0"/>
        <c:ser>
          <c:idx val="2"/>
          <c:order val="0"/>
          <c:tx>
            <c:strRef>
              <c:f>'rated staffing'!$H$119</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staffing'!$H$120:$H$128</c:f>
              <c:numCache>
                <c:formatCode>0%</c:formatCode>
                <c:ptCount val="9"/>
                <c:pt idx="0">
                  <c:v>0.40697674418604651</c:v>
                </c:pt>
                <c:pt idx="1">
                  <c:v>0.32558139534883723</c:v>
                </c:pt>
                <c:pt idx="2">
                  <c:v>0.31325301204819278</c:v>
                </c:pt>
                <c:pt idx="3">
                  <c:v>0.27058823529411763</c:v>
                </c:pt>
                <c:pt idx="4">
                  <c:v>0.2558139534883721</c:v>
                </c:pt>
                <c:pt idx="5">
                  <c:v>0.24615384615384617</c:v>
                </c:pt>
                <c:pt idx="6">
                  <c:v>0.22093023255813954</c:v>
                </c:pt>
                <c:pt idx="7">
                  <c:v>0.17105263157894737</c:v>
                </c:pt>
                <c:pt idx="8">
                  <c:v>0.12048192771084337</c:v>
                </c:pt>
              </c:numCache>
            </c:numRef>
          </c:val>
          <c:extLst>
            <c:ext xmlns:c16="http://schemas.microsoft.com/office/drawing/2014/chart" uri="{C3380CC4-5D6E-409C-BE32-E72D297353CC}">
              <c16:uniqueId val="{00000000-68AC-4661-B994-3FCCABAD9A8A}"/>
            </c:ext>
          </c:extLst>
        </c:ser>
        <c:ser>
          <c:idx val="1"/>
          <c:order val="1"/>
          <c:tx>
            <c:strRef>
              <c:f>'rated staffing'!$G$119</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staffing'!$G$120:$G$128</c:f>
              <c:numCache>
                <c:formatCode>0%</c:formatCode>
                <c:ptCount val="9"/>
                <c:pt idx="0">
                  <c:v>0.52325581395348841</c:v>
                </c:pt>
                <c:pt idx="1">
                  <c:v>0.41860465116279072</c:v>
                </c:pt>
                <c:pt idx="2">
                  <c:v>0.50602409638554213</c:v>
                </c:pt>
                <c:pt idx="3">
                  <c:v>0.31764705882352939</c:v>
                </c:pt>
                <c:pt idx="4">
                  <c:v>0.48837209302325579</c:v>
                </c:pt>
                <c:pt idx="5">
                  <c:v>0.32307692307692309</c:v>
                </c:pt>
                <c:pt idx="6">
                  <c:v>0.68604651162790697</c:v>
                </c:pt>
                <c:pt idx="7">
                  <c:v>0.47368421052631576</c:v>
                </c:pt>
                <c:pt idx="8">
                  <c:v>0.3253012048192771</c:v>
                </c:pt>
              </c:numCache>
            </c:numRef>
          </c:val>
          <c:extLst>
            <c:ext xmlns:c16="http://schemas.microsoft.com/office/drawing/2014/chart" uri="{C3380CC4-5D6E-409C-BE32-E72D297353CC}">
              <c16:uniqueId val="{00000001-68AC-4661-B994-3FCCABAD9A8A}"/>
            </c:ext>
          </c:extLst>
        </c:ser>
        <c:ser>
          <c:idx val="0"/>
          <c:order val="2"/>
          <c:tx>
            <c:strRef>
              <c:f>'rated staffing'!$F$119</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staffing'!$F$120:$F$128</c:f>
              <c:numCache>
                <c:formatCode>0%</c:formatCode>
                <c:ptCount val="9"/>
                <c:pt idx="0">
                  <c:v>4.6511627906976744E-2</c:v>
                </c:pt>
                <c:pt idx="1">
                  <c:v>0.2441860465116279</c:v>
                </c:pt>
                <c:pt idx="2">
                  <c:v>0.18072289156626506</c:v>
                </c:pt>
                <c:pt idx="3">
                  <c:v>0.4</c:v>
                </c:pt>
                <c:pt idx="4">
                  <c:v>0.2558139534883721</c:v>
                </c:pt>
                <c:pt idx="5">
                  <c:v>0.43076923076923079</c:v>
                </c:pt>
                <c:pt idx="6">
                  <c:v>9.3023255813953487E-2</c:v>
                </c:pt>
                <c:pt idx="7">
                  <c:v>0.34210526315789475</c:v>
                </c:pt>
                <c:pt idx="8">
                  <c:v>0.55421686746987953</c:v>
                </c:pt>
              </c:numCache>
            </c:numRef>
          </c:val>
          <c:extLst>
            <c:ext xmlns:c16="http://schemas.microsoft.com/office/drawing/2014/chart" uri="{C3380CC4-5D6E-409C-BE32-E72D297353CC}">
              <c16:uniqueId val="{00000002-68AC-4661-B994-3FCCABAD9A8A}"/>
            </c:ext>
          </c:extLst>
        </c:ser>
        <c:ser>
          <c:idx val="3"/>
          <c:order val="3"/>
          <c:tx>
            <c:strRef>
              <c:f>'rated staffing'!$I$119</c:f>
              <c:strCache>
                <c:ptCount val="1"/>
                <c:pt idx="0">
                  <c:v>Not sure</c:v>
                </c:pt>
              </c:strCache>
            </c:strRef>
          </c:tx>
          <c:spPr>
            <a:solidFill>
              <a:schemeClr val="accent4"/>
            </a:solidFill>
            <a:ln>
              <a:noFill/>
            </a:ln>
            <a:effectLst/>
          </c:spPr>
          <c:invertIfNegative val="0"/>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staffing'!$I$120:$I$128</c:f>
              <c:numCache>
                <c:formatCode>0%</c:formatCode>
                <c:ptCount val="9"/>
                <c:pt idx="0">
                  <c:v>2.3255813953488372E-2</c:v>
                </c:pt>
                <c:pt idx="1">
                  <c:v>1.1627906976744186E-2</c:v>
                </c:pt>
                <c:pt idx="2">
                  <c:v>0</c:v>
                </c:pt>
                <c:pt idx="3">
                  <c:v>1.1764705882352941E-2</c:v>
                </c:pt>
                <c:pt idx="4">
                  <c:v>0</c:v>
                </c:pt>
                <c:pt idx="5">
                  <c:v>0</c:v>
                </c:pt>
                <c:pt idx="6">
                  <c:v>0</c:v>
                </c:pt>
                <c:pt idx="7">
                  <c:v>1.3157894736842105E-2</c:v>
                </c:pt>
                <c:pt idx="8">
                  <c:v>0</c:v>
                </c:pt>
              </c:numCache>
            </c:numRef>
          </c:val>
          <c:extLst>
            <c:ext xmlns:c16="http://schemas.microsoft.com/office/drawing/2014/chart" uri="{C3380CC4-5D6E-409C-BE32-E72D297353CC}">
              <c16:uniqueId val="{00000003-68AC-4661-B994-3FCCABAD9A8A}"/>
            </c:ext>
          </c:extLst>
        </c:ser>
        <c:dLbls>
          <c:showLegendKey val="0"/>
          <c:showVal val="0"/>
          <c:showCatName val="0"/>
          <c:showSerName val="0"/>
          <c:showPercent val="0"/>
          <c:showBubbleSize val="0"/>
        </c:dLbls>
        <c:gapWidth val="50"/>
        <c:overlap val="100"/>
        <c:axId val="12494352"/>
        <c:axId val="12505584"/>
      </c:barChart>
      <c:catAx>
        <c:axId val="1249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5584"/>
        <c:crosses val="autoZero"/>
        <c:auto val="1"/>
        <c:lblAlgn val="ctr"/>
        <c:lblOffset val="100"/>
        <c:noMultiLvlLbl val="0"/>
      </c:catAx>
      <c:valAx>
        <c:axId val="12505584"/>
        <c:scaling>
          <c:orientation val="minMax"/>
        </c:scaling>
        <c:delete val="1"/>
        <c:axPos val="b"/>
        <c:numFmt formatCode="0%" sourceLinked="1"/>
        <c:majorTickMark val="none"/>
        <c:minorTickMark val="none"/>
        <c:tickLblPos val="nextTo"/>
        <c:crossAx val="12494352"/>
        <c:crosses val="autoZero"/>
        <c:crossBetween val="between"/>
      </c:valAx>
      <c:spPr>
        <a:noFill/>
        <a:ln>
          <a:noFill/>
        </a:ln>
        <a:effectLst/>
      </c:spPr>
    </c:plotArea>
    <c:legend>
      <c:legendPos val="t"/>
      <c:layout>
        <c:manualLayout>
          <c:xMode val="edge"/>
          <c:yMode val="edge"/>
          <c:x val="0.29684370891642947"/>
          <c:y val="4.0798974564355835E-2"/>
          <c:w val="0.66911835947139031"/>
          <c:h val="5.737395954583567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empstrategies!$Q$4:$Q$13</c:f>
              <c:strCache>
                <c:ptCount val="10"/>
                <c:pt idx="0">
                  <c:v>Shifted locations to reduce costs</c:v>
                </c:pt>
                <c:pt idx="1">
                  <c:v>Asked staff to perform their duties in fewer hours</c:v>
                </c:pt>
                <c:pt idx="2">
                  <c:v>Stopped delivering a service that was proving too costly</c:v>
                </c:pt>
                <c:pt idx="3">
                  <c:v>Used staff with qualifications or experience below what the role ideally requires</c:v>
                </c:pt>
                <c:pt idx="4">
                  <c:v>Needed workers to perform additional unpaid hours</c:v>
                </c:pt>
                <c:pt idx="5">
                  <c:v>Targeted specific groups of clients, due to limited funds or staffing constraints</c:v>
                </c:pt>
                <c:pt idx="6">
                  <c:v>Used volunteers because of insufficient funds to pay employees</c:v>
                </c:pt>
                <c:pt idx="7">
                  <c:v>Needed workers to perform tasks which could be considered above their classification</c:v>
                </c:pt>
                <c:pt idx="8">
                  <c:v>Used casual / short-term staff because funding was short-term</c:v>
                </c:pt>
                <c:pt idx="9">
                  <c:v>Encouraged staff to find creative solutions to overcome resource constraints</c:v>
                </c:pt>
              </c:strCache>
            </c:strRef>
          </c:cat>
          <c:val>
            <c:numRef>
              <c:f>empstrategies!$S$4:$S$13</c:f>
              <c:numCache>
                <c:formatCode>0%</c:formatCode>
                <c:ptCount val="10"/>
                <c:pt idx="0">
                  <c:v>0.10227272727272728</c:v>
                </c:pt>
                <c:pt idx="1">
                  <c:v>0.17045454545454544</c:v>
                </c:pt>
                <c:pt idx="2">
                  <c:v>0.23863636363636365</c:v>
                </c:pt>
                <c:pt idx="3">
                  <c:v>0.25</c:v>
                </c:pt>
                <c:pt idx="4">
                  <c:v>0.29545454545454547</c:v>
                </c:pt>
                <c:pt idx="5">
                  <c:v>0.34090909090909088</c:v>
                </c:pt>
                <c:pt idx="6">
                  <c:v>0.375</c:v>
                </c:pt>
                <c:pt idx="7">
                  <c:v>0.38636363636363635</c:v>
                </c:pt>
                <c:pt idx="8">
                  <c:v>0.51136363636363635</c:v>
                </c:pt>
                <c:pt idx="9">
                  <c:v>0.59090909090909094</c:v>
                </c:pt>
              </c:numCache>
            </c:numRef>
          </c:val>
          <c:extLst>
            <c:ext xmlns:c16="http://schemas.microsoft.com/office/drawing/2014/chart" uri="{C3380CC4-5D6E-409C-BE32-E72D297353CC}">
              <c16:uniqueId val="{00000000-8575-4EF5-9F89-E6F0AFCEEFB7}"/>
            </c:ext>
          </c:extLst>
        </c:ser>
        <c:dLbls>
          <c:showLegendKey val="0"/>
          <c:showVal val="0"/>
          <c:showCatName val="0"/>
          <c:showSerName val="0"/>
          <c:showPercent val="0"/>
          <c:showBubbleSize val="0"/>
        </c:dLbls>
        <c:gapWidth val="50"/>
        <c:axId val="151088000"/>
        <c:axId val="151089248"/>
      </c:barChart>
      <c:catAx>
        <c:axId val="15108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89248"/>
        <c:crosses val="autoZero"/>
        <c:auto val="1"/>
        <c:lblAlgn val="ctr"/>
        <c:lblOffset val="100"/>
        <c:noMultiLvlLbl val="0"/>
      </c:catAx>
      <c:valAx>
        <c:axId val="151089248"/>
        <c:scaling>
          <c:orientation val="minMax"/>
        </c:scaling>
        <c:delete val="1"/>
        <c:axPos val="b"/>
        <c:numFmt formatCode="0%" sourceLinked="1"/>
        <c:majorTickMark val="none"/>
        <c:minorTickMark val="none"/>
        <c:tickLblPos val="nextTo"/>
        <c:crossAx val="15108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02649283431164"/>
          <c:y val="2.7629510611551628E-2"/>
          <c:w val="0.52697350716568836"/>
          <c:h val="0.9447409787768967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 strategies last 3 yrs'!$M$7:$M$17</c:f>
              <c:strCache>
                <c:ptCount val="11"/>
                <c:pt idx="0">
                  <c:v>Sold assets</c:v>
                </c:pt>
                <c:pt idx="1">
                  <c:v>Requested or drawn on funds from a diocese, religious organization or other auspicing body</c:v>
                </c:pt>
                <c:pt idx="2">
                  <c:v>Considered or completed a merger, or been involved in an acquisition</c:v>
                </c:pt>
                <c:pt idx="3">
                  <c:v>Outsourced some functions to contain costs</c:v>
                </c:pt>
                <c:pt idx="4">
                  <c:v>Established a commercial source of revenue</c:v>
                </c:pt>
                <c:pt idx="5">
                  <c:v>Disallowed paid overtime</c:v>
                </c:pt>
                <c:pt idx="6">
                  <c:v>Restructured operations in an attempt to reduce overheads</c:v>
                </c:pt>
                <c:pt idx="7">
                  <c:v>Incurred a loss on programs delivered for government</c:v>
                </c:pt>
                <c:pt idx="8">
                  <c:v>Drawn on financial reserves</c:v>
                </c:pt>
                <c:pt idx="9">
                  <c:v>Cross-subsidised ACT programs with funds from elsewhere (eg funds from other parts of our organisation, commercial operations, philanthropy)</c:v>
                </c:pt>
                <c:pt idx="10">
                  <c:v>Introduced new efficiencies or work practices to free up resources</c:v>
                </c:pt>
              </c:strCache>
            </c:strRef>
          </c:cat>
          <c:val>
            <c:numRef>
              <c:f>'fin strategies last 3 yrs'!$O$7:$O$17</c:f>
              <c:numCache>
                <c:formatCode>0%</c:formatCode>
                <c:ptCount val="11"/>
                <c:pt idx="0">
                  <c:v>3.4000000000000002E-2</c:v>
                </c:pt>
                <c:pt idx="1">
                  <c:v>4.4999999999999998E-2</c:v>
                </c:pt>
                <c:pt idx="2">
                  <c:v>0.13600000000000001</c:v>
                </c:pt>
                <c:pt idx="3">
                  <c:v>0.14799999999999999</c:v>
                </c:pt>
                <c:pt idx="4">
                  <c:v>0.216</c:v>
                </c:pt>
                <c:pt idx="5">
                  <c:v>0.28399999999999997</c:v>
                </c:pt>
                <c:pt idx="6">
                  <c:v>0.46600000000000003</c:v>
                </c:pt>
                <c:pt idx="7">
                  <c:v>0.46600000000000003</c:v>
                </c:pt>
                <c:pt idx="8">
                  <c:v>0.53400000000000003</c:v>
                </c:pt>
                <c:pt idx="9">
                  <c:v>0.55700000000000005</c:v>
                </c:pt>
                <c:pt idx="10">
                  <c:v>0.55700000000000005</c:v>
                </c:pt>
              </c:numCache>
            </c:numRef>
          </c:val>
          <c:extLst>
            <c:ext xmlns:c16="http://schemas.microsoft.com/office/drawing/2014/chart" uri="{C3380CC4-5D6E-409C-BE32-E72D297353CC}">
              <c16:uniqueId val="{00000000-3198-40CA-9066-1386828A6FC4}"/>
            </c:ext>
          </c:extLst>
        </c:ser>
        <c:dLbls>
          <c:showLegendKey val="0"/>
          <c:showVal val="0"/>
          <c:showCatName val="0"/>
          <c:showSerName val="0"/>
          <c:showPercent val="0"/>
          <c:showBubbleSize val="0"/>
        </c:dLbls>
        <c:gapWidth val="50"/>
        <c:axId val="819343744"/>
        <c:axId val="1154162624"/>
      </c:barChart>
      <c:catAx>
        <c:axId val="81934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62624"/>
        <c:crosses val="autoZero"/>
        <c:auto val="1"/>
        <c:lblAlgn val="ctr"/>
        <c:lblOffset val="100"/>
        <c:noMultiLvlLbl val="0"/>
      </c:catAx>
      <c:valAx>
        <c:axId val="1154162624"/>
        <c:scaling>
          <c:orientation val="minMax"/>
        </c:scaling>
        <c:delete val="1"/>
        <c:axPos val="b"/>
        <c:numFmt formatCode="0%" sourceLinked="1"/>
        <c:majorTickMark val="none"/>
        <c:minorTickMark val="none"/>
        <c:tickLblPos val="nextTo"/>
        <c:crossAx val="819343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37512267923944"/>
          <c:y val="0.14141428136933526"/>
          <c:w val="0.51262487732076056"/>
          <c:h val="0.81137541820148018"/>
        </c:manualLayout>
      </c:layout>
      <c:barChart>
        <c:barDir val="bar"/>
        <c:grouping val="percentStacked"/>
        <c:varyColors val="0"/>
        <c:ser>
          <c:idx val="2"/>
          <c:order val="0"/>
          <c:tx>
            <c:strRef>
              <c:f>'other ratings'!$X$28</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ratings'!$X$29:$X$35</c:f>
              <c:numCache>
                <c:formatCode>0%</c:formatCode>
                <c:ptCount val="7"/>
                <c:pt idx="0">
                  <c:v>0.11956521739130435</c:v>
                </c:pt>
                <c:pt idx="1">
                  <c:v>0.16483516483516483</c:v>
                </c:pt>
                <c:pt idx="2">
                  <c:v>0.17777777777777778</c:v>
                </c:pt>
                <c:pt idx="3">
                  <c:v>0.20481927710843373</c:v>
                </c:pt>
                <c:pt idx="4">
                  <c:v>0.23404255319148937</c:v>
                </c:pt>
                <c:pt idx="5">
                  <c:v>0.23711340206185566</c:v>
                </c:pt>
                <c:pt idx="6">
                  <c:v>0.32323232323232326</c:v>
                </c:pt>
              </c:numCache>
            </c:numRef>
          </c:val>
          <c:extLst>
            <c:ext xmlns:c16="http://schemas.microsoft.com/office/drawing/2014/chart" uri="{C3380CC4-5D6E-409C-BE32-E72D297353CC}">
              <c16:uniqueId val="{00000000-1668-44AD-BA02-FF48537D312E}"/>
            </c:ext>
          </c:extLst>
        </c:ser>
        <c:ser>
          <c:idx val="1"/>
          <c:order val="1"/>
          <c:tx>
            <c:strRef>
              <c:f>'other ratings'!$W$28</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ratings'!$W$29:$W$35</c:f>
              <c:numCache>
                <c:formatCode>0%</c:formatCode>
                <c:ptCount val="7"/>
                <c:pt idx="0">
                  <c:v>0.5</c:v>
                </c:pt>
                <c:pt idx="1">
                  <c:v>0.26373626373626374</c:v>
                </c:pt>
                <c:pt idx="2">
                  <c:v>0.31111111111111112</c:v>
                </c:pt>
                <c:pt idx="3">
                  <c:v>0.36144578313253012</c:v>
                </c:pt>
                <c:pt idx="4">
                  <c:v>0.32978723404255317</c:v>
                </c:pt>
                <c:pt idx="5">
                  <c:v>0.40206185567010311</c:v>
                </c:pt>
                <c:pt idx="6">
                  <c:v>0.36363636363636365</c:v>
                </c:pt>
              </c:numCache>
            </c:numRef>
          </c:val>
          <c:extLst>
            <c:ext xmlns:c16="http://schemas.microsoft.com/office/drawing/2014/chart" uri="{C3380CC4-5D6E-409C-BE32-E72D297353CC}">
              <c16:uniqueId val="{00000001-1668-44AD-BA02-FF48537D312E}"/>
            </c:ext>
          </c:extLst>
        </c:ser>
        <c:ser>
          <c:idx val="0"/>
          <c:order val="2"/>
          <c:tx>
            <c:strRef>
              <c:f>'other ratings'!$V$28</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ratings'!$V$29:$V$35</c:f>
              <c:numCache>
                <c:formatCode>0%</c:formatCode>
                <c:ptCount val="7"/>
                <c:pt idx="0">
                  <c:v>0.38043478260869568</c:v>
                </c:pt>
                <c:pt idx="1">
                  <c:v>0.53846153846153844</c:v>
                </c:pt>
                <c:pt idx="2">
                  <c:v>0.48888888888888887</c:v>
                </c:pt>
                <c:pt idx="3">
                  <c:v>0.40963855421686746</c:v>
                </c:pt>
                <c:pt idx="4">
                  <c:v>0.39361702127659576</c:v>
                </c:pt>
                <c:pt idx="5">
                  <c:v>0.34020618556701032</c:v>
                </c:pt>
                <c:pt idx="6">
                  <c:v>0.31313131313131315</c:v>
                </c:pt>
              </c:numCache>
            </c:numRef>
          </c:val>
          <c:extLst>
            <c:ext xmlns:c16="http://schemas.microsoft.com/office/drawing/2014/chart" uri="{C3380CC4-5D6E-409C-BE32-E72D297353CC}">
              <c16:uniqueId val="{00000002-1668-44AD-BA02-FF48537D312E}"/>
            </c:ext>
          </c:extLst>
        </c:ser>
        <c:ser>
          <c:idx val="3"/>
          <c:order val="3"/>
          <c:tx>
            <c:strRef>
              <c:f>'other ratings'!$Y$28</c:f>
              <c:strCache>
                <c:ptCount val="1"/>
                <c:pt idx="0">
                  <c:v>Unsure</c:v>
                </c:pt>
              </c:strCache>
            </c:strRef>
          </c:tx>
          <c:spPr>
            <a:solidFill>
              <a:schemeClr val="accent4"/>
            </a:solidFill>
            <a:ln>
              <a:noFill/>
            </a:ln>
            <a:effectLst/>
          </c:spPr>
          <c:invertIfNegative val="0"/>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ratings'!$Y$29:$Y$35</c:f>
              <c:numCache>
                <c:formatCode>0%</c:formatCode>
                <c:ptCount val="7"/>
                <c:pt idx="0">
                  <c:v>0</c:v>
                </c:pt>
                <c:pt idx="1">
                  <c:v>3.2967032967032968E-2</c:v>
                </c:pt>
                <c:pt idx="2">
                  <c:v>2.2222222222222223E-2</c:v>
                </c:pt>
                <c:pt idx="3">
                  <c:v>2.4096385542168676E-2</c:v>
                </c:pt>
                <c:pt idx="4">
                  <c:v>4.2553191489361701E-2</c:v>
                </c:pt>
                <c:pt idx="5">
                  <c:v>2.0618556701030927E-2</c:v>
                </c:pt>
                <c:pt idx="6">
                  <c:v>0</c:v>
                </c:pt>
              </c:numCache>
            </c:numRef>
          </c:val>
          <c:extLst>
            <c:ext xmlns:c16="http://schemas.microsoft.com/office/drawing/2014/chart" uri="{C3380CC4-5D6E-409C-BE32-E72D297353CC}">
              <c16:uniqueId val="{00000005-1668-44AD-BA02-FF48537D312E}"/>
            </c:ext>
          </c:extLst>
        </c:ser>
        <c:dLbls>
          <c:showLegendKey val="0"/>
          <c:showVal val="0"/>
          <c:showCatName val="0"/>
          <c:showSerName val="0"/>
          <c:showPercent val="0"/>
          <c:showBubbleSize val="0"/>
        </c:dLbls>
        <c:gapWidth val="50"/>
        <c:overlap val="100"/>
        <c:axId val="1935591360"/>
        <c:axId val="1935587200"/>
      </c:barChart>
      <c:catAx>
        <c:axId val="193559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5587200"/>
        <c:crosses val="autoZero"/>
        <c:auto val="1"/>
        <c:lblAlgn val="ctr"/>
        <c:lblOffset val="100"/>
        <c:noMultiLvlLbl val="0"/>
      </c:catAx>
      <c:valAx>
        <c:axId val="1935587200"/>
        <c:scaling>
          <c:orientation val="minMax"/>
        </c:scaling>
        <c:delete val="1"/>
        <c:axPos val="t"/>
        <c:numFmt formatCode="0%" sourceLinked="1"/>
        <c:majorTickMark val="none"/>
        <c:minorTickMark val="none"/>
        <c:tickLblPos val="nextTo"/>
        <c:crossAx val="1935591360"/>
        <c:crosses val="autoZero"/>
        <c:crossBetween val="between"/>
      </c:valAx>
      <c:spPr>
        <a:noFill/>
        <a:ln>
          <a:noFill/>
        </a:ln>
        <a:effectLst/>
      </c:spPr>
    </c:plotArea>
    <c:legend>
      <c:legendPos val="t"/>
      <c:layout>
        <c:manualLayout>
          <c:xMode val="edge"/>
          <c:yMode val="edge"/>
          <c:x val="0.38265897951914246"/>
          <c:y val="1.7167381974248927E-2"/>
          <c:w val="0.57844407404791143"/>
          <c:h val="7.189329528535098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18952125556894E-2"/>
          <c:y val="3.7996545768566495E-2"/>
          <c:w val="0.88049381281214389"/>
          <c:h val="0.77013123359580049"/>
        </c:manualLayout>
      </c:layout>
      <c:lineChart>
        <c:grouping val="standard"/>
        <c:varyColors val="0"/>
        <c:ser>
          <c:idx val="0"/>
          <c:order val="0"/>
          <c:tx>
            <c:strRef>
              <c:f>'state indexation'!$B$9</c:f>
              <c:strCache>
                <c:ptCount val="1"/>
                <c:pt idx="0">
                  <c:v>Community sector funding rate</c:v>
                </c:pt>
              </c:strCache>
            </c:strRef>
          </c:tx>
          <c:spPr>
            <a:ln w="28575" cap="rnd">
              <a:solidFill>
                <a:schemeClr val="accent1"/>
              </a:solidFill>
              <a:round/>
            </a:ln>
            <a:effectLst/>
          </c:spPr>
          <c:marker>
            <c:symbol val="none"/>
          </c:marker>
          <c:dLbls>
            <c:dLbl>
              <c:idx val="0"/>
              <c:layout>
                <c:manualLayout>
                  <c:x val="-3.7991858887381276E-2"/>
                  <c:y val="3.454231433506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C6-4B76-9295-FEE2B0D28A0B}"/>
                </c:ext>
              </c:extLst>
            </c:dLbl>
            <c:dLbl>
              <c:idx val="1"/>
              <c:layout>
                <c:manualLayout>
                  <c:x val="-1.6282225237449117E-2"/>
                  <c:y val="-3.4542314335060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6-4B76-9295-FEE2B0D28A0B}"/>
                </c:ext>
              </c:extLst>
            </c:dLbl>
            <c:dLbl>
              <c:idx val="2"/>
              <c:layout>
                <c:manualLayout>
                  <c:x val="-2.985074626865674E-2"/>
                  <c:y val="2.072538860103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C6-4B76-9295-FEE2B0D28A0B}"/>
                </c:ext>
              </c:extLst>
            </c:dLbl>
            <c:dLbl>
              <c:idx val="4"/>
              <c:layout>
                <c:manualLayout>
                  <c:x val="-8.5015940488842052E-3"/>
                  <c:y val="-1.036269430051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C6-4B76-9295-FEE2B0D28A0B}"/>
                </c:ext>
              </c:extLst>
            </c:dLbl>
            <c:dLbl>
              <c:idx val="6"/>
              <c:layout>
                <c:manualLayout>
                  <c:x val="-2.4423337856173677E-2"/>
                  <c:y val="3.7996545768566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C6-4B76-9295-FEE2B0D28A0B}"/>
                </c:ext>
              </c:extLst>
            </c:dLbl>
            <c:dLbl>
              <c:idx val="7"/>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5332428765264591E-2"/>
                      <c:h val="6.557871975847579E-2"/>
                    </c:manualLayout>
                  </c15:layout>
                </c:ext>
                <c:ext xmlns:c16="http://schemas.microsoft.com/office/drawing/2014/chart" uri="{C3380CC4-5D6E-409C-BE32-E72D297353CC}">
                  <c16:uniqueId val="{00000005-F3C6-4B76-9295-FEE2B0D28A0B}"/>
                </c:ext>
              </c:extLst>
            </c:dLbl>
            <c:dLbl>
              <c:idx val="9"/>
              <c:layout>
                <c:manualLayout>
                  <c:x val="-5.5630936227951254E-2"/>
                  <c:y val="2.07253886010362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7042062415196746E-2"/>
                      <c:h val="8.630410835951205E-2"/>
                    </c:manualLayout>
                  </c15:layout>
                </c:ext>
                <c:ext xmlns:c16="http://schemas.microsoft.com/office/drawing/2014/chart" uri="{C3380CC4-5D6E-409C-BE32-E72D297353CC}">
                  <c16:uniqueId val="{00000006-F3C6-4B76-9295-FEE2B0D28A0B}"/>
                </c:ext>
              </c:extLst>
            </c:dLbl>
            <c:dLbl>
              <c:idx val="11"/>
              <c:layout>
                <c:manualLayout>
                  <c:x val="-3.6131774707757705E-2"/>
                  <c:y val="-1.036269430051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C6-4B76-9295-FEE2B0D28A0B}"/>
                </c:ext>
              </c:extLst>
            </c:dLbl>
            <c:dLbl>
              <c:idx val="12"/>
              <c:layout>
                <c:manualLayout>
                  <c:x val="-2.5504782146652652E-2"/>
                  <c:y val="-6.9084628670121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C6-4B76-9295-FEE2B0D28A0B}"/>
                </c:ext>
              </c:extLst>
            </c:dLbl>
            <c:dLbl>
              <c:idx val="13"/>
              <c:layout>
                <c:manualLayout>
                  <c:x val="-4.8884165781083955E-2"/>
                  <c:y val="3.108808290155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C6-4B76-9295-FEE2B0D28A0B}"/>
                </c:ext>
              </c:extLst>
            </c:dLbl>
            <c:dLbl>
              <c:idx val="1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2.35^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040434767347984E-2"/>
                      <c:h val="0.21242632645602844"/>
                    </c:manualLayout>
                  </c15:layout>
                  <c15:showDataLabelsRange val="0"/>
                </c:ext>
                <c:ext xmlns:c16="http://schemas.microsoft.com/office/drawing/2014/chart" uri="{C3380CC4-5D6E-409C-BE32-E72D297353CC}">
                  <c16:uniqueId val="{0000000A-F3C6-4B76-9295-FEE2B0D28A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'state indexation'!$C$8:$Q$8</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2019- 20</c:v>
                </c:pt>
                <c:pt idx="13">
                  <c:v>2020-21</c:v>
                </c:pt>
                <c:pt idx="14">
                  <c:v>2021-22</c:v>
                </c:pt>
              </c:strCache>
            </c:strRef>
          </c:cat>
          <c:val>
            <c:numRef>
              <c:f>'state indexation'!$C$9:$Q$9</c:f>
              <c:numCache>
                <c:formatCode>General</c:formatCode>
                <c:ptCount val="15"/>
                <c:pt idx="0">
                  <c:v>3.75</c:v>
                </c:pt>
                <c:pt idx="1">
                  <c:v>4</c:v>
                </c:pt>
                <c:pt idx="2">
                  <c:v>3.15</c:v>
                </c:pt>
                <c:pt idx="3">
                  <c:v>3.3</c:v>
                </c:pt>
                <c:pt idx="4">
                  <c:v>3.4</c:v>
                </c:pt>
                <c:pt idx="5">
                  <c:v>3.25</c:v>
                </c:pt>
                <c:pt idx="6">
                  <c:v>2.85</c:v>
                </c:pt>
                <c:pt idx="7">
                  <c:v>2.9</c:v>
                </c:pt>
                <c:pt idx="8">
                  <c:v>2.7</c:v>
                </c:pt>
                <c:pt idx="9">
                  <c:v>1.8</c:v>
                </c:pt>
                <c:pt idx="10">
                  <c:v>2</c:v>
                </c:pt>
                <c:pt idx="11" formatCode="_(* #,##0.00_);_(* \(#,##0.00\);_(* &quot;-&quot;??_);_(@_)">
                  <c:v>2.4500000000000002</c:v>
                </c:pt>
                <c:pt idx="12" formatCode="_(* #,##0.00_);_(* \(#,##0.00\);_(* &quot;-&quot;??_);_(@_)">
                  <c:v>2.4500000000000002</c:v>
                </c:pt>
                <c:pt idx="13" formatCode="_(* #,##0.00_);_(* \(#,##0.00\);_(* &quot;-&quot;??_);_(@_)">
                  <c:v>1.5</c:v>
                </c:pt>
                <c:pt idx="14" formatCode="_(* #,##0.00_);_(* \(#,##0.00\);_(* &quot;-&quot;??_);_(@_)">
                  <c:v>2.35</c:v>
                </c:pt>
              </c:numCache>
            </c:numRef>
          </c:val>
          <c:smooth val="0"/>
          <c:extLst>
            <c:ext xmlns:c16="http://schemas.microsoft.com/office/drawing/2014/chart" uri="{C3380CC4-5D6E-409C-BE32-E72D297353CC}">
              <c16:uniqueId val="{0000000C-F3C6-4B76-9295-FEE2B0D28A0B}"/>
            </c:ext>
          </c:extLst>
        </c:ser>
        <c:dLbls>
          <c:showLegendKey val="0"/>
          <c:showVal val="0"/>
          <c:showCatName val="0"/>
          <c:showSerName val="0"/>
          <c:showPercent val="0"/>
          <c:showBubbleSize val="0"/>
        </c:dLbls>
        <c:smooth val="0"/>
        <c:axId val="661108559"/>
        <c:axId val="661107727"/>
      </c:lineChart>
      <c:catAx>
        <c:axId val="66110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107727"/>
        <c:crosses val="autoZero"/>
        <c:auto val="1"/>
        <c:lblAlgn val="ctr"/>
        <c:lblOffset val="100"/>
        <c:noMultiLvlLbl val="0"/>
      </c:catAx>
      <c:valAx>
        <c:axId val="661107727"/>
        <c:scaling>
          <c:orientation val="minMax"/>
        </c:scaling>
        <c:delete val="0"/>
        <c:axPos val="l"/>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108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51318844534348"/>
          <c:y val="0.15784204818709038"/>
          <c:w val="0.50548681155465647"/>
          <c:h val="0.78946334103446647"/>
        </c:manualLayout>
      </c:layout>
      <c:barChart>
        <c:barDir val="bar"/>
        <c:grouping val="percentStacked"/>
        <c:varyColors val="0"/>
        <c:ser>
          <c:idx val="0"/>
          <c:order val="0"/>
          <c:tx>
            <c:strRef>
              <c:f>'perceps indexation'!$Q$11</c:f>
              <c:strCache>
                <c:ptCount val="1"/>
                <c:pt idx="0">
                  <c:v>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'perceps indexation'!$R$10:$V$10</c:f>
              <c:strCache>
                <c:ptCount val="5"/>
                <c:pt idx="0">
                  <c:v>We are familiar with the formula used by the ACT government to index our funding</c:v>
                </c:pt>
                <c:pt idx="1">
                  <c:v>We can have input into how our contracts are indexed</c:v>
                </c:pt>
                <c:pt idx="2">
                  <c:v>Indexation adequately accounts for rising wage costs</c:v>
                </c:pt>
                <c:pt idx="3">
                  <c:v>Indexation adequately accounts for rising non-wage costs faced by our organisation</c:v>
                </c:pt>
                <c:pt idx="4">
                  <c:v>Overall, indexation is adequate</c:v>
                </c:pt>
              </c:strCache>
            </c:strRef>
          </c:cat>
          <c:val>
            <c:numRef>
              <c:f>'perceps indexation'!$R$11:$V$11</c:f>
              <c:numCache>
                <c:formatCode>0%</c:formatCode>
                <c:ptCount val="5"/>
                <c:pt idx="0">
                  <c:v>0.36842105263157893</c:v>
                </c:pt>
                <c:pt idx="1">
                  <c:v>0.74025974025974028</c:v>
                </c:pt>
                <c:pt idx="2">
                  <c:v>0.71052631578947367</c:v>
                </c:pt>
                <c:pt idx="3">
                  <c:v>0.73684210526315785</c:v>
                </c:pt>
                <c:pt idx="4">
                  <c:v>0.68831168831168832</c:v>
                </c:pt>
              </c:numCache>
            </c:numRef>
          </c:val>
          <c:extLst>
            <c:ext xmlns:c16="http://schemas.microsoft.com/office/drawing/2014/chart" uri="{C3380CC4-5D6E-409C-BE32-E72D297353CC}">
              <c16:uniqueId val="{00000000-BE6C-40CF-9DFA-585204C0A57B}"/>
            </c:ext>
          </c:extLst>
        </c:ser>
        <c:ser>
          <c:idx val="1"/>
          <c:order val="1"/>
          <c:tx>
            <c:strRef>
              <c:f>'perceps indexation'!$Q$12</c:f>
              <c:strCache>
                <c:ptCount val="1"/>
                <c:pt idx="0">
                  <c:v>Neutral / not sure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'perceps indexation'!$R$10:$V$10</c:f>
              <c:strCache>
                <c:ptCount val="5"/>
                <c:pt idx="0">
                  <c:v>We are familiar with the formula used by the ACT government to index our funding</c:v>
                </c:pt>
                <c:pt idx="1">
                  <c:v>We can have input into how our contracts are indexed</c:v>
                </c:pt>
                <c:pt idx="2">
                  <c:v>Indexation adequately accounts for rising wage costs</c:v>
                </c:pt>
                <c:pt idx="3">
                  <c:v>Indexation adequately accounts for rising non-wage costs faced by our organisation</c:v>
                </c:pt>
                <c:pt idx="4">
                  <c:v>Overall, indexation is adequate</c:v>
                </c:pt>
              </c:strCache>
            </c:strRef>
          </c:cat>
          <c:val>
            <c:numRef>
              <c:f>'perceps indexation'!$R$12:$V$12</c:f>
              <c:numCache>
                <c:formatCode>0%</c:formatCode>
                <c:ptCount val="5"/>
                <c:pt idx="0">
                  <c:v>0.34210526315789475</c:v>
                </c:pt>
                <c:pt idx="1">
                  <c:v>0.19480519480519481</c:v>
                </c:pt>
                <c:pt idx="2">
                  <c:v>0.17105263157894737</c:v>
                </c:pt>
                <c:pt idx="3">
                  <c:v>0.15789473684210525</c:v>
                </c:pt>
                <c:pt idx="4">
                  <c:v>0.19480519480519481</c:v>
                </c:pt>
              </c:numCache>
            </c:numRef>
          </c:val>
          <c:extLst>
            <c:ext xmlns:c16="http://schemas.microsoft.com/office/drawing/2014/chart" uri="{C3380CC4-5D6E-409C-BE32-E72D297353CC}">
              <c16:uniqueId val="{00000001-BE6C-40CF-9DFA-585204C0A57B}"/>
            </c:ext>
          </c:extLst>
        </c:ser>
        <c:ser>
          <c:idx val="2"/>
          <c:order val="2"/>
          <c:tx>
            <c:strRef>
              <c:f>'perceps indexation'!$Q$13</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'perceps indexation'!$R$10:$V$10</c:f>
              <c:strCache>
                <c:ptCount val="5"/>
                <c:pt idx="0">
                  <c:v>We are familiar with the formula used by the ACT government to index our funding</c:v>
                </c:pt>
                <c:pt idx="1">
                  <c:v>We can have input into how our contracts are indexed</c:v>
                </c:pt>
                <c:pt idx="2">
                  <c:v>Indexation adequately accounts for rising wage costs</c:v>
                </c:pt>
                <c:pt idx="3">
                  <c:v>Indexation adequately accounts for rising non-wage costs faced by our organisation</c:v>
                </c:pt>
                <c:pt idx="4">
                  <c:v>Overall, indexation is adequate</c:v>
                </c:pt>
              </c:strCache>
            </c:strRef>
          </c:cat>
          <c:val>
            <c:numRef>
              <c:f>'perceps indexation'!$R$13:$V$13</c:f>
              <c:numCache>
                <c:formatCode>0%</c:formatCode>
                <c:ptCount val="5"/>
                <c:pt idx="0">
                  <c:v>0.28947368421052633</c:v>
                </c:pt>
                <c:pt idx="1">
                  <c:v>6.4935064935064929E-2</c:v>
                </c:pt>
                <c:pt idx="2">
                  <c:v>0.11842105263157894</c:v>
                </c:pt>
                <c:pt idx="3">
                  <c:v>0.10526315789473684</c:v>
                </c:pt>
                <c:pt idx="4">
                  <c:v>0.11688311688311688</c:v>
                </c:pt>
              </c:numCache>
            </c:numRef>
          </c:val>
          <c:extLst>
            <c:ext xmlns:c16="http://schemas.microsoft.com/office/drawing/2014/chart" uri="{C3380CC4-5D6E-409C-BE32-E72D297353CC}">
              <c16:uniqueId val="{00000002-BE6C-40CF-9DFA-585204C0A57B}"/>
            </c:ext>
          </c:extLst>
        </c:ser>
        <c:dLbls>
          <c:showLegendKey val="0"/>
          <c:showVal val="0"/>
          <c:showCatName val="0"/>
          <c:showSerName val="0"/>
          <c:showPercent val="0"/>
          <c:showBubbleSize val="0"/>
        </c:dLbls>
        <c:gapWidth val="50"/>
        <c:overlap val="100"/>
        <c:axId val="836669040"/>
        <c:axId val="836673616"/>
      </c:barChart>
      <c:catAx>
        <c:axId val="836669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6673616"/>
        <c:crosses val="autoZero"/>
        <c:auto val="1"/>
        <c:lblAlgn val="ctr"/>
        <c:lblOffset val="100"/>
        <c:noMultiLvlLbl val="0"/>
      </c:catAx>
      <c:valAx>
        <c:axId val="836673616"/>
        <c:scaling>
          <c:orientation val="minMax"/>
        </c:scaling>
        <c:delete val="1"/>
        <c:axPos val="t"/>
        <c:numFmt formatCode="0%" sourceLinked="1"/>
        <c:majorTickMark val="none"/>
        <c:minorTickMark val="none"/>
        <c:tickLblPos val="nextTo"/>
        <c:crossAx val="836669040"/>
        <c:crosses val="autoZero"/>
        <c:crossBetween val="between"/>
      </c:valAx>
      <c:spPr>
        <a:noFill/>
        <a:ln>
          <a:noFill/>
        </a:ln>
        <a:effectLst/>
      </c:spPr>
    </c:plotArea>
    <c:legend>
      <c:legendPos val="t"/>
      <c:layout>
        <c:manualLayout>
          <c:xMode val="edge"/>
          <c:yMode val="edge"/>
          <c:x val="0.45993739063867012"/>
          <c:y val="2.7777777777777776E-2"/>
          <c:w val="0.49852785979877517"/>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'done anywhen applying'!$N$3:$N$7</c:f>
              <c:strCache>
                <c:ptCount val="5"/>
                <c:pt idx="0">
                  <c:v>Decided not to apply for a grant or tender because the funding available wouldn't cover costs</c:v>
                </c:pt>
                <c:pt idx="1">
                  <c:v>Applied even though it required our organisation to cross-subsidise the activity</c:v>
                </c:pt>
                <c:pt idx="2">
                  <c:v>Applied even though we thought the funding was too low</c:v>
                </c:pt>
                <c:pt idx="3">
                  <c:v>Participated in a consortia or joint bid, to help achieve cost efficiencies</c:v>
                </c:pt>
                <c:pt idx="4">
                  <c:v>Decided to offer services at below-cost to ensure we would be competitive</c:v>
                </c:pt>
              </c:strCache>
            </c:strRef>
          </c:cat>
          <c:val>
            <c:numRef>
              <c:f>'done anywhen applying'!$Q$3:$Q$7</c:f>
              <c:numCache>
                <c:formatCode>0%</c:formatCode>
                <c:ptCount val="5"/>
                <c:pt idx="0">
                  <c:v>0.61</c:v>
                </c:pt>
                <c:pt idx="1">
                  <c:v>0.55700000000000005</c:v>
                </c:pt>
                <c:pt idx="2">
                  <c:v>0.45500000000000002</c:v>
                </c:pt>
                <c:pt idx="3">
                  <c:v>0.34100000000000003</c:v>
                </c:pt>
                <c:pt idx="4">
                  <c:v>0.25</c:v>
                </c:pt>
              </c:numCache>
            </c:numRef>
          </c:val>
          <c:extLst>
            <c:ext xmlns:c16="http://schemas.microsoft.com/office/drawing/2014/chart" uri="{C3380CC4-5D6E-409C-BE32-E72D297353CC}">
              <c16:uniqueId val="{00000000-B8F4-481B-82DB-DA56CD4FF438}"/>
            </c:ext>
          </c:extLst>
        </c:ser>
        <c:dLbls>
          <c:showLegendKey val="0"/>
          <c:showVal val="0"/>
          <c:showCatName val="0"/>
          <c:showSerName val="0"/>
          <c:showPercent val="0"/>
          <c:showBubbleSize val="0"/>
        </c:dLbls>
        <c:gapWidth val="50"/>
        <c:axId val="1319620032"/>
        <c:axId val="1319618784"/>
      </c:barChart>
      <c:catAx>
        <c:axId val="1319620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19618784"/>
        <c:crosses val="autoZero"/>
        <c:auto val="1"/>
        <c:lblAlgn val="ctr"/>
        <c:lblOffset val="100"/>
        <c:noMultiLvlLbl val="0"/>
      </c:catAx>
      <c:valAx>
        <c:axId val="1319618784"/>
        <c:scaling>
          <c:orientation val="minMax"/>
        </c:scaling>
        <c:delete val="1"/>
        <c:axPos val="t"/>
        <c:numFmt formatCode="0%" sourceLinked="1"/>
        <c:majorTickMark val="none"/>
        <c:minorTickMark val="none"/>
        <c:tickLblPos val="nextTo"/>
        <c:crossAx val="131962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1727394940375"/>
          <c:y val="2.7630998996198065E-2"/>
          <c:w val="0.69779248214815726"/>
          <c:h val="0.9465624760068588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 size'!$D$7:$D$15</c:f>
              <c:strCache>
                <c:ptCount val="9"/>
                <c:pt idx="0">
                  <c:v>Less than $50,000</c:v>
                </c:pt>
                <c:pt idx="1">
                  <c:v>$50,000 up to $100,000</c:v>
                </c:pt>
                <c:pt idx="2">
                  <c:v>$100,000 up to $500,000</c:v>
                </c:pt>
                <c:pt idx="3">
                  <c:v>$500,000 up to $1 million</c:v>
                </c:pt>
                <c:pt idx="4">
                  <c:v>$1 million up to $5 million</c:v>
                </c:pt>
                <c:pt idx="5">
                  <c:v>$5 million up to $10 million</c:v>
                </c:pt>
                <c:pt idx="6">
                  <c:v>$10 million up to $20 million</c:v>
                </c:pt>
                <c:pt idx="7">
                  <c:v>$20 million or more</c:v>
                </c:pt>
                <c:pt idx="8">
                  <c:v>Prefer not to say</c:v>
                </c:pt>
              </c:strCache>
            </c:strRef>
          </c:cat>
          <c:val>
            <c:numRef>
              <c:f>'org size'!$G$7:$G$15</c:f>
              <c:numCache>
                <c:formatCode>0%</c:formatCode>
                <c:ptCount val="9"/>
                <c:pt idx="0">
                  <c:v>9.0999999999999998E-2</c:v>
                </c:pt>
                <c:pt idx="1">
                  <c:v>4.4999999999999998E-2</c:v>
                </c:pt>
                <c:pt idx="2">
                  <c:v>0.125</c:v>
                </c:pt>
                <c:pt idx="3">
                  <c:v>0.13600000000000001</c:v>
                </c:pt>
                <c:pt idx="4">
                  <c:v>0.28399999999999997</c:v>
                </c:pt>
                <c:pt idx="5">
                  <c:v>4.4999999999999998E-2</c:v>
                </c:pt>
                <c:pt idx="6">
                  <c:v>9.0999999999999998E-2</c:v>
                </c:pt>
                <c:pt idx="7">
                  <c:v>0.14799999999999999</c:v>
                </c:pt>
                <c:pt idx="8">
                  <c:v>3.4000000000000002E-2</c:v>
                </c:pt>
              </c:numCache>
            </c:numRef>
          </c:val>
          <c:extLst>
            <c:ext xmlns:c16="http://schemas.microsoft.com/office/drawing/2014/chart" uri="{C3380CC4-5D6E-409C-BE32-E72D297353CC}">
              <c16:uniqueId val="{00000000-2228-488D-8054-E4DF75E25A9A}"/>
            </c:ext>
          </c:extLst>
        </c:ser>
        <c:dLbls>
          <c:showLegendKey val="0"/>
          <c:showVal val="0"/>
          <c:showCatName val="0"/>
          <c:showSerName val="0"/>
          <c:showPercent val="0"/>
          <c:showBubbleSize val="0"/>
        </c:dLbls>
        <c:gapWidth val="50"/>
        <c:axId val="91529440"/>
        <c:axId val="91548992"/>
      </c:barChart>
      <c:catAx>
        <c:axId val="91529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48992"/>
        <c:crosses val="autoZero"/>
        <c:auto val="1"/>
        <c:lblAlgn val="ctr"/>
        <c:lblOffset val="100"/>
        <c:noMultiLvlLbl val="0"/>
      </c:catAx>
      <c:valAx>
        <c:axId val="91548992"/>
        <c:scaling>
          <c:orientation val="minMax"/>
          <c:max val="0.5"/>
        </c:scaling>
        <c:delete val="1"/>
        <c:axPos val="t"/>
        <c:numFmt formatCode="0%" sourceLinked="1"/>
        <c:majorTickMark val="none"/>
        <c:minorTickMark val="none"/>
        <c:tickLblPos val="nextTo"/>
        <c:crossAx val="9152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43706027656617"/>
          <c:y val="3.9808917197452227E-2"/>
          <c:w val="0.76675599242335812"/>
          <c:h val="0.92834394904458595"/>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17787381-85BF-45D4-8C15-B71B804DED0A}"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1D8-4EE5-A282-F95E65B754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directorates'!$C$5:$C$10</c:f>
              <c:strCache>
                <c:ptCount val="6"/>
                <c:pt idx="0">
                  <c:v>One Directorate only</c:v>
                </c:pt>
                <c:pt idx="1">
                  <c:v>Two Directorates</c:v>
                </c:pt>
                <c:pt idx="2">
                  <c:v>Three Directorates</c:v>
                </c:pt>
                <c:pt idx="3">
                  <c:v>Four Directorates</c:v>
                </c:pt>
                <c:pt idx="4">
                  <c:v>Five Directorates</c:v>
                </c:pt>
                <c:pt idx="5">
                  <c:v>Six Directorates</c:v>
                </c:pt>
              </c:strCache>
            </c:strRef>
          </c:cat>
          <c:val>
            <c:numRef>
              <c:f>'number directorates'!$E$5:$E$10</c:f>
              <c:numCache>
                <c:formatCode>0%</c:formatCode>
                <c:ptCount val="6"/>
                <c:pt idx="0">
                  <c:v>0.52</c:v>
                </c:pt>
                <c:pt idx="1">
                  <c:v>0.3</c:v>
                </c:pt>
                <c:pt idx="2">
                  <c:v>0.11</c:v>
                </c:pt>
                <c:pt idx="3">
                  <c:v>0.03</c:v>
                </c:pt>
                <c:pt idx="4">
                  <c:v>0.01</c:v>
                </c:pt>
                <c:pt idx="5">
                  <c:v>0.02</c:v>
                </c:pt>
              </c:numCache>
            </c:numRef>
          </c:val>
          <c:extLst>
            <c:ext xmlns:c16="http://schemas.microsoft.com/office/drawing/2014/chart" uri="{C3380CC4-5D6E-409C-BE32-E72D297353CC}">
              <c16:uniqueId val="{00000001-D1D8-4EE5-A282-F95E65B75495}"/>
            </c:ext>
          </c:extLst>
        </c:ser>
        <c:dLbls>
          <c:showLegendKey val="0"/>
          <c:showVal val="0"/>
          <c:showCatName val="0"/>
          <c:showSerName val="0"/>
          <c:showPercent val="0"/>
          <c:showBubbleSize val="0"/>
        </c:dLbls>
        <c:gapWidth val="50"/>
        <c:axId val="120638848"/>
        <c:axId val="120630528"/>
      </c:barChart>
      <c:catAx>
        <c:axId val="120638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30528"/>
        <c:crosses val="autoZero"/>
        <c:auto val="1"/>
        <c:lblAlgn val="ctr"/>
        <c:lblOffset val="100"/>
        <c:noMultiLvlLbl val="0"/>
      </c:catAx>
      <c:valAx>
        <c:axId val="120630528"/>
        <c:scaling>
          <c:orientation val="minMax"/>
        </c:scaling>
        <c:delete val="1"/>
        <c:axPos val="t"/>
        <c:numFmt formatCode="0%" sourceLinked="1"/>
        <c:majorTickMark val="none"/>
        <c:minorTickMark val="none"/>
        <c:tickLblPos val="nextTo"/>
        <c:crossAx val="120638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accent2">
                  <a:lumMod val="60000"/>
                  <a:lumOff val="40000"/>
                </a:schemeClr>
              </a:solidFill>
            </a:ln>
          </c:spPr>
          <c:dPt>
            <c:idx val="0"/>
            <c:bubble3D val="0"/>
            <c:spPr>
              <a:solidFill>
                <a:schemeClr val="bg1">
                  <a:lumMod val="85000"/>
                </a:schemeClr>
              </a:solidFill>
              <a:ln w="19050">
                <a:solidFill>
                  <a:schemeClr val="accent2">
                    <a:lumMod val="60000"/>
                    <a:lumOff val="40000"/>
                  </a:schemeClr>
                </a:solidFill>
              </a:ln>
              <a:effectLst/>
            </c:spPr>
            <c:extLst>
              <c:ext xmlns:c16="http://schemas.microsoft.com/office/drawing/2014/chart" uri="{C3380CC4-5D6E-409C-BE32-E72D297353CC}">
                <c16:uniqueId val="{00000001-B50F-4169-87D0-B85CACB289B1}"/>
              </c:ext>
            </c:extLst>
          </c:dPt>
          <c:dPt>
            <c:idx val="1"/>
            <c:bubble3D val="0"/>
            <c:spPr>
              <a:solidFill>
                <a:schemeClr val="accent3">
                  <a:lumMod val="40000"/>
                  <a:lumOff val="60000"/>
                </a:schemeClr>
              </a:solidFill>
              <a:ln w="19050">
                <a:solidFill>
                  <a:schemeClr val="accent2">
                    <a:lumMod val="60000"/>
                    <a:lumOff val="40000"/>
                  </a:schemeClr>
                </a:solidFill>
              </a:ln>
              <a:effectLst/>
            </c:spPr>
            <c:extLst>
              <c:ext xmlns:c16="http://schemas.microsoft.com/office/drawing/2014/chart" uri="{C3380CC4-5D6E-409C-BE32-E72D297353CC}">
                <c16:uniqueId val="{00000003-B50F-4169-87D0-B85CACB289B1}"/>
              </c:ext>
            </c:extLst>
          </c:dPt>
          <c:dPt>
            <c:idx val="2"/>
            <c:bubble3D val="0"/>
            <c:spPr>
              <a:solidFill>
                <a:schemeClr val="accent3">
                  <a:lumMod val="75000"/>
                </a:schemeClr>
              </a:solidFill>
              <a:ln w="19050">
                <a:solidFill>
                  <a:schemeClr val="accent2">
                    <a:lumMod val="60000"/>
                    <a:lumOff val="40000"/>
                  </a:schemeClr>
                </a:solidFill>
              </a:ln>
              <a:effectLst/>
            </c:spPr>
            <c:extLst>
              <c:ext xmlns:c16="http://schemas.microsoft.com/office/drawing/2014/chart" uri="{C3380CC4-5D6E-409C-BE32-E72D297353CC}">
                <c16:uniqueId val="{00000005-B50F-4169-87D0-B85CACB289B1}"/>
              </c:ext>
            </c:extLst>
          </c:dPt>
          <c:dPt>
            <c:idx val="3"/>
            <c:bubble3D val="0"/>
            <c:spPr>
              <a:solidFill>
                <a:schemeClr val="accent2">
                  <a:lumMod val="50000"/>
                </a:schemeClr>
              </a:solidFill>
              <a:ln w="19050">
                <a:solidFill>
                  <a:schemeClr val="accent2">
                    <a:lumMod val="60000"/>
                    <a:lumOff val="40000"/>
                  </a:schemeClr>
                </a:solidFill>
              </a:ln>
              <a:effectLst/>
            </c:spPr>
            <c:extLst>
              <c:ext xmlns:c16="http://schemas.microsoft.com/office/drawing/2014/chart" uri="{C3380CC4-5D6E-409C-BE32-E72D297353CC}">
                <c16:uniqueId val="{00000007-B50F-4169-87D0-B85CACB289B1}"/>
              </c:ext>
            </c:extLst>
          </c:dPt>
          <c:dLbls>
            <c:dLbl>
              <c:idx val="0"/>
              <c:layout>
                <c:manualLayout>
                  <c:x val="1.495265219507136E-2"/>
                  <c:y val="1.8053993250843645E-2"/>
                </c:manualLayout>
              </c:layout>
              <c:tx>
                <c:rich>
                  <a:bodyPr/>
                  <a:lstStyle/>
                  <a:p>
                    <a:fld id="{8BF8B257-5D75-4209-9FA8-4E3B69788934}" type="CATEGORYNAME">
                      <a:rPr lang="en-US"/>
                      <a:pPr/>
                      <a:t>[CATEGORY NAME]</a:t>
                    </a:fld>
                    <a:r>
                      <a:rPr lang="en-US" baseline="0"/>
                      <a:t>, 12%</a:t>
                    </a:r>
                  </a:p>
                </c:rich>
              </c:tx>
              <c:showLegendKey val="0"/>
              <c:showVal val="1"/>
              <c:showCatName val="1"/>
              <c:showSerName val="0"/>
              <c:showPercent val="0"/>
              <c:showBubbleSize val="0"/>
              <c:extLst>
                <c:ext xmlns:c15="http://schemas.microsoft.com/office/drawing/2012/chart" uri="{CE6537A1-D6FC-4f65-9D91-7224C49458BB}">
                  <c15:layout>
                    <c:manualLayout>
                      <c:w val="0.19652777777777777"/>
                      <c:h val="0.16666666666666666"/>
                    </c:manualLayout>
                  </c15:layout>
                  <c15:dlblFieldTable/>
                  <c15:showDataLabelsRange val="0"/>
                </c:ext>
                <c:ext xmlns:c16="http://schemas.microsoft.com/office/drawing/2014/chart" uri="{C3380CC4-5D6E-409C-BE32-E72D297353CC}">
                  <c16:uniqueId val="{00000001-B50F-4169-87D0-B85CACB289B1}"/>
                </c:ext>
              </c:extLst>
            </c:dLbl>
            <c:dLbl>
              <c:idx val="1"/>
              <c:layout>
                <c:manualLayout>
                  <c:x val="0.18242247644576343"/>
                  <c:y val="-0.18314922713312529"/>
                </c:manualLayout>
              </c:layout>
              <c:tx>
                <c:rich>
                  <a:bodyPr/>
                  <a:lstStyle/>
                  <a:p>
                    <a:fld id="{09EC1805-A9CC-4157-BCC6-3107EE63B1D6}" type="CATEGORYNAME">
                      <a:rPr lang="en-US"/>
                      <a:pPr/>
                      <a:t>[CATEGORY NAME]</a:t>
                    </a:fld>
                    <a:r>
                      <a:rPr lang="en-US" baseline="0"/>
                      <a:t>, </a:t>
                    </a:r>
                    <a:fld id="{CC751BB1-28DA-4FE0-B10A-5E61E591CFD9}" type="VALUE">
                      <a:rPr lang="en-US"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0F-4169-87D0-B85CACB289B1}"/>
                </c:ext>
              </c:extLst>
            </c:dLbl>
            <c:dLbl>
              <c:idx val="2"/>
              <c:layout>
                <c:manualLayout>
                  <c:x val="-9.5150340250021656E-3"/>
                  <c:y val="3.1460674157303387E-2"/>
                </c:manualLayout>
              </c:layout>
              <c:tx>
                <c:rich>
                  <a:bodyPr/>
                  <a:lstStyle/>
                  <a:p>
                    <a:fld id="{292C22E5-4708-4AD0-9E89-DA0F5C30C79B}" type="CATEGORYNAME">
                      <a:rPr lang="en-US"/>
                      <a:pPr/>
                      <a:t>[CATEGORY NAME]</a:t>
                    </a:fld>
                    <a:r>
                      <a:rPr lang="en-US" baseline="0"/>
                      <a:t>, </a:t>
                    </a:r>
                    <a:fld id="{AA46F79D-63A7-48E8-AB80-B834F4FF08A0}" type="VALUE">
                      <a:rPr lang="en-US"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layout>
                    <c:manualLayout>
                      <c:w val="0.23981762917933136"/>
                      <c:h val="0.15048154093097915"/>
                    </c:manualLayout>
                  </c15:layout>
                  <c15:dlblFieldTable/>
                  <c15:showDataLabelsRange val="0"/>
                </c:ext>
                <c:ext xmlns:c16="http://schemas.microsoft.com/office/drawing/2014/chart" uri="{C3380CC4-5D6E-409C-BE32-E72D297353CC}">
                  <c16:uniqueId val="{00000005-B50F-4169-87D0-B85CACB289B1}"/>
                </c:ext>
              </c:extLst>
            </c:dLbl>
            <c:dLbl>
              <c:idx val="3"/>
              <c:layout>
                <c:manualLayout>
                  <c:x val="2.7712426904083799E-2"/>
                  <c:y val="-9.0288924558587485E-3"/>
                </c:manualLayout>
              </c:layout>
              <c:tx>
                <c:rich>
                  <a:bodyPr/>
                  <a:lstStyle/>
                  <a:p>
                    <a:fld id="{E110E9DA-0F52-47BF-AD73-C79A86CC8759}" type="CATEGORYNAME">
                      <a:rPr lang="en-US"/>
                      <a:pPr/>
                      <a:t>[CATEGORY NAME]</a:t>
                    </a:fld>
                    <a:r>
                      <a:rPr lang="en-US"/>
                      <a:t>, </a:t>
                    </a:r>
                    <a:fld id="{89BC35AB-61B1-4170-A550-43787E28681A}" type="VALUE">
                      <a:rPr lang="en-US"/>
                      <a:pPr/>
                      <a:t>[VALUE]</a:t>
                    </a:fld>
                    <a:r>
                      <a:rPr lang="en-US"/>
                      <a:t>%</a:t>
                    </a:r>
                  </a:p>
                </c:rich>
              </c:tx>
              <c:showLegendKey val="0"/>
              <c:showVal val="1"/>
              <c:showCatName val="1"/>
              <c:showSerName val="0"/>
              <c:showPercent val="0"/>
              <c:showBubbleSize val="0"/>
              <c:extLst>
                <c:ext xmlns:c15="http://schemas.microsoft.com/office/drawing/2012/chart" uri="{CE6537A1-D6FC-4f65-9D91-7224C49458BB}">
                  <c15:layout>
                    <c:manualLayout>
                      <c:w val="0.17142857142857143"/>
                      <c:h val="0.21067415730337077"/>
                    </c:manualLayout>
                  </c15:layout>
                  <c15:dlblFieldTable/>
                  <c15:showDataLabelsRange val="0"/>
                </c:ext>
                <c:ext xmlns:c16="http://schemas.microsoft.com/office/drawing/2014/chart" uri="{C3380CC4-5D6E-409C-BE32-E72D297353CC}">
                  <c16:uniqueId val="{00000007-B50F-4169-87D0-B85CACB289B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Sheet7!$E$14:$E$17</c:f>
              <c:strCache>
                <c:ptCount val="4"/>
                <c:pt idx="0">
                  <c:v>No core funding</c:v>
                </c:pt>
                <c:pt idx="1">
                  <c:v>One Directorate</c:v>
                </c:pt>
                <c:pt idx="2">
                  <c:v>Two Directorates</c:v>
                </c:pt>
                <c:pt idx="3">
                  <c:v>Three Directorates</c:v>
                </c:pt>
              </c:strCache>
            </c:strRef>
          </c:cat>
          <c:val>
            <c:numRef>
              <c:f>Sheet7!$F$14:$F$17</c:f>
              <c:numCache>
                <c:formatCode>###0</c:formatCode>
                <c:ptCount val="4"/>
                <c:pt idx="0">
                  <c:v>12.5</c:v>
                </c:pt>
                <c:pt idx="1">
                  <c:v>62.5</c:v>
                </c:pt>
                <c:pt idx="2">
                  <c:v>19.318181818181817</c:v>
                </c:pt>
                <c:pt idx="3">
                  <c:v>5.6818181818181817</c:v>
                </c:pt>
              </c:numCache>
            </c:numRef>
          </c:val>
          <c:extLst>
            <c:ext xmlns:c16="http://schemas.microsoft.com/office/drawing/2014/chart" uri="{C3380CC4-5D6E-409C-BE32-E72D297353CC}">
              <c16:uniqueId val="{00000008-B50F-4169-87D0-B85CACB289B1}"/>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0.00895</cdr:y>
    </cdr:from>
    <cdr:to>
      <cdr:x>0.09467</cdr:x>
      <cdr:y>0.11146</cdr:y>
    </cdr:to>
    <cdr:sp macro="" textlink="">
      <cdr:nvSpPr>
        <cdr:cNvPr id="2" name="TextBox 1">
          <a:extLst xmlns:a="http://schemas.openxmlformats.org/drawingml/2006/main">
            <a:ext uri="{FF2B5EF4-FFF2-40B4-BE49-F238E27FC236}">
              <a16:creationId xmlns:a16="http://schemas.microsoft.com/office/drawing/2014/main" id="{22A6FAF8-F012-4798-ADFC-9B5DC3B5CD2E}"/>
            </a:ext>
          </a:extLst>
        </cdr:cNvPr>
        <cdr:cNvSpPr txBox="1"/>
      </cdr:nvSpPr>
      <cdr:spPr>
        <a:xfrm xmlns:a="http://schemas.openxmlformats.org/drawingml/2006/main">
          <a:off x="-768350" y="18358"/>
          <a:ext cx="579393" cy="2102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t>$m</a:t>
          </a:r>
        </a:p>
      </cdr:txBody>
    </cdr:sp>
  </cdr:relSizeAnchor>
</c:userShapes>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5d6394ce4c6bffbcc4f52b034a3c72c8">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36bb2ce0b774c68ce95e0a4a60e0c01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5E27-6C7F-41ED-ADBD-2320485458D4}">
  <ds:schemaRefs>
    <ds:schemaRef ds:uri="http://schemas.openxmlformats.org/officeDocument/2006/bibliography"/>
  </ds:schemaRefs>
</ds:datastoreItem>
</file>

<file path=customXml/itemProps2.xml><?xml version="1.0" encoding="utf-8"?>
<ds:datastoreItem xmlns:ds="http://schemas.openxmlformats.org/officeDocument/2006/customXml" ds:itemID="{62594E2A-7858-4D84-99DC-D5E0EF0E0B40}">
  <ds:schemaRefs>
    <ds:schemaRef ds:uri="http://purl.org/dc/dcmitype/"/>
    <ds:schemaRef ds:uri="http://schemas.microsoft.com/office/infopath/2007/PartnerControls"/>
    <ds:schemaRef ds:uri="ef2741e4-cc31-428c-aca2-d2da616e4ed0"/>
    <ds:schemaRef ds:uri="http://purl.org/dc/elements/1.1/"/>
    <ds:schemaRef ds:uri="http://schemas.microsoft.com/office/2006/metadata/properties"/>
    <ds:schemaRef ds:uri="http://schemas.microsoft.com/office/2006/documentManagement/types"/>
    <ds:schemaRef ds:uri="32918964-d11d-4bda-ba04-9b8184f6a173"/>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FA85257-C0CE-40BC-A9A5-9173ED04DCFC}">
  <ds:schemaRefs>
    <ds:schemaRef ds:uri="http://schemas.microsoft.com/sharepoint/v3/contenttype/forms"/>
  </ds:schemaRefs>
</ds:datastoreItem>
</file>

<file path=customXml/itemProps4.xml><?xml version="1.0" encoding="utf-8"?>
<ds:datastoreItem xmlns:ds="http://schemas.openxmlformats.org/officeDocument/2006/customXml" ds:itemID="{8FD2CE84-6757-4D61-AB48-158B9D043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SPRC Report Template 2021.dotx</Template>
  <TotalTime>26</TotalTime>
  <Pages>69</Pages>
  <Words>22566</Words>
  <Characters>128627</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Title of paper</vt:lpstr>
    </vt:vector>
  </TitlesOfParts>
  <Company>University of New South Wales</Company>
  <LinksUpToDate>false</LinksUpToDate>
  <CharactersWithSpaces>150892</CharactersWithSpaces>
  <SharedDoc>false</SharedDoc>
  <HLinks>
    <vt:vector size="870" baseType="variant">
      <vt:variant>
        <vt:i4>4980813</vt:i4>
      </vt:variant>
      <vt:variant>
        <vt:i4>885</vt:i4>
      </vt:variant>
      <vt:variant>
        <vt:i4>0</vt:i4>
      </vt:variant>
      <vt:variant>
        <vt:i4>5</vt:i4>
      </vt:variant>
      <vt:variant>
        <vt:lpwstr>https://www.communityservices.act.gov.au/publications/annual-reports</vt:lpwstr>
      </vt:variant>
      <vt:variant>
        <vt:lpwstr/>
      </vt:variant>
      <vt:variant>
        <vt:i4>7864362</vt:i4>
      </vt:variant>
      <vt:variant>
        <vt:i4>867</vt:i4>
      </vt:variant>
      <vt:variant>
        <vt:i4>0</vt:i4>
      </vt:variant>
      <vt:variant>
        <vt:i4>5</vt:i4>
      </vt:variant>
      <vt:variant>
        <vt:lpwstr>https://calculate.fairwork.gov.au/FindYourAward</vt:lpwstr>
      </vt:variant>
      <vt:variant>
        <vt:lpwstr/>
      </vt:variant>
      <vt:variant>
        <vt:i4>5963860</vt:i4>
      </vt:variant>
      <vt:variant>
        <vt:i4>855</vt:i4>
      </vt:variant>
      <vt:variant>
        <vt:i4>0</vt:i4>
      </vt:variant>
      <vt:variant>
        <vt:i4>5</vt:i4>
      </vt:variant>
      <vt:variant>
        <vt:lpwstr>https://lmip.gov.au/default.aspx?LMIP/GainInsights/VacancyReport</vt:lpwstr>
      </vt:variant>
      <vt:variant>
        <vt:lpwstr/>
      </vt:variant>
      <vt:variant>
        <vt:i4>7864362</vt:i4>
      </vt:variant>
      <vt:variant>
        <vt:i4>849</vt:i4>
      </vt:variant>
      <vt:variant>
        <vt:i4>0</vt:i4>
      </vt:variant>
      <vt:variant>
        <vt:i4>5</vt:i4>
      </vt:variant>
      <vt:variant>
        <vt:lpwstr>https://calculate.fairwork.gov.au/FindYourAward</vt:lpwstr>
      </vt:variant>
      <vt:variant>
        <vt:lpwstr/>
      </vt:variant>
      <vt:variant>
        <vt:i4>3670143</vt:i4>
      </vt:variant>
      <vt:variant>
        <vt:i4>843</vt:i4>
      </vt:variant>
      <vt:variant>
        <vt:i4>0</vt:i4>
      </vt:variant>
      <vt:variant>
        <vt:i4>5</vt:i4>
      </vt:variant>
      <vt:variant>
        <vt:lpwstr>https://www.aedc.gov.au/data/data-explorer</vt:lpwstr>
      </vt:variant>
      <vt:variant>
        <vt:lpwstr/>
      </vt:variant>
      <vt:variant>
        <vt:i4>7864362</vt:i4>
      </vt:variant>
      <vt:variant>
        <vt:i4>768</vt:i4>
      </vt:variant>
      <vt:variant>
        <vt:i4>0</vt:i4>
      </vt:variant>
      <vt:variant>
        <vt:i4>5</vt:i4>
      </vt:variant>
      <vt:variant>
        <vt:lpwstr>https://calculate.fairwork.gov.au/FindYourAward</vt:lpwstr>
      </vt:variant>
      <vt:variant>
        <vt:lpwstr/>
      </vt:variant>
      <vt:variant>
        <vt:i4>1441841</vt:i4>
      </vt:variant>
      <vt:variant>
        <vt:i4>560</vt:i4>
      </vt:variant>
      <vt:variant>
        <vt:i4>0</vt:i4>
      </vt:variant>
      <vt:variant>
        <vt:i4>5</vt:i4>
      </vt:variant>
      <vt:variant>
        <vt:lpwstr/>
      </vt:variant>
      <vt:variant>
        <vt:lpwstr>_Toc90020083</vt:lpwstr>
      </vt:variant>
      <vt:variant>
        <vt:i4>1507377</vt:i4>
      </vt:variant>
      <vt:variant>
        <vt:i4>554</vt:i4>
      </vt:variant>
      <vt:variant>
        <vt:i4>0</vt:i4>
      </vt:variant>
      <vt:variant>
        <vt:i4>5</vt:i4>
      </vt:variant>
      <vt:variant>
        <vt:lpwstr/>
      </vt:variant>
      <vt:variant>
        <vt:lpwstr>_Toc90020082</vt:lpwstr>
      </vt:variant>
      <vt:variant>
        <vt:i4>1310769</vt:i4>
      </vt:variant>
      <vt:variant>
        <vt:i4>548</vt:i4>
      </vt:variant>
      <vt:variant>
        <vt:i4>0</vt:i4>
      </vt:variant>
      <vt:variant>
        <vt:i4>5</vt:i4>
      </vt:variant>
      <vt:variant>
        <vt:lpwstr/>
      </vt:variant>
      <vt:variant>
        <vt:lpwstr>_Toc90020081</vt:lpwstr>
      </vt:variant>
      <vt:variant>
        <vt:i4>1376305</vt:i4>
      </vt:variant>
      <vt:variant>
        <vt:i4>542</vt:i4>
      </vt:variant>
      <vt:variant>
        <vt:i4>0</vt:i4>
      </vt:variant>
      <vt:variant>
        <vt:i4>5</vt:i4>
      </vt:variant>
      <vt:variant>
        <vt:lpwstr/>
      </vt:variant>
      <vt:variant>
        <vt:lpwstr>_Toc90020080</vt:lpwstr>
      </vt:variant>
      <vt:variant>
        <vt:i4>1835070</vt:i4>
      </vt:variant>
      <vt:variant>
        <vt:i4>536</vt:i4>
      </vt:variant>
      <vt:variant>
        <vt:i4>0</vt:i4>
      </vt:variant>
      <vt:variant>
        <vt:i4>5</vt:i4>
      </vt:variant>
      <vt:variant>
        <vt:lpwstr/>
      </vt:variant>
      <vt:variant>
        <vt:lpwstr>_Toc90020079</vt:lpwstr>
      </vt:variant>
      <vt:variant>
        <vt:i4>1900606</vt:i4>
      </vt:variant>
      <vt:variant>
        <vt:i4>530</vt:i4>
      </vt:variant>
      <vt:variant>
        <vt:i4>0</vt:i4>
      </vt:variant>
      <vt:variant>
        <vt:i4>5</vt:i4>
      </vt:variant>
      <vt:variant>
        <vt:lpwstr/>
      </vt:variant>
      <vt:variant>
        <vt:lpwstr>_Toc90020078</vt:lpwstr>
      </vt:variant>
      <vt:variant>
        <vt:i4>1179710</vt:i4>
      </vt:variant>
      <vt:variant>
        <vt:i4>524</vt:i4>
      </vt:variant>
      <vt:variant>
        <vt:i4>0</vt:i4>
      </vt:variant>
      <vt:variant>
        <vt:i4>5</vt:i4>
      </vt:variant>
      <vt:variant>
        <vt:lpwstr/>
      </vt:variant>
      <vt:variant>
        <vt:lpwstr>_Toc90020077</vt:lpwstr>
      </vt:variant>
      <vt:variant>
        <vt:i4>1245246</vt:i4>
      </vt:variant>
      <vt:variant>
        <vt:i4>518</vt:i4>
      </vt:variant>
      <vt:variant>
        <vt:i4>0</vt:i4>
      </vt:variant>
      <vt:variant>
        <vt:i4>5</vt:i4>
      </vt:variant>
      <vt:variant>
        <vt:lpwstr/>
      </vt:variant>
      <vt:variant>
        <vt:lpwstr>_Toc90020076</vt:lpwstr>
      </vt:variant>
      <vt:variant>
        <vt:i4>1048638</vt:i4>
      </vt:variant>
      <vt:variant>
        <vt:i4>512</vt:i4>
      </vt:variant>
      <vt:variant>
        <vt:i4>0</vt:i4>
      </vt:variant>
      <vt:variant>
        <vt:i4>5</vt:i4>
      </vt:variant>
      <vt:variant>
        <vt:lpwstr/>
      </vt:variant>
      <vt:variant>
        <vt:lpwstr>_Toc90020075</vt:lpwstr>
      </vt:variant>
      <vt:variant>
        <vt:i4>1114174</vt:i4>
      </vt:variant>
      <vt:variant>
        <vt:i4>506</vt:i4>
      </vt:variant>
      <vt:variant>
        <vt:i4>0</vt:i4>
      </vt:variant>
      <vt:variant>
        <vt:i4>5</vt:i4>
      </vt:variant>
      <vt:variant>
        <vt:lpwstr/>
      </vt:variant>
      <vt:variant>
        <vt:lpwstr>_Toc90020074</vt:lpwstr>
      </vt:variant>
      <vt:variant>
        <vt:i4>1441854</vt:i4>
      </vt:variant>
      <vt:variant>
        <vt:i4>500</vt:i4>
      </vt:variant>
      <vt:variant>
        <vt:i4>0</vt:i4>
      </vt:variant>
      <vt:variant>
        <vt:i4>5</vt:i4>
      </vt:variant>
      <vt:variant>
        <vt:lpwstr/>
      </vt:variant>
      <vt:variant>
        <vt:lpwstr>_Toc90020073</vt:lpwstr>
      </vt:variant>
      <vt:variant>
        <vt:i4>1507377</vt:i4>
      </vt:variant>
      <vt:variant>
        <vt:i4>491</vt:i4>
      </vt:variant>
      <vt:variant>
        <vt:i4>0</vt:i4>
      </vt:variant>
      <vt:variant>
        <vt:i4>5</vt:i4>
      </vt:variant>
      <vt:variant>
        <vt:lpwstr/>
      </vt:variant>
      <vt:variant>
        <vt:lpwstr>_Toc90019617</vt:lpwstr>
      </vt:variant>
      <vt:variant>
        <vt:i4>1441841</vt:i4>
      </vt:variant>
      <vt:variant>
        <vt:i4>485</vt:i4>
      </vt:variant>
      <vt:variant>
        <vt:i4>0</vt:i4>
      </vt:variant>
      <vt:variant>
        <vt:i4>5</vt:i4>
      </vt:variant>
      <vt:variant>
        <vt:lpwstr/>
      </vt:variant>
      <vt:variant>
        <vt:lpwstr>_Toc90019616</vt:lpwstr>
      </vt:variant>
      <vt:variant>
        <vt:i4>1376305</vt:i4>
      </vt:variant>
      <vt:variant>
        <vt:i4>479</vt:i4>
      </vt:variant>
      <vt:variant>
        <vt:i4>0</vt:i4>
      </vt:variant>
      <vt:variant>
        <vt:i4>5</vt:i4>
      </vt:variant>
      <vt:variant>
        <vt:lpwstr/>
      </vt:variant>
      <vt:variant>
        <vt:lpwstr>_Toc90019615</vt:lpwstr>
      </vt:variant>
      <vt:variant>
        <vt:i4>1310769</vt:i4>
      </vt:variant>
      <vt:variant>
        <vt:i4>473</vt:i4>
      </vt:variant>
      <vt:variant>
        <vt:i4>0</vt:i4>
      </vt:variant>
      <vt:variant>
        <vt:i4>5</vt:i4>
      </vt:variant>
      <vt:variant>
        <vt:lpwstr/>
      </vt:variant>
      <vt:variant>
        <vt:lpwstr>_Toc90019614</vt:lpwstr>
      </vt:variant>
      <vt:variant>
        <vt:i4>1245233</vt:i4>
      </vt:variant>
      <vt:variant>
        <vt:i4>467</vt:i4>
      </vt:variant>
      <vt:variant>
        <vt:i4>0</vt:i4>
      </vt:variant>
      <vt:variant>
        <vt:i4>5</vt:i4>
      </vt:variant>
      <vt:variant>
        <vt:lpwstr/>
      </vt:variant>
      <vt:variant>
        <vt:lpwstr>_Toc90019613</vt:lpwstr>
      </vt:variant>
      <vt:variant>
        <vt:i4>1179697</vt:i4>
      </vt:variant>
      <vt:variant>
        <vt:i4>461</vt:i4>
      </vt:variant>
      <vt:variant>
        <vt:i4>0</vt:i4>
      </vt:variant>
      <vt:variant>
        <vt:i4>5</vt:i4>
      </vt:variant>
      <vt:variant>
        <vt:lpwstr/>
      </vt:variant>
      <vt:variant>
        <vt:lpwstr>_Toc90019612</vt:lpwstr>
      </vt:variant>
      <vt:variant>
        <vt:i4>1114161</vt:i4>
      </vt:variant>
      <vt:variant>
        <vt:i4>455</vt:i4>
      </vt:variant>
      <vt:variant>
        <vt:i4>0</vt:i4>
      </vt:variant>
      <vt:variant>
        <vt:i4>5</vt:i4>
      </vt:variant>
      <vt:variant>
        <vt:lpwstr/>
      </vt:variant>
      <vt:variant>
        <vt:lpwstr>_Toc90019611</vt:lpwstr>
      </vt:variant>
      <vt:variant>
        <vt:i4>1048625</vt:i4>
      </vt:variant>
      <vt:variant>
        <vt:i4>449</vt:i4>
      </vt:variant>
      <vt:variant>
        <vt:i4>0</vt:i4>
      </vt:variant>
      <vt:variant>
        <vt:i4>5</vt:i4>
      </vt:variant>
      <vt:variant>
        <vt:lpwstr/>
      </vt:variant>
      <vt:variant>
        <vt:lpwstr>_Toc90019610</vt:lpwstr>
      </vt:variant>
      <vt:variant>
        <vt:i4>1638448</vt:i4>
      </vt:variant>
      <vt:variant>
        <vt:i4>443</vt:i4>
      </vt:variant>
      <vt:variant>
        <vt:i4>0</vt:i4>
      </vt:variant>
      <vt:variant>
        <vt:i4>5</vt:i4>
      </vt:variant>
      <vt:variant>
        <vt:lpwstr/>
      </vt:variant>
      <vt:variant>
        <vt:lpwstr>_Toc90019609</vt:lpwstr>
      </vt:variant>
      <vt:variant>
        <vt:i4>1572912</vt:i4>
      </vt:variant>
      <vt:variant>
        <vt:i4>437</vt:i4>
      </vt:variant>
      <vt:variant>
        <vt:i4>0</vt:i4>
      </vt:variant>
      <vt:variant>
        <vt:i4>5</vt:i4>
      </vt:variant>
      <vt:variant>
        <vt:lpwstr/>
      </vt:variant>
      <vt:variant>
        <vt:lpwstr>_Toc90019608</vt:lpwstr>
      </vt:variant>
      <vt:variant>
        <vt:i4>1507376</vt:i4>
      </vt:variant>
      <vt:variant>
        <vt:i4>431</vt:i4>
      </vt:variant>
      <vt:variant>
        <vt:i4>0</vt:i4>
      </vt:variant>
      <vt:variant>
        <vt:i4>5</vt:i4>
      </vt:variant>
      <vt:variant>
        <vt:lpwstr/>
      </vt:variant>
      <vt:variant>
        <vt:lpwstr>_Toc90019607</vt:lpwstr>
      </vt:variant>
      <vt:variant>
        <vt:i4>1441840</vt:i4>
      </vt:variant>
      <vt:variant>
        <vt:i4>422</vt:i4>
      </vt:variant>
      <vt:variant>
        <vt:i4>0</vt:i4>
      </vt:variant>
      <vt:variant>
        <vt:i4>5</vt:i4>
      </vt:variant>
      <vt:variant>
        <vt:lpwstr/>
      </vt:variant>
      <vt:variant>
        <vt:lpwstr>_Toc90019606</vt:lpwstr>
      </vt:variant>
      <vt:variant>
        <vt:i4>1376304</vt:i4>
      </vt:variant>
      <vt:variant>
        <vt:i4>416</vt:i4>
      </vt:variant>
      <vt:variant>
        <vt:i4>0</vt:i4>
      </vt:variant>
      <vt:variant>
        <vt:i4>5</vt:i4>
      </vt:variant>
      <vt:variant>
        <vt:lpwstr/>
      </vt:variant>
      <vt:variant>
        <vt:lpwstr>_Toc90019605</vt:lpwstr>
      </vt:variant>
      <vt:variant>
        <vt:i4>1310768</vt:i4>
      </vt:variant>
      <vt:variant>
        <vt:i4>410</vt:i4>
      </vt:variant>
      <vt:variant>
        <vt:i4>0</vt:i4>
      </vt:variant>
      <vt:variant>
        <vt:i4>5</vt:i4>
      </vt:variant>
      <vt:variant>
        <vt:lpwstr/>
      </vt:variant>
      <vt:variant>
        <vt:lpwstr>_Toc90019604</vt:lpwstr>
      </vt:variant>
      <vt:variant>
        <vt:i4>1245232</vt:i4>
      </vt:variant>
      <vt:variant>
        <vt:i4>401</vt:i4>
      </vt:variant>
      <vt:variant>
        <vt:i4>0</vt:i4>
      </vt:variant>
      <vt:variant>
        <vt:i4>5</vt:i4>
      </vt:variant>
      <vt:variant>
        <vt:lpwstr/>
      </vt:variant>
      <vt:variant>
        <vt:lpwstr>_Toc90019603</vt:lpwstr>
      </vt:variant>
      <vt:variant>
        <vt:i4>1179696</vt:i4>
      </vt:variant>
      <vt:variant>
        <vt:i4>395</vt:i4>
      </vt:variant>
      <vt:variant>
        <vt:i4>0</vt:i4>
      </vt:variant>
      <vt:variant>
        <vt:i4>5</vt:i4>
      </vt:variant>
      <vt:variant>
        <vt:lpwstr/>
      </vt:variant>
      <vt:variant>
        <vt:lpwstr>_Toc90019602</vt:lpwstr>
      </vt:variant>
      <vt:variant>
        <vt:i4>1114160</vt:i4>
      </vt:variant>
      <vt:variant>
        <vt:i4>389</vt:i4>
      </vt:variant>
      <vt:variant>
        <vt:i4>0</vt:i4>
      </vt:variant>
      <vt:variant>
        <vt:i4>5</vt:i4>
      </vt:variant>
      <vt:variant>
        <vt:lpwstr/>
      </vt:variant>
      <vt:variant>
        <vt:lpwstr>_Toc90019601</vt:lpwstr>
      </vt:variant>
      <vt:variant>
        <vt:i4>1048624</vt:i4>
      </vt:variant>
      <vt:variant>
        <vt:i4>383</vt:i4>
      </vt:variant>
      <vt:variant>
        <vt:i4>0</vt:i4>
      </vt:variant>
      <vt:variant>
        <vt:i4>5</vt:i4>
      </vt:variant>
      <vt:variant>
        <vt:lpwstr/>
      </vt:variant>
      <vt:variant>
        <vt:lpwstr>_Toc90019600</vt:lpwstr>
      </vt:variant>
      <vt:variant>
        <vt:i4>1048633</vt:i4>
      </vt:variant>
      <vt:variant>
        <vt:i4>374</vt:i4>
      </vt:variant>
      <vt:variant>
        <vt:i4>0</vt:i4>
      </vt:variant>
      <vt:variant>
        <vt:i4>5</vt:i4>
      </vt:variant>
      <vt:variant>
        <vt:lpwstr/>
      </vt:variant>
      <vt:variant>
        <vt:lpwstr>_Toc90019593</vt:lpwstr>
      </vt:variant>
      <vt:variant>
        <vt:i4>1114169</vt:i4>
      </vt:variant>
      <vt:variant>
        <vt:i4>368</vt:i4>
      </vt:variant>
      <vt:variant>
        <vt:i4>0</vt:i4>
      </vt:variant>
      <vt:variant>
        <vt:i4>5</vt:i4>
      </vt:variant>
      <vt:variant>
        <vt:lpwstr/>
      </vt:variant>
      <vt:variant>
        <vt:lpwstr>_Toc90019592</vt:lpwstr>
      </vt:variant>
      <vt:variant>
        <vt:i4>1179705</vt:i4>
      </vt:variant>
      <vt:variant>
        <vt:i4>362</vt:i4>
      </vt:variant>
      <vt:variant>
        <vt:i4>0</vt:i4>
      </vt:variant>
      <vt:variant>
        <vt:i4>5</vt:i4>
      </vt:variant>
      <vt:variant>
        <vt:lpwstr/>
      </vt:variant>
      <vt:variant>
        <vt:lpwstr>_Toc90019591</vt:lpwstr>
      </vt:variant>
      <vt:variant>
        <vt:i4>1245241</vt:i4>
      </vt:variant>
      <vt:variant>
        <vt:i4>356</vt:i4>
      </vt:variant>
      <vt:variant>
        <vt:i4>0</vt:i4>
      </vt:variant>
      <vt:variant>
        <vt:i4>5</vt:i4>
      </vt:variant>
      <vt:variant>
        <vt:lpwstr/>
      </vt:variant>
      <vt:variant>
        <vt:lpwstr>_Toc90019590</vt:lpwstr>
      </vt:variant>
      <vt:variant>
        <vt:i4>1703992</vt:i4>
      </vt:variant>
      <vt:variant>
        <vt:i4>350</vt:i4>
      </vt:variant>
      <vt:variant>
        <vt:i4>0</vt:i4>
      </vt:variant>
      <vt:variant>
        <vt:i4>5</vt:i4>
      </vt:variant>
      <vt:variant>
        <vt:lpwstr/>
      </vt:variant>
      <vt:variant>
        <vt:lpwstr>_Toc90019589</vt:lpwstr>
      </vt:variant>
      <vt:variant>
        <vt:i4>1769528</vt:i4>
      </vt:variant>
      <vt:variant>
        <vt:i4>344</vt:i4>
      </vt:variant>
      <vt:variant>
        <vt:i4>0</vt:i4>
      </vt:variant>
      <vt:variant>
        <vt:i4>5</vt:i4>
      </vt:variant>
      <vt:variant>
        <vt:lpwstr/>
      </vt:variant>
      <vt:variant>
        <vt:lpwstr>_Toc90019588</vt:lpwstr>
      </vt:variant>
      <vt:variant>
        <vt:i4>1310776</vt:i4>
      </vt:variant>
      <vt:variant>
        <vt:i4>338</vt:i4>
      </vt:variant>
      <vt:variant>
        <vt:i4>0</vt:i4>
      </vt:variant>
      <vt:variant>
        <vt:i4>5</vt:i4>
      </vt:variant>
      <vt:variant>
        <vt:lpwstr/>
      </vt:variant>
      <vt:variant>
        <vt:lpwstr>_Toc90019587</vt:lpwstr>
      </vt:variant>
      <vt:variant>
        <vt:i4>1376312</vt:i4>
      </vt:variant>
      <vt:variant>
        <vt:i4>332</vt:i4>
      </vt:variant>
      <vt:variant>
        <vt:i4>0</vt:i4>
      </vt:variant>
      <vt:variant>
        <vt:i4>5</vt:i4>
      </vt:variant>
      <vt:variant>
        <vt:lpwstr/>
      </vt:variant>
      <vt:variant>
        <vt:lpwstr>_Toc90019586</vt:lpwstr>
      </vt:variant>
      <vt:variant>
        <vt:i4>1703993</vt:i4>
      </vt:variant>
      <vt:variant>
        <vt:i4>323</vt:i4>
      </vt:variant>
      <vt:variant>
        <vt:i4>0</vt:i4>
      </vt:variant>
      <vt:variant>
        <vt:i4>5</vt:i4>
      </vt:variant>
      <vt:variant>
        <vt:lpwstr/>
      </vt:variant>
      <vt:variant>
        <vt:lpwstr>_Toc90019599</vt:lpwstr>
      </vt:variant>
      <vt:variant>
        <vt:i4>1769529</vt:i4>
      </vt:variant>
      <vt:variant>
        <vt:i4>317</vt:i4>
      </vt:variant>
      <vt:variant>
        <vt:i4>0</vt:i4>
      </vt:variant>
      <vt:variant>
        <vt:i4>5</vt:i4>
      </vt:variant>
      <vt:variant>
        <vt:lpwstr/>
      </vt:variant>
      <vt:variant>
        <vt:lpwstr>_Toc90019598</vt:lpwstr>
      </vt:variant>
      <vt:variant>
        <vt:i4>1310777</vt:i4>
      </vt:variant>
      <vt:variant>
        <vt:i4>311</vt:i4>
      </vt:variant>
      <vt:variant>
        <vt:i4>0</vt:i4>
      </vt:variant>
      <vt:variant>
        <vt:i4>5</vt:i4>
      </vt:variant>
      <vt:variant>
        <vt:lpwstr/>
      </vt:variant>
      <vt:variant>
        <vt:lpwstr>_Toc90019597</vt:lpwstr>
      </vt:variant>
      <vt:variant>
        <vt:i4>1376313</vt:i4>
      </vt:variant>
      <vt:variant>
        <vt:i4>305</vt:i4>
      </vt:variant>
      <vt:variant>
        <vt:i4>0</vt:i4>
      </vt:variant>
      <vt:variant>
        <vt:i4>5</vt:i4>
      </vt:variant>
      <vt:variant>
        <vt:lpwstr/>
      </vt:variant>
      <vt:variant>
        <vt:lpwstr>_Toc90019596</vt:lpwstr>
      </vt:variant>
      <vt:variant>
        <vt:i4>1441849</vt:i4>
      </vt:variant>
      <vt:variant>
        <vt:i4>299</vt:i4>
      </vt:variant>
      <vt:variant>
        <vt:i4>0</vt:i4>
      </vt:variant>
      <vt:variant>
        <vt:i4>5</vt:i4>
      </vt:variant>
      <vt:variant>
        <vt:lpwstr/>
      </vt:variant>
      <vt:variant>
        <vt:lpwstr>_Toc90019595</vt:lpwstr>
      </vt:variant>
      <vt:variant>
        <vt:i4>1507385</vt:i4>
      </vt:variant>
      <vt:variant>
        <vt:i4>293</vt:i4>
      </vt:variant>
      <vt:variant>
        <vt:i4>0</vt:i4>
      </vt:variant>
      <vt:variant>
        <vt:i4>5</vt:i4>
      </vt:variant>
      <vt:variant>
        <vt:lpwstr/>
      </vt:variant>
      <vt:variant>
        <vt:lpwstr>_Toc90019594</vt:lpwstr>
      </vt:variant>
      <vt:variant>
        <vt:i4>1441848</vt:i4>
      </vt:variant>
      <vt:variant>
        <vt:i4>284</vt:i4>
      </vt:variant>
      <vt:variant>
        <vt:i4>0</vt:i4>
      </vt:variant>
      <vt:variant>
        <vt:i4>5</vt:i4>
      </vt:variant>
      <vt:variant>
        <vt:lpwstr/>
      </vt:variant>
      <vt:variant>
        <vt:lpwstr>_Toc90019585</vt:lpwstr>
      </vt:variant>
      <vt:variant>
        <vt:i4>1507384</vt:i4>
      </vt:variant>
      <vt:variant>
        <vt:i4>278</vt:i4>
      </vt:variant>
      <vt:variant>
        <vt:i4>0</vt:i4>
      </vt:variant>
      <vt:variant>
        <vt:i4>5</vt:i4>
      </vt:variant>
      <vt:variant>
        <vt:lpwstr/>
      </vt:variant>
      <vt:variant>
        <vt:lpwstr>_Toc90019584</vt:lpwstr>
      </vt:variant>
      <vt:variant>
        <vt:i4>1048632</vt:i4>
      </vt:variant>
      <vt:variant>
        <vt:i4>272</vt:i4>
      </vt:variant>
      <vt:variant>
        <vt:i4>0</vt:i4>
      </vt:variant>
      <vt:variant>
        <vt:i4>5</vt:i4>
      </vt:variant>
      <vt:variant>
        <vt:lpwstr/>
      </vt:variant>
      <vt:variant>
        <vt:lpwstr>_Toc90019583</vt:lpwstr>
      </vt:variant>
      <vt:variant>
        <vt:i4>1114168</vt:i4>
      </vt:variant>
      <vt:variant>
        <vt:i4>266</vt:i4>
      </vt:variant>
      <vt:variant>
        <vt:i4>0</vt:i4>
      </vt:variant>
      <vt:variant>
        <vt:i4>5</vt:i4>
      </vt:variant>
      <vt:variant>
        <vt:lpwstr/>
      </vt:variant>
      <vt:variant>
        <vt:lpwstr>_Toc90019582</vt:lpwstr>
      </vt:variant>
      <vt:variant>
        <vt:i4>1179704</vt:i4>
      </vt:variant>
      <vt:variant>
        <vt:i4>260</vt:i4>
      </vt:variant>
      <vt:variant>
        <vt:i4>0</vt:i4>
      </vt:variant>
      <vt:variant>
        <vt:i4>5</vt:i4>
      </vt:variant>
      <vt:variant>
        <vt:lpwstr/>
      </vt:variant>
      <vt:variant>
        <vt:lpwstr>_Toc90019581</vt:lpwstr>
      </vt:variant>
      <vt:variant>
        <vt:i4>1245240</vt:i4>
      </vt:variant>
      <vt:variant>
        <vt:i4>254</vt:i4>
      </vt:variant>
      <vt:variant>
        <vt:i4>0</vt:i4>
      </vt:variant>
      <vt:variant>
        <vt:i4>5</vt:i4>
      </vt:variant>
      <vt:variant>
        <vt:lpwstr/>
      </vt:variant>
      <vt:variant>
        <vt:lpwstr>_Toc90019580</vt:lpwstr>
      </vt:variant>
      <vt:variant>
        <vt:i4>1703991</vt:i4>
      </vt:variant>
      <vt:variant>
        <vt:i4>248</vt:i4>
      </vt:variant>
      <vt:variant>
        <vt:i4>0</vt:i4>
      </vt:variant>
      <vt:variant>
        <vt:i4>5</vt:i4>
      </vt:variant>
      <vt:variant>
        <vt:lpwstr/>
      </vt:variant>
      <vt:variant>
        <vt:lpwstr>_Toc90019579</vt:lpwstr>
      </vt:variant>
      <vt:variant>
        <vt:i4>1769527</vt:i4>
      </vt:variant>
      <vt:variant>
        <vt:i4>242</vt:i4>
      </vt:variant>
      <vt:variant>
        <vt:i4>0</vt:i4>
      </vt:variant>
      <vt:variant>
        <vt:i4>5</vt:i4>
      </vt:variant>
      <vt:variant>
        <vt:lpwstr/>
      </vt:variant>
      <vt:variant>
        <vt:lpwstr>_Toc90019578</vt:lpwstr>
      </vt:variant>
      <vt:variant>
        <vt:i4>1310775</vt:i4>
      </vt:variant>
      <vt:variant>
        <vt:i4>236</vt:i4>
      </vt:variant>
      <vt:variant>
        <vt:i4>0</vt:i4>
      </vt:variant>
      <vt:variant>
        <vt:i4>5</vt:i4>
      </vt:variant>
      <vt:variant>
        <vt:lpwstr/>
      </vt:variant>
      <vt:variant>
        <vt:lpwstr>_Toc90019577</vt:lpwstr>
      </vt:variant>
      <vt:variant>
        <vt:i4>1376311</vt:i4>
      </vt:variant>
      <vt:variant>
        <vt:i4>230</vt:i4>
      </vt:variant>
      <vt:variant>
        <vt:i4>0</vt:i4>
      </vt:variant>
      <vt:variant>
        <vt:i4>5</vt:i4>
      </vt:variant>
      <vt:variant>
        <vt:lpwstr/>
      </vt:variant>
      <vt:variant>
        <vt:lpwstr>_Toc90019576</vt:lpwstr>
      </vt:variant>
      <vt:variant>
        <vt:i4>1441847</vt:i4>
      </vt:variant>
      <vt:variant>
        <vt:i4>224</vt:i4>
      </vt:variant>
      <vt:variant>
        <vt:i4>0</vt:i4>
      </vt:variant>
      <vt:variant>
        <vt:i4>5</vt:i4>
      </vt:variant>
      <vt:variant>
        <vt:lpwstr/>
      </vt:variant>
      <vt:variant>
        <vt:lpwstr>_Toc90019575</vt:lpwstr>
      </vt:variant>
      <vt:variant>
        <vt:i4>1507383</vt:i4>
      </vt:variant>
      <vt:variant>
        <vt:i4>218</vt:i4>
      </vt:variant>
      <vt:variant>
        <vt:i4>0</vt:i4>
      </vt:variant>
      <vt:variant>
        <vt:i4>5</vt:i4>
      </vt:variant>
      <vt:variant>
        <vt:lpwstr/>
      </vt:variant>
      <vt:variant>
        <vt:lpwstr>_Toc90019574</vt:lpwstr>
      </vt:variant>
      <vt:variant>
        <vt:i4>1048631</vt:i4>
      </vt:variant>
      <vt:variant>
        <vt:i4>212</vt:i4>
      </vt:variant>
      <vt:variant>
        <vt:i4>0</vt:i4>
      </vt:variant>
      <vt:variant>
        <vt:i4>5</vt:i4>
      </vt:variant>
      <vt:variant>
        <vt:lpwstr/>
      </vt:variant>
      <vt:variant>
        <vt:lpwstr>_Toc90019573</vt:lpwstr>
      </vt:variant>
      <vt:variant>
        <vt:i4>1114167</vt:i4>
      </vt:variant>
      <vt:variant>
        <vt:i4>206</vt:i4>
      </vt:variant>
      <vt:variant>
        <vt:i4>0</vt:i4>
      </vt:variant>
      <vt:variant>
        <vt:i4>5</vt:i4>
      </vt:variant>
      <vt:variant>
        <vt:lpwstr/>
      </vt:variant>
      <vt:variant>
        <vt:lpwstr>_Toc90019572</vt:lpwstr>
      </vt:variant>
      <vt:variant>
        <vt:i4>1179703</vt:i4>
      </vt:variant>
      <vt:variant>
        <vt:i4>200</vt:i4>
      </vt:variant>
      <vt:variant>
        <vt:i4>0</vt:i4>
      </vt:variant>
      <vt:variant>
        <vt:i4>5</vt:i4>
      </vt:variant>
      <vt:variant>
        <vt:lpwstr/>
      </vt:variant>
      <vt:variant>
        <vt:lpwstr>_Toc90019571</vt:lpwstr>
      </vt:variant>
      <vt:variant>
        <vt:i4>1245239</vt:i4>
      </vt:variant>
      <vt:variant>
        <vt:i4>194</vt:i4>
      </vt:variant>
      <vt:variant>
        <vt:i4>0</vt:i4>
      </vt:variant>
      <vt:variant>
        <vt:i4>5</vt:i4>
      </vt:variant>
      <vt:variant>
        <vt:lpwstr/>
      </vt:variant>
      <vt:variant>
        <vt:lpwstr>_Toc90019570</vt:lpwstr>
      </vt:variant>
      <vt:variant>
        <vt:i4>1703990</vt:i4>
      </vt:variant>
      <vt:variant>
        <vt:i4>188</vt:i4>
      </vt:variant>
      <vt:variant>
        <vt:i4>0</vt:i4>
      </vt:variant>
      <vt:variant>
        <vt:i4>5</vt:i4>
      </vt:variant>
      <vt:variant>
        <vt:lpwstr/>
      </vt:variant>
      <vt:variant>
        <vt:lpwstr>_Toc90019569</vt:lpwstr>
      </vt:variant>
      <vt:variant>
        <vt:i4>1769526</vt:i4>
      </vt:variant>
      <vt:variant>
        <vt:i4>182</vt:i4>
      </vt:variant>
      <vt:variant>
        <vt:i4>0</vt:i4>
      </vt:variant>
      <vt:variant>
        <vt:i4>5</vt:i4>
      </vt:variant>
      <vt:variant>
        <vt:lpwstr/>
      </vt:variant>
      <vt:variant>
        <vt:lpwstr>_Toc90019568</vt:lpwstr>
      </vt:variant>
      <vt:variant>
        <vt:i4>1310774</vt:i4>
      </vt:variant>
      <vt:variant>
        <vt:i4>176</vt:i4>
      </vt:variant>
      <vt:variant>
        <vt:i4>0</vt:i4>
      </vt:variant>
      <vt:variant>
        <vt:i4>5</vt:i4>
      </vt:variant>
      <vt:variant>
        <vt:lpwstr/>
      </vt:variant>
      <vt:variant>
        <vt:lpwstr>_Toc90019567</vt:lpwstr>
      </vt:variant>
      <vt:variant>
        <vt:i4>1376310</vt:i4>
      </vt:variant>
      <vt:variant>
        <vt:i4>170</vt:i4>
      </vt:variant>
      <vt:variant>
        <vt:i4>0</vt:i4>
      </vt:variant>
      <vt:variant>
        <vt:i4>5</vt:i4>
      </vt:variant>
      <vt:variant>
        <vt:lpwstr/>
      </vt:variant>
      <vt:variant>
        <vt:lpwstr>_Toc90019566</vt:lpwstr>
      </vt:variant>
      <vt:variant>
        <vt:i4>1441846</vt:i4>
      </vt:variant>
      <vt:variant>
        <vt:i4>164</vt:i4>
      </vt:variant>
      <vt:variant>
        <vt:i4>0</vt:i4>
      </vt:variant>
      <vt:variant>
        <vt:i4>5</vt:i4>
      </vt:variant>
      <vt:variant>
        <vt:lpwstr/>
      </vt:variant>
      <vt:variant>
        <vt:lpwstr>_Toc90019565</vt:lpwstr>
      </vt:variant>
      <vt:variant>
        <vt:i4>1507382</vt:i4>
      </vt:variant>
      <vt:variant>
        <vt:i4>158</vt:i4>
      </vt:variant>
      <vt:variant>
        <vt:i4>0</vt:i4>
      </vt:variant>
      <vt:variant>
        <vt:i4>5</vt:i4>
      </vt:variant>
      <vt:variant>
        <vt:lpwstr/>
      </vt:variant>
      <vt:variant>
        <vt:lpwstr>_Toc90019564</vt:lpwstr>
      </vt:variant>
      <vt:variant>
        <vt:i4>1048630</vt:i4>
      </vt:variant>
      <vt:variant>
        <vt:i4>152</vt:i4>
      </vt:variant>
      <vt:variant>
        <vt:i4>0</vt:i4>
      </vt:variant>
      <vt:variant>
        <vt:i4>5</vt:i4>
      </vt:variant>
      <vt:variant>
        <vt:lpwstr/>
      </vt:variant>
      <vt:variant>
        <vt:lpwstr>_Toc90019563</vt:lpwstr>
      </vt:variant>
      <vt:variant>
        <vt:i4>1114166</vt:i4>
      </vt:variant>
      <vt:variant>
        <vt:i4>146</vt:i4>
      </vt:variant>
      <vt:variant>
        <vt:i4>0</vt:i4>
      </vt:variant>
      <vt:variant>
        <vt:i4>5</vt:i4>
      </vt:variant>
      <vt:variant>
        <vt:lpwstr/>
      </vt:variant>
      <vt:variant>
        <vt:lpwstr>_Toc90019562</vt:lpwstr>
      </vt:variant>
      <vt:variant>
        <vt:i4>1179702</vt:i4>
      </vt:variant>
      <vt:variant>
        <vt:i4>140</vt:i4>
      </vt:variant>
      <vt:variant>
        <vt:i4>0</vt:i4>
      </vt:variant>
      <vt:variant>
        <vt:i4>5</vt:i4>
      </vt:variant>
      <vt:variant>
        <vt:lpwstr/>
      </vt:variant>
      <vt:variant>
        <vt:lpwstr>_Toc90019561</vt:lpwstr>
      </vt:variant>
      <vt:variant>
        <vt:i4>1245238</vt:i4>
      </vt:variant>
      <vt:variant>
        <vt:i4>134</vt:i4>
      </vt:variant>
      <vt:variant>
        <vt:i4>0</vt:i4>
      </vt:variant>
      <vt:variant>
        <vt:i4>5</vt:i4>
      </vt:variant>
      <vt:variant>
        <vt:lpwstr/>
      </vt:variant>
      <vt:variant>
        <vt:lpwstr>_Toc90019560</vt:lpwstr>
      </vt:variant>
      <vt:variant>
        <vt:i4>1703989</vt:i4>
      </vt:variant>
      <vt:variant>
        <vt:i4>128</vt:i4>
      </vt:variant>
      <vt:variant>
        <vt:i4>0</vt:i4>
      </vt:variant>
      <vt:variant>
        <vt:i4>5</vt:i4>
      </vt:variant>
      <vt:variant>
        <vt:lpwstr/>
      </vt:variant>
      <vt:variant>
        <vt:lpwstr>_Toc90019559</vt:lpwstr>
      </vt:variant>
      <vt:variant>
        <vt:i4>1769525</vt:i4>
      </vt:variant>
      <vt:variant>
        <vt:i4>122</vt:i4>
      </vt:variant>
      <vt:variant>
        <vt:i4>0</vt:i4>
      </vt:variant>
      <vt:variant>
        <vt:i4>5</vt:i4>
      </vt:variant>
      <vt:variant>
        <vt:lpwstr/>
      </vt:variant>
      <vt:variant>
        <vt:lpwstr>_Toc90019558</vt:lpwstr>
      </vt:variant>
      <vt:variant>
        <vt:i4>1310773</vt:i4>
      </vt:variant>
      <vt:variant>
        <vt:i4>116</vt:i4>
      </vt:variant>
      <vt:variant>
        <vt:i4>0</vt:i4>
      </vt:variant>
      <vt:variant>
        <vt:i4>5</vt:i4>
      </vt:variant>
      <vt:variant>
        <vt:lpwstr/>
      </vt:variant>
      <vt:variant>
        <vt:lpwstr>_Toc90019557</vt:lpwstr>
      </vt:variant>
      <vt:variant>
        <vt:i4>1376309</vt:i4>
      </vt:variant>
      <vt:variant>
        <vt:i4>110</vt:i4>
      </vt:variant>
      <vt:variant>
        <vt:i4>0</vt:i4>
      </vt:variant>
      <vt:variant>
        <vt:i4>5</vt:i4>
      </vt:variant>
      <vt:variant>
        <vt:lpwstr/>
      </vt:variant>
      <vt:variant>
        <vt:lpwstr>_Toc90019556</vt:lpwstr>
      </vt:variant>
      <vt:variant>
        <vt:i4>1441845</vt:i4>
      </vt:variant>
      <vt:variant>
        <vt:i4>104</vt:i4>
      </vt:variant>
      <vt:variant>
        <vt:i4>0</vt:i4>
      </vt:variant>
      <vt:variant>
        <vt:i4>5</vt:i4>
      </vt:variant>
      <vt:variant>
        <vt:lpwstr/>
      </vt:variant>
      <vt:variant>
        <vt:lpwstr>_Toc90019555</vt:lpwstr>
      </vt:variant>
      <vt:variant>
        <vt:i4>1507381</vt:i4>
      </vt:variant>
      <vt:variant>
        <vt:i4>98</vt:i4>
      </vt:variant>
      <vt:variant>
        <vt:i4>0</vt:i4>
      </vt:variant>
      <vt:variant>
        <vt:i4>5</vt:i4>
      </vt:variant>
      <vt:variant>
        <vt:lpwstr/>
      </vt:variant>
      <vt:variant>
        <vt:lpwstr>_Toc90019554</vt:lpwstr>
      </vt:variant>
      <vt:variant>
        <vt:i4>1048629</vt:i4>
      </vt:variant>
      <vt:variant>
        <vt:i4>92</vt:i4>
      </vt:variant>
      <vt:variant>
        <vt:i4>0</vt:i4>
      </vt:variant>
      <vt:variant>
        <vt:i4>5</vt:i4>
      </vt:variant>
      <vt:variant>
        <vt:lpwstr/>
      </vt:variant>
      <vt:variant>
        <vt:lpwstr>_Toc90019553</vt:lpwstr>
      </vt:variant>
      <vt:variant>
        <vt:i4>1114165</vt:i4>
      </vt:variant>
      <vt:variant>
        <vt:i4>86</vt:i4>
      </vt:variant>
      <vt:variant>
        <vt:i4>0</vt:i4>
      </vt:variant>
      <vt:variant>
        <vt:i4>5</vt:i4>
      </vt:variant>
      <vt:variant>
        <vt:lpwstr/>
      </vt:variant>
      <vt:variant>
        <vt:lpwstr>_Toc90019552</vt:lpwstr>
      </vt:variant>
      <vt:variant>
        <vt:i4>1179701</vt:i4>
      </vt:variant>
      <vt:variant>
        <vt:i4>80</vt:i4>
      </vt:variant>
      <vt:variant>
        <vt:i4>0</vt:i4>
      </vt:variant>
      <vt:variant>
        <vt:i4>5</vt:i4>
      </vt:variant>
      <vt:variant>
        <vt:lpwstr/>
      </vt:variant>
      <vt:variant>
        <vt:lpwstr>_Toc90019551</vt:lpwstr>
      </vt:variant>
      <vt:variant>
        <vt:i4>1245237</vt:i4>
      </vt:variant>
      <vt:variant>
        <vt:i4>74</vt:i4>
      </vt:variant>
      <vt:variant>
        <vt:i4>0</vt:i4>
      </vt:variant>
      <vt:variant>
        <vt:i4>5</vt:i4>
      </vt:variant>
      <vt:variant>
        <vt:lpwstr/>
      </vt:variant>
      <vt:variant>
        <vt:lpwstr>_Toc90019550</vt:lpwstr>
      </vt:variant>
      <vt:variant>
        <vt:i4>1703988</vt:i4>
      </vt:variant>
      <vt:variant>
        <vt:i4>68</vt:i4>
      </vt:variant>
      <vt:variant>
        <vt:i4>0</vt:i4>
      </vt:variant>
      <vt:variant>
        <vt:i4>5</vt:i4>
      </vt:variant>
      <vt:variant>
        <vt:lpwstr/>
      </vt:variant>
      <vt:variant>
        <vt:lpwstr>_Toc90019549</vt:lpwstr>
      </vt:variant>
      <vt:variant>
        <vt:i4>1769524</vt:i4>
      </vt:variant>
      <vt:variant>
        <vt:i4>62</vt:i4>
      </vt:variant>
      <vt:variant>
        <vt:i4>0</vt:i4>
      </vt:variant>
      <vt:variant>
        <vt:i4>5</vt:i4>
      </vt:variant>
      <vt:variant>
        <vt:lpwstr/>
      </vt:variant>
      <vt:variant>
        <vt:lpwstr>_Toc90019548</vt:lpwstr>
      </vt:variant>
      <vt:variant>
        <vt:i4>1310772</vt:i4>
      </vt:variant>
      <vt:variant>
        <vt:i4>56</vt:i4>
      </vt:variant>
      <vt:variant>
        <vt:i4>0</vt:i4>
      </vt:variant>
      <vt:variant>
        <vt:i4>5</vt:i4>
      </vt:variant>
      <vt:variant>
        <vt:lpwstr/>
      </vt:variant>
      <vt:variant>
        <vt:lpwstr>_Toc90019547</vt:lpwstr>
      </vt:variant>
      <vt:variant>
        <vt:i4>1376308</vt:i4>
      </vt:variant>
      <vt:variant>
        <vt:i4>50</vt:i4>
      </vt:variant>
      <vt:variant>
        <vt:i4>0</vt:i4>
      </vt:variant>
      <vt:variant>
        <vt:i4>5</vt:i4>
      </vt:variant>
      <vt:variant>
        <vt:lpwstr/>
      </vt:variant>
      <vt:variant>
        <vt:lpwstr>_Toc90019546</vt:lpwstr>
      </vt:variant>
      <vt:variant>
        <vt:i4>1441844</vt:i4>
      </vt:variant>
      <vt:variant>
        <vt:i4>44</vt:i4>
      </vt:variant>
      <vt:variant>
        <vt:i4>0</vt:i4>
      </vt:variant>
      <vt:variant>
        <vt:i4>5</vt:i4>
      </vt:variant>
      <vt:variant>
        <vt:lpwstr/>
      </vt:variant>
      <vt:variant>
        <vt:lpwstr>_Toc90019545</vt:lpwstr>
      </vt:variant>
      <vt:variant>
        <vt:i4>1507380</vt:i4>
      </vt:variant>
      <vt:variant>
        <vt:i4>38</vt:i4>
      </vt:variant>
      <vt:variant>
        <vt:i4>0</vt:i4>
      </vt:variant>
      <vt:variant>
        <vt:i4>5</vt:i4>
      </vt:variant>
      <vt:variant>
        <vt:lpwstr/>
      </vt:variant>
      <vt:variant>
        <vt:lpwstr>_Toc90019544</vt:lpwstr>
      </vt:variant>
      <vt:variant>
        <vt:i4>1048628</vt:i4>
      </vt:variant>
      <vt:variant>
        <vt:i4>32</vt:i4>
      </vt:variant>
      <vt:variant>
        <vt:i4>0</vt:i4>
      </vt:variant>
      <vt:variant>
        <vt:i4>5</vt:i4>
      </vt:variant>
      <vt:variant>
        <vt:lpwstr/>
      </vt:variant>
      <vt:variant>
        <vt:lpwstr>_Toc90019543</vt:lpwstr>
      </vt:variant>
      <vt:variant>
        <vt:i4>1114164</vt:i4>
      </vt:variant>
      <vt:variant>
        <vt:i4>26</vt:i4>
      </vt:variant>
      <vt:variant>
        <vt:i4>0</vt:i4>
      </vt:variant>
      <vt:variant>
        <vt:i4>5</vt:i4>
      </vt:variant>
      <vt:variant>
        <vt:lpwstr/>
      </vt:variant>
      <vt:variant>
        <vt:lpwstr>_Toc90019542</vt:lpwstr>
      </vt:variant>
      <vt:variant>
        <vt:i4>1179700</vt:i4>
      </vt:variant>
      <vt:variant>
        <vt:i4>20</vt:i4>
      </vt:variant>
      <vt:variant>
        <vt:i4>0</vt:i4>
      </vt:variant>
      <vt:variant>
        <vt:i4>5</vt:i4>
      </vt:variant>
      <vt:variant>
        <vt:lpwstr/>
      </vt:variant>
      <vt:variant>
        <vt:lpwstr>_Toc90019541</vt:lpwstr>
      </vt:variant>
      <vt:variant>
        <vt:i4>1245236</vt:i4>
      </vt:variant>
      <vt:variant>
        <vt:i4>14</vt:i4>
      </vt:variant>
      <vt:variant>
        <vt:i4>0</vt:i4>
      </vt:variant>
      <vt:variant>
        <vt:i4>5</vt:i4>
      </vt:variant>
      <vt:variant>
        <vt:lpwstr/>
      </vt:variant>
      <vt:variant>
        <vt:lpwstr>_Toc90019540</vt:lpwstr>
      </vt:variant>
      <vt:variant>
        <vt:i4>1703987</vt:i4>
      </vt:variant>
      <vt:variant>
        <vt:i4>8</vt:i4>
      </vt:variant>
      <vt:variant>
        <vt:i4>0</vt:i4>
      </vt:variant>
      <vt:variant>
        <vt:i4>5</vt:i4>
      </vt:variant>
      <vt:variant>
        <vt:lpwstr/>
      </vt:variant>
      <vt:variant>
        <vt:lpwstr>_Toc90019539</vt:lpwstr>
      </vt:variant>
      <vt:variant>
        <vt:i4>6225996</vt:i4>
      </vt:variant>
      <vt:variant>
        <vt:i4>3</vt:i4>
      </vt:variant>
      <vt:variant>
        <vt:i4>0</vt:i4>
      </vt:variant>
      <vt:variant>
        <vt:i4>5</vt:i4>
      </vt:variant>
      <vt:variant>
        <vt:lpwstr>https://www.arts.unsw.edu.au/sprc</vt:lpwstr>
      </vt:variant>
      <vt:variant>
        <vt:lpwstr/>
      </vt:variant>
      <vt:variant>
        <vt:i4>4915259</vt:i4>
      </vt:variant>
      <vt:variant>
        <vt:i4>0</vt:i4>
      </vt:variant>
      <vt:variant>
        <vt:i4>0</vt:i4>
      </vt:variant>
      <vt:variant>
        <vt:i4>5</vt:i4>
      </vt:variant>
      <vt:variant>
        <vt:lpwstr>mailto:sprc@unsw.edu.au</vt:lpwstr>
      </vt:variant>
      <vt:variant>
        <vt:lpwstr/>
      </vt:variant>
      <vt:variant>
        <vt:i4>6946868</vt:i4>
      </vt:variant>
      <vt:variant>
        <vt:i4>150</vt:i4>
      </vt:variant>
      <vt:variant>
        <vt:i4>0</vt:i4>
      </vt:variant>
      <vt:variant>
        <vt:i4>5</vt:i4>
      </vt:variant>
      <vt:variant>
        <vt:lpwstr>https://www.abs.gov.au/websitedbs/D3310114.nsf/home/Inflation+and+Price+Indexes+-+Use+of+Price+Indexes+in+Contracts</vt:lpwstr>
      </vt:variant>
      <vt:variant>
        <vt:lpwstr/>
      </vt:variant>
      <vt:variant>
        <vt:i4>3670080</vt:i4>
      </vt:variant>
      <vt:variant>
        <vt:i4>144</vt:i4>
      </vt:variant>
      <vt:variant>
        <vt:i4>0</vt:i4>
      </vt:variant>
      <vt:variant>
        <vt:i4>5</vt:i4>
      </vt:variant>
      <vt:variant>
        <vt:lpwstr>https://www.treasury.act.gov.au/__data/assets/pdf_file/0008/1870136/2021-22-ACT-Budget-Outlook.pdf</vt:lpwstr>
      </vt:variant>
      <vt:variant>
        <vt:lpwstr/>
      </vt:variant>
      <vt:variant>
        <vt:i4>3604601</vt:i4>
      </vt:variant>
      <vt:variant>
        <vt:i4>138</vt:i4>
      </vt:variant>
      <vt:variant>
        <vt:i4>0</vt:i4>
      </vt:variant>
      <vt:variant>
        <vt:i4>5</vt:i4>
      </vt:variant>
      <vt:variant>
        <vt:lpwstr>https://www.acoss.org.au/wp-content/uploads/2021/02/ACOSS-BPS-FINAL.pdf</vt:lpwstr>
      </vt:variant>
      <vt:variant>
        <vt:lpwstr/>
      </vt:variant>
      <vt:variant>
        <vt:i4>3211266</vt:i4>
      </vt:variant>
      <vt:variant>
        <vt:i4>135</vt:i4>
      </vt:variant>
      <vt:variant>
        <vt:i4>0</vt:i4>
      </vt:variant>
      <vt:variant>
        <vt:i4>5</vt:i4>
      </vt:variant>
      <vt:variant>
        <vt:lpwstr>https://www.aph.gov.au/Parliamentary_Business/Committees/Senate/Community_Affairs/Grants/Final_Report</vt:lpwstr>
      </vt:variant>
      <vt:variant>
        <vt:lpwstr/>
      </vt:variant>
      <vt:variant>
        <vt:i4>5963837</vt:i4>
      </vt:variant>
      <vt:variant>
        <vt:i4>132</vt:i4>
      </vt:variant>
      <vt:variant>
        <vt:i4>0</vt:i4>
      </vt:variant>
      <vt:variant>
        <vt:i4>5</vt:i4>
      </vt:variant>
      <vt:variant>
        <vt:lpwstr>https://www.acoss.org.au/wp-content/uploads/2021/04/meeting-community-needs-in-difficut-times_experiences-of-Australias-community-sector_WEB_v2.pdf</vt:lpwstr>
      </vt:variant>
      <vt:variant>
        <vt:lpwstr/>
      </vt:variant>
      <vt:variant>
        <vt:i4>2818086</vt:i4>
      </vt:variant>
      <vt:variant>
        <vt:i4>129</vt:i4>
      </vt:variant>
      <vt:variant>
        <vt:i4>0</vt:i4>
      </vt:variant>
      <vt:variant>
        <vt:i4>5</vt:i4>
      </vt:variant>
      <vt:variant>
        <vt:lpwstr>https://www.cmtedd.act.gov.au/open_government/inform/act_government_media_releases/davidson/2021/technology-upgrade-fund-to-build-digital-capacity-for-community-organisations</vt:lpwstr>
      </vt:variant>
      <vt:variant>
        <vt:lpwstr/>
      </vt:variant>
      <vt:variant>
        <vt:i4>3145765</vt:i4>
      </vt:variant>
      <vt:variant>
        <vt:i4>126</vt:i4>
      </vt:variant>
      <vt:variant>
        <vt:i4>0</vt:i4>
      </vt:variant>
      <vt:variant>
        <vt:i4>5</vt:i4>
      </vt:variant>
      <vt:variant>
        <vt:lpwstr>https://mccrindle.com.au/wp-content/uploads/reports/Australian-Communities-Report-2019.pdf</vt:lpwstr>
      </vt:variant>
      <vt:variant>
        <vt:lpwstr/>
      </vt:variant>
      <vt:variant>
        <vt:i4>3145765</vt:i4>
      </vt:variant>
      <vt:variant>
        <vt:i4>123</vt:i4>
      </vt:variant>
      <vt:variant>
        <vt:i4>0</vt:i4>
      </vt:variant>
      <vt:variant>
        <vt:i4>5</vt:i4>
      </vt:variant>
      <vt:variant>
        <vt:lpwstr>https://mccrindle.com.au/wp-content/uploads/reports/Australian-Communities-Report-2019.pdf</vt:lpwstr>
      </vt:variant>
      <vt:variant>
        <vt:lpwstr/>
      </vt:variant>
      <vt:variant>
        <vt:i4>5046299</vt:i4>
      </vt:variant>
      <vt:variant>
        <vt:i4>120</vt:i4>
      </vt:variant>
      <vt:variant>
        <vt:i4>0</vt:i4>
      </vt:variant>
      <vt:variant>
        <vt:i4>5</vt:i4>
      </vt:variant>
      <vt:variant>
        <vt:lpwstr>https://www.ndis.gov.au/providers/pricing-arrangements/making-pricing-decisions/financial-benchmarking</vt:lpwstr>
      </vt:variant>
      <vt:variant>
        <vt:lpwstr>benchmarking-survey-results-2020-21</vt:lpwstr>
      </vt:variant>
      <vt:variant>
        <vt:i4>1245196</vt:i4>
      </vt:variant>
      <vt:variant>
        <vt:i4>117</vt:i4>
      </vt:variant>
      <vt:variant>
        <vt:i4>0</vt:i4>
      </vt:variant>
      <vt:variant>
        <vt:i4>5</vt:i4>
      </vt:variant>
      <vt:variant>
        <vt:lpwstr>https://www.acnc.gov.au/for-public/understanding-charities/charities-and-administration-costs</vt:lpwstr>
      </vt:variant>
      <vt:variant>
        <vt:lpwstr/>
      </vt:variant>
      <vt:variant>
        <vt:i4>1769498</vt:i4>
      </vt:variant>
      <vt:variant>
        <vt:i4>114</vt:i4>
      </vt:variant>
      <vt:variant>
        <vt:i4>0</vt:i4>
      </vt:variant>
      <vt:variant>
        <vt:i4>5</vt:i4>
      </vt:variant>
      <vt:variant>
        <vt:lpwstr>https://lmip.gov.au/default.aspx?LMIP/Downloads/ABSLabourForceRegion</vt:lpwstr>
      </vt:variant>
      <vt:variant>
        <vt:lpwstr/>
      </vt:variant>
      <vt:variant>
        <vt:i4>3735674</vt:i4>
      </vt:variant>
      <vt:variant>
        <vt:i4>111</vt:i4>
      </vt:variant>
      <vt:variant>
        <vt:i4>0</vt:i4>
      </vt:variant>
      <vt:variant>
        <vt:i4>5</vt:i4>
      </vt:variant>
      <vt:variant>
        <vt:lpwstr>https://www.fwc.gov.au/documents/awardsandorders/html/pr525485.htm</vt:lpwstr>
      </vt:variant>
      <vt:variant>
        <vt:lpwstr/>
      </vt:variant>
      <vt:variant>
        <vt:i4>7733297</vt:i4>
      </vt:variant>
      <vt:variant>
        <vt:i4>108</vt:i4>
      </vt:variant>
      <vt:variant>
        <vt:i4>0</vt:i4>
      </vt:variant>
      <vt:variant>
        <vt:i4>5</vt:i4>
      </vt:variant>
      <vt:variant>
        <vt:lpwstr>https://www.abs.gov.au/statistics/labour/earnings-and-work-hours/weekly-payroll-jobs-and-wages-australia/week-ending-22-may-2021</vt:lpwstr>
      </vt:variant>
      <vt:variant>
        <vt:lpwstr>state-and-territory</vt:lpwstr>
      </vt:variant>
      <vt:variant>
        <vt:i4>65624</vt:i4>
      </vt:variant>
      <vt:variant>
        <vt:i4>105</vt:i4>
      </vt:variant>
      <vt:variant>
        <vt:i4>0</vt:i4>
      </vt:variant>
      <vt:variant>
        <vt:i4>5</vt:i4>
      </vt:variant>
      <vt:variant>
        <vt:lpwstr>https://www.aihw.gov.au/reports/child-protection/child-protection-australia-2019-20/data</vt:lpwstr>
      </vt:variant>
      <vt:variant>
        <vt:lpwstr/>
      </vt:variant>
      <vt:variant>
        <vt:i4>5832731</vt:i4>
      </vt:variant>
      <vt:variant>
        <vt:i4>102</vt:i4>
      </vt:variant>
      <vt:variant>
        <vt:i4>0</vt:i4>
      </vt:variant>
      <vt:variant>
        <vt:i4>5</vt:i4>
      </vt:variant>
      <vt:variant>
        <vt:lpwstr>https://csrm.cass.anu.edu.au/sites/default/files/docs/2021/9/Child_wellbeing_-_August_2021.pdf</vt:lpwstr>
      </vt:variant>
      <vt:variant>
        <vt:lpwstr/>
      </vt:variant>
      <vt:variant>
        <vt:i4>6357054</vt:i4>
      </vt:variant>
      <vt:variant>
        <vt:i4>99</vt:i4>
      </vt:variant>
      <vt:variant>
        <vt:i4>0</vt:i4>
      </vt:variant>
      <vt:variant>
        <vt:i4>5</vt:i4>
      </vt:variant>
      <vt:variant>
        <vt:lpwstr>https://doi.org/10.1007/s00787-021-01861-z</vt:lpwstr>
      </vt:variant>
      <vt:variant>
        <vt:lpwstr/>
      </vt:variant>
      <vt:variant>
        <vt:i4>4915269</vt:i4>
      </vt:variant>
      <vt:variant>
        <vt:i4>96</vt:i4>
      </vt:variant>
      <vt:variant>
        <vt:i4>0</vt:i4>
      </vt:variant>
      <vt:variant>
        <vt:i4>5</vt:i4>
      </vt:variant>
      <vt:variant>
        <vt:lpwstr>https://doi.org/10.1016/j.jadohealth.2021.03.015</vt:lpwstr>
      </vt:variant>
      <vt:variant>
        <vt:lpwstr/>
      </vt:variant>
      <vt:variant>
        <vt:i4>5898316</vt:i4>
      </vt:variant>
      <vt:variant>
        <vt:i4>90</vt:i4>
      </vt:variant>
      <vt:variant>
        <vt:i4>0</vt:i4>
      </vt:variant>
      <vt:variant>
        <vt:i4>5</vt:i4>
      </vt:variant>
      <vt:variant>
        <vt:lpwstr>https://www.aihw.gov.au/reports/mental-health-services/mental-health-services-in-australia/report-contents/community-mental-health-care-services</vt:lpwstr>
      </vt:variant>
      <vt:variant>
        <vt:lpwstr/>
      </vt:variant>
      <vt:variant>
        <vt:i4>5505041</vt:i4>
      </vt:variant>
      <vt:variant>
        <vt:i4>87</vt:i4>
      </vt:variant>
      <vt:variant>
        <vt:i4>0</vt:i4>
      </vt:variant>
      <vt:variant>
        <vt:i4>5</vt:i4>
      </vt:variant>
      <vt:variant>
        <vt:lpwstr>https://www.cmtedd.act.gov.au/open_government/inform/act_government_media_releases/barr/2021/expanding-homelessness-and-housing-services</vt:lpwstr>
      </vt:variant>
      <vt:variant>
        <vt:lpwstr/>
      </vt:variant>
      <vt:variant>
        <vt:i4>327701</vt:i4>
      </vt:variant>
      <vt:variant>
        <vt:i4>84</vt:i4>
      </vt:variant>
      <vt:variant>
        <vt:i4>0</vt:i4>
      </vt:variant>
      <vt:variant>
        <vt:i4>5</vt:i4>
      </vt:variant>
      <vt:variant>
        <vt:lpwstr>https://www.pc.gov.au/research/ongoing/report-on-government-services/2021/housing-and-homelessness/homelessness-services</vt:lpwstr>
      </vt:variant>
      <vt:variant>
        <vt:lpwstr/>
      </vt:variant>
      <vt:variant>
        <vt:i4>327701</vt:i4>
      </vt:variant>
      <vt:variant>
        <vt:i4>81</vt:i4>
      </vt:variant>
      <vt:variant>
        <vt:i4>0</vt:i4>
      </vt:variant>
      <vt:variant>
        <vt:i4>5</vt:i4>
      </vt:variant>
      <vt:variant>
        <vt:lpwstr>https://www.pc.gov.au/research/ongoing/report-on-government-services/2021/housing-and-homelessness/homelessness-services</vt:lpwstr>
      </vt:variant>
      <vt:variant>
        <vt:lpwstr/>
      </vt:variant>
      <vt:variant>
        <vt:i4>327701</vt:i4>
      </vt:variant>
      <vt:variant>
        <vt:i4>78</vt:i4>
      </vt:variant>
      <vt:variant>
        <vt:i4>0</vt:i4>
      </vt:variant>
      <vt:variant>
        <vt:i4>5</vt:i4>
      </vt:variant>
      <vt:variant>
        <vt:lpwstr>https://www.pc.gov.au/research/ongoing/report-on-government-services/2021/housing-and-homelessness/homelessness-services</vt:lpwstr>
      </vt:variant>
      <vt:variant>
        <vt:lpwstr/>
      </vt:variant>
      <vt:variant>
        <vt:i4>5701724</vt:i4>
      </vt:variant>
      <vt:variant>
        <vt:i4>75</vt:i4>
      </vt:variant>
      <vt:variant>
        <vt:i4>0</vt:i4>
      </vt:variant>
      <vt:variant>
        <vt:i4>5</vt:i4>
      </vt:variant>
      <vt:variant>
        <vt:lpwstr>https://www.actcoss.org.au/sites/default/files/public/publications/2021-report-ACT-Cost-of-Living.pdf</vt:lpwstr>
      </vt:variant>
      <vt:variant>
        <vt:lpwstr/>
      </vt:variant>
      <vt:variant>
        <vt:i4>5570651</vt:i4>
      </vt:variant>
      <vt:variant>
        <vt:i4>72</vt:i4>
      </vt:variant>
      <vt:variant>
        <vt:i4>0</vt:i4>
      </vt:variant>
      <vt:variant>
        <vt:i4>5</vt:i4>
      </vt:variant>
      <vt:variant>
        <vt:lpwstr>https://www.anglicare.com.au/anglicare-research-rental-affordability-forcing-more-canberrans-into-financial-hardship/</vt:lpwstr>
      </vt:variant>
      <vt:variant>
        <vt:lpwstr/>
      </vt:variant>
      <vt:variant>
        <vt:i4>3539047</vt:i4>
      </vt:variant>
      <vt:variant>
        <vt:i4>69</vt:i4>
      </vt:variant>
      <vt:variant>
        <vt:i4>0</vt:i4>
      </vt:variant>
      <vt:variant>
        <vt:i4>5</vt:i4>
      </vt:variant>
      <vt:variant>
        <vt:lpwstr>https://www.communityservices.act.gov.au/hcs/services/social_housing/waiting_lists</vt:lpwstr>
      </vt:variant>
      <vt:variant>
        <vt:lpwstr/>
      </vt:variant>
      <vt:variant>
        <vt:i4>5701724</vt:i4>
      </vt:variant>
      <vt:variant>
        <vt:i4>66</vt:i4>
      </vt:variant>
      <vt:variant>
        <vt:i4>0</vt:i4>
      </vt:variant>
      <vt:variant>
        <vt:i4>5</vt:i4>
      </vt:variant>
      <vt:variant>
        <vt:lpwstr>https://www.actcoss.org.au/sites/default/files/public/publications/2021-report-ACT-Cost-of-Living.pdf</vt:lpwstr>
      </vt:variant>
      <vt:variant>
        <vt:lpwstr/>
      </vt:variant>
      <vt:variant>
        <vt:i4>4587578</vt:i4>
      </vt:variant>
      <vt:variant>
        <vt:i4>63</vt:i4>
      </vt:variant>
      <vt:variant>
        <vt:i4>0</vt:i4>
      </vt:variant>
      <vt:variant>
        <vt:i4>5</vt:i4>
      </vt:variant>
      <vt:variant>
        <vt:lpwstr>https://povertyandinequality.acoss.org.au/covid_maps-2/</vt:lpwstr>
      </vt:variant>
      <vt:variant>
        <vt:lpwstr/>
      </vt:variant>
      <vt:variant>
        <vt:i4>4259857</vt:i4>
      </vt:variant>
      <vt:variant>
        <vt:i4>60</vt:i4>
      </vt:variant>
      <vt:variant>
        <vt:i4>0</vt:i4>
      </vt:variant>
      <vt:variant>
        <vt:i4>5</vt:i4>
      </vt:variant>
      <vt:variant>
        <vt:lpwstr>https://www.health.gov.au/sites/default/files/documents/2021/09/covid-19-vaccine-rollout-update-20-september-2021.pdf</vt:lpwstr>
      </vt:variant>
      <vt:variant>
        <vt:lpwstr/>
      </vt:variant>
      <vt:variant>
        <vt:i4>6946845</vt:i4>
      </vt:variant>
      <vt:variant>
        <vt:i4>57</vt:i4>
      </vt:variant>
      <vt:variant>
        <vt:i4>0</vt:i4>
      </vt:variant>
      <vt:variant>
        <vt:i4>5</vt:i4>
      </vt:variant>
      <vt:variant>
        <vt:lpwstr>https://www.communityservices.act.gov.au/__data/assets/pdf_file/0004/1282810/ACT-Multicultural-Community-Profile-2016.pdf</vt:lpwstr>
      </vt:variant>
      <vt:variant>
        <vt:lpwstr/>
      </vt:variant>
      <vt:variant>
        <vt:i4>6225929</vt:i4>
      </vt:variant>
      <vt:variant>
        <vt:i4>54</vt:i4>
      </vt:variant>
      <vt:variant>
        <vt:i4>0</vt:i4>
      </vt:variant>
      <vt:variant>
        <vt:i4>5</vt:i4>
      </vt:variant>
      <vt:variant>
        <vt:lpwstr>https://www.abs.gov.au/statistics/people/aboriginal-and-torres-strait-islander-peoples/estimates-and-projections-aboriginal-and-torres-strait-islander-australians/2006-2031</vt:lpwstr>
      </vt:variant>
      <vt:variant>
        <vt:lpwstr/>
      </vt:variant>
      <vt:variant>
        <vt:i4>262155</vt:i4>
      </vt:variant>
      <vt:variant>
        <vt:i4>51</vt:i4>
      </vt:variant>
      <vt:variant>
        <vt:i4>0</vt:i4>
      </vt:variant>
      <vt:variant>
        <vt:i4>5</vt:i4>
      </vt:variant>
      <vt:variant>
        <vt:lpwstr>https://www.abs.gov.au/statistics/people/population/national-state-and-territory-population/latest-release</vt:lpwstr>
      </vt:variant>
      <vt:variant>
        <vt:lpwstr>states-and-territories</vt:lpwstr>
      </vt:variant>
      <vt:variant>
        <vt:i4>1441907</vt:i4>
      </vt:variant>
      <vt:variant>
        <vt:i4>48</vt:i4>
      </vt:variant>
      <vt:variant>
        <vt:i4>0</vt:i4>
      </vt:variant>
      <vt:variant>
        <vt:i4>5</vt:i4>
      </vt:variant>
      <vt:variant>
        <vt:lpwstr>https://apps.treasury.act.gov.au/__data/assets/pdf_file/0005/1305581/ACT-Population-Projections-Paper-FINAL.pdf</vt:lpwstr>
      </vt:variant>
      <vt:variant>
        <vt:lpwstr/>
      </vt:variant>
      <vt:variant>
        <vt:i4>6029340</vt:i4>
      </vt:variant>
      <vt:variant>
        <vt:i4>42</vt:i4>
      </vt:variant>
      <vt:variant>
        <vt:i4>0</vt:i4>
      </vt:variant>
      <vt:variant>
        <vt:i4>5</vt:i4>
      </vt:variant>
      <vt:variant>
        <vt:lpwstr>https://www.actcoss.org.au/sites/default/files/public/publications/2016-report-state-of-the-community-service-sector-act.pdf</vt:lpwstr>
      </vt:variant>
      <vt:variant>
        <vt:lpwstr/>
      </vt:variant>
      <vt:variant>
        <vt:i4>2359391</vt:i4>
      </vt:variant>
      <vt:variant>
        <vt:i4>39</vt:i4>
      </vt:variant>
      <vt:variant>
        <vt:i4>0</vt:i4>
      </vt:variant>
      <vt:variant>
        <vt:i4>5</vt:i4>
      </vt:variant>
      <vt:variant>
        <vt:lpwstr>https://www.communityservices.act.gov.au/__data/assets/pdf_file/0006/1815189/ACTHDCSD-Commissioning-Roadmap-2021-2023.pdf</vt:lpwstr>
      </vt:variant>
      <vt:variant>
        <vt:lpwstr/>
      </vt:variant>
      <vt:variant>
        <vt:i4>3014696</vt:i4>
      </vt:variant>
      <vt:variant>
        <vt:i4>36</vt:i4>
      </vt:variant>
      <vt:variant>
        <vt:i4>0</vt:i4>
      </vt:variant>
      <vt:variant>
        <vt:i4>5</vt:i4>
      </vt:variant>
      <vt:variant>
        <vt:lpwstr>https://www.pc.gov.au/inquiries/completed/ndis-costs/report/ndis-costs.pdf</vt:lpwstr>
      </vt:variant>
      <vt:variant>
        <vt:lpwstr/>
      </vt:variant>
      <vt:variant>
        <vt:i4>1900588</vt:i4>
      </vt:variant>
      <vt:variant>
        <vt:i4>33</vt:i4>
      </vt:variant>
      <vt:variant>
        <vt:i4>0</vt:i4>
      </vt:variant>
      <vt:variant>
        <vt:i4>5</vt:i4>
      </vt:variant>
      <vt:variant>
        <vt:lpwstr>https://parlinfo.aph.gov.au/parlInfo/download/committees/reportjnt/024501/toc_pdf/NDISWorkforceInterimReport.pdf;fileType=application%2Fpdf</vt:lpwstr>
      </vt:variant>
      <vt:variant>
        <vt:lpwstr/>
      </vt:variant>
      <vt:variant>
        <vt:i4>6488079</vt:i4>
      </vt:variant>
      <vt:variant>
        <vt:i4>30</vt:i4>
      </vt:variant>
      <vt:variant>
        <vt:i4>0</vt:i4>
      </vt:variant>
      <vt:variant>
        <vt:i4>5</vt:i4>
      </vt:variant>
      <vt:variant>
        <vt:lpwstr>https://www.aph.gov.au/Parliamentary_Business/Committees/Joint/National_Disability_Insurance_Scheme/workforce/Interim_Report/section?id=committees%2Freportjnt%2F024501%2F75157</vt:lpwstr>
      </vt:variant>
      <vt:variant>
        <vt:lpwstr>footnote18target</vt:lpwstr>
      </vt:variant>
      <vt:variant>
        <vt:i4>1376286</vt:i4>
      </vt:variant>
      <vt:variant>
        <vt:i4>27</vt:i4>
      </vt:variant>
      <vt:variant>
        <vt:i4>0</vt:i4>
      </vt:variant>
      <vt:variant>
        <vt:i4>5</vt:i4>
      </vt:variant>
      <vt:variant>
        <vt:lpwstr>https://www.unsworks.unsw.edu.au/permalink/f/5gm2j3/unsworks_modsunsworks_76724</vt:lpwstr>
      </vt:variant>
      <vt:variant>
        <vt:lpwstr/>
      </vt:variant>
      <vt:variant>
        <vt:i4>1114194</vt:i4>
      </vt:variant>
      <vt:variant>
        <vt:i4>24</vt:i4>
      </vt:variant>
      <vt:variant>
        <vt:i4>0</vt:i4>
      </vt:variant>
      <vt:variant>
        <vt:i4>5</vt:i4>
      </vt:variant>
      <vt:variant>
        <vt:lpwstr>https://doi.org/10.1177/0899764014527175</vt:lpwstr>
      </vt:variant>
      <vt:variant>
        <vt:lpwstr/>
      </vt:variant>
      <vt:variant>
        <vt:i4>1441885</vt:i4>
      </vt:variant>
      <vt:variant>
        <vt:i4>21</vt:i4>
      </vt:variant>
      <vt:variant>
        <vt:i4>0</vt:i4>
      </vt:variant>
      <vt:variant>
        <vt:i4>5</vt:i4>
      </vt:variant>
      <vt:variant>
        <vt:lpwstr>https://doi.org/10.1177/0899764018824669</vt:lpwstr>
      </vt:variant>
      <vt:variant>
        <vt:lpwstr/>
      </vt:variant>
      <vt:variant>
        <vt:i4>1114194</vt:i4>
      </vt:variant>
      <vt:variant>
        <vt:i4>18</vt:i4>
      </vt:variant>
      <vt:variant>
        <vt:i4>0</vt:i4>
      </vt:variant>
      <vt:variant>
        <vt:i4>5</vt:i4>
      </vt:variant>
      <vt:variant>
        <vt:lpwstr>https://doi.org/10.1177/0899764014527175</vt:lpwstr>
      </vt:variant>
      <vt:variant>
        <vt:lpwstr/>
      </vt:variant>
      <vt:variant>
        <vt:i4>3932199</vt:i4>
      </vt:variant>
      <vt:variant>
        <vt:i4>15</vt:i4>
      </vt:variant>
      <vt:variant>
        <vt:i4>0</vt:i4>
      </vt:variant>
      <vt:variant>
        <vt:i4>5</vt:i4>
      </vt:variant>
      <vt:variant>
        <vt:lpwstr>https://www.researchgate.net/publication/299451983_The_Social_and_Community_Services_Sector_in_NSW_Structure_Workforce_and_Pay_Equity_Issues</vt:lpwstr>
      </vt:variant>
      <vt:variant>
        <vt:lpwstr/>
      </vt:variant>
      <vt:variant>
        <vt:i4>6029340</vt:i4>
      </vt:variant>
      <vt:variant>
        <vt:i4>12</vt:i4>
      </vt:variant>
      <vt:variant>
        <vt:i4>0</vt:i4>
      </vt:variant>
      <vt:variant>
        <vt:i4>5</vt:i4>
      </vt:variant>
      <vt:variant>
        <vt:lpwstr>https://www.actcoss.org.au/sites/default/files/public/publications/2016-report-state-of-the-community-service-sector-act.pdf</vt:lpwstr>
      </vt:variant>
      <vt:variant>
        <vt:lpwstr/>
      </vt:variant>
      <vt:variant>
        <vt:i4>3538970</vt:i4>
      </vt:variant>
      <vt:variant>
        <vt:i4>9</vt:i4>
      </vt:variant>
      <vt:variant>
        <vt:i4>0</vt:i4>
      </vt:variant>
      <vt:variant>
        <vt:i4>5</vt:i4>
      </vt:variant>
      <vt:variant>
        <vt:lpwstr>https://www.acoss.org.au/wp-content/uploads/2020/03/2020-ACSS_final-3.pdf</vt:lpwstr>
      </vt:variant>
      <vt:variant>
        <vt:lpwstr/>
      </vt:variant>
      <vt:variant>
        <vt:i4>1048623</vt:i4>
      </vt:variant>
      <vt:variant>
        <vt:i4>6</vt:i4>
      </vt:variant>
      <vt:variant>
        <vt:i4>0</vt:i4>
      </vt:variant>
      <vt:variant>
        <vt:i4>5</vt:i4>
      </vt:variant>
      <vt:variant>
        <vt:lpwstr>https://www.act.gov.au/__data/assets/pdf_file/0004/1498198/ACT-wellbeing-framework.pdf</vt:lpwstr>
      </vt:variant>
      <vt:variant>
        <vt:lpwstr/>
      </vt:variant>
      <vt:variant>
        <vt:i4>3670080</vt:i4>
      </vt:variant>
      <vt:variant>
        <vt:i4>3</vt:i4>
      </vt:variant>
      <vt:variant>
        <vt:i4>0</vt:i4>
      </vt:variant>
      <vt:variant>
        <vt:i4>5</vt:i4>
      </vt:variant>
      <vt:variant>
        <vt:lpwstr>https://www.treasury.act.gov.au/__data/assets/pdf_file/0008/1870136/2021-22-ACT-Budget-Outlook.pdf</vt:lpwstr>
      </vt:variant>
      <vt:variant>
        <vt:lpwstr/>
      </vt:variant>
      <vt:variant>
        <vt:i4>2359391</vt:i4>
      </vt:variant>
      <vt:variant>
        <vt:i4>0</vt:i4>
      </vt:variant>
      <vt:variant>
        <vt:i4>0</vt:i4>
      </vt:variant>
      <vt:variant>
        <vt:i4>5</vt:i4>
      </vt:variant>
      <vt:variant>
        <vt:lpwstr>https://www.communityservices.act.gov.au/__data/assets/pdf_file/0006/1815189/ACTHDCSD-Commissioning-Roadmap-2021-2023.pdf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Counting the Costs</dc:title>
  <dc:subject>Subtitle of paper</dc:subject>
  <dc:creator/>
  <cp:keywords/>
  <cp:lastModifiedBy>Suzanne Richardson</cp:lastModifiedBy>
  <cp:revision>6</cp:revision>
  <cp:lastPrinted>2022-02-09T22:39:00Z</cp:lastPrinted>
  <dcterms:created xsi:type="dcterms:W3CDTF">2022-02-10T01:04:00Z</dcterms:created>
  <dcterms:modified xsi:type="dcterms:W3CDTF">2022-02-11T03:40:00Z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