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FBA" w14:textId="77777777" w:rsidR="000A1CFC" w:rsidRDefault="00C36858">
      <w:pPr>
        <w:pStyle w:val="BodyText"/>
        <w:ind w:left="69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FF103D" wp14:editId="26FF103E">
            <wp:extent cx="1411853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53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F0FBB" w14:textId="77777777" w:rsidR="000A1CFC" w:rsidRDefault="000A1CFC">
      <w:pPr>
        <w:pStyle w:val="BodyText"/>
        <w:spacing w:before="9"/>
        <w:rPr>
          <w:rFonts w:ascii="Times New Roman"/>
          <w:sz w:val="29"/>
        </w:rPr>
      </w:pPr>
    </w:p>
    <w:p w14:paraId="26FF0FBC" w14:textId="77777777" w:rsidR="000A1CFC" w:rsidRDefault="00C36858">
      <w:pPr>
        <w:pStyle w:val="BodyText"/>
        <w:spacing w:before="92"/>
        <w:ind w:left="102"/>
      </w:pPr>
      <w:r>
        <w:t>Committee</w:t>
      </w:r>
      <w:r>
        <w:rPr>
          <w:spacing w:val="-1"/>
        </w:rPr>
        <w:t xml:space="preserve"> </w:t>
      </w:r>
      <w:r>
        <w:t>Secretary</w:t>
      </w:r>
    </w:p>
    <w:p w14:paraId="26FF0FBD" w14:textId="77777777" w:rsidR="000A1CFC" w:rsidRDefault="00C36858">
      <w:pPr>
        <w:pStyle w:val="BodyText"/>
        <w:ind w:left="102" w:right="1937"/>
      </w:pPr>
      <w:r>
        <w:t>Senate Standing Committees on Environment and Communications</w:t>
      </w:r>
      <w:r>
        <w:rPr>
          <w:spacing w:val="-65"/>
        </w:rPr>
        <w:t xml:space="preserve"> </w:t>
      </w:r>
      <w:r>
        <w:t>Parliament</w:t>
      </w:r>
      <w:r>
        <w:rPr>
          <w:spacing w:val="-1"/>
        </w:rPr>
        <w:t xml:space="preserve"> </w:t>
      </w:r>
      <w:r>
        <w:t>House</w:t>
      </w:r>
    </w:p>
    <w:p w14:paraId="26FF0FBE" w14:textId="77777777" w:rsidR="000A1CFC" w:rsidRDefault="00C36858">
      <w:pPr>
        <w:pStyle w:val="BodyText"/>
        <w:ind w:left="102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6100</w:t>
      </w:r>
    </w:p>
    <w:p w14:paraId="26FF0FBF" w14:textId="77777777" w:rsidR="000A1CFC" w:rsidRDefault="00C36858">
      <w:pPr>
        <w:pStyle w:val="BodyText"/>
        <w:ind w:left="102"/>
      </w:pPr>
      <w:r>
        <w:t>Canberra</w:t>
      </w:r>
      <w:r>
        <w:rPr>
          <w:spacing w:val="63"/>
        </w:rPr>
        <w:t xml:space="preserve"> </w:t>
      </w:r>
      <w:r>
        <w:t>ACT</w:t>
      </w:r>
      <w:r>
        <w:rPr>
          <w:spacing w:val="66"/>
        </w:rPr>
        <w:t xml:space="preserve"> </w:t>
      </w:r>
      <w:r>
        <w:t>2600</w:t>
      </w:r>
    </w:p>
    <w:p w14:paraId="26FF0FC0" w14:textId="77777777" w:rsidR="000A1CFC" w:rsidRDefault="000A1CFC">
      <w:pPr>
        <w:pStyle w:val="BodyText"/>
        <w:rPr>
          <w:sz w:val="26"/>
        </w:rPr>
      </w:pPr>
    </w:p>
    <w:p w14:paraId="26FF0FC1" w14:textId="77777777" w:rsidR="000A1CFC" w:rsidRDefault="000A1CFC">
      <w:pPr>
        <w:pStyle w:val="BodyText"/>
        <w:rPr>
          <w:sz w:val="22"/>
        </w:rPr>
      </w:pPr>
    </w:p>
    <w:p w14:paraId="26FF0FC2" w14:textId="77777777" w:rsidR="000A1CFC" w:rsidRDefault="00C36858">
      <w:pPr>
        <w:pStyle w:val="BodyText"/>
        <w:ind w:left="102"/>
      </w:pPr>
      <w:r>
        <w:t>Via</w:t>
      </w:r>
      <w:r>
        <w:rPr>
          <w:spacing w:val="-3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ec.sen@aph.gov.au</w:t>
        </w:r>
      </w:hyperlink>
    </w:p>
    <w:p w14:paraId="26FF0FC3" w14:textId="77777777" w:rsidR="000A1CFC" w:rsidRDefault="000A1CFC">
      <w:pPr>
        <w:pStyle w:val="BodyText"/>
        <w:rPr>
          <w:sz w:val="20"/>
        </w:rPr>
      </w:pPr>
    </w:p>
    <w:p w14:paraId="26FF0FC4" w14:textId="77777777" w:rsidR="000A1CFC" w:rsidRDefault="000A1CFC">
      <w:pPr>
        <w:pStyle w:val="BodyText"/>
        <w:spacing w:before="1"/>
        <w:rPr>
          <w:sz w:val="20"/>
        </w:rPr>
      </w:pPr>
    </w:p>
    <w:p w14:paraId="26FF0FC5" w14:textId="77777777" w:rsidR="000A1CFC" w:rsidRDefault="00C36858">
      <w:pPr>
        <w:pStyle w:val="BodyText"/>
        <w:spacing w:before="92"/>
        <w:ind w:left="102"/>
      </w:pPr>
      <w:r>
        <w:t>Dear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Secretary</w:t>
      </w:r>
    </w:p>
    <w:p w14:paraId="26FF0FC6" w14:textId="77777777" w:rsidR="000A1CFC" w:rsidRDefault="000A1CFC">
      <w:pPr>
        <w:pStyle w:val="BodyText"/>
      </w:pPr>
    </w:p>
    <w:p w14:paraId="26FF0FC7" w14:textId="77777777" w:rsidR="000A1CFC" w:rsidRDefault="00C36858">
      <w:pPr>
        <w:pStyle w:val="Title"/>
      </w:pPr>
      <w:r>
        <w:t>Submission: Interactive Gambling Amendment (Prohibition on Credit Card</w:t>
      </w:r>
      <w:r>
        <w:rPr>
          <w:spacing w:val="-64"/>
        </w:rPr>
        <w:t xml:space="preserve"> </w:t>
      </w:r>
      <w:r>
        <w:t>Use)</w:t>
      </w:r>
      <w:r>
        <w:rPr>
          <w:spacing w:val="-1"/>
        </w:rPr>
        <w:t xml:space="preserve"> </w:t>
      </w:r>
      <w:r>
        <w:t>Bill 2020</w:t>
      </w:r>
    </w:p>
    <w:p w14:paraId="26FF0FC8" w14:textId="77777777" w:rsidR="000A1CFC" w:rsidRDefault="000A1CFC">
      <w:pPr>
        <w:pStyle w:val="BodyText"/>
        <w:rPr>
          <w:b/>
        </w:rPr>
      </w:pPr>
    </w:p>
    <w:p w14:paraId="26FF0FC9" w14:textId="77777777" w:rsidR="000A1CFC" w:rsidRDefault="00C36858">
      <w:pPr>
        <w:pStyle w:val="BodyText"/>
        <w:ind w:left="102" w:right="790"/>
      </w:pPr>
      <w:r>
        <w:t>The Canberra Gambling Reform Alliance (CGRA) welcomes the opportunity to</w:t>
      </w:r>
      <w:r>
        <w:rPr>
          <w:spacing w:val="-64"/>
        </w:rPr>
        <w:t xml:space="preserve"> </w:t>
      </w:r>
      <w:r>
        <w:t>make a submission to the Senate Standing Committees on Environment and</w:t>
      </w:r>
      <w:r>
        <w:rPr>
          <w:spacing w:val="1"/>
        </w:rPr>
        <w:t xml:space="preserve"> </w:t>
      </w:r>
      <w:r>
        <w:t>Communications Inquiry in</w:t>
      </w:r>
      <w:r>
        <w:t>to the Interactive Gambling Amendment (Prohibition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Credit Card Use) Bill</w:t>
      </w:r>
      <w:r>
        <w:rPr>
          <w:spacing w:val="-1"/>
        </w:rPr>
        <w:t xml:space="preserve"> </w:t>
      </w:r>
      <w:r>
        <w:t>2020.</w:t>
      </w:r>
    </w:p>
    <w:p w14:paraId="26FF0FCA" w14:textId="77777777" w:rsidR="000A1CFC" w:rsidRDefault="000A1CFC">
      <w:pPr>
        <w:pStyle w:val="BodyText"/>
      </w:pPr>
    </w:p>
    <w:p w14:paraId="26FF0FCB" w14:textId="77777777" w:rsidR="000A1CFC" w:rsidRDefault="00C36858">
      <w:pPr>
        <w:pStyle w:val="Heading1"/>
      </w:pPr>
      <w:r>
        <w:t>About</w:t>
      </w:r>
      <w:r>
        <w:rPr>
          <w:spacing w:val="-3"/>
        </w:rPr>
        <w:t xml:space="preserve"> </w:t>
      </w:r>
      <w:r>
        <w:t>CGRA</w:t>
      </w:r>
    </w:p>
    <w:p w14:paraId="26FF0FCC" w14:textId="77777777" w:rsidR="000A1CFC" w:rsidRDefault="000A1CFC">
      <w:pPr>
        <w:pStyle w:val="BodyText"/>
        <w:rPr>
          <w:b/>
          <w:i/>
        </w:rPr>
      </w:pPr>
    </w:p>
    <w:p w14:paraId="26FF0FCD" w14:textId="77777777" w:rsidR="000A1CFC" w:rsidRDefault="00C36858">
      <w:pPr>
        <w:pStyle w:val="BodyText"/>
        <w:spacing w:before="1"/>
        <w:ind w:left="102" w:right="657"/>
      </w:pPr>
      <w:r>
        <w:t>The CGRA is a coalition of organisations that advocates for strong action to</w:t>
      </w:r>
      <w:r>
        <w:rPr>
          <w:spacing w:val="1"/>
        </w:rPr>
        <w:t xml:space="preserve"> </w:t>
      </w:r>
      <w:r>
        <w:t xml:space="preserve">reduce gambling harm in the Canberra community. The CGRA is made up of </w:t>
      </w:r>
      <w:proofErr w:type="spellStart"/>
      <w:r>
        <w:t>of</w:t>
      </w:r>
      <w:proofErr w:type="spellEnd"/>
      <w:r>
        <w:rPr>
          <w:spacing w:val="-64"/>
        </w:rPr>
        <w:t xml:space="preserve"> </w:t>
      </w:r>
      <w:r>
        <w:t>organisations including Anglicare NSW South, NSW West and ACT, the Hope</w:t>
      </w:r>
      <w:r>
        <w:rPr>
          <w:spacing w:val="1"/>
        </w:rPr>
        <w:t xml:space="preserve"> </w:t>
      </w:r>
      <w:r>
        <w:t>Project, the ACT Council of Social Service, the Youth Coalition of the ACT, ACT</w:t>
      </w:r>
      <w:r>
        <w:rPr>
          <w:spacing w:val="-64"/>
        </w:rPr>
        <w:t xml:space="preserve"> </w:t>
      </w:r>
      <w:r>
        <w:t>Shelter,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Associa</w:t>
      </w:r>
      <w:r>
        <w:t>tion</w:t>
      </w:r>
      <w:r>
        <w:rPr>
          <w:spacing w:val="-1"/>
        </w:rPr>
        <w:t xml:space="preserve"> </w:t>
      </w:r>
      <w:proofErr w:type="gramStart"/>
      <w:r>
        <w:t>Australia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Communities@Work</w:t>
      </w:r>
      <w:proofErr w:type="spellEnd"/>
      <w:r>
        <w:t>.</w:t>
      </w:r>
    </w:p>
    <w:p w14:paraId="26FF0FCE" w14:textId="77777777" w:rsidR="000A1CFC" w:rsidRDefault="000A1CFC">
      <w:pPr>
        <w:pStyle w:val="BodyText"/>
      </w:pPr>
    </w:p>
    <w:p w14:paraId="26FF0FCF" w14:textId="77777777" w:rsidR="000A1CFC" w:rsidRDefault="00C36858">
      <w:pPr>
        <w:pStyle w:val="Heading1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inquiry</w:t>
      </w:r>
    </w:p>
    <w:p w14:paraId="26FF0FD0" w14:textId="77777777" w:rsidR="000A1CFC" w:rsidRDefault="000A1CFC">
      <w:pPr>
        <w:pStyle w:val="BodyText"/>
        <w:rPr>
          <w:b/>
          <w:i/>
        </w:rPr>
      </w:pPr>
    </w:p>
    <w:p w14:paraId="26FF0FD1" w14:textId="77777777" w:rsidR="000A1CFC" w:rsidRDefault="00C36858">
      <w:pPr>
        <w:pStyle w:val="BodyText"/>
        <w:ind w:left="102" w:right="673"/>
      </w:pPr>
      <w:r>
        <w:t>The</w:t>
      </w:r>
      <w:r>
        <w:rPr>
          <w:spacing w:val="4"/>
        </w:rPr>
        <w:t xml:space="preserve"> </w:t>
      </w:r>
      <w:r>
        <w:t>Interactive</w:t>
      </w:r>
      <w:r>
        <w:rPr>
          <w:spacing w:val="4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Amendment</w:t>
      </w:r>
      <w:r>
        <w:rPr>
          <w:spacing w:val="4"/>
        </w:rPr>
        <w:t xml:space="preserve"> </w:t>
      </w:r>
      <w:r>
        <w:t>(Prohibition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t>Use)</w:t>
      </w:r>
      <w:r>
        <w:rPr>
          <w:spacing w:val="4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2020 would prevent online gambling service providers from accepting payments</w:t>
      </w:r>
      <w:r>
        <w:rPr>
          <w:spacing w:val="-64"/>
        </w:rPr>
        <w:t xml:space="preserve"> </w:t>
      </w:r>
      <w:r>
        <w:t>by credit card (either directly or indirectly), create a criminal offence and civil</w:t>
      </w:r>
      <w:r>
        <w:rPr>
          <w:spacing w:val="1"/>
        </w:rPr>
        <w:t xml:space="preserve"> </w:t>
      </w:r>
      <w:r>
        <w:t xml:space="preserve">penalty provision for a person who accepts, </w:t>
      </w:r>
      <w:proofErr w:type="gramStart"/>
      <w:r>
        <w:t>facilitates</w:t>
      </w:r>
      <w:proofErr w:type="gramEnd"/>
      <w:r>
        <w:t xml:space="preserve"> or promotes credit card</w:t>
      </w:r>
      <w:r>
        <w:rPr>
          <w:spacing w:val="1"/>
        </w:rPr>
        <w:t xml:space="preserve"> </w:t>
      </w:r>
      <w:r>
        <w:t>payments for in</w:t>
      </w:r>
      <w:r>
        <w:t>teractive gambling services, and provides for the Australian</w:t>
      </w:r>
      <w:r>
        <w:rPr>
          <w:spacing w:val="1"/>
        </w:rPr>
        <w:t xml:space="preserve"> </w:t>
      </w:r>
      <w:r>
        <w:t>Communications and Media Authority to enforce and review the new</w:t>
      </w:r>
      <w:r>
        <w:rPr>
          <w:spacing w:val="1"/>
        </w:rPr>
        <w:t xml:space="preserve"> </w:t>
      </w:r>
      <w:r>
        <w:t>requirements.</w:t>
      </w:r>
    </w:p>
    <w:p w14:paraId="26FF0FD2" w14:textId="77777777" w:rsidR="000A1CFC" w:rsidRDefault="000A1CFC">
      <w:pPr>
        <w:pStyle w:val="BodyText"/>
      </w:pPr>
    </w:p>
    <w:p w14:paraId="26FF0FD3" w14:textId="77777777" w:rsidR="000A1CFC" w:rsidRDefault="00C36858">
      <w:pPr>
        <w:pStyle w:val="Heading1"/>
        <w:spacing w:before="1"/>
      </w:pPr>
      <w:r>
        <w:t>Recommendation</w:t>
      </w:r>
    </w:p>
    <w:p w14:paraId="26FF0FD4" w14:textId="77777777" w:rsidR="000A1CFC" w:rsidRDefault="000A1CFC">
      <w:pPr>
        <w:pStyle w:val="BodyText"/>
        <w:spacing w:before="11"/>
        <w:rPr>
          <w:b/>
          <w:i/>
          <w:sz w:val="23"/>
        </w:rPr>
      </w:pPr>
    </w:p>
    <w:p w14:paraId="26FF0FD5" w14:textId="77777777" w:rsidR="000A1CFC" w:rsidRDefault="00C36858">
      <w:pPr>
        <w:pStyle w:val="BodyText"/>
        <w:ind w:left="102"/>
      </w:pPr>
      <w:r>
        <w:t>CGRA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form.</w:t>
      </w:r>
    </w:p>
    <w:p w14:paraId="26FF0FD6" w14:textId="77777777" w:rsidR="000A1CFC" w:rsidRDefault="000A1CFC">
      <w:pPr>
        <w:sectPr w:rsidR="000A1CFC">
          <w:type w:val="continuous"/>
          <w:pgSz w:w="11910" w:h="16840"/>
          <w:pgMar w:top="440" w:right="1060" w:bottom="280" w:left="1600" w:header="720" w:footer="720" w:gutter="0"/>
          <w:cols w:space="720"/>
        </w:sectPr>
      </w:pPr>
    </w:p>
    <w:p w14:paraId="26FF0FD7" w14:textId="77777777" w:rsidR="000A1CFC" w:rsidRDefault="000A1CFC">
      <w:pPr>
        <w:pStyle w:val="BodyText"/>
        <w:rPr>
          <w:sz w:val="20"/>
        </w:rPr>
      </w:pPr>
    </w:p>
    <w:p w14:paraId="26FF0FD8" w14:textId="77777777" w:rsidR="000A1CFC" w:rsidRDefault="000A1CFC">
      <w:pPr>
        <w:pStyle w:val="BodyText"/>
        <w:rPr>
          <w:sz w:val="20"/>
        </w:rPr>
      </w:pPr>
    </w:p>
    <w:p w14:paraId="26FF0FD9" w14:textId="77777777" w:rsidR="000A1CFC" w:rsidRDefault="000A1CFC">
      <w:pPr>
        <w:pStyle w:val="BodyText"/>
        <w:rPr>
          <w:sz w:val="20"/>
        </w:rPr>
      </w:pPr>
    </w:p>
    <w:p w14:paraId="26FF0FDA" w14:textId="77777777" w:rsidR="000A1CFC" w:rsidRDefault="000A1CFC">
      <w:pPr>
        <w:pStyle w:val="BodyText"/>
        <w:rPr>
          <w:sz w:val="20"/>
        </w:rPr>
      </w:pPr>
    </w:p>
    <w:p w14:paraId="26FF0FDB" w14:textId="77777777" w:rsidR="000A1CFC" w:rsidRDefault="000A1CFC">
      <w:pPr>
        <w:pStyle w:val="BodyText"/>
        <w:spacing w:before="6"/>
        <w:rPr>
          <w:sz w:val="19"/>
        </w:rPr>
      </w:pPr>
    </w:p>
    <w:p w14:paraId="26FF0FDC" w14:textId="77777777" w:rsidR="000A1CFC" w:rsidRDefault="00C36858">
      <w:pPr>
        <w:pStyle w:val="BodyText"/>
        <w:spacing w:before="92"/>
        <w:ind w:left="102" w:right="630"/>
      </w:pPr>
      <w:r>
        <w:t>To reduce gambling harm in Australia, CGRA urges all Member and Senators of</w:t>
      </w:r>
      <w:r>
        <w:rPr>
          <w:spacing w:val="-64"/>
        </w:rPr>
        <w:t xml:space="preserve"> </w:t>
      </w:r>
      <w:r>
        <w:t>the Australia Parliament to support the Interactive Gambling Amendment</w:t>
      </w:r>
      <w:r>
        <w:rPr>
          <w:spacing w:val="1"/>
        </w:rPr>
        <w:t xml:space="preserve"> </w:t>
      </w:r>
      <w:r>
        <w:t>(Prohibition</w:t>
      </w:r>
      <w:r>
        <w:rPr>
          <w:spacing w:val="-3"/>
        </w:rPr>
        <w:t xml:space="preserve"> </w:t>
      </w:r>
      <w:r>
        <w:t>on Credit</w:t>
      </w:r>
      <w:r>
        <w:rPr>
          <w:spacing w:val="-2"/>
        </w:rPr>
        <w:t xml:space="preserve"> </w:t>
      </w:r>
      <w:r>
        <w:t>Card Use) Bill</w:t>
      </w:r>
      <w:r>
        <w:rPr>
          <w:spacing w:val="-1"/>
        </w:rPr>
        <w:t xml:space="preserve"> </w:t>
      </w:r>
      <w:r>
        <w:t>2020.</w:t>
      </w:r>
    </w:p>
    <w:p w14:paraId="26FF0FDD" w14:textId="77777777" w:rsidR="000A1CFC" w:rsidRDefault="000A1CFC">
      <w:pPr>
        <w:pStyle w:val="BodyText"/>
      </w:pPr>
    </w:p>
    <w:p w14:paraId="26FF0FDE" w14:textId="77777777" w:rsidR="000A1CFC" w:rsidRDefault="00C36858">
      <w:pPr>
        <w:pStyle w:val="Heading1"/>
      </w:pPr>
      <w:r>
        <w:t>Background</w:t>
      </w:r>
    </w:p>
    <w:p w14:paraId="26FF0FDF" w14:textId="77777777" w:rsidR="000A1CFC" w:rsidRDefault="000A1CFC">
      <w:pPr>
        <w:pStyle w:val="BodyText"/>
        <w:rPr>
          <w:b/>
          <w:i/>
        </w:rPr>
      </w:pPr>
    </w:p>
    <w:p w14:paraId="26FF0FE0" w14:textId="77777777" w:rsidR="000A1CFC" w:rsidRDefault="00C36858">
      <w:pPr>
        <w:pStyle w:val="BodyText"/>
        <w:ind w:left="102" w:right="647"/>
      </w:pPr>
      <w:r>
        <w:t>Australian</w:t>
      </w:r>
      <w:r>
        <w:rPr>
          <w:spacing w:val="-5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harm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gambling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restricted.</w:t>
      </w:r>
    </w:p>
    <w:p w14:paraId="26FF0FE1" w14:textId="77777777" w:rsidR="000A1CFC" w:rsidRDefault="00C36858">
      <w:pPr>
        <w:pStyle w:val="BodyText"/>
        <w:ind w:left="102" w:right="647"/>
        <w:rPr>
          <w:sz w:val="16"/>
        </w:rPr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gaming</w:t>
      </w:r>
      <w:r>
        <w:rPr>
          <w:spacing w:val="-1"/>
        </w:rPr>
        <w:t xml:space="preserve"> </w:t>
      </w:r>
      <w:r>
        <w:t>lounges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64"/>
        </w:rPr>
        <w:t xml:space="preserve"> </w:t>
      </w:r>
      <w:r>
        <w:t>for people using Electronic Gaming Machines and in casinos. Further, in</w:t>
      </w:r>
      <w:r>
        <w:rPr>
          <w:spacing w:val="1"/>
        </w:rPr>
        <w:t xml:space="preserve"> </w:t>
      </w:r>
      <w:r>
        <w:t>February 2018, the Federal Government prohibited online gambling operators</w:t>
      </w:r>
      <w:r>
        <w:rPr>
          <w:spacing w:val="1"/>
        </w:rPr>
        <w:t xml:space="preserve"> </w:t>
      </w:r>
      <w:r>
        <w:t>from offering credit to gamblers as part of the National Consumer Protection</w:t>
      </w:r>
      <w:r>
        <w:rPr>
          <w:spacing w:val="1"/>
        </w:rPr>
        <w:t xml:space="preserve"> </w:t>
      </w:r>
      <w:r>
        <w:t>Framework for Online Wagering. I</w:t>
      </w:r>
      <w:r>
        <w:t>n Australia, some financial institutions do not</w:t>
      </w:r>
      <w:r>
        <w:rPr>
          <w:spacing w:val="-6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gambling on</w:t>
      </w:r>
      <w:r>
        <w:rPr>
          <w:spacing w:val="-2"/>
        </w:rPr>
        <w:t xml:space="preserve"> </w:t>
      </w:r>
      <w:r>
        <w:t>credit cards.</w:t>
      </w:r>
      <w:r>
        <w:rPr>
          <w:position w:val="8"/>
          <w:sz w:val="16"/>
        </w:rPr>
        <w:t>1</w:t>
      </w:r>
    </w:p>
    <w:p w14:paraId="26FF0FE2" w14:textId="77777777" w:rsidR="000A1CFC" w:rsidRDefault="000A1CFC">
      <w:pPr>
        <w:pStyle w:val="BodyText"/>
        <w:spacing w:before="7"/>
        <w:rPr>
          <w:sz w:val="23"/>
        </w:rPr>
      </w:pPr>
    </w:p>
    <w:p w14:paraId="26FF0FE3" w14:textId="77777777" w:rsidR="000A1CFC" w:rsidRDefault="00C36858">
      <w:pPr>
        <w:pStyle w:val="BodyText"/>
        <w:spacing w:before="1"/>
        <w:ind w:left="102" w:right="710"/>
      </w:pPr>
      <w:r>
        <w:t>The Australian Banking Association (ABA) has recognised that the use of credit</w:t>
      </w:r>
      <w:r>
        <w:rPr>
          <w:spacing w:val="-64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is of</w:t>
      </w:r>
      <w:r>
        <w:rPr>
          <w:spacing w:val="-1"/>
        </w:rPr>
        <w:t xml:space="preserve"> </w:t>
      </w:r>
      <w:r>
        <w:t>concern. The ABA</w:t>
      </w:r>
      <w:r>
        <w:rPr>
          <w:spacing w:val="-1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that:</w:t>
      </w:r>
    </w:p>
    <w:p w14:paraId="26FF0FE4" w14:textId="77777777" w:rsidR="000A1CFC" w:rsidRDefault="000A1CFC">
      <w:pPr>
        <w:pStyle w:val="BodyText"/>
      </w:pPr>
    </w:p>
    <w:p w14:paraId="26FF0FE5" w14:textId="77777777" w:rsidR="000A1CFC" w:rsidRDefault="00C36858">
      <w:pPr>
        <w:ind w:left="102" w:right="647"/>
        <w:rPr>
          <w:i/>
          <w:sz w:val="24"/>
        </w:rPr>
      </w:pPr>
      <w:r>
        <w:rPr>
          <w:i/>
          <w:sz w:val="24"/>
        </w:rPr>
        <w:t>Credit products are intended to finance purchases, rather than provide ready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 to cash. Under the terms and conditions of credit cards, gambling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transactions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advances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equivalent.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Cash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advances attract a higher interest rate, an additional fee and are not eligible for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periods.</w:t>
      </w:r>
    </w:p>
    <w:p w14:paraId="26FF0FE6" w14:textId="77777777" w:rsidR="000A1CFC" w:rsidRDefault="000A1CFC">
      <w:pPr>
        <w:pStyle w:val="BodyText"/>
        <w:rPr>
          <w:i/>
        </w:rPr>
      </w:pPr>
    </w:p>
    <w:p w14:paraId="26FF0FE7" w14:textId="77777777" w:rsidR="000A1CFC" w:rsidRDefault="00C36858">
      <w:pPr>
        <w:ind w:left="102" w:right="647"/>
        <w:rPr>
          <w:i/>
          <w:sz w:val="16"/>
        </w:rPr>
      </w:pPr>
      <w:r>
        <w:rPr>
          <w:i/>
          <w:sz w:val="24"/>
        </w:rPr>
        <w:t>Access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gambling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whereby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large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 debt can be accumulated in a limited period. For people with a gambl</w:t>
      </w:r>
      <w:r>
        <w:rPr>
          <w:i/>
          <w:sz w:val="24"/>
        </w:rPr>
        <w:t>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addiction, a credit card can lead to severe financial stress for the individual and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family.</w:t>
      </w:r>
      <w:r>
        <w:rPr>
          <w:i/>
          <w:position w:val="7"/>
          <w:sz w:val="16"/>
        </w:rPr>
        <w:t>2</w:t>
      </w:r>
    </w:p>
    <w:p w14:paraId="26FF0FE8" w14:textId="77777777" w:rsidR="000A1CFC" w:rsidRDefault="000A1CFC">
      <w:pPr>
        <w:pStyle w:val="BodyText"/>
        <w:rPr>
          <w:i/>
        </w:rPr>
      </w:pPr>
    </w:p>
    <w:p w14:paraId="26FF0FE9" w14:textId="77777777" w:rsidR="000A1CFC" w:rsidRDefault="00C36858">
      <w:pPr>
        <w:pStyle w:val="BodyText"/>
        <w:ind w:left="102" w:right="650"/>
      </w:pPr>
      <w:r>
        <w:t>The</w:t>
      </w:r>
      <w:r>
        <w:rPr>
          <w:spacing w:val="-2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(Prohibition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Use)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2020</w:t>
      </w:r>
      <w:r>
        <w:rPr>
          <w:spacing w:val="-64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 governing the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cards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gambling in</w:t>
      </w:r>
      <w:r>
        <w:rPr>
          <w:spacing w:val="1"/>
        </w:rPr>
        <w:t xml:space="preserve"> </w:t>
      </w:r>
      <w:r>
        <w:t>line with rules for EGMs. It would also bring Australia in line with other</w:t>
      </w:r>
      <w:r>
        <w:rPr>
          <w:spacing w:val="1"/>
        </w:rPr>
        <w:t xml:space="preserve"> </w:t>
      </w:r>
      <w:r>
        <w:t>jurisdictions</w:t>
      </w:r>
      <w:r>
        <w:rPr>
          <w:spacing w:val="-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 Kingdom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United</w:t>
      </w:r>
      <w:r>
        <w:rPr>
          <w:spacing w:val="-3"/>
        </w:rPr>
        <w:t xml:space="preserve"> </w:t>
      </w:r>
      <w:r>
        <w:t>States.</w:t>
      </w:r>
    </w:p>
    <w:p w14:paraId="26FF0FEA" w14:textId="77777777" w:rsidR="000A1CFC" w:rsidRDefault="000A1CFC">
      <w:pPr>
        <w:pStyle w:val="BodyText"/>
      </w:pPr>
    </w:p>
    <w:p w14:paraId="26FF0FEB" w14:textId="77777777" w:rsidR="000A1CFC" w:rsidRDefault="00C36858">
      <w:pPr>
        <w:pStyle w:val="BodyText"/>
        <w:spacing w:before="1"/>
        <w:ind w:left="102" w:right="871"/>
      </w:pPr>
      <w:r>
        <w:t>Australians are ranked number one in the world in terms of gambling losses.</w:t>
      </w:r>
      <w:r>
        <w:rPr>
          <w:spacing w:val="1"/>
        </w:rPr>
        <w:t xml:space="preserve"> </w:t>
      </w:r>
      <w:r>
        <w:t>This level of harm cannot be</w:t>
      </w:r>
      <w:r>
        <w:t xml:space="preserve"> sustained by our community. The capacity to</w:t>
      </w:r>
      <w:r>
        <w:rPr>
          <w:spacing w:val="1"/>
        </w:rPr>
        <w:t xml:space="preserve"> </w:t>
      </w:r>
      <w:r>
        <w:t>gamble using credit cards further compounds Australians’ risks from gambling</w:t>
      </w:r>
      <w:r>
        <w:rPr>
          <w:spacing w:val="-64"/>
        </w:rPr>
        <w:t xml:space="preserve"> </w:t>
      </w:r>
      <w:r>
        <w:t>given the ease of access to debt and the high interest rates charged on cash</w:t>
      </w:r>
      <w:r>
        <w:rPr>
          <w:spacing w:val="1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through credit cards.</w:t>
      </w:r>
    </w:p>
    <w:p w14:paraId="26FF0FEC" w14:textId="77777777" w:rsidR="000A1CFC" w:rsidRDefault="000A1CFC">
      <w:pPr>
        <w:pStyle w:val="BodyText"/>
        <w:rPr>
          <w:sz w:val="20"/>
        </w:rPr>
      </w:pPr>
    </w:p>
    <w:p w14:paraId="26FF0FED" w14:textId="77777777" w:rsidR="000A1CFC" w:rsidRDefault="000A1CFC">
      <w:pPr>
        <w:pStyle w:val="BodyText"/>
        <w:rPr>
          <w:sz w:val="20"/>
        </w:rPr>
      </w:pPr>
    </w:p>
    <w:p w14:paraId="26FF0FEE" w14:textId="362FDD89" w:rsidR="000A1CFC" w:rsidRDefault="00593AE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FF103F" wp14:editId="5A958C2F">
                <wp:simplePos x="0" y="0"/>
                <wp:positionH relativeFrom="page">
                  <wp:posOffset>1981200</wp:posOffset>
                </wp:positionH>
                <wp:positionV relativeFrom="paragraph">
                  <wp:posOffset>145415</wp:posOffset>
                </wp:positionV>
                <wp:extent cx="1828800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16CF" id="Rectangle 4" o:spid="_x0000_s1026" style="position:absolute;margin-left:156pt;margin-top:11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6FF0FEF" w14:textId="77777777" w:rsidR="000A1CFC" w:rsidRDefault="00C36858">
      <w:pPr>
        <w:spacing w:before="67" w:line="247" w:lineRule="auto"/>
        <w:ind w:left="387" w:right="988" w:hanging="286"/>
        <w:rPr>
          <w:i/>
          <w:sz w:val="18"/>
        </w:rPr>
      </w:pPr>
      <w:r>
        <w:rPr>
          <w:position w:val="8"/>
          <w:sz w:val="16"/>
        </w:rPr>
        <w:t xml:space="preserve">1 </w:t>
      </w:r>
      <w:r>
        <w:rPr>
          <w:sz w:val="18"/>
        </w:rPr>
        <w:t>Australian Banking A</w:t>
      </w:r>
      <w:r>
        <w:rPr>
          <w:sz w:val="18"/>
        </w:rPr>
        <w:t xml:space="preserve">ssociation, </w:t>
      </w:r>
      <w:r>
        <w:rPr>
          <w:i/>
          <w:sz w:val="18"/>
        </w:rPr>
        <w:t>Consultation Paper: Use of credit cards for gambling transactions,</w:t>
      </w:r>
      <w:r>
        <w:rPr>
          <w:i/>
          <w:color w:val="0000FF"/>
          <w:spacing w:val="1"/>
          <w:sz w:val="18"/>
        </w:rPr>
        <w:t xml:space="preserve"> </w:t>
      </w:r>
      <w:hyperlink r:id="rId8">
        <w:r>
          <w:rPr>
            <w:i/>
            <w:color w:val="0000FF"/>
            <w:spacing w:val="-1"/>
            <w:sz w:val="18"/>
            <w:u w:val="single" w:color="0000FF"/>
          </w:rPr>
          <w:t>https://www.ausbanking.org.au/wp-content/uploads/2019/12/Consultation-Paper-Credit-Cards-and-</w:t>
        </w:r>
      </w:hyperlink>
      <w:r>
        <w:rPr>
          <w:i/>
          <w:color w:val="0000FF"/>
          <w:sz w:val="18"/>
        </w:rPr>
        <w:t xml:space="preserve"> </w:t>
      </w:r>
      <w:hyperlink r:id="rId9">
        <w:r>
          <w:rPr>
            <w:i/>
            <w:color w:val="0000FF"/>
            <w:sz w:val="18"/>
            <w:u w:val="single" w:color="0000FF"/>
          </w:rPr>
          <w:t>Gambling.pdf</w:t>
        </w:r>
        <w:r>
          <w:rPr>
            <w:i/>
            <w:color w:val="0000FF"/>
            <w:sz w:val="18"/>
          </w:rPr>
          <w:t xml:space="preserve"> </w:t>
        </w:r>
      </w:hyperlink>
      <w:r>
        <w:rPr>
          <w:i/>
          <w:sz w:val="18"/>
        </w:rPr>
        <w:t>(accessed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 April 2021)</w:t>
      </w:r>
    </w:p>
    <w:p w14:paraId="26FF0FF0" w14:textId="77777777" w:rsidR="000A1CFC" w:rsidRDefault="00C36858">
      <w:pPr>
        <w:spacing w:before="50"/>
        <w:ind w:left="102"/>
        <w:rPr>
          <w:i/>
          <w:sz w:val="18"/>
        </w:rPr>
      </w:pPr>
      <w:r>
        <w:rPr>
          <w:position w:val="6"/>
          <w:sz w:val="12"/>
        </w:rPr>
        <w:t>2</w:t>
      </w:r>
      <w:r>
        <w:rPr>
          <w:spacing w:val="17"/>
          <w:position w:val="6"/>
          <w:sz w:val="12"/>
        </w:rPr>
        <w:t xml:space="preserve"> </w:t>
      </w:r>
      <w:r>
        <w:rPr>
          <w:i/>
          <w:sz w:val="18"/>
        </w:rPr>
        <w:t>Ibid.</w:t>
      </w:r>
    </w:p>
    <w:p w14:paraId="26FF0FF1" w14:textId="77777777" w:rsidR="000A1CFC" w:rsidRDefault="000A1CFC">
      <w:pPr>
        <w:rPr>
          <w:sz w:val="18"/>
        </w:rPr>
        <w:sectPr w:rsidR="000A1CFC">
          <w:footerReference w:type="default" r:id="rId10"/>
          <w:pgSz w:w="11910" w:h="16840"/>
          <w:pgMar w:top="1580" w:right="1060" w:bottom="960" w:left="1600" w:header="0" w:footer="774" w:gutter="0"/>
          <w:pgNumType w:start="2"/>
          <w:cols w:space="720"/>
        </w:sectPr>
      </w:pPr>
    </w:p>
    <w:p w14:paraId="26FF0FF2" w14:textId="77777777" w:rsidR="000A1CFC" w:rsidRDefault="000A1CFC">
      <w:pPr>
        <w:pStyle w:val="BodyText"/>
        <w:rPr>
          <w:i/>
          <w:sz w:val="20"/>
        </w:rPr>
      </w:pPr>
    </w:p>
    <w:p w14:paraId="26FF0FF3" w14:textId="77777777" w:rsidR="000A1CFC" w:rsidRDefault="000A1CFC">
      <w:pPr>
        <w:pStyle w:val="BodyText"/>
        <w:rPr>
          <w:i/>
          <w:sz w:val="20"/>
        </w:rPr>
      </w:pPr>
    </w:p>
    <w:p w14:paraId="26FF0FF4" w14:textId="77777777" w:rsidR="000A1CFC" w:rsidRDefault="000A1CFC">
      <w:pPr>
        <w:pStyle w:val="BodyText"/>
        <w:rPr>
          <w:i/>
          <w:sz w:val="20"/>
        </w:rPr>
      </w:pPr>
    </w:p>
    <w:p w14:paraId="26FF0FF5" w14:textId="77777777" w:rsidR="000A1CFC" w:rsidRDefault="000A1CFC">
      <w:pPr>
        <w:pStyle w:val="BodyText"/>
        <w:rPr>
          <w:i/>
          <w:sz w:val="20"/>
        </w:rPr>
      </w:pPr>
    </w:p>
    <w:p w14:paraId="26FF0FF6" w14:textId="77777777" w:rsidR="000A1CFC" w:rsidRDefault="000A1CFC">
      <w:pPr>
        <w:pStyle w:val="BodyText"/>
        <w:spacing w:before="6"/>
        <w:rPr>
          <w:i/>
          <w:sz w:val="19"/>
        </w:rPr>
      </w:pPr>
    </w:p>
    <w:p w14:paraId="26FF0FF7" w14:textId="77777777" w:rsidR="000A1CFC" w:rsidRDefault="00C36858">
      <w:pPr>
        <w:pStyle w:val="BodyText"/>
        <w:spacing w:before="92"/>
        <w:ind w:left="102"/>
      </w:pPr>
      <w:r>
        <w:t>As</w:t>
      </w:r>
      <w:r>
        <w:rPr>
          <w:spacing w:val="-1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ABA:</w:t>
      </w:r>
    </w:p>
    <w:p w14:paraId="26FF0FF8" w14:textId="77777777" w:rsidR="000A1CFC" w:rsidRDefault="000A1CFC">
      <w:pPr>
        <w:pStyle w:val="BodyText"/>
        <w:spacing w:before="2"/>
      </w:pPr>
    </w:p>
    <w:p w14:paraId="26FF0FF9" w14:textId="77777777" w:rsidR="000A1CFC" w:rsidRDefault="00C36858">
      <w:pPr>
        <w:spacing w:line="237" w:lineRule="auto"/>
        <w:ind w:left="102" w:right="647"/>
        <w:rPr>
          <w:sz w:val="16"/>
        </w:rPr>
      </w:pPr>
      <w:r>
        <w:rPr>
          <w:i/>
          <w:sz w:val="24"/>
        </w:rPr>
        <w:t>Online gambling creates an environment in which people can gamble at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time, in any place, and in a ‘cashless’ way which can distance the person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gambling from the money which is being spent. For those who 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gambling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particularly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dangerous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circumstances.</w:t>
      </w:r>
      <w:r>
        <w:rPr>
          <w:position w:val="8"/>
          <w:sz w:val="16"/>
        </w:rPr>
        <w:t>3</w:t>
      </w:r>
    </w:p>
    <w:p w14:paraId="26FF0FFA" w14:textId="77777777" w:rsidR="000A1CFC" w:rsidRDefault="000A1CFC">
      <w:pPr>
        <w:pStyle w:val="BodyText"/>
        <w:spacing w:before="4"/>
      </w:pPr>
    </w:p>
    <w:p w14:paraId="26FF0FFB" w14:textId="77777777" w:rsidR="000A1CFC" w:rsidRDefault="00C36858">
      <w:pPr>
        <w:pStyle w:val="BodyText"/>
        <w:ind w:left="102"/>
      </w:pPr>
      <w:r>
        <w:t>Further,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highlighted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Bill’s</w:t>
      </w:r>
      <w:r>
        <w:rPr>
          <w:spacing w:val="-2"/>
        </w:rPr>
        <w:t xml:space="preserve"> </w:t>
      </w:r>
      <w:r>
        <w:t>explanatory</w:t>
      </w:r>
      <w:r>
        <w:rPr>
          <w:spacing w:val="-4"/>
        </w:rPr>
        <w:t xml:space="preserve"> </w:t>
      </w:r>
      <w:r>
        <w:t>memorandum:</w:t>
      </w:r>
    </w:p>
    <w:p w14:paraId="26FF0FFC" w14:textId="77777777" w:rsidR="000A1CFC" w:rsidRDefault="000A1CFC">
      <w:pPr>
        <w:pStyle w:val="BodyText"/>
        <w:spacing w:before="1"/>
      </w:pPr>
    </w:p>
    <w:p w14:paraId="26FF0FFD" w14:textId="77777777" w:rsidR="000A1CFC" w:rsidRDefault="00C36858">
      <w:pPr>
        <w:ind w:left="102" w:right="644"/>
        <w:rPr>
          <w:i/>
          <w:sz w:val="24"/>
        </w:rPr>
      </w:pPr>
      <w:r>
        <w:rPr>
          <w:i/>
          <w:sz w:val="24"/>
        </w:rPr>
        <w:t>People who experience gambling harm are heavy users of credit cards.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Productivity Commission’s 2010 inquiry into gambling found that people 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identified as problem gamblers were four times more likely to use credit c</w:t>
      </w:r>
      <w:r>
        <w:rPr>
          <w:i/>
          <w:sz w:val="24"/>
        </w:rPr>
        <w:t>ards to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obtain cash to gamble than those in the still problematic category of low-risk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gamblers.</w:t>
      </w:r>
    </w:p>
    <w:p w14:paraId="26FF0FFE" w14:textId="77777777" w:rsidR="000A1CFC" w:rsidRDefault="000A1CFC">
      <w:pPr>
        <w:pStyle w:val="BodyText"/>
        <w:rPr>
          <w:i/>
        </w:rPr>
      </w:pPr>
    </w:p>
    <w:p w14:paraId="26FF0FFF" w14:textId="77777777" w:rsidR="000A1CFC" w:rsidRDefault="00C36858">
      <w:pPr>
        <w:pStyle w:val="BodyText"/>
        <w:ind w:left="102" w:right="647"/>
      </w:pPr>
      <w:r>
        <w:t>Gambling</w:t>
      </w:r>
      <w:r>
        <w:rPr>
          <w:spacing w:val="-4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Australians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backgrounds.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 xml:space="preserve">gambling harm can be your neighbours, co-workers, parents, </w:t>
      </w:r>
      <w:proofErr w:type="gramStart"/>
      <w:r>
        <w:t>children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you see every</w:t>
      </w:r>
      <w:r>
        <w:rPr>
          <w:spacing w:val="-3"/>
        </w:rPr>
        <w:t xml:space="preserve"> </w:t>
      </w:r>
      <w:r>
        <w:t>day.</w:t>
      </w:r>
    </w:p>
    <w:p w14:paraId="26FF1000" w14:textId="77777777" w:rsidR="000A1CFC" w:rsidRDefault="000A1CFC">
      <w:pPr>
        <w:pStyle w:val="BodyText"/>
      </w:pPr>
    </w:p>
    <w:p w14:paraId="26FF1001" w14:textId="77777777" w:rsidR="000A1CFC" w:rsidRDefault="00C36858">
      <w:pPr>
        <w:pStyle w:val="BodyText"/>
        <w:ind w:left="102" w:right="647"/>
      </w:pPr>
      <w:r>
        <w:t>However, people experiencing domestic and family violence, older people,</w:t>
      </w:r>
      <w:r>
        <w:rPr>
          <w:spacing w:val="1"/>
        </w:rPr>
        <w:t xml:space="preserve"> </w:t>
      </w:r>
      <w:r>
        <w:t>people with disability, people from culturally and linguistically diverse</w:t>
      </w:r>
      <w:r>
        <w:rPr>
          <w:spacing w:val="1"/>
        </w:rPr>
        <w:t xml:space="preserve"> </w:t>
      </w:r>
      <w:r>
        <w:t>background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Torres</w:t>
      </w:r>
      <w:r>
        <w:rPr>
          <w:spacing w:val="-2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harm.</w:t>
      </w:r>
    </w:p>
    <w:p w14:paraId="26FF1002" w14:textId="77777777" w:rsidR="000A1CFC" w:rsidRDefault="000A1CFC">
      <w:pPr>
        <w:pStyle w:val="BodyText"/>
        <w:spacing w:before="1"/>
      </w:pPr>
    </w:p>
    <w:p w14:paraId="26FF1003" w14:textId="77777777" w:rsidR="000A1CFC" w:rsidRDefault="00C36858">
      <w:pPr>
        <w:pStyle w:val="BodyText"/>
        <w:ind w:left="102" w:right="990"/>
      </w:pPr>
      <w:r>
        <w:t>While many of us think that we are not impacted by gambling harm, once we</w:t>
      </w:r>
      <w:r>
        <w:rPr>
          <w:spacing w:val="-64"/>
        </w:rPr>
        <w:t xml:space="preserve"> </w:t>
      </w:r>
      <w:r>
        <w:t>start talking to the people we love, we realise that this is a much bigger issue</w:t>
      </w:r>
      <w:r>
        <w:rPr>
          <w:spacing w:val="-65"/>
        </w:rPr>
        <w:t xml:space="preserve"> </w:t>
      </w:r>
      <w:r>
        <w:t xml:space="preserve">than those </w:t>
      </w:r>
      <w:r>
        <w:t>with vested interests would like us to believe. A recent estimate</w:t>
      </w:r>
      <w:r>
        <w:rPr>
          <w:spacing w:val="1"/>
        </w:rPr>
        <w:t xml:space="preserve"> </w:t>
      </w:r>
      <w:r>
        <w:t xml:space="preserve">notes that, ‘each </w:t>
      </w:r>
      <w:proofErr w:type="gramStart"/>
      <w:r>
        <w:t>high risk</w:t>
      </w:r>
      <w:proofErr w:type="gramEnd"/>
      <w:r>
        <w:t xml:space="preserve"> gambler affects 6 others (on average), each</w:t>
      </w:r>
      <w:r>
        <w:rPr>
          <w:spacing w:val="1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gambler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gambler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person.</w:t>
      </w:r>
    </w:p>
    <w:p w14:paraId="26FF1004" w14:textId="77777777" w:rsidR="000A1CFC" w:rsidRDefault="00C36858">
      <w:pPr>
        <w:pStyle w:val="BodyText"/>
        <w:spacing w:line="276" w:lineRule="exact"/>
        <w:ind w:left="102"/>
        <w:rPr>
          <w:sz w:val="16"/>
        </w:rPr>
      </w:pPr>
      <w:r>
        <w:t>Those</w:t>
      </w:r>
      <w:r>
        <w:rPr>
          <w:spacing w:val="-4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family,</w:t>
      </w:r>
      <w:r>
        <w:rPr>
          <w:spacing w:val="-1"/>
        </w:rPr>
        <w:t xml:space="preserve"> </w:t>
      </w:r>
      <w:proofErr w:type="gramStart"/>
      <w:r>
        <w:t>friends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employers.</w:t>
      </w:r>
      <w:r>
        <w:rPr>
          <w:position w:val="8"/>
          <w:sz w:val="16"/>
        </w:rPr>
        <w:t>4</w:t>
      </w:r>
    </w:p>
    <w:p w14:paraId="26FF1005" w14:textId="77777777" w:rsidR="000A1CFC" w:rsidRDefault="000A1CFC">
      <w:pPr>
        <w:pStyle w:val="BodyText"/>
        <w:spacing w:before="2"/>
      </w:pPr>
    </w:p>
    <w:p w14:paraId="26FF1006" w14:textId="77777777" w:rsidR="000A1CFC" w:rsidRDefault="00C36858">
      <w:pPr>
        <w:pStyle w:val="BodyText"/>
        <w:spacing w:line="237" w:lineRule="auto"/>
        <w:ind w:left="102" w:right="856"/>
      </w:pPr>
      <w:r>
        <w:t>The social cost of problem gambling in Australia over one year has been</w:t>
      </w:r>
      <w:r>
        <w:rPr>
          <w:spacing w:val="1"/>
        </w:rPr>
        <w:t xml:space="preserve"> </w:t>
      </w:r>
      <w:r>
        <w:t>estimated to be between $4.7 and $8.4 billion. The social (non-financial) costs</w:t>
      </w:r>
      <w:r>
        <w:rPr>
          <w:spacing w:val="-6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gambler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$10,000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$30,</w:t>
      </w:r>
      <w:r>
        <w:t>000.</w:t>
      </w:r>
      <w:r>
        <w:rPr>
          <w:position w:val="8"/>
          <w:sz w:val="16"/>
        </w:rPr>
        <w:t>5</w:t>
      </w:r>
      <w:r>
        <w:rPr>
          <w:spacing w:val="20"/>
          <w:position w:val="8"/>
          <w:sz w:val="16"/>
        </w:rPr>
        <w:t xml:space="preserve"> </w:t>
      </w:r>
      <w:r>
        <w:t>In</w:t>
      </w:r>
    </w:p>
    <w:p w14:paraId="26FF1007" w14:textId="77777777" w:rsidR="000A1CFC" w:rsidRDefault="000A1CFC">
      <w:pPr>
        <w:pStyle w:val="BodyText"/>
        <w:rPr>
          <w:sz w:val="20"/>
        </w:rPr>
      </w:pPr>
    </w:p>
    <w:p w14:paraId="26FF1008" w14:textId="77777777" w:rsidR="000A1CFC" w:rsidRDefault="000A1CFC">
      <w:pPr>
        <w:pStyle w:val="BodyText"/>
        <w:rPr>
          <w:sz w:val="20"/>
        </w:rPr>
      </w:pPr>
    </w:p>
    <w:p w14:paraId="26FF1009" w14:textId="77777777" w:rsidR="000A1CFC" w:rsidRDefault="000A1CFC">
      <w:pPr>
        <w:pStyle w:val="BodyText"/>
        <w:rPr>
          <w:sz w:val="20"/>
        </w:rPr>
      </w:pPr>
    </w:p>
    <w:p w14:paraId="26FF100A" w14:textId="6A3A0CA6" w:rsidR="000A1CFC" w:rsidRDefault="00593AE1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FF1040" wp14:editId="3434D772">
                <wp:simplePos x="0" y="0"/>
                <wp:positionH relativeFrom="page">
                  <wp:posOffset>1981200</wp:posOffset>
                </wp:positionH>
                <wp:positionV relativeFrom="paragraph">
                  <wp:posOffset>226060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7A10" id="Rectangle 3" o:spid="_x0000_s1026" style="position:absolute;margin-left:156pt;margin-top:17.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6FF100B" w14:textId="77777777" w:rsidR="000A1CFC" w:rsidRDefault="00C36858">
      <w:pPr>
        <w:spacing w:before="67"/>
        <w:ind w:left="243" w:right="1132" w:hanging="142"/>
        <w:rPr>
          <w:i/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 xml:space="preserve">Australian Banking Association, </w:t>
      </w:r>
      <w:r>
        <w:rPr>
          <w:i/>
          <w:sz w:val="18"/>
        </w:rPr>
        <w:t>Consultation Paper: Use of credit cards for gambling transactions,</w:t>
      </w:r>
      <w:r>
        <w:rPr>
          <w:i/>
          <w:spacing w:val="1"/>
          <w:sz w:val="18"/>
        </w:rPr>
        <w:t xml:space="preserve"> </w:t>
      </w:r>
      <w:hyperlink r:id="rId11">
        <w:r>
          <w:rPr>
            <w:i/>
            <w:color w:val="0000FF"/>
            <w:spacing w:val="-1"/>
            <w:sz w:val="18"/>
            <w:u w:val="single" w:color="0000FF"/>
          </w:rPr>
          <w:t>https://www.ausb</w:t>
        </w:r>
        <w:r>
          <w:rPr>
            <w:i/>
            <w:color w:val="0000FF"/>
            <w:spacing w:val="-1"/>
            <w:sz w:val="18"/>
            <w:u w:val="single" w:color="0000FF"/>
          </w:rPr>
          <w:t>anking.org.au/wp-content/uploads/2019/12/Consultation-Paper-Credit-Cards-and-</w:t>
        </w:r>
      </w:hyperlink>
      <w:r>
        <w:rPr>
          <w:i/>
          <w:color w:val="0000FF"/>
          <w:sz w:val="18"/>
        </w:rPr>
        <w:t xml:space="preserve"> </w:t>
      </w:r>
      <w:hyperlink r:id="rId12">
        <w:r>
          <w:rPr>
            <w:i/>
            <w:color w:val="0000FF"/>
            <w:sz w:val="18"/>
            <w:u w:val="single" w:color="0000FF"/>
          </w:rPr>
          <w:t>Gambling.pdf</w:t>
        </w:r>
        <w:r>
          <w:rPr>
            <w:i/>
            <w:color w:val="0000FF"/>
            <w:sz w:val="18"/>
          </w:rPr>
          <w:t xml:space="preserve"> </w:t>
        </w:r>
      </w:hyperlink>
      <w:r>
        <w:rPr>
          <w:i/>
          <w:sz w:val="18"/>
        </w:rPr>
        <w:t>(accessed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 April 2021)</w:t>
      </w:r>
    </w:p>
    <w:p w14:paraId="26FF100C" w14:textId="77777777" w:rsidR="000A1CFC" w:rsidRDefault="00C36858">
      <w:pPr>
        <w:spacing w:before="57"/>
        <w:ind w:left="243" w:right="592" w:hanging="142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 xml:space="preserve">C Livingstone, </w:t>
      </w:r>
      <w:r>
        <w:rPr>
          <w:i/>
          <w:sz w:val="18"/>
        </w:rPr>
        <w:t>A blueprint for preventing and minimising harm from electronic gaming machines in the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ACT, </w:t>
      </w:r>
      <w:r>
        <w:rPr>
          <w:sz w:val="18"/>
        </w:rPr>
        <w:t>Gambling and Social Determinants Unit, School of Public Health and Preventative Medicine,</w:t>
      </w:r>
      <w:r>
        <w:rPr>
          <w:spacing w:val="1"/>
          <w:sz w:val="18"/>
        </w:rPr>
        <w:t xml:space="preserve"> </w:t>
      </w:r>
      <w:r>
        <w:rPr>
          <w:sz w:val="18"/>
        </w:rPr>
        <w:t>Monash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Melbourne, 2018.</w:t>
      </w:r>
    </w:p>
    <w:p w14:paraId="26FF100D" w14:textId="77777777" w:rsidR="000A1CFC" w:rsidRDefault="00C36858">
      <w:pPr>
        <w:spacing w:before="54"/>
        <w:ind w:left="102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Productivity</w:t>
      </w:r>
      <w:r>
        <w:rPr>
          <w:spacing w:val="-3"/>
          <w:sz w:val="18"/>
        </w:rPr>
        <w:t xml:space="preserve"> </w:t>
      </w:r>
      <w:r>
        <w:rPr>
          <w:sz w:val="18"/>
        </w:rPr>
        <w:t>Commissio</w:t>
      </w:r>
      <w:r>
        <w:rPr>
          <w:sz w:val="18"/>
        </w:rPr>
        <w:t>n,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Gambling.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Productivity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Commission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Inquiry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Report.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Volume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1.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  <w:r>
        <w:rPr>
          <w:spacing w:val="-2"/>
          <w:sz w:val="18"/>
        </w:rPr>
        <w:t xml:space="preserve"> </w:t>
      </w:r>
      <w:r>
        <w:rPr>
          <w:sz w:val="18"/>
        </w:rPr>
        <w:t>50,</w:t>
      </w:r>
    </w:p>
    <w:p w14:paraId="26FF100E" w14:textId="77777777" w:rsidR="000A1CFC" w:rsidRDefault="00C36858">
      <w:pPr>
        <w:spacing w:before="2" w:line="207" w:lineRule="exact"/>
        <w:ind w:left="243"/>
        <w:rPr>
          <w:sz w:val="18"/>
        </w:rPr>
      </w:pPr>
      <w:r>
        <w:rPr>
          <w:sz w:val="18"/>
        </w:rPr>
        <w:t>Productivity</w:t>
      </w:r>
      <w:r>
        <w:rPr>
          <w:spacing w:val="-2"/>
          <w:sz w:val="18"/>
        </w:rPr>
        <w:t xml:space="preserve"> </w:t>
      </w:r>
      <w:r>
        <w:rPr>
          <w:sz w:val="18"/>
        </w:rPr>
        <w:t>Commission,</w:t>
      </w:r>
      <w:r>
        <w:rPr>
          <w:spacing w:val="-2"/>
          <w:sz w:val="18"/>
        </w:rPr>
        <w:t xml:space="preserve"> </w:t>
      </w:r>
      <w:r>
        <w:rPr>
          <w:sz w:val="18"/>
        </w:rPr>
        <w:t>Canberra,</w:t>
      </w:r>
      <w:r>
        <w:rPr>
          <w:spacing w:val="-4"/>
          <w:sz w:val="18"/>
        </w:rPr>
        <w:t xml:space="preserve"> </w:t>
      </w:r>
      <w:r>
        <w:rPr>
          <w:sz w:val="18"/>
        </w:rPr>
        <w:t>2010,</w:t>
      </w:r>
      <w:r>
        <w:rPr>
          <w:spacing w:val="-2"/>
          <w:sz w:val="18"/>
        </w:rPr>
        <w:t xml:space="preserve"> </w:t>
      </w:r>
      <w:r>
        <w:rPr>
          <w:sz w:val="18"/>
        </w:rPr>
        <w:t>p.48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</w:p>
    <w:p w14:paraId="26FF100F" w14:textId="77777777" w:rsidR="000A1CFC" w:rsidRDefault="00C36858">
      <w:pPr>
        <w:spacing w:line="207" w:lineRule="exact"/>
        <w:ind w:left="243"/>
        <w:rPr>
          <w:sz w:val="18"/>
        </w:rPr>
      </w:pPr>
      <w:r>
        <w:rPr>
          <w:sz w:val="18"/>
        </w:rPr>
        <w:t>p.6.34</w:t>
      </w:r>
      <w:r>
        <w:rPr>
          <w:color w:val="0000FF"/>
          <w:spacing w:val="-8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https://www.pc.gov.au/inquiries/completed/gambling-2010/report/gambling-report-volume1.pd</w:t>
        </w:r>
      </w:hyperlink>
      <w:r>
        <w:rPr>
          <w:color w:val="0000FF"/>
          <w:sz w:val="18"/>
          <w:u w:val="single" w:color="0000FF"/>
        </w:rPr>
        <w:t xml:space="preserve">f </w:t>
      </w:r>
      <w:r>
        <w:rPr>
          <w:color w:val="0000FF"/>
          <w:spacing w:val="-3"/>
          <w:sz w:val="18"/>
          <w:u w:val="single" w:color="0000FF"/>
        </w:rPr>
        <w:t xml:space="preserve"> </w:t>
      </w:r>
    </w:p>
    <w:p w14:paraId="26FF1010" w14:textId="77777777" w:rsidR="000A1CFC" w:rsidRDefault="000A1CFC">
      <w:pPr>
        <w:spacing w:line="207" w:lineRule="exact"/>
        <w:rPr>
          <w:sz w:val="18"/>
        </w:rPr>
        <w:sectPr w:rsidR="000A1CFC">
          <w:pgSz w:w="11910" w:h="16840"/>
          <w:pgMar w:top="1580" w:right="1060" w:bottom="960" w:left="1600" w:header="0" w:footer="774" w:gutter="0"/>
          <w:cols w:space="720"/>
        </w:sectPr>
      </w:pPr>
    </w:p>
    <w:p w14:paraId="26FF1011" w14:textId="77777777" w:rsidR="000A1CFC" w:rsidRDefault="000A1CFC">
      <w:pPr>
        <w:pStyle w:val="BodyText"/>
        <w:rPr>
          <w:sz w:val="20"/>
        </w:rPr>
      </w:pPr>
    </w:p>
    <w:p w14:paraId="26FF1012" w14:textId="77777777" w:rsidR="000A1CFC" w:rsidRDefault="000A1CFC">
      <w:pPr>
        <w:pStyle w:val="BodyText"/>
        <w:rPr>
          <w:sz w:val="20"/>
        </w:rPr>
      </w:pPr>
    </w:p>
    <w:p w14:paraId="26FF1013" w14:textId="77777777" w:rsidR="000A1CFC" w:rsidRDefault="000A1CFC">
      <w:pPr>
        <w:pStyle w:val="BodyText"/>
        <w:rPr>
          <w:sz w:val="20"/>
        </w:rPr>
      </w:pPr>
    </w:p>
    <w:p w14:paraId="26FF1014" w14:textId="77777777" w:rsidR="000A1CFC" w:rsidRDefault="000A1CFC">
      <w:pPr>
        <w:pStyle w:val="BodyText"/>
        <w:rPr>
          <w:sz w:val="20"/>
        </w:rPr>
      </w:pPr>
    </w:p>
    <w:p w14:paraId="26FF1015" w14:textId="77777777" w:rsidR="000A1CFC" w:rsidRDefault="000A1CFC">
      <w:pPr>
        <w:pStyle w:val="BodyText"/>
        <w:spacing w:before="6"/>
        <w:rPr>
          <w:sz w:val="19"/>
        </w:rPr>
      </w:pPr>
    </w:p>
    <w:p w14:paraId="26FF1016" w14:textId="77777777" w:rsidR="000A1CFC" w:rsidRDefault="00C36858">
      <w:pPr>
        <w:pStyle w:val="BodyText"/>
        <w:spacing w:before="97" w:line="235" w:lineRule="auto"/>
        <w:ind w:left="102" w:right="1336"/>
        <w:rPr>
          <w:sz w:val="16"/>
        </w:rPr>
      </w:pPr>
      <w:r>
        <w:t>the ACT total gambling losses in</w:t>
      </w:r>
      <w:r>
        <w:t xml:space="preserve"> the ACT in 2017-18 amounted to $242.7</w:t>
      </w:r>
      <w:r>
        <w:rPr>
          <w:spacing w:val="-64"/>
        </w:rPr>
        <w:t xml:space="preserve"> </w:t>
      </w:r>
      <w:r>
        <w:t>million or</w:t>
      </w:r>
      <w:r>
        <w:rPr>
          <w:spacing w:val="-1"/>
        </w:rPr>
        <w:t xml:space="preserve"> </w:t>
      </w:r>
      <w:r>
        <w:t>$749 per capita.</w:t>
      </w:r>
      <w:r>
        <w:rPr>
          <w:position w:val="8"/>
          <w:sz w:val="16"/>
        </w:rPr>
        <w:t>6</w:t>
      </w:r>
    </w:p>
    <w:p w14:paraId="26FF1017" w14:textId="77777777" w:rsidR="000A1CFC" w:rsidRDefault="000A1CFC">
      <w:pPr>
        <w:pStyle w:val="BodyText"/>
        <w:spacing w:before="1"/>
      </w:pPr>
    </w:p>
    <w:p w14:paraId="26FF1018" w14:textId="77777777" w:rsidR="000A1CFC" w:rsidRDefault="00C36858">
      <w:pPr>
        <w:pStyle w:val="BodyText"/>
        <w:ind w:left="102" w:right="790"/>
      </w:pPr>
      <w:r>
        <w:t>This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>gambling. We urge the committee and all members and senators of the</w:t>
      </w:r>
      <w:r>
        <w:rPr>
          <w:spacing w:val="1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 this imp</w:t>
      </w:r>
      <w:r>
        <w:t>ortant</w:t>
      </w:r>
      <w:r>
        <w:rPr>
          <w:spacing w:val="-5"/>
        </w:rPr>
        <w:t xml:space="preserve"> </w:t>
      </w:r>
      <w:r>
        <w:t>Bill.</w:t>
      </w:r>
    </w:p>
    <w:p w14:paraId="26FF1019" w14:textId="77777777" w:rsidR="000A1CFC" w:rsidRDefault="000A1CFC">
      <w:pPr>
        <w:pStyle w:val="BodyText"/>
      </w:pPr>
    </w:p>
    <w:p w14:paraId="26FF101A" w14:textId="77777777" w:rsidR="000A1CFC" w:rsidRDefault="00C36858">
      <w:pPr>
        <w:pStyle w:val="BodyText"/>
        <w:ind w:left="102" w:right="977"/>
      </w:pPr>
      <w:r>
        <w:t>CGRA would welcome the opportunity to discuss this submission further with</w:t>
      </w:r>
      <w:r>
        <w:rPr>
          <w:spacing w:val="-64"/>
        </w:rPr>
        <w:t xml:space="preserve"> </w:t>
      </w:r>
      <w:r>
        <w:t>the committee. CGRA can be contacted by email at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jeremy.halcrow@anglicare.com.au</w:t>
        </w:r>
        <w:r>
          <w:rPr>
            <w:color w:val="0000FF"/>
            <w:spacing w:val="2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kate@thehopeprojectnow.com</w:t>
        </w:r>
      </w:hyperlink>
      <w:r>
        <w:t>.</w:t>
      </w:r>
    </w:p>
    <w:p w14:paraId="26FF101B" w14:textId="77777777" w:rsidR="000A1CFC" w:rsidRDefault="000A1CFC">
      <w:pPr>
        <w:pStyle w:val="BodyText"/>
        <w:rPr>
          <w:sz w:val="20"/>
        </w:rPr>
      </w:pPr>
    </w:p>
    <w:p w14:paraId="26FF101C" w14:textId="77777777" w:rsidR="000A1CFC" w:rsidRDefault="000A1CFC">
      <w:pPr>
        <w:pStyle w:val="BodyText"/>
        <w:spacing w:before="1"/>
        <w:rPr>
          <w:sz w:val="20"/>
        </w:rPr>
      </w:pPr>
    </w:p>
    <w:p w14:paraId="26FF101D" w14:textId="77777777" w:rsidR="000A1CFC" w:rsidRDefault="00C36858">
      <w:pPr>
        <w:pStyle w:val="BodyText"/>
        <w:spacing w:before="92"/>
        <w:ind w:left="10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6FF1041" wp14:editId="26FF1042">
            <wp:simplePos x="0" y="0"/>
            <wp:positionH relativeFrom="page">
              <wp:posOffset>4077830</wp:posOffset>
            </wp:positionH>
            <wp:positionV relativeFrom="paragraph">
              <wp:posOffset>165488</wp:posOffset>
            </wp:positionV>
            <wp:extent cx="1384930" cy="765369"/>
            <wp:effectExtent l="0" t="0" r="0" b="0"/>
            <wp:wrapNone/>
            <wp:docPr id="3" name="image2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0" cy="76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1"/>
        </w:rPr>
        <w:t xml:space="preserve"> </w:t>
      </w:r>
      <w:r>
        <w:t>sincerely</w:t>
      </w:r>
    </w:p>
    <w:p w14:paraId="26FF101E" w14:textId="77777777" w:rsidR="000A1CFC" w:rsidRDefault="00C36858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6FF1043" wp14:editId="26FF1044">
            <wp:simplePos x="0" y="0"/>
            <wp:positionH relativeFrom="page">
              <wp:posOffset>1080135</wp:posOffset>
            </wp:positionH>
            <wp:positionV relativeFrom="paragraph">
              <wp:posOffset>174784</wp:posOffset>
            </wp:positionV>
            <wp:extent cx="2191602" cy="3048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6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F101F" w14:textId="77777777" w:rsidR="000A1CFC" w:rsidRDefault="000A1CFC">
      <w:pPr>
        <w:pStyle w:val="BodyText"/>
        <w:rPr>
          <w:sz w:val="20"/>
        </w:rPr>
      </w:pPr>
    </w:p>
    <w:p w14:paraId="26FF1020" w14:textId="77777777" w:rsidR="000A1CFC" w:rsidRDefault="000A1CFC">
      <w:pPr>
        <w:pStyle w:val="BodyText"/>
        <w:spacing w:before="5"/>
        <w:rPr>
          <w:sz w:val="22"/>
        </w:rPr>
      </w:pPr>
    </w:p>
    <w:p w14:paraId="26FF1021" w14:textId="77777777" w:rsidR="000A1CFC" w:rsidRDefault="00C36858">
      <w:pPr>
        <w:pStyle w:val="BodyText"/>
        <w:tabs>
          <w:tab w:val="left" w:pos="4924"/>
        </w:tabs>
        <w:ind w:left="102"/>
      </w:pPr>
      <w:r>
        <w:t>Jeremy</w:t>
      </w:r>
      <w:r>
        <w:rPr>
          <w:spacing w:val="-2"/>
        </w:rPr>
        <w:t xml:space="preserve"> </w:t>
      </w:r>
      <w:r>
        <w:t>Halcrow</w:t>
      </w:r>
      <w:r>
        <w:tab/>
        <w:t>Kate</w:t>
      </w:r>
      <w:r>
        <w:rPr>
          <w:spacing w:val="-2"/>
        </w:rPr>
        <w:t xml:space="preserve"> </w:t>
      </w:r>
      <w:proofErr w:type="spellStart"/>
      <w:r>
        <w:t>Seselja</w:t>
      </w:r>
      <w:proofErr w:type="spellEnd"/>
    </w:p>
    <w:p w14:paraId="26FF1022" w14:textId="77777777" w:rsidR="000A1CFC" w:rsidRDefault="00C36858">
      <w:pPr>
        <w:pStyle w:val="BodyText"/>
        <w:tabs>
          <w:tab w:val="left" w:pos="4924"/>
        </w:tabs>
        <w:ind w:left="102" w:right="1426"/>
      </w:pPr>
      <w:r>
        <w:t>Chief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Anglicare</w:t>
      </w:r>
      <w:r>
        <w:rPr>
          <w:spacing w:val="-3"/>
        </w:rPr>
        <w:t xml:space="preserve"> </w:t>
      </w:r>
      <w:r>
        <w:t>ACT</w:t>
      </w:r>
      <w:r>
        <w:tab/>
        <w:t>Founder, The Hope Project</w:t>
      </w:r>
      <w:r>
        <w:rPr>
          <w:spacing w:val="-64"/>
        </w:rPr>
        <w:t xml:space="preserve"> </w:t>
      </w:r>
      <w:r>
        <w:t>Co-Chair</w:t>
      </w:r>
      <w:r>
        <w:rPr>
          <w:spacing w:val="-3"/>
        </w:rPr>
        <w:t xml:space="preserve"> </w:t>
      </w:r>
      <w:r>
        <w:t>CGRA</w:t>
      </w:r>
      <w:r>
        <w:tab/>
        <w:t>Co-Chair</w:t>
      </w:r>
      <w:r>
        <w:rPr>
          <w:spacing w:val="-2"/>
        </w:rPr>
        <w:t xml:space="preserve"> </w:t>
      </w:r>
      <w:r>
        <w:t>CGRA</w:t>
      </w:r>
    </w:p>
    <w:p w14:paraId="26FF1023" w14:textId="77777777" w:rsidR="000A1CFC" w:rsidRDefault="000A1CFC">
      <w:pPr>
        <w:pStyle w:val="BodyText"/>
      </w:pPr>
    </w:p>
    <w:p w14:paraId="26FF1024" w14:textId="77777777" w:rsidR="000A1CFC" w:rsidRDefault="00C36858">
      <w:pPr>
        <w:pStyle w:val="BodyText"/>
        <w:ind w:left="102"/>
      </w:pPr>
      <w:r>
        <w:t>29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2020</w:t>
      </w:r>
    </w:p>
    <w:p w14:paraId="26FF1025" w14:textId="77777777" w:rsidR="000A1CFC" w:rsidRDefault="000A1CFC">
      <w:pPr>
        <w:pStyle w:val="BodyText"/>
        <w:rPr>
          <w:sz w:val="20"/>
        </w:rPr>
      </w:pPr>
    </w:p>
    <w:p w14:paraId="26FF1026" w14:textId="77777777" w:rsidR="000A1CFC" w:rsidRDefault="000A1CFC">
      <w:pPr>
        <w:pStyle w:val="BodyText"/>
        <w:rPr>
          <w:sz w:val="20"/>
        </w:rPr>
      </w:pPr>
    </w:p>
    <w:p w14:paraId="26FF1027" w14:textId="77777777" w:rsidR="000A1CFC" w:rsidRDefault="000A1CFC">
      <w:pPr>
        <w:pStyle w:val="BodyText"/>
        <w:rPr>
          <w:sz w:val="20"/>
        </w:rPr>
      </w:pPr>
    </w:p>
    <w:p w14:paraId="26FF1028" w14:textId="77777777" w:rsidR="000A1CFC" w:rsidRDefault="000A1CFC">
      <w:pPr>
        <w:pStyle w:val="BodyText"/>
        <w:rPr>
          <w:sz w:val="20"/>
        </w:rPr>
      </w:pPr>
    </w:p>
    <w:p w14:paraId="26FF1029" w14:textId="77777777" w:rsidR="000A1CFC" w:rsidRDefault="000A1CFC">
      <w:pPr>
        <w:pStyle w:val="BodyText"/>
        <w:rPr>
          <w:sz w:val="20"/>
        </w:rPr>
      </w:pPr>
    </w:p>
    <w:p w14:paraId="26FF102A" w14:textId="77777777" w:rsidR="000A1CFC" w:rsidRDefault="000A1CFC">
      <w:pPr>
        <w:pStyle w:val="BodyText"/>
        <w:rPr>
          <w:sz w:val="20"/>
        </w:rPr>
      </w:pPr>
    </w:p>
    <w:p w14:paraId="26FF102B" w14:textId="77777777" w:rsidR="000A1CFC" w:rsidRDefault="000A1CFC">
      <w:pPr>
        <w:pStyle w:val="BodyText"/>
        <w:rPr>
          <w:sz w:val="20"/>
        </w:rPr>
      </w:pPr>
    </w:p>
    <w:p w14:paraId="26FF102C" w14:textId="77777777" w:rsidR="000A1CFC" w:rsidRDefault="000A1CFC">
      <w:pPr>
        <w:pStyle w:val="BodyText"/>
        <w:rPr>
          <w:sz w:val="20"/>
        </w:rPr>
      </w:pPr>
    </w:p>
    <w:p w14:paraId="26FF102D" w14:textId="77777777" w:rsidR="000A1CFC" w:rsidRDefault="000A1CFC">
      <w:pPr>
        <w:pStyle w:val="BodyText"/>
        <w:rPr>
          <w:sz w:val="20"/>
        </w:rPr>
      </w:pPr>
    </w:p>
    <w:p w14:paraId="26FF102E" w14:textId="77777777" w:rsidR="000A1CFC" w:rsidRDefault="000A1CFC">
      <w:pPr>
        <w:pStyle w:val="BodyText"/>
        <w:rPr>
          <w:sz w:val="20"/>
        </w:rPr>
      </w:pPr>
    </w:p>
    <w:p w14:paraId="26FF102F" w14:textId="77777777" w:rsidR="000A1CFC" w:rsidRDefault="000A1CFC">
      <w:pPr>
        <w:pStyle w:val="BodyText"/>
        <w:rPr>
          <w:sz w:val="20"/>
        </w:rPr>
      </w:pPr>
    </w:p>
    <w:p w14:paraId="26FF1030" w14:textId="77777777" w:rsidR="000A1CFC" w:rsidRDefault="000A1CFC">
      <w:pPr>
        <w:pStyle w:val="BodyText"/>
        <w:rPr>
          <w:sz w:val="20"/>
        </w:rPr>
      </w:pPr>
    </w:p>
    <w:p w14:paraId="26FF1031" w14:textId="77777777" w:rsidR="000A1CFC" w:rsidRDefault="000A1CFC">
      <w:pPr>
        <w:pStyle w:val="BodyText"/>
        <w:rPr>
          <w:sz w:val="20"/>
        </w:rPr>
      </w:pPr>
    </w:p>
    <w:p w14:paraId="26FF1032" w14:textId="77777777" w:rsidR="000A1CFC" w:rsidRDefault="000A1CFC">
      <w:pPr>
        <w:pStyle w:val="BodyText"/>
        <w:rPr>
          <w:sz w:val="20"/>
        </w:rPr>
      </w:pPr>
    </w:p>
    <w:p w14:paraId="26FF1033" w14:textId="77777777" w:rsidR="000A1CFC" w:rsidRDefault="000A1CFC">
      <w:pPr>
        <w:pStyle w:val="BodyText"/>
        <w:rPr>
          <w:sz w:val="20"/>
        </w:rPr>
      </w:pPr>
    </w:p>
    <w:p w14:paraId="26FF1034" w14:textId="77777777" w:rsidR="000A1CFC" w:rsidRDefault="000A1CFC">
      <w:pPr>
        <w:pStyle w:val="BodyText"/>
        <w:rPr>
          <w:sz w:val="20"/>
        </w:rPr>
      </w:pPr>
    </w:p>
    <w:p w14:paraId="26FF1035" w14:textId="77777777" w:rsidR="000A1CFC" w:rsidRDefault="000A1CFC">
      <w:pPr>
        <w:pStyle w:val="BodyText"/>
        <w:rPr>
          <w:sz w:val="20"/>
        </w:rPr>
      </w:pPr>
    </w:p>
    <w:p w14:paraId="26FF1036" w14:textId="77777777" w:rsidR="000A1CFC" w:rsidRDefault="000A1CFC">
      <w:pPr>
        <w:pStyle w:val="BodyText"/>
        <w:rPr>
          <w:sz w:val="20"/>
        </w:rPr>
      </w:pPr>
    </w:p>
    <w:p w14:paraId="26FF1037" w14:textId="77777777" w:rsidR="000A1CFC" w:rsidRDefault="000A1CFC">
      <w:pPr>
        <w:pStyle w:val="BodyText"/>
        <w:rPr>
          <w:sz w:val="20"/>
        </w:rPr>
      </w:pPr>
    </w:p>
    <w:p w14:paraId="26FF1038" w14:textId="77777777" w:rsidR="000A1CFC" w:rsidRDefault="000A1CFC">
      <w:pPr>
        <w:pStyle w:val="BodyText"/>
        <w:rPr>
          <w:sz w:val="20"/>
        </w:rPr>
      </w:pPr>
    </w:p>
    <w:p w14:paraId="26FF1039" w14:textId="77777777" w:rsidR="000A1CFC" w:rsidRDefault="000A1CFC">
      <w:pPr>
        <w:pStyle w:val="BodyText"/>
        <w:rPr>
          <w:sz w:val="20"/>
        </w:rPr>
      </w:pPr>
    </w:p>
    <w:p w14:paraId="26FF103A" w14:textId="54604BF0" w:rsidR="000A1CFC" w:rsidRDefault="00593AE1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FF1045" wp14:editId="66E40352">
                <wp:simplePos x="0" y="0"/>
                <wp:positionH relativeFrom="page">
                  <wp:posOffset>1981200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C073" id="Rectangle 2" o:spid="_x0000_s1026" style="position:absolute;margin-left:156pt;margin-top:15.3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6FF103B" w14:textId="77777777" w:rsidR="000A1CFC" w:rsidRDefault="00C36858">
      <w:pPr>
        <w:spacing w:before="67"/>
        <w:ind w:left="243" w:right="1125" w:hanging="142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 xml:space="preserve">Queensland Government Statistician's Office, Queensland Treasury, </w:t>
      </w:r>
      <w:r>
        <w:rPr>
          <w:i/>
          <w:sz w:val="18"/>
        </w:rPr>
        <w:t>Australian Gambling Statistics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1991-92 to 2017-18, 35th edition, State Tables, </w:t>
      </w:r>
      <w:r>
        <w:rPr>
          <w:sz w:val="18"/>
        </w:rPr>
        <w:t>Queensland Government Statistician's Office,</w:t>
      </w:r>
      <w:r>
        <w:rPr>
          <w:spacing w:val="1"/>
          <w:sz w:val="18"/>
        </w:rPr>
        <w:t xml:space="preserve"> </w:t>
      </w:r>
      <w:r>
        <w:rPr>
          <w:sz w:val="18"/>
        </w:rPr>
        <w:t>Queensland</w:t>
      </w:r>
      <w:r>
        <w:rPr>
          <w:spacing w:val="-3"/>
          <w:sz w:val="18"/>
        </w:rPr>
        <w:t xml:space="preserve"> </w:t>
      </w:r>
      <w:r>
        <w:rPr>
          <w:sz w:val="18"/>
        </w:rPr>
        <w:t>Treasury, Brisbane,</w:t>
      </w:r>
      <w:r>
        <w:rPr>
          <w:spacing w:val="-1"/>
          <w:sz w:val="18"/>
        </w:rPr>
        <w:t xml:space="preserve"> </w:t>
      </w:r>
      <w:r>
        <w:rPr>
          <w:sz w:val="18"/>
        </w:rPr>
        <w:t>2019, Table</w:t>
      </w:r>
      <w:r>
        <w:rPr>
          <w:spacing w:val="-3"/>
          <w:sz w:val="18"/>
        </w:rPr>
        <w:t xml:space="preserve"> </w:t>
      </w:r>
      <w:r>
        <w:rPr>
          <w:sz w:val="18"/>
        </w:rPr>
        <w:t>ACT 51</w:t>
      </w:r>
      <w:r>
        <w:rPr>
          <w:spacing w:val="-3"/>
          <w:sz w:val="18"/>
        </w:rPr>
        <w:t xml:space="preserve"> </w:t>
      </w:r>
      <w:r>
        <w:rPr>
          <w:sz w:val="18"/>
        </w:rPr>
        <w:t>p. 425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Table ACT</w:t>
      </w:r>
      <w:r>
        <w:rPr>
          <w:spacing w:val="-1"/>
          <w:sz w:val="18"/>
        </w:rPr>
        <w:t xml:space="preserve"> </w:t>
      </w:r>
      <w:r>
        <w:rPr>
          <w:sz w:val="18"/>
        </w:rPr>
        <w:t>53</w:t>
      </w:r>
      <w:r>
        <w:rPr>
          <w:spacing w:val="-2"/>
          <w:sz w:val="18"/>
        </w:rPr>
        <w:t xml:space="preserve"> </w:t>
      </w:r>
      <w:r>
        <w:rPr>
          <w:sz w:val="18"/>
        </w:rPr>
        <w:t>p.</w:t>
      </w:r>
    </w:p>
    <w:p w14:paraId="26FF103C" w14:textId="77777777" w:rsidR="000A1CFC" w:rsidRDefault="00C36858">
      <w:pPr>
        <w:spacing w:before="1"/>
        <w:ind w:left="243" w:right="647"/>
        <w:rPr>
          <w:sz w:val="18"/>
        </w:rPr>
      </w:pPr>
      <w:r>
        <w:rPr>
          <w:spacing w:val="-1"/>
          <w:sz w:val="18"/>
        </w:rPr>
        <w:t>427,</w:t>
      </w:r>
      <w:r>
        <w:rPr>
          <w:sz w:val="18"/>
        </w:rPr>
        <w:t xml:space="preserve"> </w:t>
      </w:r>
      <w:r>
        <w:rPr>
          <w:color w:val="0000FF"/>
          <w:spacing w:val="-1"/>
          <w:sz w:val="18"/>
          <w:u w:val="single" w:color="0000FF"/>
        </w:rPr>
        <w:t>https:/</w:t>
      </w:r>
      <w:hyperlink r:id="rId18">
        <w:r>
          <w:rPr>
            <w:color w:val="0000FF"/>
            <w:spacing w:val="-1"/>
            <w:sz w:val="18"/>
            <w:u w:val="single" w:color="0000FF"/>
          </w:rPr>
          <w:t>/www.q</w:t>
        </w:r>
      </w:hyperlink>
      <w:r>
        <w:rPr>
          <w:color w:val="0000FF"/>
          <w:spacing w:val="-1"/>
          <w:sz w:val="18"/>
          <w:u w:val="single" w:color="0000FF"/>
        </w:rPr>
        <w:t>g</w:t>
      </w:r>
      <w:hyperlink r:id="rId19">
        <w:r>
          <w:rPr>
            <w:color w:val="0000FF"/>
            <w:spacing w:val="-1"/>
            <w:sz w:val="18"/>
            <w:u w:val="single" w:color="0000FF"/>
          </w:rPr>
          <w:t>so.qld.gov.au/issues/2646/australian-gambling-statistics-35th-edn-1992-93-2017-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z w:val="18"/>
          <w:u w:val="single" w:color="0000FF"/>
        </w:rPr>
        <w:t>18.pdf</w:t>
      </w:r>
    </w:p>
    <w:sectPr w:rsidR="000A1CFC">
      <w:pgSz w:w="11910" w:h="16840"/>
      <w:pgMar w:top="1580" w:right="1060" w:bottom="960" w:left="1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104B" w14:textId="77777777" w:rsidR="00000000" w:rsidRDefault="00C36858">
      <w:r>
        <w:separator/>
      </w:r>
    </w:p>
  </w:endnote>
  <w:endnote w:type="continuationSeparator" w:id="0">
    <w:p w14:paraId="26FF104D" w14:textId="77777777" w:rsidR="00000000" w:rsidRDefault="00C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046" w14:textId="0B7B51A3" w:rsidR="000A1CFC" w:rsidRDefault="00593A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FF1047" wp14:editId="648989E0">
              <wp:simplePos x="0" y="0"/>
              <wp:positionH relativeFrom="page">
                <wp:posOffset>4150360</wp:posOffset>
              </wp:positionH>
              <wp:positionV relativeFrom="page">
                <wp:posOffset>10061575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F1048" w14:textId="77777777" w:rsidR="000A1CFC" w:rsidRDefault="00C3685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F1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8pt;margin-top:792.2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" filled="f" stroked="f">
              <v:textbox inset="0,0,0,0">
                <w:txbxContent>
                  <w:p w14:paraId="26FF1048" w14:textId="77777777" w:rsidR="000A1CFC" w:rsidRDefault="00C3685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1047" w14:textId="77777777" w:rsidR="00000000" w:rsidRDefault="00C36858">
      <w:r>
        <w:separator/>
      </w:r>
    </w:p>
  </w:footnote>
  <w:footnote w:type="continuationSeparator" w:id="0">
    <w:p w14:paraId="26FF1049" w14:textId="77777777" w:rsidR="00000000" w:rsidRDefault="00C3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FC"/>
    <w:rsid w:val="000A1CFC"/>
    <w:rsid w:val="00593AE1"/>
    <w:rsid w:val="00C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F0FBA"/>
  <w15:docId w15:val="{74AE398F-8A53-45CC-B47D-0B5B48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2" w:right="64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banking.org.au/wp-content/uploads/2019/12/Consultation-Paper-Credit-Cards-and-Gambling.pdf" TargetMode="External"/><Relationship Id="rId13" Type="http://schemas.openxmlformats.org/officeDocument/2006/relationships/hyperlink" Target="https://www.pc.gov.au/inquiries/completed/gambling-2010/report/gambling-report-volume1.pdf" TargetMode="External"/><Relationship Id="rId18" Type="http://schemas.openxmlformats.org/officeDocument/2006/relationships/hyperlink" Target="http://www.qgso.qld.gov.au/issues/2646/australian-gambling-statistics-35th-edn-1992-93-2017-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c.sen@aph.gov.au" TargetMode="External"/><Relationship Id="rId12" Type="http://schemas.openxmlformats.org/officeDocument/2006/relationships/hyperlink" Target="https://www.ausbanking.org.au/wp-content/uploads/2019/12/Consultation-Paper-Credit-Cards-and-Gambling.pdf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usbanking.org.au/wp-content/uploads/2019/12/Consultation-Paper-Credit-Cards-and-Gambling.pd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te@thehopeprojectnow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qgso.qld.gov.au/issues/2646/australian-gambling-statistics-35th-edn-1992-93-2017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sbanking.org.au/wp-content/uploads/2019/12/Consultation-Paper-Credit-Cards-and-Gambling.pdf" TargetMode="External"/><Relationship Id="rId14" Type="http://schemas.openxmlformats.org/officeDocument/2006/relationships/hyperlink" Target="mailto:jeremy.halcrow@angli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1265</Words>
  <Characters>7175</Characters>
  <Application>Microsoft Office Word</Application>
  <DocSecurity>0</DocSecurity>
  <Lines>287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CGRA Submission: Interactive Gambling Amendment (Prohibition on Credit Card Use) Bill 2020</dc:title>
  <dc:creator/>
  <cp:lastModifiedBy>Suzanne Richardson</cp:lastModifiedBy>
  <cp:revision>3</cp:revision>
  <dcterms:created xsi:type="dcterms:W3CDTF">2021-05-04T00:56:00Z</dcterms:created>
  <dcterms:modified xsi:type="dcterms:W3CDTF">2021-05-04T01:02:00Z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2021-05-04T00:00:00Z</vt:filetime>
  </property>
</Properties>
</file>