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BCC49" w14:textId="5990A31B" w:rsidR="00F62238" w:rsidRPr="00CA7855" w:rsidRDefault="00551B34" w:rsidP="009401A9">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7275"/>
        </w:tabs>
      </w:pPr>
      <w:r>
        <w:rPr>
          <w:noProof/>
          <w:lang w:eastAsia="en-AU"/>
        </w:rPr>
        <w:drawing>
          <wp:anchor distT="0" distB="0" distL="114300" distR="114300" simplePos="0" relativeHeight="251657728" behindDoc="1" locked="0" layoutInCell="1" allowOverlap="1" wp14:anchorId="66308F6E" wp14:editId="1CCE2292">
            <wp:simplePos x="0" y="0"/>
            <wp:positionH relativeFrom="column">
              <wp:posOffset>-1192530</wp:posOffset>
            </wp:positionH>
            <wp:positionV relativeFrom="page">
              <wp:posOffset>-242570</wp:posOffset>
            </wp:positionV>
            <wp:extent cx="9237345" cy="3506470"/>
            <wp:effectExtent l="0" t="0" r="0" b="0"/>
            <wp:wrapNone/>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37345" cy="3506470"/>
                    </a:xfrm>
                    <a:prstGeom prst="rect">
                      <a:avLst/>
                    </a:prstGeom>
                    <a:noFill/>
                  </pic:spPr>
                </pic:pic>
              </a:graphicData>
            </a:graphic>
            <wp14:sizeRelH relativeFrom="page">
              <wp14:pctWidth>0</wp14:pctWidth>
            </wp14:sizeRelH>
            <wp14:sizeRelV relativeFrom="page">
              <wp14:pctHeight>0</wp14:pctHeight>
            </wp14:sizeRelV>
          </wp:anchor>
        </w:drawing>
      </w:r>
      <w:r w:rsidR="009401A9">
        <w:tab/>
      </w:r>
    </w:p>
    <w:p w14:paraId="6AD8D74C" w14:textId="77777777" w:rsidR="00F62238" w:rsidRPr="00CA7855" w:rsidRDefault="00F62238" w:rsidP="00E225A5">
      <w:pPr>
        <w:pStyle w:val="Logo-Centred"/>
        <w:jc w:val="right"/>
      </w:pPr>
    </w:p>
    <w:p w14:paraId="1BC86317" w14:textId="77777777" w:rsidR="00F62238" w:rsidRPr="00CA7855" w:rsidRDefault="00F62238" w:rsidP="00F62238">
      <w:pPr>
        <w:pStyle w:val="Logo-Centred"/>
      </w:pPr>
    </w:p>
    <w:p w14:paraId="718E3328" w14:textId="77777777" w:rsidR="00F62238" w:rsidRPr="00CA7855" w:rsidRDefault="00F62238" w:rsidP="00F62238">
      <w:pPr>
        <w:pStyle w:val="Logo-Centred"/>
      </w:pPr>
    </w:p>
    <w:p w14:paraId="774D8282" w14:textId="77777777" w:rsidR="00F62238" w:rsidRPr="00CA7855" w:rsidRDefault="00F62238" w:rsidP="00F62238">
      <w:pPr>
        <w:pStyle w:val="Logo-Centred"/>
      </w:pPr>
    </w:p>
    <w:p w14:paraId="7394B487" w14:textId="77777777" w:rsidR="00F62238" w:rsidRPr="00CA7855" w:rsidRDefault="00F62238" w:rsidP="00F62238">
      <w:pPr>
        <w:pStyle w:val="Logo-Centred"/>
      </w:pPr>
    </w:p>
    <w:p w14:paraId="2ADE9043" w14:textId="77777777" w:rsidR="00F62238" w:rsidRPr="00CA7855" w:rsidRDefault="00F62238" w:rsidP="00F62238">
      <w:pPr>
        <w:pStyle w:val="Logo-Centred"/>
      </w:pPr>
    </w:p>
    <w:p w14:paraId="37511F80" w14:textId="77777777" w:rsidR="00F62238" w:rsidRPr="00CA7855" w:rsidRDefault="00F62238" w:rsidP="00F62238">
      <w:pPr>
        <w:pStyle w:val="Logo-Centred"/>
      </w:pPr>
    </w:p>
    <w:p w14:paraId="3E323E14" w14:textId="6DD2F675" w:rsidR="00F62238" w:rsidRPr="00CA7855" w:rsidRDefault="00551B34" w:rsidP="00F62238">
      <w:pPr>
        <w:pStyle w:val="Logo-Centred"/>
      </w:pPr>
      <w:r>
        <w:rPr>
          <w:noProof/>
        </w:rPr>
        <w:drawing>
          <wp:inline distT="0" distB="0" distL="0" distR="0" wp14:anchorId="6FFB493F" wp14:editId="14EA075E">
            <wp:extent cx="2886075" cy="1085850"/>
            <wp:effectExtent l="0" t="0" r="0" b="0"/>
            <wp:docPr id="1" name="Picture 1" descr="Logo: ACT Council of Social Service Inc. (ACTC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6075" cy="1085850"/>
                    </a:xfrm>
                    <a:prstGeom prst="rect">
                      <a:avLst/>
                    </a:prstGeom>
                    <a:noFill/>
                    <a:ln>
                      <a:noFill/>
                    </a:ln>
                  </pic:spPr>
                </pic:pic>
              </a:graphicData>
            </a:graphic>
          </wp:inline>
        </w:drawing>
      </w:r>
    </w:p>
    <w:p w14:paraId="2884512B" w14:textId="77777777" w:rsidR="00F62238" w:rsidRPr="00CA7855" w:rsidRDefault="00F62238" w:rsidP="003F3AC3">
      <w:pPr>
        <w:pStyle w:val="BodyText"/>
      </w:pPr>
    </w:p>
    <w:p w14:paraId="772AB888" w14:textId="77777777" w:rsidR="00F62238" w:rsidRPr="00CA7855" w:rsidRDefault="00F62238" w:rsidP="003F3AC3">
      <w:pPr>
        <w:pStyle w:val="BodyText"/>
      </w:pPr>
    </w:p>
    <w:p w14:paraId="3CF63869" w14:textId="77777777" w:rsidR="00F62238" w:rsidRPr="00CA7855" w:rsidRDefault="00F62238" w:rsidP="00F62238">
      <w:pPr>
        <w:pStyle w:val="Titlepagesubtitle"/>
      </w:pPr>
      <w:r w:rsidRPr="00CA7855">
        <w:t>Submission</w:t>
      </w:r>
      <w:r w:rsidR="00AB2DA8">
        <w:t>:</w:t>
      </w:r>
    </w:p>
    <w:p w14:paraId="4CDEE97D" w14:textId="73305837" w:rsidR="00F62238" w:rsidRPr="00CA7855" w:rsidRDefault="002840A0" w:rsidP="00F62238">
      <w:pPr>
        <w:pStyle w:val="Titlepagetitle"/>
      </w:pPr>
      <w:r>
        <w:t xml:space="preserve">Evoenergy Gas Network 2021-26 Access Arrangement Revised Proposal and </w:t>
      </w:r>
      <w:r w:rsidR="00416299">
        <w:t>AER Draft Decision</w:t>
      </w:r>
    </w:p>
    <w:p w14:paraId="1EB035FB" w14:textId="77777777" w:rsidR="00F62238" w:rsidRPr="00CA7855" w:rsidRDefault="00F62238" w:rsidP="00F62238">
      <w:pPr>
        <w:pStyle w:val="BodyText"/>
      </w:pPr>
    </w:p>
    <w:p w14:paraId="6913A24B" w14:textId="184F8E01" w:rsidR="00F62238" w:rsidRPr="00CA7855" w:rsidRDefault="00416299" w:rsidP="00F62238">
      <w:pPr>
        <w:pStyle w:val="Titlepagesubtitle"/>
      </w:pPr>
      <w:r>
        <w:t>February 2021</w:t>
      </w:r>
    </w:p>
    <w:p w14:paraId="3145F55B" w14:textId="77777777" w:rsidR="00F62238" w:rsidRPr="00CA7855" w:rsidRDefault="00F62238" w:rsidP="00F62238">
      <w:pPr>
        <w:pStyle w:val="BodyText"/>
      </w:pPr>
    </w:p>
    <w:p w14:paraId="63E2834A" w14:textId="77777777" w:rsidR="005913F7" w:rsidRPr="00CA7855" w:rsidRDefault="005913F7" w:rsidP="00703089">
      <w:pPr>
        <w:pStyle w:val="PseudoHeading1"/>
      </w:pPr>
      <w:r w:rsidRPr="00CA7855">
        <w:lastRenderedPageBreak/>
        <w:t>About ACTCOSS</w:t>
      </w:r>
    </w:p>
    <w:p w14:paraId="0A1201F9" w14:textId="0514C0C4" w:rsidR="00DD3314" w:rsidRDefault="00DD3314" w:rsidP="00DD3314">
      <w:pPr>
        <w:pStyle w:val="Frontmatter"/>
      </w:pPr>
      <w:r>
        <w:t>ACTCOSS acknowledges Canberra has been built on the land of the Ngunnawal people. We pay respects to their Elders and recognise the strength and resilience of Aboriginal and</w:t>
      </w:r>
      <w:r w:rsidR="00E97CC6">
        <w:t>/or</w:t>
      </w:r>
      <w:r>
        <w:t xml:space="preserve"> Torres Strait Islander peoples. We celebrate Aboriginal and</w:t>
      </w:r>
      <w:r w:rsidR="00E97CC6">
        <w:t>/or</w:t>
      </w:r>
      <w:r>
        <w:t xml:space="preserve"> Torres Strait Islander cultures and ongoing contribution</w:t>
      </w:r>
      <w:r w:rsidR="00E97CC6">
        <w:t>s</w:t>
      </w:r>
      <w:r>
        <w:t xml:space="preserve"> to the ACT community.</w:t>
      </w:r>
    </w:p>
    <w:p w14:paraId="6FE26414" w14:textId="28A9014B" w:rsidR="00DD3314" w:rsidRDefault="00DD3314" w:rsidP="00DD3314">
      <w:pPr>
        <w:pStyle w:val="Frontmatter"/>
      </w:pPr>
      <w:r>
        <w:t xml:space="preserve">The ACT Council of Social Service Inc. (ACTCOSS) </w:t>
      </w:r>
      <w:r w:rsidR="008D350D">
        <w:t xml:space="preserve">advocates for social justice in the ACT and </w:t>
      </w:r>
      <w:r>
        <w:t>represents not-for-profit community organisations.</w:t>
      </w:r>
    </w:p>
    <w:p w14:paraId="5B263D10" w14:textId="77777777" w:rsidR="00DD3314" w:rsidRDefault="00DD3314" w:rsidP="00DD3314">
      <w:pPr>
        <w:pStyle w:val="Frontmatter"/>
      </w:pPr>
      <w:r>
        <w:t>ACTCOSS is a member of the nationwide COSS Network, made up of each of the state and territory Councils and the national body, the Australian Council of Social Service (ACOSS).</w:t>
      </w:r>
    </w:p>
    <w:p w14:paraId="65017AEF" w14:textId="27409E91" w:rsidR="00DD3314" w:rsidRDefault="00DD3314" w:rsidP="00DD3314">
      <w:pPr>
        <w:pStyle w:val="Frontmatter"/>
      </w:pPr>
      <w:r>
        <w:t>ACTCOSS’</w:t>
      </w:r>
      <w:r w:rsidR="00ED6E1E">
        <w:t>s</w:t>
      </w:r>
      <w:r>
        <w:t xml:space="preserve"> vision is for Canberra to be a just, safe and sustainable community in which everyone has the opportunity for self-determination and a fair share of resources and services.</w:t>
      </w:r>
    </w:p>
    <w:p w14:paraId="04D600CA" w14:textId="77777777" w:rsidR="00DD3314" w:rsidRDefault="00DD3314" w:rsidP="00DD3314">
      <w:pPr>
        <w:pStyle w:val="Frontmatter"/>
      </w:pPr>
      <w:r>
        <w:t>The membership of the Council includes the majority of community-based service providers in the social welfare area, a range of community associations and networks, self-help and consumer groups and interested individuals.</w:t>
      </w:r>
    </w:p>
    <w:p w14:paraId="41903ED4" w14:textId="20E8F052" w:rsidR="005913F7" w:rsidRDefault="00DD3314" w:rsidP="00DD3314">
      <w:pPr>
        <w:pStyle w:val="Frontmatter"/>
      </w:pPr>
      <w:r>
        <w:t>ACTCOSS advises that this document may be publicly distributed, including by placing a copy on our website.</w:t>
      </w:r>
    </w:p>
    <w:p w14:paraId="55C71DCF" w14:textId="77777777" w:rsidR="005913F7" w:rsidRPr="00CA7855" w:rsidRDefault="005913F7" w:rsidP="005913F7">
      <w:pPr>
        <w:pStyle w:val="Frontmatter"/>
        <w:rPr>
          <w:rStyle w:val="Bold"/>
        </w:rPr>
      </w:pPr>
      <w:r w:rsidRPr="00CA7855">
        <w:rPr>
          <w:rStyle w:val="Bold"/>
        </w:rPr>
        <w:t>Contact Details</w:t>
      </w:r>
    </w:p>
    <w:p w14:paraId="52CF8363" w14:textId="6133A8CB" w:rsidR="004F6015" w:rsidRPr="001D19C8" w:rsidRDefault="004F6015" w:rsidP="004F6015">
      <w:pPr>
        <w:pStyle w:val="Frontmatter"/>
      </w:pPr>
      <w:r w:rsidRPr="001D19C8">
        <w:t>Phone:</w:t>
      </w:r>
      <w:r w:rsidRPr="001D19C8">
        <w:tab/>
      </w:r>
      <w:r w:rsidRPr="001D19C8">
        <w:tab/>
        <w:t>02 6202 7200</w:t>
      </w:r>
      <w:r w:rsidRPr="001D19C8">
        <w:br/>
      </w:r>
      <w:r w:rsidR="00D5570A">
        <w:t>Address</w:t>
      </w:r>
      <w:r w:rsidRPr="001D19C8">
        <w:t>:</w:t>
      </w:r>
      <w:r w:rsidRPr="001D19C8">
        <w:tab/>
      </w:r>
      <w:r w:rsidRPr="001D19C8">
        <w:tab/>
      </w:r>
      <w:r w:rsidR="00D5570A" w:rsidRPr="001D19C8">
        <w:t>Weston Community Hub, 1/6 Gritten St, Weston ACT 2611</w:t>
      </w:r>
      <w:r w:rsidRPr="001D19C8">
        <w:br/>
        <w:t>Email:</w:t>
      </w:r>
      <w:r w:rsidRPr="001D19C8">
        <w:tab/>
      </w:r>
      <w:r w:rsidRPr="001D19C8">
        <w:tab/>
      </w:r>
      <w:r w:rsidRPr="001D19C8">
        <w:tab/>
      </w:r>
      <w:hyperlink r:id="rId13" w:history="1">
        <w:r w:rsidRPr="001D19C8">
          <w:rPr>
            <w:rStyle w:val="Hyperlink"/>
          </w:rPr>
          <w:t>actcoss@actcoss.org.au</w:t>
        </w:r>
      </w:hyperlink>
      <w:r w:rsidRPr="001D19C8">
        <w:t xml:space="preserve">  </w:t>
      </w:r>
      <w:r w:rsidRPr="001D19C8">
        <w:br/>
        <w:t xml:space="preserve">Web:  </w:t>
      </w:r>
      <w:r w:rsidRPr="001D19C8">
        <w:tab/>
      </w:r>
      <w:r w:rsidRPr="001D19C8">
        <w:tab/>
      </w:r>
      <w:hyperlink r:id="rId14" w:history="1">
        <w:r w:rsidR="00DD3314">
          <w:rPr>
            <w:rStyle w:val="Hyperlink"/>
          </w:rPr>
          <w:t>actcoss.org.au</w:t>
        </w:r>
      </w:hyperlink>
      <w:r w:rsidRPr="001D19C8">
        <w:tab/>
      </w:r>
      <w:r w:rsidRPr="001D19C8">
        <w:tab/>
      </w:r>
    </w:p>
    <w:p w14:paraId="7DF04A19" w14:textId="7172CFB7" w:rsidR="004F6015" w:rsidRPr="001D19C8" w:rsidRDefault="00ED6E1E" w:rsidP="004F6015">
      <w:pPr>
        <w:pStyle w:val="Frontmatter"/>
      </w:pPr>
      <w:r>
        <w:t>CEO</w:t>
      </w:r>
      <w:r w:rsidR="004F6015" w:rsidRPr="001D19C8">
        <w:t>:</w:t>
      </w:r>
      <w:r w:rsidR="004F6015" w:rsidRPr="001D19C8">
        <w:tab/>
      </w:r>
      <w:r w:rsidR="004F6015" w:rsidRPr="001D19C8">
        <w:tab/>
      </w:r>
      <w:r>
        <w:tab/>
      </w:r>
      <w:r w:rsidR="00324177">
        <w:t xml:space="preserve">Dr </w:t>
      </w:r>
      <w:r w:rsidR="007833E9">
        <w:t>Emma Campbell</w:t>
      </w:r>
      <w:r w:rsidR="004F6015" w:rsidRPr="001D19C8">
        <w:tab/>
      </w:r>
      <w:r w:rsidR="004F6015" w:rsidRPr="001D19C8">
        <w:tab/>
      </w:r>
      <w:r w:rsidR="004F6015" w:rsidRPr="001D19C8">
        <w:tab/>
      </w:r>
      <w:r w:rsidR="004F6015" w:rsidRPr="001D19C8">
        <w:br/>
        <w:t>Policy Officer:</w:t>
      </w:r>
      <w:r w:rsidR="004F6015" w:rsidRPr="001D19C8">
        <w:tab/>
      </w:r>
      <w:r w:rsidR="00322A8D">
        <w:t>Geoff Buchanan</w:t>
      </w:r>
    </w:p>
    <w:p w14:paraId="065798D2" w14:textId="77777777" w:rsidR="005913F7" w:rsidRPr="00CA7855" w:rsidRDefault="005913F7" w:rsidP="005913F7">
      <w:pPr>
        <w:pStyle w:val="Frontmatter"/>
      </w:pPr>
    </w:p>
    <w:p w14:paraId="698E6DF4" w14:textId="7F2073DA" w:rsidR="005913F7" w:rsidRPr="00CA7855" w:rsidRDefault="00322A8D" w:rsidP="005913F7">
      <w:pPr>
        <w:pStyle w:val="Frontmatter"/>
      </w:pPr>
      <w:r>
        <w:t>February 2021</w:t>
      </w:r>
    </w:p>
    <w:p w14:paraId="181D164A" w14:textId="58056674" w:rsidR="005913F7" w:rsidRPr="00CA7855" w:rsidRDefault="005913F7" w:rsidP="005913F7">
      <w:pPr>
        <w:pStyle w:val="Frontmatter"/>
      </w:pPr>
      <w:r w:rsidRPr="00CA7855">
        <w:t xml:space="preserve">ISBN </w:t>
      </w:r>
      <w:r w:rsidR="004A6564" w:rsidRPr="004A6564">
        <w:t>978-1-876632-93-9</w:t>
      </w:r>
      <w:r w:rsidRPr="007A1E65">
        <w:t xml:space="preserve"> </w:t>
      </w:r>
      <w:r w:rsidRPr="00CA7855">
        <w:br/>
        <w:t>© Copyright ACT Council of Social Service Incorporated</w:t>
      </w:r>
    </w:p>
    <w:p w14:paraId="2EECD6E5" w14:textId="1EA88C0B" w:rsidR="001B2FCD" w:rsidRDefault="005913F7" w:rsidP="005913F7">
      <w:pPr>
        <w:pStyle w:val="Frontmatter"/>
      </w:pPr>
      <w:r w:rsidRPr="00CA7855">
        <w:t xml:space="preserve">This publication is copyright, apart from use by those agencies for which it has been produced. Non-profit associations and groups have permission to reproduce parts of this publication as long as the original meaning is retained and proper credit is given to the ACT Council of Social Service Inc (ACTCOSS). All other individuals and Agencies seeking to reproduce material from this publication should obtain the permission of the </w:t>
      </w:r>
      <w:r w:rsidR="000B7938">
        <w:t>CEO</w:t>
      </w:r>
      <w:r w:rsidRPr="00CA7855">
        <w:t xml:space="preserve"> of ACTCOSS.</w:t>
      </w:r>
    </w:p>
    <w:p w14:paraId="7DF42356" w14:textId="77777777" w:rsidR="00BD2639" w:rsidRDefault="00BD2639" w:rsidP="00BD2639">
      <w:pPr>
        <w:pStyle w:val="Frontmatter"/>
      </w:pPr>
      <w:r>
        <w:t>This submission was produced as part of the ACT Energised Consumers Project which is co-funded by Energy Consumers Australia and the ACT Government.</w:t>
      </w:r>
    </w:p>
    <w:p w14:paraId="19FC8DC9" w14:textId="77777777" w:rsidR="00BD2639" w:rsidRDefault="00BD2639" w:rsidP="00BD2639">
      <w:pPr>
        <w:pStyle w:val="Frontmatter"/>
      </w:pPr>
      <w:r>
        <w:t>This project was funded by Energy Consumers Australia Limited (energyconsumersaustralia.com.au) as part of its grants process for consumer advocacy projects and research projects for the benefit of consumers of electricity and natural gas.</w:t>
      </w:r>
    </w:p>
    <w:p w14:paraId="431145BB" w14:textId="08D80F18" w:rsidR="00BD2639" w:rsidRDefault="00BD2639" w:rsidP="00BD2639">
      <w:pPr>
        <w:pStyle w:val="Frontmatter"/>
      </w:pPr>
      <w:r>
        <w:t>The views expressed in this document do not necessarily reflect the views of the Energy Consumers Australia.</w:t>
      </w:r>
    </w:p>
    <w:p w14:paraId="57AA07E5" w14:textId="77777777" w:rsidR="000622B1" w:rsidRPr="00CA7855" w:rsidRDefault="000622B1" w:rsidP="000622B1">
      <w:pPr>
        <w:pStyle w:val="Frontmatter"/>
      </w:pPr>
      <w:r w:rsidRPr="000622B1">
        <w:t>An ACT Government funded initiative</w:t>
      </w:r>
      <w:r>
        <w:t>.</w:t>
      </w:r>
    </w:p>
    <w:p w14:paraId="30FDCCBC" w14:textId="1DA887E2" w:rsidR="000622B1" w:rsidRPr="00CA7855" w:rsidRDefault="00551B34" w:rsidP="005913F7">
      <w:pPr>
        <w:pStyle w:val="Frontmatter"/>
      </w:pPr>
      <w:r>
        <w:rPr>
          <w:noProof/>
        </w:rPr>
        <w:drawing>
          <wp:inline distT="0" distB="0" distL="0" distR="0" wp14:anchorId="1635F15F" wp14:editId="4C8D3223">
            <wp:extent cx="1466850" cy="1009650"/>
            <wp:effectExtent l="0" t="0" r="0" b="0"/>
            <wp:docPr id="2" name="Picture 2" descr="Logo: Initiative of ACT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itiative_of_ACTGov"/>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66850" cy="1009650"/>
                    </a:xfrm>
                    <a:prstGeom prst="rect">
                      <a:avLst/>
                    </a:prstGeom>
                    <a:noFill/>
                    <a:ln>
                      <a:noFill/>
                    </a:ln>
                  </pic:spPr>
                </pic:pic>
              </a:graphicData>
            </a:graphic>
          </wp:inline>
        </w:drawing>
      </w:r>
    </w:p>
    <w:p w14:paraId="13A41B65" w14:textId="77777777" w:rsidR="005913F7" w:rsidRPr="00CA7855" w:rsidRDefault="00AB255D" w:rsidP="00703089">
      <w:pPr>
        <w:pStyle w:val="PseudoHeading1"/>
      </w:pPr>
      <w:r w:rsidRPr="00CA7855">
        <w:lastRenderedPageBreak/>
        <w:t>Table of contents</w:t>
      </w:r>
    </w:p>
    <w:p w14:paraId="7B2F3B0D" w14:textId="147F9C89" w:rsidR="00A44457" w:rsidRDefault="00AB255D">
      <w:pPr>
        <w:pStyle w:val="TOC1"/>
        <w:rPr>
          <w:rFonts w:asciiTheme="minorHAnsi" w:eastAsiaTheme="minorEastAsia" w:hAnsiTheme="minorHAnsi" w:cstheme="minorBidi"/>
          <w:b w:val="0"/>
          <w:noProof/>
          <w:sz w:val="22"/>
          <w:lang w:eastAsia="en-AU"/>
        </w:rPr>
      </w:pPr>
      <w:r w:rsidRPr="00CA7855">
        <w:fldChar w:fldCharType="begin"/>
      </w:r>
      <w:r w:rsidRPr="00CA7855">
        <w:instrText xml:space="preserve"> TOC \o "1-3" \h \z \u </w:instrText>
      </w:r>
      <w:r w:rsidRPr="00CA7855">
        <w:fldChar w:fldCharType="separate"/>
      </w:r>
      <w:hyperlink w:anchor="_Toc64650750" w:history="1">
        <w:r w:rsidR="00A44457" w:rsidRPr="00683F86">
          <w:rPr>
            <w:rStyle w:val="Hyperlink"/>
            <w:noProof/>
          </w:rPr>
          <w:t>Acronyms</w:t>
        </w:r>
        <w:r w:rsidR="00A44457">
          <w:rPr>
            <w:noProof/>
            <w:webHidden/>
          </w:rPr>
          <w:tab/>
        </w:r>
        <w:r w:rsidR="00A44457">
          <w:rPr>
            <w:noProof/>
            <w:webHidden/>
          </w:rPr>
          <w:fldChar w:fldCharType="begin"/>
        </w:r>
        <w:r w:rsidR="00A44457">
          <w:rPr>
            <w:noProof/>
            <w:webHidden/>
          </w:rPr>
          <w:instrText xml:space="preserve"> PAGEREF _Toc64650750 \h </w:instrText>
        </w:r>
        <w:r w:rsidR="00A44457">
          <w:rPr>
            <w:noProof/>
            <w:webHidden/>
          </w:rPr>
        </w:r>
        <w:r w:rsidR="00A44457">
          <w:rPr>
            <w:noProof/>
            <w:webHidden/>
          </w:rPr>
          <w:fldChar w:fldCharType="separate"/>
        </w:r>
        <w:r w:rsidR="00A44457">
          <w:rPr>
            <w:noProof/>
            <w:webHidden/>
          </w:rPr>
          <w:t>4</w:t>
        </w:r>
        <w:r w:rsidR="00A44457">
          <w:rPr>
            <w:noProof/>
            <w:webHidden/>
          </w:rPr>
          <w:fldChar w:fldCharType="end"/>
        </w:r>
      </w:hyperlink>
    </w:p>
    <w:p w14:paraId="5DF9569C" w14:textId="6BCEED36" w:rsidR="00A44457" w:rsidRDefault="008A5343">
      <w:pPr>
        <w:pStyle w:val="TOC1"/>
        <w:rPr>
          <w:rFonts w:asciiTheme="minorHAnsi" w:eastAsiaTheme="minorEastAsia" w:hAnsiTheme="minorHAnsi" w:cstheme="minorBidi"/>
          <w:b w:val="0"/>
          <w:noProof/>
          <w:sz w:val="22"/>
          <w:lang w:eastAsia="en-AU"/>
        </w:rPr>
      </w:pPr>
      <w:hyperlink w:anchor="_Toc64650751" w:history="1">
        <w:r w:rsidR="00A44457" w:rsidRPr="00683F86">
          <w:rPr>
            <w:rStyle w:val="Hyperlink"/>
            <w:noProof/>
          </w:rPr>
          <w:t>Introduction</w:t>
        </w:r>
        <w:r w:rsidR="00A44457">
          <w:rPr>
            <w:noProof/>
            <w:webHidden/>
          </w:rPr>
          <w:tab/>
        </w:r>
        <w:r w:rsidR="00A44457">
          <w:rPr>
            <w:noProof/>
            <w:webHidden/>
          </w:rPr>
          <w:fldChar w:fldCharType="begin"/>
        </w:r>
        <w:r w:rsidR="00A44457">
          <w:rPr>
            <w:noProof/>
            <w:webHidden/>
          </w:rPr>
          <w:instrText xml:space="preserve"> PAGEREF _Toc64650751 \h </w:instrText>
        </w:r>
        <w:r w:rsidR="00A44457">
          <w:rPr>
            <w:noProof/>
            <w:webHidden/>
          </w:rPr>
        </w:r>
        <w:r w:rsidR="00A44457">
          <w:rPr>
            <w:noProof/>
            <w:webHidden/>
          </w:rPr>
          <w:fldChar w:fldCharType="separate"/>
        </w:r>
        <w:r w:rsidR="00A44457">
          <w:rPr>
            <w:noProof/>
            <w:webHidden/>
          </w:rPr>
          <w:t>5</w:t>
        </w:r>
        <w:r w:rsidR="00A44457">
          <w:rPr>
            <w:noProof/>
            <w:webHidden/>
          </w:rPr>
          <w:fldChar w:fldCharType="end"/>
        </w:r>
      </w:hyperlink>
    </w:p>
    <w:p w14:paraId="417C864C" w14:textId="0E084349" w:rsidR="00A44457" w:rsidRDefault="008A5343">
      <w:pPr>
        <w:pStyle w:val="TOC2"/>
        <w:rPr>
          <w:rFonts w:asciiTheme="minorHAnsi" w:eastAsiaTheme="minorEastAsia" w:hAnsiTheme="minorHAnsi" w:cstheme="minorBidi"/>
          <w:noProof/>
          <w:sz w:val="22"/>
          <w:lang w:eastAsia="en-AU"/>
        </w:rPr>
      </w:pPr>
      <w:hyperlink w:anchor="_Toc64650752" w:history="1">
        <w:r w:rsidR="00A44457" w:rsidRPr="00683F86">
          <w:rPr>
            <w:rStyle w:val="Hyperlink"/>
            <w:noProof/>
          </w:rPr>
          <w:t>About ACTCOSS</w:t>
        </w:r>
        <w:r w:rsidR="00A44457">
          <w:rPr>
            <w:noProof/>
            <w:webHidden/>
          </w:rPr>
          <w:tab/>
        </w:r>
        <w:r w:rsidR="00A44457">
          <w:rPr>
            <w:noProof/>
            <w:webHidden/>
          </w:rPr>
          <w:fldChar w:fldCharType="begin"/>
        </w:r>
        <w:r w:rsidR="00A44457">
          <w:rPr>
            <w:noProof/>
            <w:webHidden/>
          </w:rPr>
          <w:instrText xml:space="preserve"> PAGEREF _Toc64650752 \h </w:instrText>
        </w:r>
        <w:r w:rsidR="00A44457">
          <w:rPr>
            <w:noProof/>
            <w:webHidden/>
          </w:rPr>
        </w:r>
        <w:r w:rsidR="00A44457">
          <w:rPr>
            <w:noProof/>
            <w:webHidden/>
          </w:rPr>
          <w:fldChar w:fldCharType="separate"/>
        </w:r>
        <w:r w:rsidR="00A44457">
          <w:rPr>
            <w:noProof/>
            <w:webHidden/>
          </w:rPr>
          <w:t>5</w:t>
        </w:r>
        <w:r w:rsidR="00A44457">
          <w:rPr>
            <w:noProof/>
            <w:webHidden/>
          </w:rPr>
          <w:fldChar w:fldCharType="end"/>
        </w:r>
      </w:hyperlink>
    </w:p>
    <w:p w14:paraId="6138F377" w14:textId="282A0259" w:rsidR="00A44457" w:rsidRDefault="008A5343">
      <w:pPr>
        <w:pStyle w:val="TOC2"/>
        <w:rPr>
          <w:rFonts w:asciiTheme="minorHAnsi" w:eastAsiaTheme="minorEastAsia" w:hAnsiTheme="minorHAnsi" w:cstheme="minorBidi"/>
          <w:noProof/>
          <w:sz w:val="22"/>
          <w:lang w:eastAsia="en-AU"/>
        </w:rPr>
      </w:pPr>
      <w:hyperlink w:anchor="_Toc64650753" w:history="1">
        <w:r w:rsidR="00A44457" w:rsidRPr="00683F86">
          <w:rPr>
            <w:rStyle w:val="Hyperlink"/>
            <w:noProof/>
          </w:rPr>
          <w:t>About GN21</w:t>
        </w:r>
        <w:r w:rsidR="00A44457">
          <w:rPr>
            <w:noProof/>
            <w:webHidden/>
          </w:rPr>
          <w:tab/>
        </w:r>
        <w:r w:rsidR="00A44457">
          <w:rPr>
            <w:noProof/>
            <w:webHidden/>
          </w:rPr>
          <w:fldChar w:fldCharType="begin"/>
        </w:r>
        <w:r w:rsidR="00A44457">
          <w:rPr>
            <w:noProof/>
            <w:webHidden/>
          </w:rPr>
          <w:instrText xml:space="preserve"> PAGEREF _Toc64650753 \h </w:instrText>
        </w:r>
        <w:r w:rsidR="00A44457">
          <w:rPr>
            <w:noProof/>
            <w:webHidden/>
          </w:rPr>
        </w:r>
        <w:r w:rsidR="00A44457">
          <w:rPr>
            <w:noProof/>
            <w:webHidden/>
          </w:rPr>
          <w:fldChar w:fldCharType="separate"/>
        </w:r>
        <w:r w:rsidR="00A44457">
          <w:rPr>
            <w:noProof/>
            <w:webHidden/>
          </w:rPr>
          <w:t>5</w:t>
        </w:r>
        <w:r w:rsidR="00A44457">
          <w:rPr>
            <w:noProof/>
            <w:webHidden/>
          </w:rPr>
          <w:fldChar w:fldCharType="end"/>
        </w:r>
      </w:hyperlink>
    </w:p>
    <w:p w14:paraId="60E0FE9C" w14:textId="6C1C209D" w:rsidR="00A44457" w:rsidRDefault="008A5343">
      <w:pPr>
        <w:pStyle w:val="TOC2"/>
        <w:rPr>
          <w:rFonts w:asciiTheme="minorHAnsi" w:eastAsiaTheme="minorEastAsia" w:hAnsiTheme="minorHAnsi" w:cstheme="minorBidi"/>
          <w:noProof/>
          <w:sz w:val="22"/>
          <w:lang w:eastAsia="en-AU"/>
        </w:rPr>
      </w:pPr>
      <w:hyperlink w:anchor="_Toc64650754" w:history="1">
        <w:r w:rsidR="00A44457" w:rsidRPr="00683F86">
          <w:rPr>
            <w:rStyle w:val="Hyperlink"/>
            <w:noProof/>
          </w:rPr>
          <w:t>Our engagement with GN21</w:t>
        </w:r>
        <w:r w:rsidR="00A44457">
          <w:rPr>
            <w:noProof/>
            <w:webHidden/>
          </w:rPr>
          <w:tab/>
        </w:r>
        <w:r w:rsidR="00A44457">
          <w:rPr>
            <w:noProof/>
            <w:webHidden/>
          </w:rPr>
          <w:fldChar w:fldCharType="begin"/>
        </w:r>
        <w:r w:rsidR="00A44457">
          <w:rPr>
            <w:noProof/>
            <w:webHidden/>
          </w:rPr>
          <w:instrText xml:space="preserve"> PAGEREF _Toc64650754 \h </w:instrText>
        </w:r>
        <w:r w:rsidR="00A44457">
          <w:rPr>
            <w:noProof/>
            <w:webHidden/>
          </w:rPr>
        </w:r>
        <w:r w:rsidR="00A44457">
          <w:rPr>
            <w:noProof/>
            <w:webHidden/>
          </w:rPr>
          <w:fldChar w:fldCharType="separate"/>
        </w:r>
        <w:r w:rsidR="00A44457">
          <w:rPr>
            <w:noProof/>
            <w:webHidden/>
          </w:rPr>
          <w:t>6</w:t>
        </w:r>
        <w:r w:rsidR="00A44457">
          <w:rPr>
            <w:noProof/>
            <w:webHidden/>
          </w:rPr>
          <w:fldChar w:fldCharType="end"/>
        </w:r>
      </w:hyperlink>
    </w:p>
    <w:p w14:paraId="32949378" w14:textId="3BC27EEA" w:rsidR="00A44457" w:rsidRDefault="008A5343">
      <w:pPr>
        <w:pStyle w:val="TOC2"/>
        <w:rPr>
          <w:rFonts w:asciiTheme="minorHAnsi" w:eastAsiaTheme="minorEastAsia" w:hAnsiTheme="minorHAnsi" w:cstheme="minorBidi"/>
          <w:noProof/>
          <w:sz w:val="22"/>
          <w:lang w:eastAsia="en-AU"/>
        </w:rPr>
      </w:pPr>
      <w:hyperlink w:anchor="_Toc64650755" w:history="1">
        <w:r w:rsidR="00A44457" w:rsidRPr="00683F86">
          <w:rPr>
            <w:rStyle w:val="Hyperlink"/>
            <w:noProof/>
          </w:rPr>
          <w:t>Summary of key issues and recommendations</w:t>
        </w:r>
        <w:r w:rsidR="00A44457">
          <w:rPr>
            <w:noProof/>
            <w:webHidden/>
          </w:rPr>
          <w:tab/>
        </w:r>
        <w:r w:rsidR="00A44457">
          <w:rPr>
            <w:noProof/>
            <w:webHidden/>
          </w:rPr>
          <w:fldChar w:fldCharType="begin"/>
        </w:r>
        <w:r w:rsidR="00A44457">
          <w:rPr>
            <w:noProof/>
            <w:webHidden/>
          </w:rPr>
          <w:instrText xml:space="preserve"> PAGEREF _Toc64650755 \h </w:instrText>
        </w:r>
        <w:r w:rsidR="00A44457">
          <w:rPr>
            <w:noProof/>
            <w:webHidden/>
          </w:rPr>
        </w:r>
        <w:r w:rsidR="00A44457">
          <w:rPr>
            <w:noProof/>
            <w:webHidden/>
          </w:rPr>
          <w:fldChar w:fldCharType="separate"/>
        </w:r>
        <w:r w:rsidR="00A44457">
          <w:rPr>
            <w:noProof/>
            <w:webHidden/>
          </w:rPr>
          <w:t>7</w:t>
        </w:r>
        <w:r w:rsidR="00A44457">
          <w:rPr>
            <w:noProof/>
            <w:webHidden/>
          </w:rPr>
          <w:fldChar w:fldCharType="end"/>
        </w:r>
      </w:hyperlink>
    </w:p>
    <w:p w14:paraId="08EA328C" w14:textId="5592AE17" w:rsidR="00A44457" w:rsidRDefault="008A5343">
      <w:pPr>
        <w:pStyle w:val="TOC1"/>
        <w:rPr>
          <w:rFonts w:asciiTheme="minorHAnsi" w:eastAsiaTheme="minorEastAsia" w:hAnsiTheme="minorHAnsi" w:cstheme="minorBidi"/>
          <w:b w:val="0"/>
          <w:noProof/>
          <w:sz w:val="22"/>
          <w:lang w:eastAsia="en-AU"/>
        </w:rPr>
      </w:pPr>
      <w:hyperlink w:anchor="_Toc64650756" w:history="1">
        <w:r w:rsidR="00A44457" w:rsidRPr="00683F86">
          <w:rPr>
            <w:rStyle w:val="Hyperlink"/>
            <w:noProof/>
          </w:rPr>
          <w:t>GN21 and a just transition to net zero emissions</w:t>
        </w:r>
        <w:r w:rsidR="00A44457">
          <w:rPr>
            <w:noProof/>
            <w:webHidden/>
          </w:rPr>
          <w:tab/>
        </w:r>
        <w:r w:rsidR="00A44457">
          <w:rPr>
            <w:noProof/>
            <w:webHidden/>
          </w:rPr>
          <w:fldChar w:fldCharType="begin"/>
        </w:r>
        <w:r w:rsidR="00A44457">
          <w:rPr>
            <w:noProof/>
            <w:webHidden/>
          </w:rPr>
          <w:instrText xml:space="preserve"> PAGEREF _Toc64650756 \h </w:instrText>
        </w:r>
        <w:r w:rsidR="00A44457">
          <w:rPr>
            <w:noProof/>
            <w:webHidden/>
          </w:rPr>
        </w:r>
        <w:r w:rsidR="00A44457">
          <w:rPr>
            <w:noProof/>
            <w:webHidden/>
          </w:rPr>
          <w:fldChar w:fldCharType="separate"/>
        </w:r>
        <w:r w:rsidR="00A44457">
          <w:rPr>
            <w:noProof/>
            <w:webHidden/>
          </w:rPr>
          <w:t>8</w:t>
        </w:r>
        <w:r w:rsidR="00A44457">
          <w:rPr>
            <w:noProof/>
            <w:webHidden/>
          </w:rPr>
          <w:fldChar w:fldCharType="end"/>
        </w:r>
      </w:hyperlink>
    </w:p>
    <w:p w14:paraId="1BA1D112" w14:textId="347B6EC9" w:rsidR="00A44457" w:rsidRDefault="008A5343">
      <w:pPr>
        <w:pStyle w:val="TOC2"/>
        <w:rPr>
          <w:rFonts w:asciiTheme="minorHAnsi" w:eastAsiaTheme="minorEastAsia" w:hAnsiTheme="minorHAnsi" w:cstheme="minorBidi"/>
          <w:noProof/>
          <w:sz w:val="22"/>
          <w:lang w:eastAsia="en-AU"/>
        </w:rPr>
      </w:pPr>
      <w:hyperlink w:anchor="_Toc64650757" w:history="1">
        <w:r w:rsidR="00A44457" w:rsidRPr="00683F86">
          <w:rPr>
            <w:rStyle w:val="Hyperlink"/>
            <w:noProof/>
          </w:rPr>
          <w:t>ACT Government commitment to a just transition</w:t>
        </w:r>
        <w:r w:rsidR="00A44457">
          <w:rPr>
            <w:noProof/>
            <w:webHidden/>
          </w:rPr>
          <w:tab/>
        </w:r>
        <w:r w:rsidR="00A44457">
          <w:rPr>
            <w:noProof/>
            <w:webHidden/>
          </w:rPr>
          <w:fldChar w:fldCharType="begin"/>
        </w:r>
        <w:r w:rsidR="00A44457">
          <w:rPr>
            <w:noProof/>
            <w:webHidden/>
          </w:rPr>
          <w:instrText xml:space="preserve"> PAGEREF _Toc64650757 \h </w:instrText>
        </w:r>
        <w:r w:rsidR="00A44457">
          <w:rPr>
            <w:noProof/>
            <w:webHidden/>
          </w:rPr>
        </w:r>
        <w:r w:rsidR="00A44457">
          <w:rPr>
            <w:noProof/>
            <w:webHidden/>
          </w:rPr>
          <w:fldChar w:fldCharType="separate"/>
        </w:r>
        <w:r w:rsidR="00A44457">
          <w:rPr>
            <w:noProof/>
            <w:webHidden/>
          </w:rPr>
          <w:t>9</w:t>
        </w:r>
        <w:r w:rsidR="00A44457">
          <w:rPr>
            <w:noProof/>
            <w:webHidden/>
          </w:rPr>
          <w:fldChar w:fldCharType="end"/>
        </w:r>
      </w:hyperlink>
    </w:p>
    <w:p w14:paraId="29DE5976" w14:textId="01682605" w:rsidR="00A44457" w:rsidRDefault="008A5343">
      <w:pPr>
        <w:pStyle w:val="TOC2"/>
        <w:rPr>
          <w:rFonts w:asciiTheme="minorHAnsi" w:eastAsiaTheme="minorEastAsia" w:hAnsiTheme="minorHAnsi" w:cstheme="minorBidi"/>
          <w:noProof/>
          <w:sz w:val="22"/>
          <w:lang w:eastAsia="en-AU"/>
        </w:rPr>
      </w:pPr>
      <w:hyperlink w:anchor="_Toc64650758" w:history="1">
        <w:r w:rsidR="00A44457" w:rsidRPr="00683F86">
          <w:rPr>
            <w:rStyle w:val="Hyperlink"/>
            <w:noProof/>
          </w:rPr>
          <w:t>Evoenergy’s commitment to a responsible transition</w:t>
        </w:r>
        <w:r w:rsidR="00A44457">
          <w:rPr>
            <w:noProof/>
            <w:webHidden/>
          </w:rPr>
          <w:tab/>
        </w:r>
        <w:r w:rsidR="00A44457">
          <w:rPr>
            <w:noProof/>
            <w:webHidden/>
          </w:rPr>
          <w:fldChar w:fldCharType="begin"/>
        </w:r>
        <w:r w:rsidR="00A44457">
          <w:rPr>
            <w:noProof/>
            <w:webHidden/>
          </w:rPr>
          <w:instrText xml:space="preserve"> PAGEREF _Toc64650758 \h </w:instrText>
        </w:r>
        <w:r w:rsidR="00A44457">
          <w:rPr>
            <w:noProof/>
            <w:webHidden/>
          </w:rPr>
        </w:r>
        <w:r w:rsidR="00A44457">
          <w:rPr>
            <w:noProof/>
            <w:webHidden/>
          </w:rPr>
          <w:fldChar w:fldCharType="separate"/>
        </w:r>
        <w:r w:rsidR="00A44457">
          <w:rPr>
            <w:noProof/>
            <w:webHidden/>
          </w:rPr>
          <w:t>12</w:t>
        </w:r>
        <w:r w:rsidR="00A44457">
          <w:rPr>
            <w:noProof/>
            <w:webHidden/>
          </w:rPr>
          <w:fldChar w:fldCharType="end"/>
        </w:r>
      </w:hyperlink>
    </w:p>
    <w:p w14:paraId="521AC701" w14:textId="576B0D8C" w:rsidR="00A44457" w:rsidRDefault="008A5343">
      <w:pPr>
        <w:pStyle w:val="TOC1"/>
        <w:rPr>
          <w:rFonts w:asciiTheme="minorHAnsi" w:eastAsiaTheme="minorEastAsia" w:hAnsiTheme="minorHAnsi" w:cstheme="minorBidi"/>
          <w:b w:val="0"/>
          <w:noProof/>
          <w:sz w:val="22"/>
          <w:lang w:eastAsia="en-AU"/>
        </w:rPr>
      </w:pPr>
      <w:hyperlink w:anchor="_Toc64650759" w:history="1">
        <w:r w:rsidR="00A44457" w:rsidRPr="00683F86">
          <w:rPr>
            <w:rStyle w:val="Hyperlink"/>
            <w:noProof/>
          </w:rPr>
          <w:t>Key elements of Evoenergy’s revised GN21 proposal</w:t>
        </w:r>
        <w:r w:rsidR="00A44457">
          <w:rPr>
            <w:noProof/>
            <w:webHidden/>
          </w:rPr>
          <w:tab/>
        </w:r>
        <w:r w:rsidR="00A44457">
          <w:rPr>
            <w:noProof/>
            <w:webHidden/>
          </w:rPr>
          <w:fldChar w:fldCharType="begin"/>
        </w:r>
        <w:r w:rsidR="00A44457">
          <w:rPr>
            <w:noProof/>
            <w:webHidden/>
          </w:rPr>
          <w:instrText xml:space="preserve"> PAGEREF _Toc64650759 \h </w:instrText>
        </w:r>
        <w:r w:rsidR="00A44457">
          <w:rPr>
            <w:noProof/>
            <w:webHidden/>
          </w:rPr>
        </w:r>
        <w:r w:rsidR="00A44457">
          <w:rPr>
            <w:noProof/>
            <w:webHidden/>
          </w:rPr>
          <w:fldChar w:fldCharType="separate"/>
        </w:r>
        <w:r w:rsidR="00A44457">
          <w:rPr>
            <w:noProof/>
            <w:webHidden/>
          </w:rPr>
          <w:t>14</w:t>
        </w:r>
        <w:r w:rsidR="00A44457">
          <w:rPr>
            <w:noProof/>
            <w:webHidden/>
          </w:rPr>
          <w:fldChar w:fldCharType="end"/>
        </w:r>
      </w:hyperlink>
    </w:p>
    <w:p w14:paraId="6851419C" w14:textId="5D3C3031" w:rsidR="00A44457" w:rsidRDefault="008A5343">
      <w:pPr>
        <w:pStyle w:val="TOC2"/>
        <w:rPr>
          <w:rFonts w:asciiTheme="minorHAnsi" w:eastAsiaTheme="minorEastAsia" w:hAnsiTheme="minorHAnsi" w:cstheme="minorBidi"/>
          <w:noProof/>
          <w:sz w:val="22"/>
          <w:lang w:eastAsia="en-AU"/>
        </w:rPr>
      </w:pPr>
      <w:hyperlink w:anchor="_Toc64650760" w:history="1">
        <w:r w:rsidR="00A44457" w:rsidRPr="00683F86">
          <w:rPr>
            <w:rStyle w:val="Hyperlink"/>
            <w:noProof/>
          </w:rPr>
          <w:t>Customer bill impacts</w:t>
        </w:r>
        <w:r w:rsidR="00A44457">
          <w:rPr>
            <w:noProof/>
            <w:webHidden/>
          </w:rPr>
          <w:tab/>
        </w:r>
        <w:r w:rsidR="00A44457">
          <w:rPr>
            <w:noProof/>
            <w:webHidden/>
          </w:rPr>
          <w:fldChar w:fldCharType="begin"/>
        </w:r>
        <w:r w:rsidR="00A44457">
          <w:rPr>
            <w:noProof/>
            <w:webHidden/>
          </w:rPr>
          <w:instrText xml:space="preserve"> PAGEREF _Toc64650760 \h </w:instrText>
        </w:r>
        <w:r w:rsidR="00A44457">
          <w:rPr>
            <w:noProof/>
            <w:webHidden/>
          </w:rPr>
        </w:r>
        <w:r w:rsidR="00A44457">
          <w:rPr>
            <w:noProof/>
            <w:webHidden/>
          </w:rPr>
          <w:fldChar w:fldCharType="separate"/>
        </w:r>
        <w:r w:rsidR="00A44457">
          <w:rPr>
            <w:noProof/>
            <w:webHidden/>
          </w:rPr>
          <w:t>14</w:t>
        </w:r>
        <w:r w:rsidR="00A44457">
          <w:rPr>
            <w:noProof/>
            <w:webHidden/>
          </w:rPr>
          <w:fldChar w:fldCharType="end"/>
        </w:r>
      </w:hyperlink>
    </w:p>
    <w:p w14:paraId="104EEC1F" w14:textId="6537C96C" w:rsidR="00A44457" w:rsidRDefault="008A5343">
      <w:pPr>
        <w:pStyle w:val="TOC2"/>
        <w:rPr>
          <w:rFonts w:asciiTheme="minorHAnsi" w:eastAsiaTheme="minorEastAsia" w:hAnsiTheme="minorHAnsi" w:cstheme="minorBidi"/>
          <w:noProof/>
          <w:sz w:val="22"/>
          <w:lang w:eastAsia="en-AU"/>
        </w:rPr>
      </w:pPr>
      <w:hyperlink w:anchor="_Toc64650761" w:history="1">
        <w:r w:rsidR="00A44457" w:rsidRPr="00683F86">
          <w:rPr>
            <w:rStyle w:val="Hyperlink"/>
            <w:noProof/>
          </w:rPr>
          <w:t>Forecast demand</w:t>
        </w:r>
        <w:r w:rsidR="00A44457">
          <w:rPr>
            <w:noProof/>
            <w:webHidden/>
          </w:rPr>
          <w:tab/>
        </w:r>
        <w:r w:rsidR="00A44457">
          <w:rPr>
            <w:noProof/>
            <w:webHidden/>
          </w:rPr>
          <w:fldChar w:fldCharType="begin"/>
        </w:r>
        <w:r w:rsidR="00A44457">
          <w:rPr>
            <w:noProof/>
            <w:webHidden/>
          </w:rPr>
          <w:instrText xml:space="preserve"> PAGEREF _Toc64650761 \h </w:instrText>
        </w:r>
        <w:r w:rsidR="00A44457">
          <w:rPr>
            <w:noProof/>
            <w:webHidden/>
          </w:rPr>
        </w:r>
        <w:r w:rsidR="00A44457">
          <w:rPr>
            <w:noProof/>
            <w:webHidden/>
          </w:rPr>
          <w:fldChar w:fldCharType="separate"/>
        </w:r>
        <w:r w:rsidR="00A44457">
          <w:rPr>
            <w:noProof/>
            <w:webHidden/>
          </w:rPr>
          <w:t>15</w:t>
        </w:r>
        <w:r w:rsidR="00A44457">
          <w:rPr>
            <w:noProof/>
            <w:webHidden/>
          </w:rPr>
          <w:fldChar w:fldCharType="end"/>
        </w:r>
      </w:hyperlink>
    </w:p>
    <w:p w14:paraId="3EC50AB3" w14:textId="55F644D6" w:rsidR="00A44457" w:rsidRDefault="008A5343">
      <w:pPr>
        <w:pStyle w:val="TOC2"/>
        <w:rPr>
          <w:rFonts w:asciiTheme="minorHAnsi" w:eastAsiaTheme="minorEastAsia" w:hAnsiTheme="minorHAnsi" w:cstheme="minorBidi"/>
          <w:noProof/>
          <w:sz w:val="22"/>
          <w:lang w:eastAsia="en-AU"/>
        </w:rPr>
      </w:pPr>
      <w:hyperlink w:anchor="_Toc64650762" w:history="1">
        <w:r w:rsidR="00A44457" w:rsidRPr="00683F86">
          <w:rPr>
            <w:rStyle w:val="Hyperlink"/>
            <w:noProof/>
          </w:rPr>
          <w:t>Regulatory depreciation and asset lives</w:t>
        </w:r>
        <w:r w:rsidR="00A44457">
          <w:rPr>
            <w:noProof/>
            <w:webHidden/>
          </w:rPr>
          <w:tab/>
        </w:r>
        <w:r w:rsidR="00A44457">
          <w:rPr>
            <w:noProof/>
            <w:webHidden/>
          </w:rPr>
          <w:fldChar w:fldCharType="begin"/>
        </w:r>
        <w:r w:rsidR="00A44457">
          <w:rPr>
            <w:noProof/>
            <w:webHidden/>
          </w:rPr>
          <w:instrText xml:space="preserve"> PAGEREF _Toc64650762 \h </w:instrText>
        </w:r>
        <w:r w:rsidR="00A44457">
          <w:rPr>
            <w:noProof/>
            <w:webHidden/>
          </w:rPr>
        </w:r>
        <w:r w:rsidR="00A44457">
          <w:rPr>
            <w:noProof/>
            <w:webHidden/>
          </w:rPr>
          <w:fldChar w:fldCharType="separate"/>
        </w:r>
        <w:r w:rsidR="00A44457">
          <w:rPr>
            <w:noProof/>
            <w:webHidden/>
          </w:rPr>
          <w:t>17</w:t>
        </w:r>
        <w:r w:rsidR="00A44457">
          <w:rPr>
            <w:noProof/>
            <w:webHidden/>
          </w:rPr>
          <w:fldChar w:fldCharType="end"/>
        </w:r>
      </w:hyperlink>
    </w:p>
    <w:p w14:paraId="283839AA" w14:textId="05AFC76B" w:rsidR="00A44457" w:rsidRDefault="008A5343">
      <w:pPr>
        <w:pStyle w:val="TOC2"/>
        <w:rPr>
          <w:rFonts w:asciiTheme="minorHAnsi" w:eastAsiaTheme="minorEastAsia" w:hAnsiTheme="minorHAnsi" w:cstheme="minorBidi"/>
          <w:noProof/>
          <w:sz w:val="22"/>
          <w:lang w:eastAsia="en-AU"/>
        </w:rPr>
      </w:pPr>
      <w:hyperlink w:anchor="_Toc64650763" w:history="1">
        <w:r w:rsidR="00A44457" w:rsidRPr="00683F86">
          <w:rPr>
            <w:rStyle w:val="Hyperlink"/>
            <w:noProof/>
          </w:rPr>
          <w:t>Tariffs</w:t>
        </w:r>
        <w:r w:rsidR="00A44457">
          <w:rPr>
            <w:noProof/>
            <w:webHidden/>
          </w:rPr>
          <w:tab/>
        </w:r>
        <w:r w:rsidR="00A44457">
          <w:rPr>
            <w:noProof/>
            <w:webHidden/>
          </w:rPr>
          <w:fldChar w:fldCharType="begin"/>
        </w:r>
        <w:r w:rsidR="00A44457">
          <w:rPr>
            <w:noProof/>
            <w:webHidden/>
          </w:rPr>
          <w:instrText xml:space="preserve"> PAGEREF _Toc64650763 \h </w:instrText>
        </w:r>
        <w:r w:rsidR="00A44457">
          <w:rPr>
            <w:noProof/>
            <w:webHidden/>
          </w:rPr>
        </w:r>
        <w:r w:rsidR="00A44457">
          <w:rPr>
            <w:noProof/>
            <w:webHidden/>
          </w:rPr>
          <w:fldChar w:fldCharType="separate"/>
        </w:r>
        <w:r w:rsidR="00A44457">
          <w:rPr>
            <w:noProof/>
            <w:webHidden/>
          </w:rPr>
          <w:t>21</w:t>
        </w:r>
        <w:r w:rsidR="00A44457">
          <w:rPr>
            <w:noProof/>
            <w:webHidden/>
          </w:rPr>
          <w:fldChar w:fldCharType="end"/>
        </w:r>
      </w:hyperlink>
    </w:p>
    <w:p w14:paraId="1008F0EC" w14:textId="336A6E6F" w:rsidR="00A44457" w:rsidRDefault="008A5343">
      <w:pPr>
        <w:pStyle w:val="TOC1"/>
        <w:rPr>
          <w:rFonts w:asciiTheme="minorHAnsi" w:eastAsiaTheme="minorEastAsia" w:hAnsiTheme="minorHAnsi" w:cstheme="minorBidi"/>
          <w:b w:val="0"/>
          <w:noProof/>
          <w:sz w:val="22"/>
          <w:lang w:eastAsia="en-AU"/>
        </w:rPr>
      </w:pPr>
      <w:hyperlink w:anchor="_Toc64650764" w:history="1">
        <w:r w:rsidR="00A44457" w:rsidRPr="00683F86">
          <w:rPr>
            <w:rStyle w:val="Hyperlink"/>
            <w:noProof/>
          </w:rPr>
          <w:t>Conclusion</w:t>
        </w:r>
        <w:r w:rsidR="00A44457">
          <w:rPr>
            <w:noProof/>
            <w:webHidden/>
          </w:rPr>
          <w:tab/>
        </w:r>
        <w:r w:rsidR="00A44457">
          <w:rPr>
            <w:noProof/>
            <w:webHidden/>
          </w:rPr>
          <w:fldChar w:fldCharType="begin"/>
        </w:r>
        <w:r w:rsidR="00A44457">
          <w:rPr>
            <w:noProof/>
            <w:webHidden/>
          </w:rPr>
          <w:instrText xml:space="preserve"> PAGEREF _Toc64650764 \h </w:instrText>
        </w:r>
        <w:r w:rsidR="00A44457">
          <w:rPr>
            <w:noProof/>
            <w:webHidden/>
          </w:rPr>
        </w:r>
        <w:r w:rsidR="00A44457">
          <w:rPr>
            <w:noProof/>
            <w:webHidden/>
          </w:rPr>
          <w:fldChar w:fldCharType="separate"/>
        </w:r>
        <w:r w:rsidR="00A44457">
          <w:rPr>
            <w:noProof/>
            <w:webHidden/>
          </w:rPr>
          <w:t>22</w:t>
        </w:r>
        <w:r w:rsidR="00A44457">
          <w:rPr>
            <w:noProof/>
            <w:webHidden/>
          </w:rPr>
          <w:fldChar w:fldCharType="end"/>
        </w:r>
      </w:hyperlink>
    </w:p>
    <w:p w14:paraId="420F501F" w14:textId="6A122BEA" w:rsidR="00A44457" w:rsidRDefault="008A5343">
      <w:pPr>
        <w:pStyle w:val="TOC1"/>
        <w:rPr>
          <w:rFonts w:asciiTheme="minorHAnsi" w:eastAsiaTheme="minorEastAsia" w:hAnsiTheme="minorHAnsi" w:cstheme="minorBidi"/>
          <w:b w:val="0"/>
          <w:noProof/>
          <w:sz w:val="22"/>
          <w:lang w:eastAsia="en-AU"/>
        </w:rPr>
      </w:pPr>
      <w:hyperlink w:anchor="_Toc64650765" w:history="1">
        <w:r w:rsidR="00A44457" w:rsidRPr="00683F86">
          <w:rPr>
            <w:rStyle w:val="Hyperlink"/>
            <w:noProof/>
          </w:rPr>
          <w:t>ACTCOSS contact</w:t>
        </w:r>
        <w:r w:rsidR="00A44457">
          <w:rPr>
            <w:noProof/>
            <w:webHidden/>
          </w:rPr>
          <w:tab/>
        </w:r>
        <w:r w:rsidR="00A44457">
          <w:rPr>
            <w:noProof/>
            <w:webHidden/>
          </w:rPr>
          <w:fldChar w:fldCharType="begin"/>
        </w:r>
        <w:r w:rsidR="00A44457">
          <w:rPr>
            <w:noProof/>
            <w:webHidden/>
          </w:rPr>
          <w:instrText xml:space="preserve"> PAGEREF _Toc64650765 \h </w:instrText>
        </w:r>
        <w:r w:rsidR="00A44457">
          <w:rPr>
            <w:noProof/>
            <w:webHidden/>
          </w:rPr>
        </w:r>
        <w:r w:rsidR="00A44457">
          <w:rPr>
            <w:noProof/>
            <w:webHidden/>
          </w:rPr>
          <w:fldChar w:fldCharType="separate"/>
        </w:r>
        <w:r w:rsidR="00A44457">
          <w:rPr>
            <w:noProof/>
            <w:webHidden/>
          </w:rPr>
          <w:t>23</w:t>
        </w:r>
        <w:r w:rsidR="00A44457">
          <w:rPr>
            <w:noProof/>
            <w:webHidden/>
          </w:rPr>
          <w:fldChar w:fldCharType="end"/>
        </w:r>
      </w:hyperlink>
    </w:p>
    <w:p w14:paraId="60818C8D" w14:textId="75DA0CEB" w:rsidR="00A44457" w:rsidRDefault="008A5343">
      <w:pPr>
        <w:pStyle w:val="TOC1"/>
        <w:rPr>
          <w:rFonts w:asciiTheme="minorHAnsi" w:eastAsiaTheme="minorEastAsia" w:hAnsiTheme="minorHAnsi" w:cstheme="minorBidi"/>
          <w:b w:val="0"/>
          <w:noProof/>
          <w:sz w:val="22"/>
          <w:lang w:eastAsia="en-AU"/>
        </w:rPr>
      </w:pPr>
      <w:hyperlink w:anchor="_Toc64650766" w:history="1">
        <w:r w:rsidR="00A44457" w:rsidRPr="00683F86">
          <w:rPr>
            <w:rStyle w:val="Hyperlink"/>
            <w:noProof/>
          </w:rPr>
          <w:t>Appendix 1 Relevant 2020-21 ACT Budget Measures</w:t>
        </w:r>
        <w:r w:rsidR="00A44457">
          <w:rPr>
            <w:noProof/>
            <w:webHidden/>
          </w:rPr>
          <w:tab/>
        </w:r>
        <w:r w:rsidR="00A44457">
          <w:rPr>
            <w:noProof/>
            <w:webHidden/>
          </w:rPr>
          <w:fldChar w:fldCharType="begin"/>
        </w:r>
        <w:r w:rsidR="00A44457">
          <w:rPr>
            <w:noProof/>
            <w:webHidden/>
          </w:rPr>
          <w:instrText xml:space="preserve"> PAGEREF _Toc64650766 \h </w:instrText>
        </w:r>
        <w:r w:rsidR="00A44457">
          <w:rPr>
            <w:noProof/>
            <w:webHidden/>
          </w:rPr>
        </w:r>
        <w:r w:rsidR="00A44457">
          <w:rPr>
            <w:noProof/>
            <w:webHidden/>
          </w:rPr>
          <w:fldChar w:fldCharType="separate"/>
        </w:r>
        <w:r w:rsidR="00A44457">
          <w:rPr>
            <w:noProof/>
            <w:webHidden/>
          </w:rPr>
          <w:t>24</w:t>
        </w:r>
        <w:r w:rsidR="00A44457">
          <w:rPr>
            <w:noProof/>
            <w:webHidden/>
          </w:rPr>
          <w:fldChar w:fldCharType="end"/>
        </w:r>
      </w:hyperlink>
    </w:p>
    <w:p w14:paraId="65ECFC32" w14:textId="64F9EE83" w:rsidR="001B2FCD" w:rsidRPr="00CA7855" w:rsidRDefault="00AB255D" w:rsidP="00F62238">
      <w:pPr>
        <w:pStyle w:val="BodyText"/>
      </w:pPr>
      <w:r w:rsidRPr="00CA7855">
        <w:fldChar w:fldCharType="end"/>
      </w:r>
    </w:p>
    <w:p w14:paraId="4F93FAA1" w14:textId="77777777" w:rsidR="00AB255D" w:rsidRPr="00CA7855" w:rsidRDefault="00AB255D" w:rsidP="00F62238">
      <w:pPr>
        <w:pStyle w:val="BodyText"/>
      </w:pPr>
    </w:p>
    <w:p w14:paraId="7B02E4FA" w14:textId="77777777" w:rsidR="00AB255D" w:rsidRPr="00CA7855" w:rsidRDefault="00AB255D" w:rsidP="00AB255D">
      <w:pPr>
        <w:pStyle w:val="Heading1-Pagebreakbefore"/>
      </w:pPr>
      <w:bookmarkStart w:id="0" w:name="_Toc64650750"/>
      <w:r w:rsidRPr="00CA7855">
        <w:lastRenderedPageBreak/>
        <w:t>Acronyms</w:t>
      </w:r>
      <w:bookmarkEnd w:id="0"/>
    </w:p>
    <w:p w14:paraId="391739A4" w14:textId="77777777" w:rsidR="00AB255D" w:rsidRPr="00CA7855" w:rsidRDefault="00703089" w:rsidP="00AB255D">
      <w:pPr>
        <w:pStyle w:val="AcronymsList"/>
      </w:pPr>
      <w:r>
        <w:t>ACTCOSS</w:t>
      </w:r>
      <w:r>
        <w:tab/>
        <w:t>ACT Council of S</w:t>
      </w:r>
      <w:r w:rsidR="00AB255D" w:rsidRPr="00CA7855">
        <w:t>ocial Service Inc.</w:t>
      </w:r>
    </w:p>
    <w:p w14:paraId="56A7FB56" w14:textId="77777777" w:rsidR="000D36F5" w:rsidRPr="00CA7855" w:rsidRDefault="000D36F5" w:rsidP="000D36F5">
      <w:pPr>
        <w:pStyle w:val="AcronymsList"/>
      </w:pPr>
      <w:r>
        <w:t>AGN SA</w:t>
      </w:r>
      <w:r>
        <w:tab/>
        <w:t>Australian Gas Networks South Australia</w:t>
      </w:r>
    </w:p>
    <w:p w14:paraId="0561F740" w14:textId="0F013C13" w:rsidR="000D36F5" w:rsidRDefault="000D36F5" w:rsidP="000D36F5">
      <w:pPr>
        <w:pStyle w:val="AcronymsList"/>
      </w:pPr>
      <w:r>
        <w:t>AER</w:t>
      </w:r>
      <w:r>
        <w:tab/>
        <w:t>Australian Energy Regulator</w:t>
      </w:r>
    </w:p>
    <w:p w14:paraId="3D6A6C6C" w14:textId="29EE8E7A" w:rsidR="00DE4110" w:rsidRDefault="00DE4110" w:rsidP="000D36F5">
      <w:pPr>
        <w:pStyle w:val="AcronymsList"/>
      </w:pPr>
      <w:r>
        <w:t>Capex</w:t>
      </w:r>
      <w:r>
        <w:tab/>
        <w:t>Capital expenditure</w:t>
      </w:r>
    </w:p>
    <w:p w14:paraId="1A570009" w14:textId="77777777" w:rsidR="000D36F5" w:rsidRDefault="000D36F5" w:rsidP="000D36F5">
      <w:pPr>
        <w:pStyle w:val="AcronymsList"/>
      </w:pPr>
      <w:r>
        <w:t>CCP24</w:t>
      </w:r>
      <w:r>
        <w:tab/>
        <w:t xml:space="preserve">AER’s Consumer Challenge Panel </w:t>
      </w:r>
    </w:p>
    <w:p w14:paraId="6E40EE38" w14:textId="77777777" w:rsidR="000D36F5" w:rsidRDefault="000D36F5" w:rsidP="000D36F5">
      <w:pPr>
        <w:pStyle w:val="AcronymsList"/>
      </w:pPr>
      <w:r>
        <w:t>ECA</w:t>
      </w:r>
      <w:r>
        <w:tab/>
        <w:t>Energy Consumers Australia</w:t>
      </w:r>
    </w:p>
    <w:p w14:paraId="4BFFD8D3" w14:textId="77777777" w:rsidR="000D36F5" w:rsidRDefault="000D36F5" w:rsidP="000D36F5">
      <w:pPr>
        <w:pStyle w:val="AcronymsList"/>
      </w:pPr>
      <w:r>
        <w:t>ECRC</w:t>
      </w:r>
      <w:r>
        <w:tab/>
        <w:t>Evoenergy’s Energy Consumer Reference Council</w:t>
      </w:r>
    </w:p>
    <w:p w14:paraId="312DE182" w14:textId="4C353FB4" w:rsidR="000D36F5" w:rsidRDefault="000D36F5" w:rsidP="000D36F5">
      <w:pPr>
        <w:pStyle w:val="AcronymsList"/>
      </w:pPr>
      <w:r>
        <w:t>GN21</w:t>
      </w:r>
      <w:r>
        <w:tab/>
        <w:t>Evoenergy’s gas network 2021-26 access arrangement</w:t>
      </w:r>
    </w:p>
    <w:p w14:paraId="31D9B99A" w14:textId="0A12D1A4" w:rsidR="00DE4110" w:rsidRDefault="00DE4110" w:rsidP="000D36F5">
      <w:pPr>
        <w:pStyle w:val="AcronymsList"/>
      </w:pPr>
      <w:r>
        <w:t>Opex</w:t>
      </w:r>
      <w:r>
        <w:tab/>
        <w:t>Operating expenditure</w:t>
      </w:r>
    </w:p>
    <w:p w14:paraId="4830FD4F" w14:textId="12EF60AC" w:rsidR="000D36F5" w:rsidRDefault="000D36F5" w:rsidP="000D36F5">
      <w:pPr>
        <w:pStyle w:val="AcronymsList"/>
      </w:pPr>
      <w:r>
        <w:t>SACOSS</w:t>
      </w:r>
      <w:r>
        <w:tab/>
        <w:t>South Australian Council of Social Service</w:t>
      </w:r>
    </w:p>
    <w:p w14:paraId="045C5B9D" w14:textId="492BD2AE" w:rsidR="005F04FA" w:rsidRPr="00CA7855" w:rsidRDefault="005F04FA" w:rsidP="000D36F5">
      <w:pPr>
        <w:pStyle w:val="AcronymsList"/>
      </w:pPr>
      <w:r>
        <w:t>The CIE</w:t>
      </w:r>
      <w:r>
        <w:tab/>
        <w:t>The Centre for International Economics</w:t>
      </w:r>
    </w:p>
    <w:p w14:paraId="4B0B14EE" w14:textId="35F7FA2E" w:rsidR="00AB255D" w:rsidRPr="00CA7855" w:rsidRDefault="00AB255D" w:rsidP="00776BAC">
      <w:pPr>
        <w:pStyle w:val="AcronymsList"/>
      </w:pPr>
    </w:p>
    <w:p w14:paraId="032ECBD3" w14:textId="12CC36C2" w:rsidR="00AB255D" w:rsidRPr="00CA7855" w:rsidRDefault="00F54FAF" w:rsidP="00F54FAF">
      <w:pPr>
        <w:pStyle w:val="Heading1-Pagebreakbefore"/>
      </w:pPr>
      <w:bookmarkStart w:id="1" w:name="_Toc64650751"/>
      <w:r w:rsidRPr="00CA7855">
        <w:lastRenderedPageBreak/>
        <w:t>Introduction</w:t>
      </w:r>
      <w:bookmarkEnd w:id="1"/>
    </w:p>
    <w:p w14:paraId="354E1D91" w14:textId="0198F0B3" w:rsidR="002C4E3A" w:rsidRDefault="00D313C9" w:rsidP="002C4E3A">
      <w:pPr>
        <w:pStyle w:val="BodyText"/>
      </w:pPr>
      <w:r w:rsidRPr="00D313C9">
        <w:t xml:space="preserve">The ACT Council of Social Service (ACTCOSS) welcomes the opportunity to provide </w:t>
      </w:r>
      <w:r w:rsidR="00C47534">
        <w:t xml:space="preserve">feedback </w:t>
      </w:r>
      <w:r w:rsidR="00412B08">
        <w:t xml:space="preserve">to the Australian Energy Regulator (AER) on the </w:t>
      </w:r>
      <w:r w:rsidR="000C1FD8" w:rsidRPr="000C1FD8">
        <w:t>AER's draft decision and Evoenergy's revised gas access arrangement proposal</w:t>
      </w:r>
      <w:r w:rsidR="006A1420">
        <w:t>.</w:t>
      </w:r>
      <w:r w:rsidR="00A43741">
        <w:t xml:space="preserve"> This submission aims to inform the AER’s final decision on </w:t>
      </w:r>
      <w:r w:rsidR="00295038">
        <w:t>Evoenergy’s</w:t>
      </w:r>
      <w:r w:rsidR="002076B7">
        <w:t xml:space="preserve"> access arrangement </w:t>
      </w:r>
      <w:r w:rsidR="00295038" w:rsidRPr="00295038">
        <w:t>for its ACT (and surrounding areas) gas distribution network for the period from 1 July 2021 to 30 June 2026</w:t>
      </w:r>
      <w:r w:rsidR="001E4E0E">
        <w:t xml:space="preserve">. Throughout this </w:t>
      </w:r>
      <w:r w:rsidR="00837CCA">
        <w:t xml:space="preserve">submission </w:t>
      </w:r>
      <w:r w:rsidR="001E4E0E">
        <w:t xml:space="preserve">we refer to </w:t>
      </w:r>
      <w:r w:rsidR="00837CCA">
        <w:t xml:space="preserve">the Evoenergy gas network 2021-26 access arrangement as </w:t>
      </w:r>
      <w:r w:rsidR="00295038" w:rsidRPr="00295038">
        <w:t>GN21</w:t>
      </w:r>
      <w:r w:rsidR="00295038">
        <w:t>.</w:t>
      </w:r>
    </w:p>
    <w:p w14:paraId="2794C47E" w14:textId="77777777" w:rsidR="00A11995" w:rsidRDefault="00A11995" w:rsidP="00A11995">
      <w:pPr>
        <w:pStyle w:val="Heading2"/>
      </w:pPr>
      <w:bookmarkStart w:id="2" w:name="_Toc64650752"/>
      <w:r>
        <w:t>About ACTCOSS</w:t>
      </w:r>
      <w:bookmarkEnd w:id="2"/>
    </w:p>
    <w:p w14:paraId="1142CE59" w14:textId="77777777" w:rsidR="00A11995" w:rsidRDefault="00A11995" w:rsidP="00A11995">
      <w:pPr>
        <w:pStyle w:val="BodyText"/>
      </w:pPr>
      <w:r>
        <w:t xml:space="preserve">ACTCOSS represents not-for-profit community organisations and advocates for social justice in the ACT. In partnership with Care Financial Counselling Service, ACTCOSS leads the ACT Energised Consumers Project which is co-funded by Energy Consumers Australia (ECA) and the ACT Government. Through this project ACTCOSS advocates for residential, not-for-profit, and small business energy consumers in the ACT. </w:t>
      </w:r>
    </w:p>
    <w:p w14:paraId="4AF2E521" w14:textId="36CEF2B9" w:rsidR="00A11995" w:rsidRDefault="00A11995" w:rsidP="00A11995">
      <w:pPr>
        <w:pStyle w:val="BodyText"/>
      </w:pPr>
      <w:r>
        <w:t xml:space="preserve">This submission has been developed primarily as part of the ACT Energised Consumers Project and has been informed by engagement with ACT energy consumers and community organisations. This includes through </w:t>
      </w:r>
      <w:r w:rsidR="003E6C04">
        <w:t>bi-</w:t>
      </w:r>
      <w:r>
        <w:t xml:space="preserve">monthly meetings of the ACT Energy Consumer Policy </w:t>
      </w:r>
      <w:r w:rsidR="009A62E5">
        <w:t>Consortium,</w:t>
      </w:r>
      <w:r>
        <w:t xml:space="preserve"> which is attended by representatives from Better Renting, Canberra Business Chamber, Care Financial Counselling Service, Conservation Council ACT Region, and ACT Government. A key focus of the ACT Energised Consumers Project for 2020-22 is the future of gas in a just transition to net zero greenhouse gas emissions in the ACT. ACTCOSS sees GN21 as critical in determining how the future of gas can contribute to a just transition.</w:t>
      </w:r>
    </w:p>
    <w:p w14:paraId="634CF0B0" w14:textId="6BB27DD5" w:rsidR="00A11995" w:rsidRDefault="00A11995" w:rsidP="00A11995">
      <w:pPr>
        <w:pStyle w:val="BodyText"/>
      </w:pPr>
      <w:r w:rsidRPr="00D13711">
        <w:t xml:space="preserve">ACTCOSS </w:t>
      </w:r>
      <w:r>
        <w:t xml:space="preserve">has </w:t>
      </w:r>
      <w:r w:rsidRPr="00D13711">
        <w:t>received funding from Evoenergy to support their engagement with vulnerable energy consumers</w:t>
      </w:r>
      <w:r w:rsidR="000317A8">
        <w:t xml:space="preserve"> in their GN21 planning</w:t>
      </w:r>
      <w:r w:rsidR="008815A0">
        <w:t xml:space="preserve"> and to provide input to the AER</w:t>
      </w:r>
      <w:r w:rsidR="00FE069F">
        <w:t>’s GN21 review that is</w:t>
      </w:r>
      <w:r w:rsidR="008815A0">
        <w:t xml:space="preserve"> focused on vulnerable energy consumers</w:t>
      </w:r>
      <w:r w:rsidRPr="00D13711">
        <w:t>.</w:t>
      </w:r>
    </w:p>
    <w:p w14:paraId="19BA77A4" w14:textId="77777777" w:rsidR="00A11995" w:rsidRDefault="00A11995" w:rsidP="00A11995">
      <w:pPr>
        <w:pStyle w:val="BodyText"/>
      </w:pPr>
      <w:r>
        <w:t>ACTCOSS is represented on Evoenergy’s Energy Consumer Reference Council (ECRC), the AER’s Customer Consultative Group, and the National Consumer Roundtable on Energy.</w:t>
      </w:r>
    </w:p>
    <w:p w14:paraId="77DA4F62" w14:textId="2C74C86B" w:rsidR="004769CE" w:rsidRDefault="004769CE" w:rsidP="004769CE">
      <w:pPr>
        <w:pStyle w:val="Heading2"/>
      </w:pPr>
      <w:bookmarkStart w:id="3" w:name="_Toc64650753"/>
      <w:r>
        <w:t>About GN21</w:t>
      </w:r>
      <w:bookmarkEnd w:id="3"/>
    </w:p>
    <w:p w14:paraId="26F90DF9" w14:textId="77777777" w:rsidR="00E9082E" w:rsidRDefault="00AC0FBC" w:rsidP="00E9082E">
      <w:pPr>
        <w:pStyle w:val="BodyText"/>
      </w:pPr>
      <w:r w:rsidRPr="00AC0FBC">
        <w:t xml:space="preserve">Evoenergy is the gas distribution network service provider for the ACT and Queanbeyan-Palerang region – it owns and operates the network delivering gas to homes and businesses in the region. </w:t>
      </w:r>
      <w:r w:rsidR="00E9082E">
        <w:t>The AER notes that:</w:t>
      </w:r>
    </w:p>
    <w:p w14:paraId="3B99CD31" w14:textId="3F9245E4" w:rsidR="00E9082E" w:rsidRDefault="00E9082E" w:rsidP="00E9082E">
      <w:pPr>
        <w:pStyle w:val="BlockText"/>
      </w:pPr>
      <w:r w:rsidRPr="004A31DF">
        <w:t xml:space="preserve">Evoenergy provides natural gas distribution services to approximately 150,000 homes and businesses across Canberra, Greater Queanbeyan and Bungendore, of which around 90 per cent of consumers are located in </w:t>
      </w:r>
      <w:r w:rsidRPr="004A31DF">
        <w:lastRenderedPageBreak/>
        <w:t>the ACT and 10 per cent in NSW. Around 98 per cent of Evoenergy’s consumers are residential consumers.</w:t>
      </w:r>
      <w:r>
        <w:rPr>
          <w:rStyle w:val="FootnoteReference"/>
        </w:rPr>
        <w:footnoteReference w:id="1"/>
      </w:r>
    </w:p>
    <w:p w14:paraId="584BA84D" w14:textId="109F6A63" w:rsidR="00E9082E" w:rsidRDefault="00AC0FBC" w:rsidP="00E9082E">
      <w:pPr>
        <w:pStyle w:val="BodyText"/>
      </w:pPr>
      <w:r w:rsidRPr="00AC0FBC">
        <w:t>Evoenergy’s network charges for transporting gas through the network are levied on gas retailers and form part of the costs in a retail gas bill. The National Gas Law and National Gas Rules provide the regulatory framework governing gas networks. The Australian Energy Regulator (AER) determines the revenue Evoenergy can raise through tariffs from network users (</w:t>
      </w:r>
      <w:r w:rsidR="009A62E5" w:rsidRPr="00AC0FBC">
        <w:t>i.e.,</w:t>
      </w:r>
      <w:r w:rsidRPr="00AC0FBC">
        <w:t xml:space="preserve"> gas retailers) to operate and maintain the network and to fund network growth, </w:t>
      </w:r>
      <w:r w:rsidR="0020013C" w:rsidRPr="00AC0FBC">
        <w:t>refurbishment,</w:t>
      </w:r>
      <w:r w:rsidRPr="00AC0FBC">
        <w:t xml:space="preserve"> and replacement under an approved access arrangement. </w:t>
      </w:r>
      <w:r w:rsidR="00E9082E" w:rsidRPr="00A156F1">
        <w:t xml:space="preserve">The revenue </w:t>
      </w:r>
      <w:r w:rsidR="00E9082E">
        <w:t xml:space="preserve">that the AER </w:t>
      </w:r>
      <w:r w:rsidR="00E9082E" w:rsidRPr="00A156F1">
        <w:t>allow</w:t>
      </w:r>
      <w:r w:rsidR="00E9082E">
        <w:t xml:space="preserve">s </w:t>
      </w:r>
      <w:r w:rsidR="00E9082E" w:rsidRPr="00A156F1">
        <w:t>Evoenergy</w:t>
      </w:r>
      <w:r w:rsidR="00E9082E">
        <w:t xml:space="preserve"> under the access arrangement</w:t>
      </w:r>
      <w:r w:rsidR="00E9082E" w:rsidRPr="00A156F1">
        <w:t xml:space="preserve"> forms the distribution network component of retail gas bills, making up 28</w:t>
      </w:r>
      <w:r w:rsidR="00E9082E">
        <w:t>%</w:t>
      </w:r>
      <w:r w:rsidR="00E9082E" w:rsidRPr="00A156F1">
        <w:t xml:space="preserve"> of a typical residential bill and 22</w:t>
      </w:r>
      <w:r w:rsidR="00E9082E">
        <w:t xml:space="preserve">% </w:t>
      </w:r>
      <w:r w:rsidR="00E9082E" w:rsidRPr="00A156F1">
        <w:t>for small businesses.</w:t>
      </w:r>
      <w:r w:rsidR="00E9082E">
        <w:rPr>
          <w:rStyle w:val="FootnoteReference"/>
        </w:rPr>
        <w:footnoteReference w:id="2"/>
      </w:r>
    </w:p>
    <w:p w14:paraId="01322429" w14:textId="57C6E49A" w:rsidR="00AC0FBC" w:rsidRDefault="00AC0FBC" w:rsidP="002C4E3A">
      <w:pPr>
        <w:pStyle w:val="BodyText"/>
      </w:pPr>
      <w:r w:rsidRPr="00AC0FBC">
        <w:t xml:space="preserve">Evoenergy </w:t>
      </w:r>
      <w:r>
        <w:t>submitted</w:t>
      </w:r>
      <w:r w:rsidRPr="00AC0FBC">
        <w:t xml:space="preserve"> its gas </w:t>
      </w:r>
      <w:r w:rsidR="007E3052">
        <w:t xml:space="preserve">network </w:t>
      </w:r>
      <w:r w:rsidRPr="00AC0FBC">
        <w:t xml:space="preserve">access arrangement proposal for the 2021-26 period to the AER for approval by 1 July 2020. </w:t>
      </w:r>
      <w:r w:rsidR="006E6009">
        <w:t xml:space="preserve">The AER released its draft decision on </w:t>
      </w:r>
      <w:r w:rsidR="00FA7DEE">
        <w:t xml:space="preserve">Evoenergy’s proposal on 27 November 2020 and </w:t>
      </w:r>
      <w:r w:rsidR="00C0630D">
        <w:t xml:space="preserve">received Evoenergy’s revised proposal on 13 January 2021. </w:t>
      </w:r>
      <w:r w:rsidRPr="00AC0FBC">
        <w:t xml:space="preserve">The AER </w:t>
      </w:r>
      <w:r w:rsidR="007F5DAC">
        <w:t xml:space="preserve">is expected </w:t>
      </w:r>
      <w:r w:rsidRPr="00AC0FBC">
        <w:t xml:space="preserve">to publish its final decision </w:t>
      </w:r>
      <w:r w:rsidR="004769CE">
        <w:t xml:space="preserve">on 30 </w:t>
      </w:r>
      <w:r w:rsidRPr="00AC0FBC">
        <w:t>April 2021.</w:t>
      </w:r>
    </w:p>
    <w:p w14:paraId="3D595699" w14:textId="1F7DCC52" w:rsidR="00811DB3" w:rsidRDefault="00811DB3" w:rsidP="00811DB3">
      <w:pPr>
        <w:pStyle w:val="Heading2"/>
      </w:pPr>
      <w:bookmarkStart w:id="4" w:name="_Toc64650754"/>
      <w:r>
        <w:t xml:space="preserve">Our </w:t>
      </w:r>
      <w:r w:rsidRPr="00811DB3">
        <w:t xml:space="preserve">engagement </w:t>
      </w:r>
      <w:r w:rsidR="00A517C6">
        <w:t>with</w:t>
      </w:r>
      <w:r w:rsidRPr="00811DB3">
        <w:t xml:space="preserve"> GN21</w:t>
      </w:r>
      <w:bookmarkEnd w:id="4"/>
    </w:p>
    <w:p w14:paraId="4E09C51C" w14:textId="43F5D26B" w:rsidR="005226B6" w:rsidRDefault="005226B6" w:rsidP="005226B6">
      <w:pPr>
        <w:pStyle w:val="BodyText"/>
      </w:pPr>
      <w:r>
        <w:t xml:space="preserve">The primary focus of </w:t>
      </w:r>
      <w:r w:rsidR="004769CE">
        <w:t>ACTCOSS’s</w:t>
      </w:r>
      <w:r>
        <w:t xml:space="preserve"> engagement</w:t>
      </w:r>
      <w:r w:rsidR="00793BAE">
        <w:t xml:space="preserve"> with GN21</w:t>
      </w:r>
      <w:r>
        <w:t xml:space="preserve"> has been to engage with and advocate for the interests of vulnerable, low-income, and other at-risk gas consumers. In line with the National Gas Objective, we are concerned about </w:t>
      </w:r>
      <w:r w:rsidRPr="00D741B7">
        <w:t>the long</w:t>
      </w:r>
      <w:r>
        <w:t>-</w:t>
      </w:r>
      <w:r w:rsidRPr="00D741B7">
        <w:t>term interests of consumers</w:t>
      </w:r>
      <w:r>
        <w:t xml:space="preserve"> </w:t>
      </w:r>
      <w:r w:rsidRPr="00D741B7">
        <w:t>of natural gas</w:t>
      </w:r>
      <w:r>
        <w:t>, with a focus on the interests of vulnerable consumers.</w:t>
      </w:r>
    </w:p>
    <w:p w14:paraId="67DBAC72" w14:textId="77777777" w:rsidR="005226B6" w:rsidRDefault="005226B6" w:rsidP="005226B6">
      <w:pPr>
        <w:pStyle w:val="BodyText"/>
      </w:pPr>
      <w:r>
        <w:t>The National Gas Objective as stated in the National Gas Law is:</w:t>
      </w:r>
    </w:p>
    <w:p w14:paraId="7173731E" w14:textId="77777777" w:rsidR="005226B6" w:rsidRDefault="005226B6" w:rsidP="005226B6">
      <w:pPr>
        <w:pStyle w:val="BlockText"/>
      </w:pPr>
      <w:r>
        <w:t>to promote efficient investment in, and efficient operation and use of, natural gas services for the long term interests of consumers of natural gas with respect to price, quality, safety, reliability and security of supply of natural gas.</w:t>
      </w:r>
    </w:p>
    <w:p w14:paraId="751440B4" w14:textId="207D1A05" w:rsidR="005226B6" w:rsidRDefault="005226B6" w:rsidP="005226B6">
      <w:pPr>
        <w:pStyle w:val="BodyText"/>
      </w:pPr>
      <w:r w:rsidRPr="005402D2">
        <w:t xml:space="preserve">ACTCOSS has had considerable engagement in </w:t>
      </w:r>
      <w:r>
        <w:t xml:space="preserve">the </w:t>
      </w:r>
      <w:r w:rsidR="00233C70">
        <w:t xml:space="preserve">GN21 </w:t>
      </w:r>
      <w:r w:rsidR="00BC036E">
        <w:t>process</w:t>
      </w:r>
      <w:r>
        <w:t>. This submission builds on and has been informed by the following engagements:</w:t>
      </w:r>
    </w:p>
    <w:p w14:paraId="25032E81" w14:textId="2DDF300A" w:rsidR="005226B6" w:rsidRPr="00047A68" w:rsidRDefault="005226B6" w:rsidP="005226B6">
      <w:pPr>
        <w:pStyle w:val="ListBullet"/>
      </w:pPr>
      <w:r w:rsidRPr="00047A68">
        <w:t xml:space="preserve">Submission </w:t>
      </w:r>
      <w:r w:rsidR="00592286" w:rsidRPr="00047A68">
        <w:t>to Evoenergy on</w:t>
      </w:r>
      <w:r w:rsidRPr="00047A68">
        <w:t xml:space="preserve"> the Evoenergy Gas Network 2021 Draft Plan</w:t>
      </w:r>
      <w:r w:rsidRPr="00047A68">
        <w:rPr>
          <w:rStyle w:val="FootnoteReference"/>
        </w:rPr>
        <w:footnoteReference w:id="3"/>
      </w:r>
    </w:p>
    <w:p w14:paraId="2DB8445C" w14:textId="33EC294A" w:rsidR="00B74734" w:rsidRPr="00592286" w:rsidRDefault="00B74734" w:rsidP="005226B6">
      <w:pPr>
        <w:pStyle w:val="ListBullet"/>
      </w:pPr>
      <w:r w:rsidRPr="00592286">
        <w:t xml:space="preserve">Submission </w:t>
      </w:r>
      <w:r w:rsidR="00592286" w:rsidRPr="00592286">
        <w:t xml:space="preserve">to the AER on </w:t>
      </w:r>
      <w:r w:rsidR="00741480" w:rsidRPr="00592286">
        <w:t xml:space="preserve">the Evoenergy </w:t>
      </w:r>
      <w:r w:rsidR="00592286" w:rsidRPr="00592286">
        <w:t xml:space="preserve">Gas Network 2021-26 </w:t>
      </w:r>
      <w:r w:rsidR="00BC14B2" w:rsidRPr="00592286">
        <w:t>Access Arrangement Proposal</w:t>
      </w:r>
      <w:r w:rsidR="00592286">
        <w:rPr>
          <w:rStyle w:val="FootnoteReference"/>
        </w:rPr>
        <w:footnoteReference w:id="4"/>
      </w:r>
    </w:p>
    <w:p w14:paraId="061BE11C" w14:textId="77777777" w:rsidR="005226B6" w:rsidRDefault="005226B6" w:rsidP="005226B6">
      <w:pPr>
        <w:pStyle w:val="ListBullet"/>
      </w:pPr>
      <w:r>
        <w:t>ACTCOSS’s GN21 Energy Consumer Advocacy Workshop and subsequent workshop outcomes report funded by Evoenergy</w:t>
      </w:r>
      <w:r>
        <w:rPr>
          <w:rStyle w:val="FootnoteReference"/>
        </w:rPr>
        <w:footnoteReference w:id="5"/>
      </w:r>
    </w:p>
    <w:p w14:paraId="7697A544" w14:textId="1836A01B" w:rsidR="005226B6" w:rsidRDefault="005226B6" w:rsidP="005226B6">
      <w:pPr>
        <w:pStyle w:val="ListBullet"/>
      </w:pPr>
      <w:r>
        <w:t>Presen</w:t>
      </w:r>
      <w:r w:rsidR="00164184">
        <w:t>ted</w:t>
      </w:r>
      <w:r>
        <w:t xml:space="preserve"> evidence and observ</w:t>
      </w:r>
      <w:r w:rsidR="00164184">
        <w:t>ed</w:t>
      </w:r>
      <w:r>
        <w:t xml:space="preserve"> at Evoenergy’s 2019 Citizens’ Jury </w:t>
      </w:r>
    </w:p>
    <w:p w14:paraId="32AC2774" w14:textId="2D6F5722" w:rsidR="005226B6" w:rsidRDefault="005226B6" w:rsidP="005226B6">
      <w:pPr>
        <w:pStyle w:val="ListBullet"/>
      </w:pPr>
      <w:r>
        <w:t>Participa</w:t>
      </w:r>
      <w:r w:rsidR="008D0F04">
        <w:t>t</w:t>
      </w:r>
      <w:r w:rsidR="00164184">
        <w:t>ed</w:t>
      </w:r>
      <w:r>
        <w:t xml:space="preserve"> in Evoenergy’s GN21 Draft Plan Deep Dive discussions with local consumers and consumer representatives (Part A), and with consumer advocates (Part B)</w:t>
      </w:r>
    </w:p>
    <w:p w14:paraId="417146FF" w14:textId="61239218" w:rsidR="008D0F04" w:rsidRDefault="006C3387" w:rsidP="005226B6">
      <w:pPr>
        <w:pStyle w:val="ListBullet"/>
      </w:pPr>
      <w:r>
        <w:t>Participated</w:t>
      </w:r>
      <w:r w:rsidR="008D0F04">
        <w:t xml:space="preserve"> in </w:t>
      </w:r>
      <w:r w:rsidR="00DC6FCD">
        <w:t xml:space="preserve">the </w:t>
      </w:r>
      <w:r w:rsidR="008D0F04">
        <w:t>Evoenergy</w:t>
      </w:r>
      <w:r w:rsidR="00DC6FCD">
        <w:t xml:space="preserve"> Stranded Asset </w:t>
      </w:r>
      <w:r w:rsidR="00164184">
        <w:t>Risk Deep</w:t>
      </w:r>
      <w:r w:rsidR="00DC6FCD">
        <w:t xml:space="preserve"> Dive Workshop</w:t>
      </w:r>
      <w:r w:rsidR="008D0F04">
        <w:t xml:space="preserve"> </w:t>
      </w:r>
    </w:p>
    <w:p w14:paraId="11724976" w14:textId="77777777" w:rsidR="005226B6" w:rsidRDefault="005226B6" w:rsidP="005226B6">
      <w:pPr>
        <w:pStyle w:val="ListBullet"/>
      </w:pPr>
      <w:r>
        <w:t>Bi-monthly m</w:t>
      </w:r>
      <w:r w:rsidRPr="00F3047A">
        <w:t xml:space="preserve">eetings of Evoenergy’s </w:t>
      </w:r>
      <w:r>
        <w:t>ECRC</w:t>
      </w:r>
    </w:p>
    <w:p w14:paraId="0294BE08" w14:textId="6CE57917" w:rsidR="005226B6" w:rsidRDefault="007C577E" w:rsidP="005226B6">
      <w:pPr>
        <w:pStyle w:val="ListBullet"/>
      </w:pPr>
      <w:r>
        <w:t>Bi-monthly</w:t>
      </w:r>
      <w:r w:rsidR="006300DE">
        <w:t xml:space="preserve"> meetings</w:t>
      </w:r>
      <w:r w:rsidR="005226B6">
        <w:t xml:space="preserve"> of the ACT Energy Consumer Policy Consortium </w:t>
      </w:r>
    </w:p>
    <w:p w14:paraId="3A63653C" w14:textId="1E963037" w:rsidR="0067795B" w:rsidRDefault="0067795B" w:rsidP="00C60E2A">
      <w:pPr>
        <w:pStyle w:val="ListBullet"/>
      </w:pPr>
      <w:r w:rsidRPr="0067795B">
        <w:t>Multiple meetings with Evoenergy</w:t>
      </w:r>
      <w:r>
        <w:t>’s GN21 team</w:t>
      </w:r>
    </w:p>
    <w:p w14:paraId="1F4AE69D" w14:textId="4749CA55" w:rsidR="005226B6" w:rsidRDefault="008D0F04" w:rsidP="005226B6">
      <w:pPr>
        <w:pStyle w:val="ListBullet"/>
      </w:pPr>
      <w:r>
        <w:t>Multiple m</w:t>
      </w:r>
      <w:r w:rsidR="005226B6">
        <w:t>eetings with ECA, TRAC Partners, the AER Consumer Challenge Panel (CCP24), and the South Australian Council of Social Service (SACOSS)</w:t>
      </w:r>
    </w:p>
    <w:p w14:paraId="74E3FB6A" w14:textId="4E3833ED" w:rsidR="00FD183A" w:rsidRDefault="0067795B" w:rsidP="005226B6">
      <w:pPr>
        <w:pStyle w:val="ListBullet"/>
      </w:pPr>
      <w:r>
        <w:t>Two meetings</w:t>
      </w:r>
      <w:r w:rsidR="00FD183A">
        <w:t xml:space="preserve"> </w:t>
      </w:r>
      <w:r w:rsidR="009A6EE8">
        <w:t xml:space="preserve">between national and </w:t>
      </w:r>
      <w:r w:rsidR="00FF5116">
        <w:t xml:space="preserve">ACT </w:t>
      </w:r>
      <w:r w:rsidR="009A6EE8">
        <w:t>energy consumer advocates facilitated by ACTCOSS</w:t>
      </w:r>
      <w:r w:rsidR="00871C7A">
        <w:t xml:space="preserve"> to discuss Evoenergy’s draft plan and revised proposal</w:t>
      </w:r>
      <w:r w:rsidR="009A6EE8">
        <w:t>.</w:t>
      </w:r>
    </w:p>
    <w:p w14:paraId="177DE73D" w14:textId="33B5196C" w:rsidR="005226B6" w:rsidRDefault="005226B6" w:rsidP="005226B6">
      <w:pPr>
        <w:pStyle w:val="BodyText"/>
      </w:pPr>
      <w:r w:rsidRPr="001E3FD8">
        <w:t xml:space="preserve">In developing this submission, </w:t>
      </w:r>
      <w:r>
        <w:t xml:space="preserve">ACTCOSS </w:t>
      </w:r>
      <w:r w:rsidRPr="001E3FD8">
        <w:t xml:space="preserve">has </w:t>
      </w:r>
      <w:r>
        <w:t>benefited from numerous discussions</w:t>
      </w:r>
      <w:r w:rsidRPr="001E3FD8">
        <w:t xml:space="preserve"> with</w:t>
      </w:r>
      <w:r w:rsidR="00351199">
        <w:t xml:space="preserve"> members of</w:t>
      </w:r>
      <w:r w:rsidRPr="001E3FD8">
        <w:t xml:space="preserve"> </w:t>
      </w:r>
      <w:r>
        <w:t>CCP24, ECA</w:t>
      </w:r>
      <w:r w:rsidRPr="001E3FD8">
        <w:t xml:space="preserve">, </w:t>
      </w:r>
      <w:r>
        <w:t>and TRAC Partners who have provided expert advice from an energy consumer perspective. ACTCOSS has also benefited from their engagement – along with our colleagues at SACOSS – with the Australian Gas Network South Australia (AGN SA) 2021-26 access arrangement</w:t>
      </w:r>
      <w:r w:rsidR="001B11A3">
        <w:t xml:space="preserve"> which</w:t>
      </w:r>
      <w:r>
        <w:t xml:space="preserve"> has provided a useful point of comparison. </w:t>
      </w:r>
      <w:r w:rsidR="00351199">
        <w:t>W</w:t>
      </w:r>
      <w:r>
        <w:t xml:space="preserve">e </w:t>
      </w:r>
      <w:r w:rsidRPr="001E3FD8">
        <w:t xml:space="preserve">are broadly supportive of </w:t>
      </w:r>
      <w:r>
        <w:t xml:space="preserve">the submissions to the AER </w:t>
      </w:r>
      <w:r w:rsidR="001B11A3">
        <w:t xml:space="preserve">on GN21 </w:t>
      </w:r>
      <w:r>
        <w:t>by CCP24 and ECA, including the technical report prepared by TRAC Partners for ECA.</w:t>
      </w:r>
    </w:p>
    <w:p w14:paraId="459D1AED" w14:textId="56ACF28F" w:rsidR="00DC3CD7" w:rsidRDefault="00BE1CD7" w:rsidP="00DC3CD7">
      <w:pPr>
        <w:pStyle w:val="Heading2"/>
      </w:pPr>
      <w:bookmarkStart w:id="5" w:name="_Toc64650755"/>
      <w:r>
        <w:t>Summary of key</w:t>
      </w:r>
      <w:r w:rsidR="00C43D5F">
        <w:t xml:space="preserve"> issues</w:t>
      </w:r>
      <w:r>
        <w:t xml:space="preserve"> and recommendations</w:t>
      </w:r>
      <w:bookmarkEnd w:id="5"/>
    </w:p>
    <w:p w14:paraId="716C26B7" w14:textId="31F1B0DB" w:rsidR="00DC3CD7" w:rsidRDefault="009237DB" w:rsidP="005226B6">
      <w:pPr>
        <w:pStyle w:val="BodyText"/>
      </w:pPr>
      <w:r>
        <w:t>The key issues</w:t>
      </w:r>
      <w:r w:rsidR="00BE1CD7">
        <w:t xml:space="preserve"> and recommendations</w:t>
      </w:r>
      <w:r>
        <w:t xml:space="preserve"> identified in this submission are outlined in the table below.</w:t>
      </w:r>
    </w:p>
    <w:p w14:paraId="4117512B" w14:textId="77777777" w:rsidR="002E69F2" w:rsidRDefault="002E69F2" w:rsidP="003E7712">
      <w:pPr>
        <w:pStyle w:val="Tableheading"/>
      </w:pPr>
    </w:p>
    <w:p w14:paraId="0E952198" w14:textId="77777777" w:rsidR="002E69F2" w:rsidRDefault="002E69F2" w:rsidP="003E7712">
      <w:pPr>
        <w:pStyle w:val="Tableheading"/>
      </w:pPr>
    </w:p>
    <w:p w14:paraId="34C18DD3" w14:textId="3691B337" w:rsidR="003E7712" w:rsidRDefault="003E7712" w:rsidP="003E7712">
      <w:pPr>
        <w:pStyle w:val="Tableheading"/>
      </w:pPr>
      <w:r>
        <w:t xml:space="preserve">Table 1 </w:t>
      </w:r>
      <w:r w:rsidR="00BE1CD7">
        <w:t>Summary of key issues and recommendations</w:t>
      </w:r>
    </w:p>
    <w:tbl>
      <w:tblPr>
        <w:tblStyle w:val="TableGrid"/>
        <w:tblW w:w="0" w:type="auto"/>
        <w:tblLook w:val="04A0" w:firstRow="1" w:lastRow="0" w:firstColumn="1" w:lastColumn="0" w:noHBand="0" w:noVBand="1"/>
      </w:tblPr>
      <w:tblGrid>
        <w:gridCol w:w="1752"/>
        <w:gridCol w:w="6742"/>
      </w:tblGrid>
      <w:tr w:rsidR="003D09E5" w:rsidRPr="00FA36AD" w14:paraId="6E97BB13" w14:textId="77777777" w:rsidTr="007C1B06">
        <w:trPr>
          <w:tblHeader/>
        </w:trPr>
        <w:tc>
          <w:tcPr>
            <w:tcW w:w="0" w:type="auto"/>
          </w:tcPr>
          <w:p w14:paraId="28923E9D" w14:textId="77777777" w:rsidR="003D09E5" w:rsidRPr="00C3705C" w:rsidRDefault="003D09E5" w:rsidP="002E69F2">
            <w:pPr>
              <w:pStyle w:val="TableBody"/>
            </w:pPr>
            <w:r w:rsidRPr="00C3705C">
              <w:t>Issue</w:t>
            </w:r>
          </w:p>
        </w:tc>
        <w:tc>
          <w:tcPr>
            <w:tcW w:w="0" w:type="auto"/>
          </w:tcPr>
          <w:p w14:paraId="0D78CE87" w14:textId="278A1ECC" w:rsidR="003D09E5" w:rsidRPr="00C3705C" w:rsidRDefault="003D09E5" w:rsidP="002E69F2">
            <w:pPr>
              <w:pStyle w:val="TableBody"/>
            </w:pPr>
            <w:r>
              <w:t xml:space="preserve">ACTCOSS </w:t>
            </w:r>
            <w:r w:rsidRPr="00C3705C">
              <w:t>Recommendations</w:t>
            </w:r>
          </w:p>
        </w:tc>
      </w:tr>
      <w:tr w:rsidR="003D09E5" w:rsidRPr="00FA36AD" w14:paraId="26BB80A7" w14:textId="77777777" w:rsidTr="007C1B06">
        <w:tc>
          <w:tcPr>
            <w:tcW w:w="0" w:type="auto"/>
          </w:tcPr>
          <w:p w14:paraId="4DF0C448" w14:textId="73A285B8" w:rsidR="003D09E5" w:rsidRPr="006A3385" w:rsidRDefault="00247F81" w:rsidP="002E69F2">
            <w:pPr>
              <w:pStyle w:val="TableBody"/>
            </w:pPr>
            <w:r>
              <w:t>Forecast demand</w:t>
            </w:r>
          </w:p>
        </w:tc>
        <w:tc>
          <w:tcPr>
            <w:tcW w:w="0" w:type="auto"/>
          </w:tcPr>
          <w:p w14:paraId="28A6EC14" w14:textId="1346EBF3" w:rsidR="003D09E5" w:rsidRPr="006A3385" w:rsidRDefault="00247F81" w:rsidP="002E69F2">
            <w:pPr>
              <w:pStyle w:val="TableBody"/>
            </w:pPr>
            <w:r w:rsidRPr="00247F81">
              <w:t>ACTCOSS recommends that the AER rigorously assess the methodology used to forecast customer numbers and gas demand for the 2021-26 period, including the validity of assumptions and the reliability of data.</w:t>
            </w:r>
          </w:p>
        </w:tc>
      </w:tr>
      <w:tr w:rsidR="003D09E5" w:rsidRPr="00FA36AD" w14:paraId="4933B5C6" w14:textId="77777777" w:rsidTr="007C1B06">
        <w:tc>
          <w:tcPr>
            <w:tcW w:w="0" w:type="auto"/>
          </w:tcPr>
          <w:p w14:paraId="024341CA" w14:textId="77777777" w:rsidR="003D09E5" w:rsidRPr="00BA0433" w:rsidRDefault="003D09E5" w:rsidP="002E69F2">
            <w:pPr>
              <w:pStyle w:val="TableBody"/>
            </w:pPr>
            <w:r w:rsidRPr="00BA0433">
              <w:t>Responding to stranded asset risk</w:t>
            </w:r>
          </w:p>
        </w:tc>
        <w:tc>
          <w:tcPr>
            <w:tcW w:w="0" w:type="auto"/>
          </w:tcPr>
          <w:p w14:paraId="693FA1EB" w14:textId="55B4F15A" w:rsidR="003D09E5" w:rsidRPr="00BA0433" w:rsidRDefault="004E2722" w:rsidP="002E69F2">
            <w:pPr>
              <w:pStyle w:val="TableBody"/>
            </w:pPr>
            <w:r>
              <w:t xml:space="preserve">ACTCOSS </w:t>
            </w:r>
            <w:r w:rsidR="009F1047">
              <w:t>has identified an</w:t>
            </w:r>
            <w:r w:rsidR="00F825B6">
              <w:t xml:space="preserve"> urgent need for a</w:t>
            </w:r>
            <w:r w:rsidR="00F40835" w:rsidRPr="00F40835">
              <w:t xml:space="preserve"> clear and coordinated approach to addressing stranded asset risk in a way that is fair and equitable. </w:t>
            </w:r>
            <w:r w:rsidR="00F70C76">
              <w:t xml:space="preserve">This </w:t>
            </w:r>
            <w:r w:rsidR="00F40835" w:rsidRPr="00F40835">
              <w:t>will be critical to achieving an orderly, well-managed and just transition to net zero emissions.</w:t>
            </w:r>
          </w:p>
        </w:tc>
      </w:tr>
      <w:tr w:rsidR="003D09E5" w:rsidRPr="00FA36AD" w14:paraId="55A19A26" w14:textId="77777777" w:rsidTr="007C1B06">
        <w:tc>
          <w:tcPr>
            <w:tcW w:w="0" w:type="auto"/>
          </w:tcPr>
          <w:p w14:paraId="5FD15202" w14:textId="3E202164" w:rsidR="003D09E5" w:rsidRPr="00FA36AD" w:rsidRDefault="00476F98" w:rsidP="002E69F2">
            <w:pPr>
              <w:pStyle w:val="TableBody"/>
              <w:rPr>
                <w:highlight w:val="yellow"/>
              </w:rPr>
            </w:pPr>
            <w:r>
              <w:t>Consumer vulnerability</w:t>
            </w:r>
          </w:p>
        </w:tc>
        <w:tc>
          <w:tcPr>
            <w:tcW w:w="0" w:type="auto"/>
          </w:tcPr>
          <w:p w14:paraId="7C43F1D6" w14:textId="2169AE2A" w:rsidR="003D09E5" w:rsidRPr="00FA36AD" w:rsidRDefault="00476F98" w:rsidP="002E69F2">
            <w:pPr>
              <w:pStyle w:val="TableBody"/>
              <w:rPr>
                <w:highlight w:val="yellow"/>
              </w:rPr>
            </w:pPr>
            <w:r>
              <w:t xml:space="preserve">ACTCOSS recommends that </w:t>
            </w:r>
            <w:r w:rsidRPr="00476F98">
              <w:t xml:space="preserve">the AER </w:t>
            </w:r>
            <w:r w:rsidR="00141D89">
              <w:t>explore regulatory</w:t>
            </w:r>
            <w:r w:rsidRPr="00476F98">
              <w:t xml:space="preserve"> approaches to consumer vulnerability in </w:t>
            </w:r>
            <w:r w:rsidR="00141D89">
              <w:t>relation to distribution networks.</w:t>
            </w:r>
          </w:p>
        </w:tc>
      </w:tr>
      <w:tr w:rsidR="003D09E5" w:rsidRPr="00FA36AD" w14:paraId="3B2AC33E" w14:textId="77777777" w:rsidTr="007C1B06">
        <w:tc>
          <w:tcPr>
            <w:tcW w:w="0" w:type="auto"/>
          </w:tcPr>
          <w:p w14:paraId="33A383F0" w14:textId="113F7606" w:rsidR="003D09E5" w:rsidRPr="00FA36AD" w:rsidRDefault="004B297F" w:rsidP="002E69F2">
            <w:pPr>
              <w:pStyle w:val="TableBody"/>
              <w:rPr>
                <w:highlight w:val="yellow"/>
              </w:rPr>
            </w:pPr>
            <w:r>
              <w:t>Consumer vulnerability</w:t>
            </w:r>
          </w:p>
        </w:tc>
        <w:tc>
          <w:tcPr>
            <w:tcW w:w="0" w:type="auto"/>
          </w:tcPr>
          <w:p w14:paraId="230969C1" w14:textId="4BA71B02" w:rsidR="003D09E5" w:rsidRPr="00FA36AD" w:rsidRDefault="004B297F" w:rsidP="002E69F2">
            <w:pPr>
              <w:pStyle w:val="TableBody"/>
              <w:rPr>
                <w:highlight w:val="yellow"/>
              </w:rPr>
            </w:pPr>
            <w:r>
              <w:t xml:space="preserve">ACTCOSS recommends that </w:t>
            </w:r>
            <w:r w:rsidRPr="004B297F">
              <w:t xml:space="preserve">Evoenergy </w:t>
            </w:r>
            <w:r w:rsidR="00F70C76">
              <w:t xml:space="preserve">further </w:t>
            </w:r>
            <w:r w:rsidRPr="004B297F">
              <w:t xml:space="preserve">develop its understanding of consumer vulnerability, </w:t>
            </w:r>
            <w:r w:rsidR="009A62E5" w:rsidRPr="004B297F">
              <w:t>including</w:t>
            </w:r>
            <w:r w:rsidRPr="004B297F">
              <w:t xml:space="preserve"> which </w:t>
            </w:r>
            <w:r w:rsidR="00F70C76">
              <w:t xml:space="preserve">of its </w:t>
            </w:r>
            <w:r w:rsidRPr="004B297F">
              <w:t>customers are vulnerable; what makes them vulnerable; the impact of Evoenergy’s work on consumer vulnerability; and specific measures Evoenergy could undertake to address consumer vulnerability.</w:t>
            </w:r>
          </w:p>
        </w:tc>
      </w:tr>
      <w:tr w:rsidR="003D09E5" w:rsidRPr="00FA36AD" w14:paraId="0504B86B" w14:textId="77777777" w:rsidTr="007C1B06">
        <w:tc>
          <w:tcPr>
            <w:tcW w:w="0" w:type="auto"/>
          </w:tcPr>
          <w:p w14:paraId="326B4A34" w14:textId="77777777" w:rsidR="003D09E5" w:rsidRPr="00FA36AD" w:rsidRDefault="003D09E5" w:rsidP="002E69F2">
            <w:pPr>
              <w:pStyle w:val="TableBody"/>
              <w:rPr>
                <w:highlight w:val="yellow"/>
              </w:rPr>
            </w:pPr>
            <w:r w:rsidRPr="005A76F9">
              <w:t>Tariffs</w:t>
            </w:r>
          </w:p>
        </w:tc>
        <w:tc>
          <w:tcPr>
            <w:tcW w:w="0" w:type="auto"/>
          </w:tcPr>
          <w:p w14:paraId="590A8E5F" w14:textId="32E8470C" w:rsidR="003D09E5" w:rsidRPr="00FA36AD" w:rsidRDefault="00E271CB" w:rsidP="002E69F2">
            <w:pPr>
              <w:pStyle w:val="TableBody"/>
              <w:rPr>
                <w:highlight w:val="yellow"/>
              </w:rPr>
            </w:pPr>
            <w:r w:rsidRPr="00E271CB">
              <w:t>ACTCOSS recommends that the AER further explore the interactions between gas network tariffs, emissions reduction, and social equity as part of its elevated consideration of future gas market issues in its strategic priorities list.</w:t>
            </w:r>
          </w:p>
        </w:tc>
      </w:tr>
      <w:tr w:rsidR="003D09E5" w:rsidRPr="00FA36AD" w14:paraId="6F175A00" w14:textId="77777777" w:rsidTr="007C1B06">
        <w:tc>
          <w:tcPr>
            <w:tcW w:w="0" w:type="auto"/>
          </w:tcPr>
          <w:p w14:paraId="2123958C" w14:textId="11480EAB" w:rsidR="003D09E5" w:rsidRPr="00FA36AD" w:rsidRDefault="00E271CB" w:rsidP="002E69F2">
            <w:pPr>
              <w:pStyle w:val="TableBody"/>
              <w:rPr>
                <w:highlight w:val="yellow"/>
              </w:rPr>
            </w:pPr>
            <w:r>
              <w:t>Tariffs</w:t>
            </w:r>
          </w:p>
        </w:tc>
        <w:tc>
          <w:tcPr>
            <w:tcW w:w="0" w:type="auto"/>
          </w:tcPr>
          <w:p w14:paraId="6D2CE9EF" w14:textId="2E852460" w:rsidR="003D09E5" w:rsidRPr="00FA36AD" w:rsidRDefault="00E271CB" w:rsidP="002E69F2">
            <w:pPr>
              <w:pStyle w:val="TableBody"/>
              <w:rPr>
                <w:highlight w:val="yellow"/>
              </w:rPr>
            </w:pPr>
            <w:r w:rsidRPr="00E271CB">
              <w:t>ACTCOSS recommends that Evoenergy further explore the interactions between gas network tariffs, emissions reduction, and social equity as part of producing its transition roadmap during the 2021-26 period.</w:t>
            </w:r>
          </w:p>
        </w:tc>
      </w:tr>
      <w:tr w:rsidR="008D15C1" w:rsidRPr="00FA36AD" w14:paraId="00825BDC" w14:textId="77777777" w:rsidTr="007C1B06">
        <w:tc>
          <w:tcPr>
            <w:tcW w:w="0" w:type="auto"/>
          </w:tcPr>
          <w:p w14:paraId="651ECC7D" w14:textId="689A702A" w:rsidR="008D15C1" w:rsidRDefault="008D15C1" w:rsidP="002E69F2">
            <w:pPr>
              <w:pStyle w:val="TableBody"/>
            </w:pPr>
            <w:r>
              <w:t>Beyond GN21</w:t>
            </w:r>
          </w:p>
        </w:tc>
        <w:tc>
          <w:tcPr>
            <w:tcW w:w="0" w:type="auto"/>
          </w:tcPr>
          <w:p w14:paraId="6997D2E4" w14:textId="07CDE9A2" w:rsidR="008D15C1" w:rsidRPr="00E271CB" w:rsidRDefault="008D15C1" w:rsidP="002E69F2">
            <w:pPr>
              <w:pStyle w:val="TableBody"/>
            </w:pPr>
            <w:r>
              <w:t xml:space="preserve">There is an urgent need for </w:t>
            </w:r>
            <w:r w:rsidRPr="00EC5BD4">
              <w:t>a comprehensive gas transition strategy for Evoenergy’s gas network in the ACT and Queanbeyan-Palerang Region.</w:t>
            </w:r>
          </w:p>
        </w:tc>
      </w:tr>
      <w:tr w:rsidR="00F70C76" w:rsidRPr="00FA36AD" w14:paraId="5086BBFE" w14:textId="77777777" w:rsidTr="007C1B06">
        <w:tc>
          <w:tcPr>
            <w:tcW w:w="0" w:type="auto"/>
          </w:tcPr>
          <w:p w14:paraId="71DEC426" w14:textId="0FEB1B89" w:rsidR="00F70C76" w:rsidRDefault="00F70C76" w:rsidP="002E69F2">
            <w:pPr>
              <w:pStyle w:val="TableBody"/>
            </w:pPr>
            <w:r>
              <w:t>Beyond GN21</w:t>
            </w:r>
          </w:p>
        </w:tc>
        <w:tc>
          <w:tcPr>
            <w:tcW w:w="0" w:type="auto"/>
          </w:tcPr>
          <w:p w14:paraId="0A17DD05" w14:textId="290A7A1C" w:rsidR="00F70C76" w:rsidRDefault="00F70C76" w:rsidP="002E69F2">
            <w:pPr>
              <w:pStyle w:val="TableBody"/>
            </w:pPr>
            <w:r>
              <w:t>ACTCOSS recommends that t</w:t>
            </w:r>
            <w:r w:rsidRPr="00F70C76">
              <w:t>he AER and/or the AEMC undertake a fit-for-purpose review of the gas law and rules to see how these might need to be changed to meet the National Gas Objective in the context of governments’ net zero greenhouse gas emissions policies</w:t>
            </w:r>
          </w:p>
        </w:tc>
      </w:tr>
    </w:tbl>
    <w:p w14:paraId="10D11B33" w14:textId="12189E15" w:rsidR="00D8343F" w:rsidRPr="00CA7855" w:rsidRDefault="003D7EBE" w:rsidP="003F3AC3">
      <w:pPr>
        <w:pStyle w:val="Heading1"/>
      </w:pPr>
      <w:bookmarkStart w:id="6" w:name="_Toc64650756"/>
      <w:r>
        <w:t>GN21 and a just transition</w:t>
      </w:r>
      <w:r w:rsidR="00EF3A5A">
        <w:t xml:space="preserve"> to net zero emissions</w:t>
      </w:r>
      <w:bookmarkEnd w:id="6"/>
    </w:p>
    <w:p w14:paraId="410D1DA3" w14:textId="6B93FB28" w:rsidR="003B34D9" w:rsidRDefault="00EF0A06" w:rsidP="003B34D9">
      <w:pPr>
        <w:pStyle w:val="BodyText"/>
      </w:pPr>
      <w:r w:rsidRPr="00EF0A06">
        <w:t xml:space="preserve">A key focus of ACTCOSS’s work under the ACT Energised Consumers Project for 2020-22 is to examine the future of gas in a just transition to net zero greenhouse gas emissions in the ACT. This work </w:t>
      </w:r>
      <w:r>
        <w:t>is focused</w:t>
      </w:r>
      <w:r w:rsidRPr="00EF0A06">
        <w:t xml:space="preserve"> on ensuring vulnerable gas consumers are not left behind in this transition and that, wherever possible, their circumstances are improved. ACTCOSS’s primary concern in relation to </w:t>
      </w:r>
      <w:r>
        <w:t>GN21</w:t>
      </w:r>
      <w:r w:rsidRPr="00EF0A06">
        <w:t xml:space="preserve"> is to ensure that it supports a just transition to net zero emissions in the ACT by delivering fair and equitable outcomes for vulnerable gas consumers. Wherever possible, the GN21 plan should support intra- and inter-generational equity in a way that contributes to improved wellbeing for vulnerable gas consumers. We see this as being closely aligned with the focus of the National Gas Objective on the long-term interests of consumers of natural gas with respect to price, quality, safety, reliability, and security of supply of natural gas.</w:t>
      </w:r>
    </w:p>
    <w:p w14:paraId="27171323" w14:textId="7140CD01" w:rsidR="009B3DE5" w:rsidRDefault="00F5661E" w:rsidP="00F5661E">
      <w:pPr>
        <w:pStyle w:val="Heading2"/>
      </w:pPr>
      <w:bookmarkStart w:id="7" w:name="_Toc64650757"/>
      <w:r w:rsidRPr="00F5661E">
        <w:t>ACT Government commitment to a just transition</w:t>
      </w:r>
      <w:bookmarkEnd w:id="7"/>
      <w:r w:rsidRPr="00F5661E">
        <w:t xml:space="preserve"> </w:t>
      </w:r>
    </w:p>
    <w:p w14:paraId="35F3DA88" w14:textId="77777777" w:rsidR="00852985" w:rsidRDefault="00852985" w:rsidP="00852985">
      <w:pPr>
        <w:pStyle w:val="BodyText"/>
      </w:pPr>
      <w:r>
        <w:t>The ACT has legislated to reduce emissions (from 1990 levels) by:</w:t>
      </w:r>
    </w:p>
    <w:p w14:paraId="671364A0" w14:textId="77777777" w:rsidR="00852985" w:rsidRDefault="00852985" w:rsidP="00852985">
      <w:pPr>
        <w:pStyle w:val="ListBullet"/>
      </w:pPr>
      <w:r>
        <w:t>40% by 2020</w:t>
      </w:r>
    </w:p>
    <w:p w14:paraId="6E084A6E" w14:textId="77777777" w:rsidR="00852985" w:rsidRDefault="00852985" w:rsidP="00852985">
      <w:pPr>
        <w:pStyle w:val="ListBullet"/>
      </w:pPr>
      <w:r>
        <w:t>50–60% by 2025</w:t>
      </w:r>
    </w:p>
    <w:p w14:paraId="4F1C44E9" w14:textId="77777777" w:rsidR="00852985" w:rsidRDefault="00852985" w:rsidP="00852985">
      <w:pPr>
        <w:pStyle w:val="ListBullet"/>
      </w:pPr>
      <w:r>
        <w:t>65–75% by 2030</w:t>
      </w:r>
    </w:p>
    <w:p w14:paraId="0A8C8EAA" w14:textId="77777777" w:rsidR="00852985" w:rsidRDefault="00852985" w:rsidP="00852985">
      <w:pPr>
        <w:pStyle w:val="ListBullet"/>
      </w:pPr>
      <w:r>
        <w:t>90–95% by 2040</w:t>
      </w:r>
    </w:p>
    <w:p w14:paraId="4D49D870" w14:textId="5A048C9E" w:rsidR="00852985" w:rsidRDefault="00852985" w:rsidP="00852985">
      <w:pPr>
        <w:pStyle w:val="ListBullet"/>
      </w:pPr>
      <w:r>
        <w:t>100% (net zero emissions) by 2045.</w:t>
      </w:r>
      <w:r w:rsidR="00335546">
        <w:rPr>
          <w:rStyle w:val="FootnoteReference"/>
        </w:rPr>
        <w:footnoteReference w:id="6"/>
      </w:r>
    </w:p>
    <w:p w14:paraId="584EA08D" w14:textId="33FE488A" w:rsidR="000E76E9" w:rsidRDefault="000E76E9" w:rsidP="000E76E9">
      <w:pPr>
        <w:pStyle w:val="BodyText"/>
      </w:pPr>
      <w:r>
        <w:t>These legislated targets indicate that a further 10-20% reduction in greenhouse gas emissions is to be achieved in the ACT by 2025. This will require a focus on gas and transport given the achievement of 100% renewable electricity in late 2019.</w:t>
      </w:r>
      <w:r w:rsidR="0088069F">
        <w:t xml:space="preserve"> It was estimated that</w:t>
      </w:r>
      <w:r w:rsidR="00EC35B4">
        <w:t xml:space="preserve"> gas accounted for</w:t>
      </w:r>
      <w:r w:rsidR="0088069F">
        <w:t xml:space="preserve"> 22% of </w:t>
      </w:r>
      <w:r w:rsidR="00EC35B4">
        <w:t>ACT emissions in 2020</w:t>
      </w:r>
      <w:r w:rsidR="00D325B3">
        <w:t xml:space="preserve">, with </w:t>
      </w:r>
      <w:r w:rsidR="00D31311">
        <w:t>more than</w:t>
      </w:r>
      <w:r w:rsidR="00D325B3">
        <w:t xml:space="preserve"> 70% of </w:t>
      </w:r>
      <w:r w:rsidR="00FD2830">
        <w:t>ACT homes</w:t>
      </w:r>
      <w:r w:rsidR="00D31311">
        <w:t xml:space="preserve"> and businesses</w:t>
      </w:r>
      <w:r w:rsidR="00FD2830">
        <w:t xml:space="preserve"> connected to gas.</w:t>
      </w:r>
      <w:r w:rsidR="00FD2830">
        <w:rPr>
          <w:rStyle w:val="FootnoteReference"/>
        </w:rPr>
        <w:footnoteReference w:id="7"/>
      </w:r>
      <w:r w:rsidR="00FD2830">
        <w:t xml:space="preserve"> </w:t>
      </w:r>
    </w:p>
    <w:p w14:paraId="186C3F08" w14:textId="7C16BB00" w:rsidR="009B3DE5" w:rsidRDefault="009B3DE5" w:rsidP="009B3DE5">
      <w:pPr>
        <w:pStyle w:val="BodyText"/>
      </w:pPr>
      <w:r>
        <w:t xml:space="preserve">Under the </w:t>
      </w:r>
      <w:r w:rsidRPr="009735D5">
        <w:rPr>
          <w:i/>
          <w:iCs/>
        </w:rPr>
        <w:t>ACT Climate Change Strategy 2019-25</w:t>
      </w:r>
      <w:r>
        <w:t xml:space="preserve"> the</w:t>
      </w:r>
      <w:r w:rsidRPr="007E29B0">
        <w:t xml:space="preserve"> ACT Government </w:t>
      </w:r>
      <w:r>
        <w:t>has,</w:t>
      </w:r>
    </w:p>
    <w:p w14:paraId="0BBAD3BA" w14:textId="77777777" w:rsidR="009B3DE5" w:rsidRDefault="009B3DE5" w:rsidP="009B3DE5">
      <w:pPr>
        <w:pStyle w:val="BlockText"/>
      </w:pPr>
      <w:r>
        <w:t>…</w:t>
      </w:r>
      <w:r w:rsidRPr="007E29B0">
        <w:t>committed to a just transition to net zero emissions that supports low income households and the most vulnerable in our community,</w:t>
      </w:r>
      <w:r>
        <w:t xml:space="preserve"> </w:t>
      </w:r>
      <w:r w:rsidRPr="007E29B0">
        <w:t>and will work with industry to re-train affected workers and pursue opportunities for new, zero emissions industries.</w:t>
      </w:r>
      <w:r>
        <w:rPr>
          <w:rStyle w:val="FootnoteReference"/>
        </w:rPr>
        <w:footnoteReference w:id="8"/>
      </w:r>
    </w:p>
    <w:p w14:paraId="1959346E" w14:textId="77777777" w:rsidR="009B3DE5" w:rsidRDefault="009B3DE5" w:rsidP="009B3DE5">
      <w:pPr>
        <w:pStyle w:val="BlockText"/>
      </w:pPr>
      <w:r>
        <w:t>…Government will seek to partner with vulnerable households and community service providers to ensure low income households can participate in the shift to net zero emissions and are not disproportionately affected by new measures. A coordinated mix of concessions, rebates, loans, education, dispute resolution and consumer advocacy programs will be required. These will be designed to address the barriers faced by groups such as low income households, renters, those in public housing, elderly people, people with disabilities and illness, sole parents, people in energy poverty or who are working but on low incomes and not eligible for current concessions.</w:t>
      </w:r>
      <w:r>
        <w:rPr>
          <w:rStyle w:val="FootnoteReference"/>
        </w:rPr>
        <w:footnoteReference w:id="9"/>
      </w:r>
    </w:p>
    <w:p w14:paraId="0E3D19BC" w14:textId="38CEB80E" w:rsidR="009B3DE5" w:rsidRDefault="00F5661E" w:rsidP="009B3DE5">
      <w:pPr>
        <w:pStyle w:val="BodyText"/>
      </w:pPr>
      <w:r>
        <w:t>T</w:t>
      </w:r>
      <w:r w:rsidR="009B3DE5">
        <w:t>he ACT Government has committed to d</w:t>
      </w:r>
      <w:r w:rsidR="009B3DE5" w:rsidRPr="002B7E6A">
        <w:t>evelop a plan</w:t>
      </w:r>
      <w:r w:rsidR="009B3DE5">
        <w:t xml:space="preserve"> [by 2024] </w:t>
      </w:r>
      <w:r w:rsidR="009B3DE5" w:rsidRPr="002B7E6A">
        <w:t>for achieving zero emissions from gas use by 2045, including setting timeframes with appropriate transition periods for phasing out new and existing gas connections.</w:t>
      </w:r>
      <w:r w:rsidR="009B3DE5">
        <w:t xml:space="preserve"> The ACT Government has also committed to ‘partner with community service organisations to identify vulnerable and disengaged sectors of the community and implement measures to support their participation in shifting to net zero emissions’.</w:t>
      </w:r>
      <w:r w:rsidR="009B3DE5">
        <w:rPr>
          <w:rStyle w:val="FootnoteReference"/>
        </w:rPr>
        <w:footnoteReference w:id="10"/>
      </w:r>
      <w:r w:rsidR="009B3DE5">
        <w:t xml:space="preserve"> </w:t>
      </w:r>
    </w:p>
    <w:p w14:paraId="01C0ACFC" w14:textId="7B24F34F" w:rsidR="007716CF" w:rsidRDefault="007716CF" w:rsidP="009B3DE5">
      <w:pPr>
        <w:pStyle w:val="BodyText"/>
      </w:pPr>
      <w:r>
        <w:t xml:space="preserve">We have identified </w:t>
      </w:r>
      <w:r w:rsidRPr="00545E4A">
        <w:t xml:space="preserve">10 measures in the </w:t>
      </w:r>
      <w:r w:rsidRPr="00545E4A">
        <w:rPr>
          <w:i/>
          <w:iCs/>
        </w:rPr>
        <w:t>ACT Climate Change Strategy 2019-25</w:t>
      </w:r>
      <w:r w:rsidRPr="00545E4A">
        <w:t xml:space="preserve"> aimed at</w:t>
      </w:r>
      <w:r>
        <w:t xml:space="preserve"> reducing emissions from gas, including</w:t>
      </w:r>
      <w:r w:rsidRPr="00545E4A">
        <w:t xml:space="preserve"> </w:t>
      </w:r>
      <w:r>
        <w:t xml:space="preserve">supporting consumers to </w:t>
      </w:r>
      <w:r w:rsidRPr="00545E4A">
        <w:t>transition</w:t>
      </w:r>
      <w:r>
        <w:t xml:space="preserve"> </w:t>
      </w:r>
      <w:r w:rsidRPr="00545E4A">
        <w:t>from gas to electricity</w:t>
      </w:r>
      <w:r w:rsidR="00633E40">
        <w:t xml:space="preserve"> (see Table 2).</w:t>
      </w:r>
    </w:p>
    <w:p w14:paraId="7CD5FC8B" w14:textId="77777777" w:rsidR="00A00FD0" w:rsidRDefault="00A00FD0" w:rsidP="00A00FD0">
      <w:pPr>
        <w:pStyle w:val="Tableheading"/>
      </w:pPr>
      <w:r>
        <w:t xml:space="preserve">Table 2 Actions to reduce emissions from natural gas and to transition from natural gas to electricity, ACT Climate Change Strategy 2019-25 </w:t>
      </w:r>
    </w:p>
    <w:tbl>
      <w:tblPr>
        <w:tblStyle w:val="TableGrid"/>
        <w:tblW w:w="0" w:type="auto"/>
        <w:tblLook w:val="04A0" w:firstRow="1" w:lastRow="0" w:firstColumn="1" w:lastColumn="0" w:noHBand="0" w:noVBand="1"/>
      </w:tblPr>
      <w:tblGrid>
        <w:gridCol w:w="695"/>
        <w:gridCol w:w="2037"/>
        <w:gridCol w:w="4715"/>
        <w:gridCol w:w="1047"/>
      </w:tblGrid>
      <w:tr w:rsidR="005E0BC0" w:rsidRPr="006D2AEA" w14:paraId="1BC9F621" w14:textId="77777777" w:rsidTr="00D710B5">
        <w:trPr>
          <w:tblHeader/>
        </w:trPr>
        <w:tc>
          <w:tcPr>
            <w:tcW w:w="0" w:type="auto"/>
          </w:tcPr>
          <w:p w14:paraId="68B7F099" w14:textId="77777777" w:rsidR="005E0BC0" w:rsidRPr="00E5455B" w:rsidRDefault="005E0BC0" w:rsidP="00D710B5">
            <w:pPr>
              <w:pStyle w:val="TableBody"/>
              <w:rPr>
                <w:b/>
                <w:bCs/>
                <w:szCs w:val="20"/>
              </w:rPr>
            </w:pPr>
            <w:r w:rsidRPr="00E5455B">
              <w:rPr>
                <w:b/>
                <w:bCs/>
                <w:szCs w:val="20"/>
              </w:rPr>
              <w:t>No.</w:t>
            </w:r>
          </w:p>
        </w:tc>
        <w:tc>
          <w:tcPr>
            <w:tcW w:w="0" w:type="auto"/>
          </w:tcPr>
          <w:p w14:paraId="7395F984" w14:textId="77777777" w:rsidR="005E0BC0" w:rsidRPr="00E5455B" w:rsidRDefault="005E0BC0" w:rsidP="00D710B5">
            <w:pPr>
              <w:pStyle w:val="TableBody"/>
              <w:rPr>
                <w:b/>
                <w:bCs/>
                <w:szCs w:val="20"/>
              </w:rPr>
            </w:pPr>
            <w:r w:rsidRPr="00E5455B">
              <w:rPr>
                <w:b/>
                <w:bCs/>
                <w:szCs w:val="20"/>
              </w:rPr>
              <w:t>Goal</w:t>
            </w:r>
          </w:p>
        </w:tc>
        <w:tc>
          <w:tcPr>
            <w:tcW w:w="0" w:type="auto"/>
          </w:tcPr>
          <w:p w14:paraId="5B923849" w14:textId="77777777" w:rsidR="005E0BC0" w:rsidRPr="00E5455B" w:rsidRDefault="005E0BC0" w:rsidP="00D710B5">
            <w:pPr>
              <w:pStyle w:val="TableBody"/>
              <w:rPr>
                <w:b/>
                <w:bCs/>
                <w:szCs w:val="20"/>
              </w:rPr>
            </w:pPr>
            <w:r w:rsidRPr="00E5455B">
              <w:rPr>
                <w:b/>
                <w:bCs/>
                <w:szCs w:val="20"/>
              </w:rPr>
              <w:t>Action</w:t>
            </w:r>
          </w:p>
        </w:tc>
        <w:tc>
          <w:tcPr>
            <w:tcW w:w="0" w:type="auto"/>
          </w:tcPr>
          <w:p w14:paraId="138621C3" w14:textId="77777777" w:rsidR="005E0BC0" w:rsidRPr="00E5455B" w:rsidRDefault="005E0BC0" w:rsidP="00D710B5">
            <w:pPr>
              <w:pStyle w:val="TableBody"/>
              <w:rPr>
                <w:b/>
                <w:bCs/>
                <w:szCs w:val="20"/>
              </w:rPr>
            </w:pPr>
            <w:r w:rsidRPr="00E5455B">
              <w:rPr>
                <w:b/>
                <w:bCs/>
                <w:szCs w:val="20"/>
              </w:rPr>
              <w:t>Timing</w:t>
            </w:r>
          </w:p>
        </w:tc>
      </w:tr>
      <w:tr w:rsidR="005E0BC0" w:rsidRPr="006D2AEA" w14:paraId="60FD2224" w14:textId="77777777" w:rsidTr="00D710B5">
        <w:trPr>
          <w:trHeight w:val="803"/>
        </w:trPr>
        <w:tc>
          <w:tcPr>
            <w:tcW w:w="0" w:type="auto"/>
            <w:hideMark/>
          </w:tcPr>
          <w:p w14:paraId="2DF423FC" w14:textId="77777777" w:rsidR="005E0BC0" w:rsidRPr="00E5455B" w:rsidRDefault="005E0BC0" w:rsidP="00D710B5">
            <w:pPr>
              <w:pStyle w:val="TableBody"/>
              <w:rPr>
                <w:rFonts w:ascii="Calibri" w:hAnsi="Calibri" w:cs="Calibri"/>
                <w:color w:val="000000"/>
                <w:szCs w:val="20"/>
                <w:lang w:eastAsia="en-AU"/>
              </w:rPr>
            </w:pPr>
            <w:r w:rsidRPr="00E5455B">
              <w:rPr>
                <w:rFonts w:ascii="Calibri" w:hAnsi="Calibri" w:cs="Calibri"/>
                <w:color w:val="000000"/>
                <w:szCs w:val="20"/>
                <w:lang w:eastAsia="en-AU"/>
              </w:rPr>
              <w:t>4.03</w:t>
            </w:r>
          </w:p>
        </w:tc>
        <w:tc>
          <w:tcPr>
            <w:tcW w:w="0" w:type="auto"/>
            <w:hideMark/>
          </w:tcPr>
          <w:p w14:paraId="0A1545C7" w14:textId="77777777" w:rsidR="005E0BC0" w:rsidRPr="00E5455B" w:rsidRDefault="005E0BC0" w:rsidP="00D710B5">
            <w:pPr>
              <w:pStyle w:val="TableBody"/>
              <w:rPr>
                <w:rFonts w:ascii="Calibri" w:hAnsi="Calibri" w:cs="Calibri"/>
                <w:color w:val="000000"/>
                <w:szCs w:val="20"/>
                <w:lang w:eastAsia="en-AU"/>
              </w:rPr>
            </w:pPr>
            <w:r w:rsidRPr="00E5455B">
              <w:rPr>
                <w:rFonts w:ascii="Calibri" w:hAnsi="Calibri" w:cs="Calibri"/>
                <w:color w:val="000000"/>
                <w:szCs w:val="20"/>
                <w:lang w:eastAsia="en-AU"/>
              </w:rPr>
              <w:t>Reduce emissions from gas</w:t>
            </w:r>
          </w:p>
        </w:tc>
        <w:tc>
          <w:tcPr>
            <w:tcW w:w="0" w:type="auto"/>
            <w:hideMark/>
          </w:tcPr>
          <w:p w14:paraId="6D22A4DA" w14:textId="77777777" w:rsidR="005E0BC0" w:rsidRPr="00E5455B" w:rsidRDefault="005E0BC0" w:rsidP="00D710B5">
            <w:pPr>
              <w:pStyle w:val="TableBody"/>
              <w:rPr>
                <w:rFonts w:ascii="Calibri" w:hAnsi="Calibri" w:cs="Calibri"/>
                <w:color w:val="000000"/>
                <w:szCs w:val="20"/>
                <w:lang w:eastAsia="en-AU"/>
              </w:rPr>
            </w:pPr>
            <w:r w:rsidRPr="00E5455B">
              <w:rPr>
                <w:rFonts w:ascii="Calibri" w:hAnsi="Calibri" w:cs="Calibri"/>
                <w:color w:val="000000"/>
                <w:szCs w:val="20"/>
                <w:lang w:eastAsia="en-AU"/>
              </w:rPr>
              <w:t>Amend planning regulations to remove the mandating of reticulated gas in new suburbs.</w:t>
            </w:r>
          </w:p>
        </w:tc>
        <w:tc>
          <w:tcPr>
            <w:tcW w:w="0" w:type="auto"/>
            <w:hideMark/>
          </w:tcPr>
          <w:p w14:paraId="651B3CEC" w14:textId="77777777" w:rsidR="005E0BC0" w:rsidRPr="00E5455B" w:rsidRDefault="005E0BC0" w:rsidP="00D710B5">
            <w:pPr>
              <w:pStyle w:val="TableBody"/>
              <w:rPr>
                <w:rFonts w:ascii="Calibri" w:hAnsi="Calibri" w:cs="Calibri"/>
                <w:szCs w:val="20"/>
                <w:lang w:eastAsia="en-AU"/>
              </w:rPr>
            </w:pPr>
            <w:r w:rsidRPr="00E5455B">
              <w:rPr>
                <w:rFonts w:ascii="Calibri" w:hAnsi="Calibri" w:cs="Calibri"/>
                <w:szCs w:val="20"/>
                <w:lang w:eastAsia="en-AU"/>
              </w:rPr>
              <w:t>By 2020</w:t>
            </w:r>
          </w:p>
        </w:tc>
      </w:tr>
      <w:tr w:rsidR="005E0BC0" w:rsidRPr="006D2AEA" w14:paraId="1A1CDA00" w14:textId="77777777" w:rsidTr="00D710B5">
        <w:trPr>
          <w:trHeight w:val="1103"/>
        </w:trPr>
        <w:tc>
          <w:tcPr>
            <w:tcW w:w="0" w:type="auto"/>
            <w:hideMark/>
          </w:tcPr>
          <w:p w14:paraId="6A13BB4F" w14:textId="77777777" w:rsidR="005E0BC0" w:rsidRPr="00E5455B" w:rsidRDefault="005E0BC0" w:rsidP="00D710B5">
            <w:pPr>
              <w:pStyle w:val="TableBody"/>
              <w:rPr>
                <w:rFonts w:ascii="Calibri" w:hAnsi="Calibri" w:cs="Calibri"/>
                <w:color w:val="000000"/>
                <w:szCs w:val="20"/>
                <w:lang w:eastAsia="en-AU"/>
              </w:rPr>
            </w:pPr>
            <w:r w:rsidRPr="00E5455B">
              <w:rPr>
                <w:rFonts w:ascii="Calibri" w:hAnsi="Calibri" w:cs="Calibri"/>
                <w:color w:val="000000"/>
                <w:szCs w:val="20"/>
                <w:lang w:eastAsia="en-AU"/>
              </w:rPr>
              <w:t>4.04</w:t>
            </w:r>
          </w:p>
        </w:tc>
        <w:tc>
          <w:tcPr>
            <w:tcW w:w="0" w:type="auto"/>
            <w:hideMark/>
          </w:tcPr>
          <w:p w14:paraId="1205A5AF" w14:textId="77777777" w:rsidR="005E0BC0" w:rsidRPr="00E5455B" w:rsidRDefault="005E0BC0" w:rsidP="00D710B5">
            <w:pPr>
              <w:pStyle w:val="TableBody"/>
              <w:rPr>
                <w:rFonts w:ascii="Calibri" w:hAnsi="Calibri" w:cs="Calibri"/>
                <w:color w:val="000000"/>
                <w:szCs w:val="20"/>
                <w:lang w:eastAsia="en-AU"/>
              </w:rPr>
            </w:pPr>
            <w:r w:rsidRPr="00E5455B">
              <w:rPr>
                <w:rFonts w:ascii="Calibri" w:hAnsi="Calibri" w:cs="Calibri"/>
                <w:color w:val="000000"/>
                <w:szCs w:val="20"/>
                <w:lang w:eastAsia="en-AU"/>
              </w:rPr>
              <w:t>Reduce emissions from gas</w:t>
            </w:r>
          </w:p>
        </w:tc>
        <w:tc>
          <w:tcPr>
            <w:tcW w:w="0" w:type="auto"/>
            <w:hideMark/>
          </w:tcPr>
          <w:p w14:paraId="7DB1F832" w14:textId="77777777" w:rsidR="005E0BC0" w:rsidRPr="00E5455B" w:rsidRDefault="005E0BC0" w:rsidP="00D710B5">
            <w:pPr>
              <w:pStyle w:val="TableBody"/>
              <w:rPr>
                <w:rFonts w:ascii="Calibri" w:hAnsi="Calibri" w:cs="Calibri"/>
                <w:color w:val="000000"/>
                <w:szCs w:val="20"/>
                <w:lang w:eastAsia="en-AU"/>
              </w:rPr>
            </w:pPr>
            <w:r w:rsidRPr="00E5455B">
              <w:rPr>
                <w:rFonts w:ascii="Calibri" w:hAnsi="Calibri" w:cs="Calibri"/>
                <w:color w:val="000000"/>
                <w:szCs w:val="20"/>
                <w:lang w:eastAsia="en-AU"/>
              </w:rPr>
              <w:t>Conduct a campaign to support the transition from gas by highlighting electric options and savings opportunities to the ACT community.</w:t>
            </w:r>
          </w:p>
        </w:tc>
        <w:tc>
          <w:tcPr>
            <w:tcW w:w="0" w:type="auto"/>
            <w:hideMark/>
          </w:tcPr>
          <w:p w14:paraId="2F8B9D43" w14:textId="77777777" w:rsidR="005E0BC0" w:rsidRPr="00E5455B" w:rsidRDefault="005E0BC0" w:rsidP="00D710B5">
            <w:pPr>
              <w:pStyle w:val="TableBody"/>
              <w:rPr>
                <w:rFonts w:ascii="Calibri" w:hAnsi="Calibri" w:cs="Calibri"/>
                <w:szCs w:val="20"/>
                <w:lang w:eastAsia="en-AU"/>
              </w:rPr>
            </w:pPr>
            <w:r w:rsidRPr="00E5455B">
              <w:rPr>
                <w:rFonts w:ascii="Calibri" w:hAnsi="Calibri" w:cs="Calibri"/>
                <w:szCs w:val="20"/>
                <w:lang w:eastAsia="en-AU"/>
              </w:rPr>
              <w:t>From 2020</w:t>
            </w:r>
          </w:p>
        </w:tc>
      </w:tr>
      <w:tr w:rsidR="005E0BC0" w:rsidRPr="006D2AEA" w14:paraId="4552688B" w14:textId="77777777" w:rsidTr="00D710B5">
        <w:trPr>
          <w:trHeight w:val="1310"/>
        </w:trPr>
        <w:tc>
          <w:tcPr>
            <w:tcW w:w="0" w:type="auto"/>
            <w:hideMark/>
          </w:tcPr>
          <w:p w14:paraId="5FE3F07D" w14:textId="77777777" w:rsidR="005E0BC0" w:rsidRPr="00E5455B" w:rsidRDefault="005E0BC0" w:rsidP="00D710B5">
            <w:pPr>
              <w:pStyle w:val="TableBody"/>
              <w:rPr>
                <w:rFonts w:ascii="Calibri" w:hAnsi="Calibri" w:cs="Calibri"/>
                <w:color w:val="000000"/>
                <w:szCs w:val="20"/>
                <w:lang w:eastAsia="en-AU"/>
              </w:rPr>
            </w:pPr>
            <w:r w:rsidRPr="00E5455B">
              <w:rPr>
                <w:rFonts w:ascii="Calibri" w:hAnsi="Calibri" w:cs="Calibri"/>
                <w:color w:val="000000"/>
                <w:szCs w:val="20"/>
                <w:lang w:eastAsia="en-AU"/>
              </w:rPr>
              <w:t>4.05</w:t>
            </w:r>
          </w:p>
        </w:tc>
        <w:tc>
          <w:tcPr>
            <w:tcW w:w="0" w:type="auto"/>
            <w:hideMark/>
          </w:tcPr>
          <w:p w14:paraId="468DD7FB" w14:textId="77777777" w:rsidR="005E0BC0" w:rsidRPr="00E5455B" w:rsidRDefault="005E0BC0" w:rsidP="00D710B5">
            <w:pPr>
              <w:pStyle w:val="TableBody"/>
              <w:rPr>
                <w:rFonts w:ascii="Calibri" w:hAnsi="Calibri" w:cs="Calibri"/>
                <w:color w:val="000000"/>
                <w:szCs w:val="20"/>
                <w:lang w:eastAsia="en-AU"/>
              </w:rPr>
            </w:pPr>
            <w:r w:rsidRPr="00E5455B">
              <w:rPr>
                <w:rFonts w:ascii="Calibri" w:hAnsi="Calibri" w:cs="Calibri"/>
                <w:color w:val="000000"/>
                <w:szCs w:val="20"/>
                <w:lang w:eastAsia="en-AU"/>
              </w:rPr>
              <w:t>Reduce emissions from gas</w:t>
            </w:r>
          </w:p>
        </w:tc>
        <w:tc>
          <w:tcPr>
            <w:tcW w:w="0" w:type="auto"/>
            <w:hideMark/>
          </w:tcPr>
          <w:p w14:paraId="4AA39997" w14:textId="77777777" w:rsidR="005E0BC0" w:rsidRPr="00E5455B" w:rsidRDefault="005E0BC0" w:rsidP="00D710B5">
            <w:pPr>
              <w:pStyle w:val="TableBody"/>
              <w:rPr>
                <w:rFonts w:ascii="Calibri" w:hAnsi="Calibri" w:cs="Calibri"/>
                <w:color w:val="000000"/>
                <w:szCs w:val="20"/>
                <w:lang w:eastAsia="en-AU"/>
              </w:rPr>
            </w:pPr>
            <w:r w:rsidRPr="00E5455B">
              <w:rPr>
                <w:rFonts w:ascii="Calibri" w:hAnsi="Calibri" w:cs="Calibri"/>
                <w:color w:val="000000"/>
                <w:szCs w:val="20"/>
                <w:lang w:eastAsia="en-AU"/>
              </w:rPr>
              <w:t>Develop a plan for achieving zero emissions from gas use by 2045, including setting timeframes with appropriate transition periods for phasing out new and existing gas connections.</w:t>
            </w:r>
          </w:p>
        </w:tc>
        <w:tc>
          <w:tcPr>
            <w:tcW w:w="0" w:type="auto"/>
            <w:hideMark/>
          </w:tcPr>
          <w:p w14:paraId="014814CB" w14:textId="77777777" w:rsidR="005E0BC0" w:rsidRPr="00E5455B" w:rsidRDefault="005E0BC0" w:rsidP="00D710B5">
            <w:pPr>
              <w:pStyle w:val="TableBody"/>
              <w:rPr>
                <w:rFonts w:ascii="Calibri" w:hAnsi="Calibri" w:cs="Calibri"/>
                <w:szCs w:val="20"/>
                <w:lang w:eastAsia="en-AU"/>
              </w:rPr>
            </w:pPr>
            <w:r w:rsidRPr="00E5455B">
              <w:rPr>
                <w:rFonts w:ascii="Calibri" w:hAnsi="Calibri" w:cs="Calibri"/>
                <w:szCs w:val="20"/>
                <w:lang w:eastAsia="en-AU"/>
              </w:rPr>
              <w:t>By 2024</w:t>
            </w:r>
          </w:p>
        </w:tc>
      </w:tr>
      <w:tr w:rsidR="005E0BC0" w:rsidRPr="006D2AEA" w14:paraId="02362A3C" w14:textId="77777777" w:rsidTr="00D710B5">
        <w:trPr>
          <w:trHeight w:val="1513"/>
        </w:trPr>
        <w:tc>
          <w:tcPr>
            <w:tcW w:w="0" w:type="auto"/>
            <w:hideMark/>
          </w:tcPr>
          <w:p w14:paraId="05816A34" w14:textId="77777777" w:rsidR="005E0BC0" w:rsidRPr="00E5455B" w:rsidRDefault="005E0BC0" w:rsidP="00D710B5">
            <w:pPr>
              <w:pStyle w:val="TableBody"/>
              <w:rPr>
                <w:rFonts w:ascii="Calibri" w:hAnsi="Calibri" w:cs="Calibri"/>
                <w:color w:val="000000"/>
                <w:szCs w:val="20"/>
                <w:lang w:eastAsia="en-AU"/>
              </w:rPr>
            </w:pPr>
            <w:r w:rsidRPr="00E5455B">
              <w:rPr>
                <w:rFonts w:ascii="Calibri" w:hAnsi="Calibri" w:cs="Calibri"/>
                <w:color w:val="000000"/>
                <w:szCs w:val="20"/>
                <w:lang w:eastAsia="en-AU"/>
              </w:rPr>
              <w:t>4.09</w:t>
            </w:r>
          </w:p>
        </w:tc>
        <w:tc>
          <w:tcPr>
            <w:tcW w:w="0" w:type="auto"/>
            <w:hideMark/>
          </w:tcPr>
          <w:p w14:paraId="50D3F354" w14:textId="77777777" w:rsidR="005E0BC0" w:rsidRPr="00E5455B" w:rsidRDefault="005E0BC0" w:rsidP="00D710B5">
            <w:pPr>
              <w:pStyle w:val="TableBody"/>
              <w:rPr>
                <w:rFonts w:ascii="Calibri" w:hAnsi="Calibri" w:cs="Calibri"/>
                <w:color w:val="000000"/>
                <w:szCs w:val="20"/>
                <w:lang w:eastAsia="en-AU"/>
              </w:rPr>
            </w:pPr>
            <w:r w:rsidRPr="00E5455B">
              <w:rPr>
                <w:rFonts w:ascii="Calibri" w:hAnsi="Calibri" w:cs="Calibri"/>
                <w:color w:val="000000"/>
                <w:szCs w:val="20"/>
                <w:lang w:eastAsia="en-AU"/>
              </w:rPr>
              <w:t>Climate-wise, zero emissions public housing</w:t>
            </w:r>
          </w:p>
        </w:tc>
        <w:tc>
          <w:tcPr>
            <w:tcW w:w="0" w:type="auto"/>
            <w:hideMark/>
          </w:tcPr>
          <w:p w14:paraId="6E2ABE52" w14:textId="77777777" w:rsidR="005E0BC0" w:rsidRPr="00E5455B" w:rsidRDefault="005E0BC0" w:rsidP="00D710B5">
            <w:pPr>
              <w:pStyle w:val="TableBody"/>
              <w:rPr>
                <w:rFonts w:ascii="Calibri" w:hAnsi="Calibri" w:cs="Calibri"/>
                <w:color w:val="000000"/>
                <w:szCs w:val="20"/>
                <w:lang w:eastAsia="en-AU"/>
              </w:rPr>
            </w:pPr>
            <w:r w:rsidRPr="00E5455B">
              <w:rPr>
                <w:rFonts w:ascii="Calibri" w:hAnsi="Calibri" w:cs="Calibri"/>
                <w:color w:val="000000"/>
                <w:szCs w:val="20"/>
                <w:lang w:eastAsia="en-AU"/>
              </w:rPr>
              <w:t>Continue to upgrade to efficient-electric appliances in existing public housing properties where technically feasible and assess the cost and benefits of shifting to all-electric public housing.</w:t>
            </w:r>
          </w:p>
        </w:tc>
        <w:tc>
          <w:tcPr>
            <w:tcW w:w="0" w:type="auto"/>
            <w:hideMark/>
          </w:tcPr>
          <w:p w14:paraId="78D443B3" w14:textId="77777777" w:rsidR="005E0BC0" w:rsidRPr="00E5455B" w:rsidRDefault="005E0BC0" w:rsidP="00D710B5">
            <w:pPr>
              <w:pStyle w:val="TableBody"/>
              <w:rPr>
                <w:rFonts w:ascii="Calibri" w:hAnsi="Calibri" w:cs="Calibri"/>
                <w:szCs w:val="20"/>
                <w:lang w:eastAsia="en-AU"/>
              </w:rPr>
            </w:pPr>
            <w:r w:rsidRPr="00E5455B">
              <w:rPr>
                <w:rFonts w:ascii="Calibri" w:hAnsi="Calibri" w:cs="Calibri"/>
                <w:szCs w:val="20"/>
                <w:lang w:eastAsia="en-AU"/>
              </w:rPr>
              <w:t xml:space="preserve">From 2019 </w:t>
            </w:r>
          </w:p>
        </w:tc>
      </w:tr>
      <w:tr w:rsidR="005E0BC0" w:rsidRPr="006D2AEA" w14:paraId="12F69F52" w14:textId="77777777" w:rsidTr="00D710B5">
        <w:trPr>
          <w:trHeight w:val="1093"/>
        </w:trPr>
        <w:tc>
          <w:tcPr>
            <w:tcW w:w="0" w:type="auto"/>
            <w:hideMark/>
          </w:tcPr>
          <w:p w14:paraId="72FEEB2D" w14:textId="77777777" w:rsidR="005E0BC0" w:rsidRPr="00E5455B" w:rsidRDefault="005E0BC0" w:rsidP="00D710B5">
            <w:pPr>
              <w:pStyle w:val="TableBody"/>
              <w:rPr>
                <w:rFonts w:ascii="Calibri" w:hAnsi="Calibri" w:cs="Calibri"/>
                <w:color w:val="000000"/>
                <w:szCs w:val="20"/>
                <w:lang w:eastAsia="en-AU"/>
              </w:rPr>
            </w:pPr>
            <w:r w:rsidRPr="00E5455B">
              <w:rPr>
                <w:rFonts w:ascii="Calibri" w:hAnsi="Calibri" w:cs="Calibri"/>
                <w:color w:val="000000"/>
                <w:szCs w:val="20"/>
                <w:lang w:eastAsia="en-AU"/>
              </w:rPr>
              <w:t>4.10</w:t>
            </w:r>
          </w:p>
        </w:tc>
        <w:tc>
          <w:tcPr>
            <w:tcW w:w="0" w:type="auto"/>
            <w:hideMark/>
          </w:tcPr>
          <w:p w14:paraId="38912412" w14:textId="77777777" w:rsidR="005E0BC0" w:rsidRPr="00E5455B" w:rsidRDefault="005E0BC0" w:rsidP="00D710B5">
            <w:pPr>
              <w:pStyle w:val="TableBody"/>
              <w:rPr>
                <w:rFonts w:ascii="Calibri" w:hAnsi="Calibri" w:cs="Calibri"/>
                <w:color w:val="000000"/>
                <w:szCs w:val="20"/>
                <w:lang w:eastAsia="en-AU"/>
              </w:rPr>
            </w:pPr>
            <w:r w:rsidRPr="00E5455B">
              <w:rPr>
                <w:rFonts w:ascii="Calibri" w:hAnsi="Calibri" w:cs="Calibri"/>
                <w:color w:val="000000"/>
                <w:szCs w:val="20"/>
                <w:lang w:eastAsia="en-AU"/>
              </w:rPr>
              <w:t>Climate-wise, zero emissions public housing</w:t>
            </w:r>
          </w:p>
        </w:tc>
        <w:tc>
          <w:tcPr>
            <w:tcW w:w="0" w:type="auto"/>
            <w:hideMark/>
          </w:tcPr>
          <w:p w14:paraId="3321A7B9" w14:textId="77777777" w:rsidR="005E0BC0" w:rsidRPr="00E5455B" w:rsidRDefault="005E0BC0" w:rsidP="00D710B5">
            <w:pPr>
              <w:pStyle w:val="TableBody"/>
              <w:rPr>
                <w:rFonts w:ascii="Calibri" w:hAnsi="Calibri" w:cs="Calibri"/>
                <w:color w:val="000000"/>
                <w:szCs w:val="20"/>
                <w:lang w:eastAsia="en-AU"/>
              </w:rPr>
            </w:pPr>
            <w:r w:rsidRPr="00E5455B">
              <w:rPr>
                <w:rFonts w:ascii="Calibri" w:hAnsi="Calibri" w:cs="Calibri"/>
                <w:color w:val="000000"/>
                <w:szCs w:val="20"/>
                <w:lang w:eastAsia="en-AU"/>
              </w:rPr>
              <w:t>Ensure all newly constructed public housing properties are all-electric (fitted with electric appliances) from 2019.</w:t>
            </w:r>
          </w:p>
        </w:tc>
        <w:tc>
          <w:tcPr>
            <w:tcW w:w="0" w:type="auto"/>
            <w:hideMark/>
          </w:tcPr>
          <w:p w14:paraId="2D2C2E3D" w14:textId="77777777" w:rsidR="005E0BC0" w:rsidRPr="00E5455B" w:rsidRDefault="005E0BC0" w:rsidP="00D710B5">
            <w:pPr>
              <w:pStyle w:val="TableBody"/>
              <w:rPr>
                <w:rFonts w:ascii="Calibri" w:hAnsi="Calibri" w:cs="Calibri"/>
                <w:szCs w:val="20"/>
                <w:lang w:eastAsia="en-AU"/>
              </w:rPr>
            </w:pPr>
            <w:r w:rsidRPr="00E5455B">
              <w:rPr>
                <w:rFonts w:ascii="Calibri" w:hAnsi="Calibri" w:cs="Calibri"/>
                <w:szCs w:val="20"/>
                <w:lang w:eastAsia="en-AU"/>
              </w:rPr>
              <w:t xml:space="preserve">From 2019 </w:t>
            </w:r>
          </w:p>
        </w:tc>
      </w:tr>
      <w:tr w:rsidR="005E0BC0" w:rsidRPr="006D2AEA" w14:paraId="61B076D3" w14:textId="77777777" w:rsidTr="00D710B5">
        <w:trPr>
          <w:trHeight w:val="1238"/>
        </w:trPr>
        <w:tc>
          <w:tcPr>
            <w:tcW w:w="0" w:type="auto"/>
            <w:hideMark/>
          </w:tcPr>
          <w:p w14:paraId="1A4AD95E" w14:textId="77777777" w:rsidR="005E0BC0" w:rsidRPr="00E5455B" w:rsidRDefault="005E0BC0" w:rsidP="00D710B5">
            <w:pPr>
              <w:pStyle w:val="TableBody"/>
              <w:rPr>
                <w:rFonts w:ascii="Calibri" w:hAnsi="Calibri" w:cs="Calibri"/>
                <w:color w:val="000000"/>
                <w:szCs w:val="20"/>
                <w:lang w:eastAsia="en-AU"/>
              </w:rPr>
            </w:pPr>
            <w:r w:rsidRPr="00E5455B">
              <w:rPr>
                <w:rFonts w:ascii="Calibri" w:hAnsi="Calibri" w:cs="Calibri"/>
                <w:color w:val="000000"/>
                <w:szCs w:val="20"/>
                <w:lang w:eastAsia="en-AU"/>
              </w:rPr>
              <w:t>4.12</w:t>
            </w:r>
          </w:p>
        </w:tc>
        <w:tc>
          <w:tcPr>
            <w:tcW w:w="0" w:type="auto"/>
            <w:hideMark/>
          </w:tcPr>
          <w:p w14:paraId="4481B70D" w14:textId="77777777" w:rsidR="005E0BC0" w:rsidRPr="00E5455B" w:rsidRDefault="005E0BC0" w:rsidP="00D710B5">
            <w:pPr>
              <w:pStyle w:val="TableBody"/>
              <w:rPr>
                <w:rFonts w:ascii="Calibri" w:hAnsi="Calibri" w:cs="Calibri"/>
                <w:color w:val="000000"/>
                <w:szCs w:val="20"/>
                <w:lang w:eastAsia="en-AU"/>
              </w:rPr>
            </w:pPr>
            <w:r w:rsidRPr="00E5455B">
              <w:rPr>
                <w:rFonts w:ascii="Calibri" w:hAnsi="Calibri" w:cs="Calibri"/>
                <w:color w:val="000000"/>
                <w:szCs w:val="20"/>
                <w:lang w:eastAsia="en-AU"/>
              </w:rPr>
              <w:t>Climate-wise, zero emissions low income homes</w:t>
            </w:r>
          </w:p>
        </w:tc>
        <w:tc>
          <w:tcPr>
            <w:tcW w:w="0" w:type="auto"/>
            <w:hideMark/>
          </w:tcPr>
          <w:p w14:paraId="3F5847A3" w14:textId="77777777" w:rsidR="005E0BC0" w:rsidRPr="00E5455B" w:rsidRDefault="005E0BC0" w:rsidP="00D710B5">
            <w:pPr>
              <w:pStyle w:val="TableBody"/>
              <w:rPr>
                <w:rFonts w:ascii="Calibri" w:hAnsi="Calibri" w:cs="Calibri"/>
                <w:color w:val="000000"/>
                <w:szCs w:val="20"/>
                <w:lang w:eastAsia="en-AU"/>
              </w:rPr>
            </w:pPr>
            <w:r w:rsidRPr="00E5455B">
              <w:rPr>
                <w:rFonts w:ascii="Calibri" w:hAnsi="Calibri" w:cs="Calibri"/>
                <w:color w:val="000000"/>
                <w:szCs w:val="20"/>
                <w:lang w:eastAsia="en-AU"/>
              </w:rPr>
              <w:t>Trial facilitating access to interest free loans or other innovative finance for gas to electric upgrades and deep retrofits of low income homes.</w:t>
            </w:r>
          </w:p>
        </w:tc>
        <w:tc>
          <w:tcPr>
            <w:tcW w:w="0" w:type="auto"/>
            <w:hideMark/>
          </w:tcPr>
          <w:p w14:paraId="38C110DB" w14:textId="77777777" w:rsidR="005E0BC0" w:rsidRPr="00E5455B" w:rsidRDefault="005E0BC0" w:rsidP="00D710B5">
            <w:pPr>
              <w:pStyle w:val="TableBody"/>
              <w:rPr>
                <w:rFonts w:ascii="Calibri" w:hAnsi="Calibri" w:cs="Calibri"/>
                <w:szCs w:val="20"/>
                <w:lang w:eastAsia="en-AU"/>
              </w:rPr>
            </w:pPr>
            <w:r w:rsidRPr="00E5455B">
              <w:rPr>
                <w:rFonts w:ascii="Calibri" w:hAnsi="Calibri" w:cs="Calibri"/>
                <w:szCs w:val="20"/>
                <w:lang w:eastAsia="en-AU"/>
              </w:rPr>
              <w:t>By 2022</w:t>
            </w:r>
          </w:p>
        </w:tc>
      </w:tr>
      <w:tr w:rsidR="005E0BC0" w:rsidRPr="006D2AEA" w14:paraId="6D532924" w14:textId="77777777" w:rsidTr="00D710B5">
        <w:trPr>
          <w:trHeight w:val="973"/>
        </w:trPr>
        <w:tc>
          <w:tcPr>
            <w:tcW w:w="0" w:type="auto"/>
            <w:hideMark/>
          </w:tcPr>
          <w:p w14:paraId="49CB719D" w14:textId="77777777" w:rsidR="005E0BC0" w:rsidRPr="00E5455B" w:rsidRDefault="005E0BC0" w:rsidP="00D710B5">
            <w:pPr>
              <w:pStyle w:val="TableBody"/>
              <w:rPr>
                <w:rFonts w:ascii="Calibri" w:hAnsi="Calibri" w:cs="Calibri"/>
                <w:color w:val="000000"/>
                <w:szCs w:val="20"/>
                <w:lang w:eastAsia="en-AU"/>
              </w:rPr>
            </w:pPr>
            <w:r w:rsidRPr="00E5455B">
              <w:rPr>
                <w:rFonts w:ascii="Calibri" w:hAnsi="Calibri" w:cs="Calibri"/>
                <w:color w:val="000000"/>
                <w:szCs w:val="20"/>
                <w:lang w:eastAsia="en-AU"/>
              </w:rPr>
              <w:t>4.18</w:t>
            </w:r>
          </w:p>
        </w:tc>
        <w:tc>
          <w:tcPr>
            <w:tcW w:w="0" w:type="auto"/>
            <w:hideMark/>
          </w:tcPr>
          <w:p w14:paraId="1CD282A2" w14:textId="77777777" w:rsidR="005E0BC0" w:rsidRPr="00E5455B" w:rsidRDefault="005E0BC0" w:rsidP="00D710B5">
            <w:pPr>
              <w:pStyle w:val="TableBody"/>
              <w:rPr>
                <w:rFonts w:ascii="Calibri" w:hAnsi="Calibri" w:cs="Calibri"/>
                <w:color w:val="000000"/>
                <w:szCs w:val="20"/>
                <w:lang w:eastAsia="en-AU"/>
              </w:rPr>
            </w:pPr>
            <w:r w:rsidRPr="00E5455B">
              <w:rPr>
                <w:rFonts w:ascii="Calibri" w:hAnsi="Calibri" w:cs="Calibri"/>
                <w:color w:val="000000"/>
                <w:szCs w:val="20"/>
                <w:lang w:eastAsia="en-AU"/>
              </w:rPr>
              <w:t>Climate-wise, zero emissions buildings</w:t>
            </w:r>
          </w:p>
        </w:tc>
        <w:tc>
          <w:tcPr>
            <w:tcW w:w="0" w:type="auto"/>
            <w:hideMark/>
          </w:tcPr>
          <w:p w14:paraId="52EA3839" w14:textId="77777777" w:rsidR="005E0BC0" w:rsidRPr="00E5455B" w:rsidRDefault="005E0BC0" w:rsidP="00D710B5">
            <w:pPr>
              <w:pStyle w:val="TableBody"/>
              <w:rPr>
                <w:rFonts w:ascii="Calibri" w:hAnsi="Calibri" w:cs="Calibri"/>
                <w:szCs w:val="20"/>
                <w:lang w:eastAsia="en-AU"/>
              </w:rPr>
            </w:pPr>
            <w:r w:rsidRPr="00E5455B">
              <w:rPr>
                <w:rFonts w:ascii="Calibri" w:hAnsi="Calibri" w:cs="Calibri"/>
                <w:szCs w:val="20"/>
                <w:lang w:eastAsia="en-AU"/>
              </w:rPr>
              <w:t>Trial incentives and other measures to encourage all-electric, high efficiency apartment and commercial buildings.</w:t>
            </w:r>
          </w:p>
        </w:tc>
        <w:tc>
          <w:tcPr>
            <w:tcW w:w="0" w:type="auto"/>
            <w:hideMark/>
          </w:tcPr>
          <w:p w14:paraId="7E7BC576" w14:textId="77777777" w:rsidR="005E0BC0" w:rsidRPr="00E5455B" w:rsidRDefault="005E0BC0" w:rsidP="00D710B5">
            <w:pPr>
              <w:pStyle w:val="TableBody"/>
              <w:rPr>
                <w:rFonts w:ascii="Calibri" w:hAnsi="Calibri" w:cs="Calibri"/>
                <w:szCs w:val="20"/>
                <w:lang w:eastAsia="en-AU"/>
              </w:rPr>
            </w:pPr>
            <w:r w:rsidRPr="00E5455B">
              <w:rPr>
                <w:rFonts w:ascii="Calibri" w:hAnsi="Calibri" w:cs="Calibri"/>
                <w:szCs w:val="20"/>
                <w:lang w:eastAsia="en-AU"/>
              </w:rPr>
              <w:t>By 2024</w:t>
            </w:r>
          </w:p>
        </w:tc>
      </w:tr>
      <w:tr w:rsidR="005E0BC0" w:rsidRPr="006D2AEA" w14:paraId="5468ABDE" w14:textId="77777777" w:rsidTr="00D710B5">
        <w:trPr>
          <w:trHeight w:val="1478"/>
        </w:trPr>
        <w:tc>
          <w:tcPr>
            <w:tcW w:w="0" w:type="auto"/>
            <w:hideMark/>
          </w:tcPr>
          <w:p w14:paraId="2A5E2BDC" w14:textId="77777777" w:rsidR="005E0BC0" w:rsidRPr="00E5455B" w:rsidRDefault="005E0BC0" w:rsidP="00D710B5">
            <w:pPr>
              <w:pStyle w:val="TableBody"/>
              <w:rPr>
                <w:rFonts w:ascii="Calibri" w:hAnsi="Calibri" w:cs="Calibri"/>
                <w:color w:val="000000"/>
                <w:szCs w:val="20"/>
                <w:lang w:eastAsia="en-AU"/>
              </w:rPr>
            </w:pPr>
            <w:r w:rsidRPr="00E5455B">
              <w:rPr>
                <w:rFonts w:ascii="Calibri" w:hAnsi="Calibri" w:cs="Calibri"/>
                <w:color w:val="000000"/>
                <w:szCs w:val="20"/>
                <w:lang w:eastAsia="en-AU"/>
              </w:rPr>
              <w:t>4.19</w:t>
            </w:r>
          </w:p>
        </w:tc>
        <w:tc>
          <w:tcPr>
            <w:tcW w:w="0" w:type="auto"/>
            <w:hideMark/>
          </w:tcPr>
          <w:p w14:paraId="79C57268" w14:textId="77777777" w:rsidR="005E0BC0" w:rsidRPr="00E5455B" w:rsidRDefault="005E0BC0" w:rsidP="00D710B5">
            <w:pPr>
              <w:pStyle w:val="TableBody"/>
              <w:rPr>
                <w:rFonts w:ascii="Calibri" w:hAnsi="Calibri" w:cs="Calibri"/>
                <w:color w:val="000000"/>
                <w:szCs w:val="20"/>
                <w:lang w:eastAsia="en-AU"/>
              </w:rPr>
            </w:pPr>
            <w:r w:rsidRPr="00E5455B">
              <w:rPr>
                <w:rFonts w:ascii="Calibri" w:hAnsi="Calibri" w:cs="Calibri"/>
                <w:color w:val="000000"/>
                <w:szCs w:val="20"/>
                <w:lang w:eastAsia="en-AU"/>
              </w:rPr>
              <w:t>Climate-wise, zero emissions buildings</w:t>
            </w:r>
          </w:p>
        </w:tc>
        <w:tc>
          <w:tcPr>
            <w:tcW w:w="0" w:type="auto"/>
            <w:hideMark/>
          </w:tcPr>
          <w:p w14:paraId="26C2F7AB" w14:textId="77777777" w:rsidR="005E0BC0" w:rsidRPr="00E5455B" w:rsidRDefault="005E0BC0" w:rsidP="00D710B5">
            <w:pPr>
              <w:pStyle w:val="TableBody"/>
              <w:rPr>
                <w:rFonts w:ascii="Calibri" w:hAnsi="Calibri" w:cs="Calibri"/>
                <w:color w:val="000000"/>
                <w:szCs w:val="20"/>
                <w:lang w:eastAsia="en-AU"/>
              </w:rPr>
            </w:pPr>
            <w:r w:rsidRPr="00E5455B">
              <w:rPr>
                <w:rFonts w:ascii="Calibri" w:hAnsi="Calibri" w:cs="Calibri"/>
                <w:color w:val="000000"/>
                <w:szCs w:val="20"/>
                <w:lang w:eastAsia="en-AU"/>
              </w:rPr>
              <w:t>Expand the Energy Efficiency Improvement Scheme to increase support for low income priority households and further encourage a shift from gas to high efficiency electric appliances.</w:t>
            </w:r>
          </w:p>
        </w:tc>
        <w:tc>
          <w:tcPr>
            <w:tcW w:w="0" w:type="auto"/>
            <w:hideMark/>
          </w:tcPr>
          <w:p w14:paraId="20A42693" w14:textId="77777777" w:rsidR="005E0BC0" w:rsidRPr="00E5455B" w:rsidRDefault="005E0BC0" w:rsidP="00D710B5">
            <w:pPr>
              <w:pStyle w:val="TableBody"/>
              <w:rPr>
                <w:rFonts w:ascii="Calibri" w:hAnsi="Calibri" w:cs="Calibri"/>
                <w:szCs w:val="20"/>
                <w:lang w:eastAsia="en-AU"/>
              </w:rPr>
            </w:pPr>
            <w:r w:rsidRPr="00E5455B">
              <w:rPr>
                <w:rFonts w:ascii="Calibri" w:hAnsi="Calibri" w:cs="Calibri"/>
                <w:szCs w:val="20"/>
                <w:lang w:eastAsia="en-AU"/>
              </w:rPr>
              <w:t xml:space="preserve">From 2020 </w:t>
            </w:r>
          </w:p>
        </w:tc>
      </w:tr>
      <w:tr w:rsidR="005E0BC0" w:rsidRPr="006D2AEA" w14:paraId="0324D67D" w14:textId="77777777" w:rsidTr="00D710B5">
        <w:trPr>
          <w:trHeight w:val="1070"/>
        </w:trPr>
        <w:tc>
          <w:tcPr>
            <w:tcW w:w="0" w:type="auto"/>
            <w:hideMark/>
          </w:tcPr>
          <w:p w14:paraId="4E965504" w14:textId="77777777" w:rsidR="005E0BC0" w:rsidRPr="00E5455B" w:rsidRDefault="005E0BC0" w:rsidP="00D710B5">
            <w:pPr>
              <w:pStyle w:val="TableBody"/>
              <w:rPr>
                <w:rFonts w:ascii="Calibri" w:hAnsi="Calibri" w:cs="Calibri"/>
                <w:color w:val="000000"/>
                <w:szCs w:val="20"/>
                <w:lang w:eastAsia="en-AU"/>
              </w:rPr>
            </w:pPr>
            <w:r w:rsidRPr="00E5455B">
              <w:rPr>
                <w:rFonts w:ascii="Calibri" w:hAnsi="Calibri" w:cs="Calibri"/>
                <w:color w:val="000000"/>
                <w:szCs w:val="20"/>
                <w:lang w:eastAsia="en-AU"/>
              </w:rPr>
              <w:t>5.13</w:t>
            </w:r>
          </w:p>
        </w:tc>
        <w:tc>
          <w:tcPr>
            <w:tcW w:w="0" w:type="auto"/>
            <w:hideMark/>
          </w:tcPr>
          <w:p w14:paraId="78484D78" w14:textId="77777777" w:rsidR="005E0BC0" w:rsidRPr="00E5455B" w:rsidRDefault="005E0BC0" w:rsidP="00D710B5">
            <w:pPr>
              <w:pStyle w:val="TableBody"/>
              <w:rPr>
                <w:rFonts w:ascii="Calibri" w:hAnsi="Calibri" w:cs="Calibri"/>
                <w:color w:val="000000"/>
                <w:szCs w:val="20"/>
                <w:lang w:eastAsia="en-AU"/>
              </w:rPr>
            </w:pPr>
            <w:r w:rsidRPr="00E5455B">
              <w:rPr>
                <w:rFonts w:ascii="Calibri" w:hAnsi="Calibri" w:cs="Calibri"/>
                <w:color w:val="000000"/>
                <w:szCs w:val="20"/>
                <w:lang w:eastAsia="en-AU"/>
              </w:rPr>
              <w:t>Zero Emissions Government</w:t>
            </w:r>
          </w:p>
        </w:tc>
        <w:tc>
          <w:tcPr>
            <w:tcW w:w="0" w:type="auto"/>
            <w:hideMark/>
          </w:tcPr>
          <w:p w14:paraId="08D0FEB1" w14:textId="77777777" w:rsidR="005E0BC0" w:rsidRPr="00E5455B" w:rsidRDefault="005E0BC0" w:rsidP="00D710B5">
            <w:pPr>
              <w:pStyle w:val="TableBody"/>
              <w:rPr>
                <w:rFonts w:ascii="Calibri" w:hAnsi="Calibri" w:cs="Calibri"/>
                <w:color w:val="000000"/>
                <w:szCs w:val="20"/>
                <w:lang w:eastAsia="en-AU"/>
              </w:rPr>
            </w:pPr>
            <w:r w:rsidRPr="00E5455B">
              <w:rPr>
                <w:rFonts w:ascii="Calibri" w:hAnsi="Calibri" w:cs="Calibri"/>
                <w:color w:val="000000"/>
                <w:szCs w:val="20"/>
                <w:lang w:eastAsia="en-AU"/>
              </w:rPr>
              <w:t>Ensure all newly built or newly leased Government buildings and facilities are climate-wise and all-electric (where fit for purpose).</w:t>
            </w:r>
          </w:p>
        </w:tc>
        <w:tc>
          <w:tcPr>
            <w:tcW w:w="0" w:type="auto"/>
            <w:hideMark/>
          </w:tcPr>
          <w:p w14:paraId="54C776C9" w14:textId="77777777" w:rsidR="005E0BC0" w:rsidRPr="00E5455B" w:rsidRDefault="005E0BC0" w:rsidP="00D710B5">
            <w:pPr>
              <w:pStyle w:val="TableBody"/>
              <w:rPr>
                <w:rFonts w:ascii="Calibri" w:hAnsi="Calibri" w:cs="Calibri"/>
                <w:szCs w:val="20"/>
                <w:lang w:eastAsia="en-AU"/>
              </w:rPr>
            </w:pPr>
            <w:r w:rsidRPr="00E5455B">
              <w:rPr>
                <w:rFonts w:ascii="Calibri" w:hAnsi="Calibri" w:cs="Calibri"/>
                <w:szCs w:val="20"/>
                <w:lang w:eastAsia="en-AU"/>
              </w:rPr>
              <w:t>From 2020</w:t>
            </w:r>
          </w:p>
        </w:tc>
      </w:tr>
      <w:tr w:rsidR="005E0BC0" w:rsidRPr="006D2AEA" w14:paraId="0E3FDC53" w14:textId="77777777" w:rsidTr="00D710B5">
        <w:trPr>
          <w:trHeight w:val="1298"/>
        </w:trPr>
        <w:tc>
          <w:tcPr>
            <w:tcW w:w="0" w:type="auto"/>
            <w:hideMark/>
          </w:tcPr>
          <w:p w14:paraId="3745283E" w14:textId="77777777" w:rsidR="005E0BC0" w:rsidRPr="00E5455B" w:rsidRDefault="005E0BC0" w:rsidP="00D710B5">
            <w:pPr>
              <w:pStyle w:val="TableBody"/>
              <w:rPr>
                <w:rFonts w:ascii="Calibri" w:hAnsi="Calibri" w:cs="Calibri"/>
                <w:color w:val="000000"/>
                <w:szCs w:val="20"/>
                <w:lang w:eastAsia="en-AU"/>
              </w:rPr>
            </w:pPr>
            <w:r w:rsidRPr="00E5455B">
              <w:rPr>
                <w:rFonts w:ascii="Calibri" w:hAnsi="Calibri" w:cs="Calibri"/>
                <w:color w:val="000000"/>
                <w:szCs w:val="20"/>
                <w:lang w:eastAsia="en-AU"/>
              </w:rPr>
              <w:t>5.14</w:t>
            </w:r>
          </w:p>
        </w:tc>
        <w:tc>
          <w:tcPr>
            <w:tcW w:w="0" w:type="auto"/>
            <w:hideMark/>
          </w:tcPr>
          <w:p w14:paraId="73259A28" w14:textId="77777777" w:rsidR="005E0BC0" w:rsidRPr="00E5455B" w:rsidRDefault="005E0BC0" w:rsidP="00D710B5">
            <w:pPr>
              <w:pStyle w:val="TableBody"/>
              <w:rPr>
                <w:rFonts w:ascii="Calibri" w:hAnsi="Calibri" w:cs="Calibri"/>
                <w:color w:val="000000"/>
                <w:szCs w:val="20"/>
                <w:lang w:eastAsia="en-AU"/>
              </w:rPr>
            </w:pPr>
            <w:r w:rsidRPr="00E5455B">
              <w:rPr>
                <w:rFonts w:ascii="Calibri" w:hAnsi="Calibri" w:cs="Calibri"/>
                <w:color w:val="000000"/>
                <w:szCs w:val="20"/>
                <w:lang w:eastAsia="en-AU"/>
              </w:rPr>
              <w:t>Zero Emissions Government</w:t>
            </w:r>
          </w:p>
        </w:tc>
        <w:tc>
          <w:tcPr>
            <w:tcW w:w="0" w:type="auto"/>
            <w:hideMark/>
          </w:tcPr>
          <w:p w14:paraId="0497D3E4" w14:textId="77777777" w:rsidR="005E0BC0" w:rsidRPr="00E5455B" w:rsidRDefault="005E0BC0" w:rsidP="00D710B5">
            <w:pPr>
              <w:pStyle w:val="TableBody"/>
              <w:rPr>
                <w:rFonts w:ascii="Calibri" w:hAnsi="Calibri" w:cs="Calibri"/>
                <w:szCs w:val="20"/>
                <w:lang w:eastAsia="en-AU"/>
              </w:rPr>
            </w:pPr>
            <w:r w:rsidRPr="00E5455B">
              <w:rPr>
                <w:rFonts w:ascii="Calibri" w:hAnsi="Calibri" w:cs="Calibri"/>
                <w:szCs w:val="20"/>
                <w:lang w:eastAsia="en-AU"/>
              </w:rPr>
              <w:t>Replace all space and water heating systems in Government facilities with electric systems at the end of their economic lives (where fit for purpose).</w:t>
            </w:r>
          </w:p>
        </w:tc>
        <w:tc>
          <w:tcPr>
            <w:tcW w:w="0" w:type="auto"/>
            <w:hideMark/>
          </w:tcPr>
          <w:p w14:paraId="4FA87FE9" w14:textId="77777777" w:rsidR="005E0BC0" w:rsidRPr="00E5455B" w:rsidRDefault="005E0BC0" w:rsidP="00D710B5">
            <w:pPr>
              <w:pStyle w:val="TableBody"/>
              <w:rPr>
                <w:rFonts w:ascii="Calibri" w:hAnsi="Calibri" w:cs="Calibri"/>
                <w:szCs w:val="20"/>
                <w:lang w:eastAsia="en-AU"/>
              </w:rPr>
            </w:pPr>
            <w:r w:rsidRPr="00E5455B">
              <w:rPr>
                <w:rFonts w:ascii="Calibri" w:hAnsi="Calibri" w:cs="Calibri"/>
                <w:szCs w:val="20"/>
                <w:lang w:eastAsia="en-AU"/>
              </w:rPr>
              <w:t>From 2020</w:t>
            </w:r>
          </w:p>
        </w:tc>
      </w:tr>
    </w:tbl>
    <w:p w14:paraId="352C478A" w14:textId="62D35624" w:rsidR="007716CF" w:rsidRDefault="007716CF" w:rsidP="009B3DE5">
      <w:pPr>
        <w:pStyle w:val="BodyText"/>
      </w:pPr>
    </w:p>
    <w:p w14:paraId="25DEE9C2" w14:textId="0D9AC6D5" w:rsidR="009B18DE" w:rsidRDefault="001D1C37" w:rsidP="00A00FD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t xml:space="preserve">In November 2020, the </w:t>
      </w:r>
      <w:r w:rsidR="00A00FD0" w:rsidRPr="00A00FD0">
        <w:t xml:space="preserve">new ACT Government </w:t>
      </w:r>
      <w:r>
        <w:t xml:space="preserve">set out </w:t>
      </w:r>
      <w:r w:rsidR="00F63D5D">
        <w:t xml:space="preserve">its next steps on climate change action under </w:t>
      </w:r>
      <w:r w:rsidR="00A00FD0" w:rsidRPr="00A00FD0">
        <w:t>the ACT Labor and Greens Parliamentary and Governing Agreement</w:t>
      </w:r>
      <w:r w:rsidR="00F60CFF">
        <w:t xml:space="preserve"> which covers the term of the 10</w:t>
      </w:r>
      <w:r w:rsidR="00F60CFF" w:rsidRPr="00F60CFF">
        <w:rPr>
          <w:vertAlign w:val="superscript"/>
        </w:rPr>
        <w:t>th</w:t>
      </w:r>
      <w:r w:rsidR="00F60CFF">
        <w:t xml:space="preserve"> ACT Legislative Assembly from 2020 to 2024</w:t>
      </w:r>
      <w:r w:rsidR="00A00FD0" w:rsidRPr="00A00FD0">
        <w:t>.</w:t>
      </w:r>
      <w:r w:rsidR="00B86C91">
        <w:rPr>
          <w:rStyle w:val="FootnoteReference"/>
        </w:rPr>
        <w:footnoteReference w:id="11"/>
      </w:r>
      <w:r w:rsidR="007F538F">
        <w:t xml:space="preserve"> </w:t>
      </w:r>
      <w:r w:rsidR="008416D4">
        <w:t>The ‘</w:t>
      </w:r>
      <w:r w:rsidR="008416D4" w:rsidRPr="008416D4">
        <w:t>next essential steps to a net zero-emissions ACT</w:t>
      </w:r>
      <w:r w:rsidR="008416D4">
        <w:t>’ include</w:t>
      </w:r>
      <w:r w:rsidR="00C76C22">
        <w:t>:</w:t>
      </w:r>
    </w:p>
    <w:p w14:paraId="0BA118B9" w14:textId="76B1A621" w:rsidR="008416D4" w:rsidRDefault="008416D4" w:rsidP="008416D4">
      <w:pPr>
        <w:pStyle w:val="BlockText"/>
      </w:pPr>
      <w:r w:rsidRPr="008C1EF1">
        <w:rPr>
          <w:b/>
          <w:bCs/>
        </w:rPr>
        <w:t>Phase out of fossil-fuel-gas in the ACT by 2045 at the latest</w:t>
      </w:r>
      <w:r>
        <w:t>, support energy grid stability and support vulnerable households, by doing the following:</w:t>
      </w:r>
    </w:p>
    <w:p w14:paraId="3E3E16BF" w14:textId="183F2CB6" w:rsidR="008416D4" w:rsidRPr="00567607" w:rsidRDefault="008416D4" w:rsidP="008416D4">
      <w:pPr>
        <w:pStyle w:val="BlockText-ListBullet"/>
        <w:rPr>
          <w:b/>
          <w:bCs/>
        </w:rPr>
      </w:pPr>
      <w:r w:rsidRPr="00567607">
        <w:rPr>
          <w:b/>
          <w:bCs/>
        </w:rPr>
        <w:t>Implement a program of zero-interest loans of up to $15,000 for households and not-for-profit community organisations to assist with the upfront costs of investing in: rooftop solar panels; household battery storage; zero emission vehicles and efficient electric appliances. The program will include an education and communications component about energy efficiency and the shift from gas to electric.</w:t>
      </w:r>
    </w:p>
    <w:p w14:paraId="6EFB774C" w14:textId="4AA30B2C" w:rsidR="008416D4" w:rsidRPr="00567607" w:rsidRDefault="008416D4" w:rsidP="008416D4">
      <w:pPr>
        <w:pStyle w:val="BlockText-ListBullet"/>
        <w:rPr>
          <w:b/>
          <w:bCs/>
        </w:rPr>
      </w:pPr>
      <w:r w:rsidRPr="00567607">
        <w:rPr>
          <w:b/>
          <w:bCs/>
        </w:rPr>
        <w:t>Progress a project with relevant asset owners and key stakeholders to reduce the emissions intensity of the existing ACT gas network as much as is possible, by injecting zero-emissions gas alternatives.</w:t>
      </w:r>
    </w:p>
    <w:p w14:paraId="401C9D9D" w14:textId="6BF074A4" w:rsidR="008416D4" w:rsidRDefault="008416D4" w:rsidP="008416D4">
      <w:pPr>
        <w:pStyle w:val="BlockText-ListBullet"/>
      </w:pPr>
      <w:r>
        <w:t>Enact minimum energy efficiency standards regulations for rental properties in 2021 with progressive implementation over the coming years.</w:t>
      </w:r>
    </w:p>
    <w:p w14:paraId="24D76561" w14:textId="02B7B9BC" w:rsidR="008416D4" w:rsidRDefault="008416D4" w:rsidP="008416D4">
      <w:pPr>
        <w:pStyle w:val="BlockText-ListBullet"/>
      </w:pPr>
      <w:r>
        <w:t>Implement a five-year, $50 million program to improve building efficiency and sustainability for social and public housing, low income owner-occupiers, and the lowest performing rental properties; this includes upgrades to government housing, and financial incentives to implement minimum energy efficiency standards in rental properties.</w:t>
      </w:r>
    </w:p>
    <w:p w14:paraId="76590FCE" w14:textId="5D5D020A" w:rsidR="008416D4" w:rsidRDefault="008416D4" w:rsidP="008416D4">
      <w:pPr>
        <w:pStyle w:val="BlockText-ListBullet"/>
      </w:pPr>
      <w:r>
        <w:t>Deliver at least 250MW of new ‘large-scale’ battery storage distributed across the ACT.</w:t>
      </w:r>
    </w:p>
    <w:p w14:paraId="51C03C4F" w14:textId="542421EF" w:rsidR="008416D4" w:rsidRPr="00567607" w:rsidRDefault="008416D4" w:rsidP="008416D4">
      <w:pPr>
        <w:pStyle w:val="BlockText-ListBullet"/>
        <w:rPr>
          <w:b/>
          <w:bCs/>
        </w:rPr>
      </w:pPr>
      <w:r w:rsidRPr="00567607">
        <w:rPr>
          <w:b/>
          <w:bCs/>
        </w:rPr>
        <w:t>Develop the Molonglo Commercial Centre as an all-electric commercial centre (no new connections to gas mains network, but allow transition gas arrangements such as tanks), in partnership with expert stakeholders, and use lessons from this project to assist the phase out of fossil-fuel gas in the ACT, and demonstrate national best practice.</w:t>
      </w:r>
    </w:p>
    <w:p w14:paraId="56D680E2" w14:textId="0936B8AD" w:rsidR="008416D4" w:rsidRPr="00567607" w:rsidRDefault="008416D4" w:rsidP="008416D4">
      <w:pPr>
        <w:pStyle w:val="BlockText-ListBullet"/>
        <w:rPr>
          <w:b/>
          <w:bCs/>
        </w:rPr>
      </w:pPr>
      <w:r w:rsidRPr="00567607">
        <w:rPr>
          <w:b/>
          <w:bCs/>
        </w:rPr>
        <w:t>Legislate to prevent new gas mains network connections to future stages of greenfield residential development in the ACT in 2021-22. Future stages of Jacka and Whitlam will be all-electric.</w:t>
      </w:r>
    </w:p>
    <w:p w14:paraId="7E1B444D" w14:textId="13577913" w:rsidR="008416D4" w:rsidRPr="00567607" w:rsidRDefault="008416D4" w:rsidP="008416D4">
      <w:pPr>
        <w:pStyle w:val="BlockText-ListBullet"/>
        <w:rPr>
          <w:b/>
          <w:bCs/>
        </w:rPr>
      </w:pPr>
      <w:r w:rsidRPr="00567607">
        <w:rPr>
          <w:b/>
          <w:bCs/>
        </w:rPr>
        <w:t>Commence a transition project, working with industry and other stakeholders, to advance all-electric infill developments, with a goal of no new gas mains network connections to future infill developments from 2023.</w:t>
      </w:r>
    </w:p>
    <w:p w14:paraId="52C12AC4" w14:textId="2F00451A" w:rsidR="008416D4" w:rsidRDefault="008416D4" w:rsidP="008416D4">
      <w:pPr>
        <w:pStyle w:val="BlockText-ListBullet"/>
      </w:pPr>
      <w:r w:rsidRPr="00567607">
        <w:rPr>
          <w:b/>
          <w:bCs/>
        </w:rPr>
        <w:t>Ensure all new ACT Government buildings and facilities are fossil-fuel-gas free, including new leases. All retrofitting in Government buildings and facilities will have a goal of net-zero emissions post retrofit.</w:t>
      </w:r>
      <w:r w:rsidR="00C76C22">
        <w:rPr>
          <w:rStyle w:val="FootnoteReference"/>
        </w:rPr>
        <w:footnoteReference w:id="12"/>
      </w:r>
    </w:p>
    <w:p w14:paraId="3F6D46B3" w14:textId="4375F10D" w:rsidR="00A00FD0" w:rsidRDefault="00D8174B" w:rsidP="00A00FD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t xml:space="preserve">In </w:t>
      </w:r>
      <w:r w:rsidR="002D2490">
        <w:t>February 2021,</w:t>
      </w:r>
      <w:r>
        <w:t xml:space="preserve"> </w:t>
      </w:r>
      <w:r w:rsidR="00A00FD0" w:rsidRPr="00A00FD0">
        <w:t xml:space="preserve">the </w:t>
      </w:r>
      <w:r>
        <w:t xml:space="preserve">ACT Government announced its </w:t>
      </w:r>
      <w:r w:rsidR="00A00FD0" w:rsidRPr="00A00FD0">
        <w:t xml:space="preserve">delayed 2020-21 ACT Budget </w:t>
      </w:r>
      <w:r>
        <w:t xml:space="preserve">which </w:t>
      </w:r>
      <w:r w:rsidR="00E80E96">
        <w:t>allocates funds</w:t>
      </w:r>
      <w:r w:rsidR="00A41592">
        <w:t xml:space="preserve"> towards</w:t>
      </w:r>
      <w:r w:rsidR="0044457E">
        <w:t xml:space="preserve"> the phasing out </w:t>
      </w:r>
      <w:r w:rsidR="000B13AE">
        <w:t>fossil fuel gas</w:t>
      </w:r>
      <w:r w:rsidR="00E00E0C">
        <w:t xml:space="preserve"> and </w:t>
      </w:r>
      <w:r w:rsidR="00813072">
        <w:t>supporting households</w:t>
      </w:r>
      <w:r w:rsidR="006B7ED6">
        <w:t xml:space="preserve"> over the forward estimates to 2023-24</w:t>
      </w:r>
      <w:r w:rsidR="00A00FD0" w:rsidRPr="00A00FD0">
        <w:t xml:space="preserve"> (see Appendix 1).</w:t>
      </w:r>
      <w:r w:rsidR="00441CC5">
        <w:rPr>
          <w:rStyle w:val="FootnoteReference"/>
        </w:rPr>
        <w:footnoteReference w:id="13"/>
      </w:r>
    </w:p>
    <w:p w14:paraId="42A61AE1" w14:textId="54D5F9DD" w:rsidR="00AA3955" w:rsidRDefault="00AA3955" w:rsidP="004265AA">
      <w:pPr>
        <w:pStyle w:val="Heading2"/>
      </w:pPr>
      <w:bookmarkStart w:id="8" w:name="_Toc64650758"/>
      <w:r>
        <w:t>Evoenergy</w:t>
      </w:r>
      <w:r w:rsidR="006B7ED6">
        <w:t>’s</w:t>
      </w:r>
      <w:r>
        <w:t xml:space="preserve"> </w:t>
      </w:r>
      <w:r w:rsidR="00D54BB6">
        <w:t>commitment to a responsible transition</w:t>
      </w:r>
      <w:bookmarkEnd w:id="8"/>
    </w:p>
    <w:p w14:paraId="0A362449" w14:textId="3BBB1848" w:rsidR="00143E82" w:rsidRDefault="00143E82" w:rsidP="00143E82">
      <w:pPr>
        <w:pStyle w:val="BodyText"/>
      </w:pPr>
      <w:r w:rsidRPr="00335F6A">
        <w:t>We commend Evoenergy on</w:t>
      </w:r>
      <w:r>
        <w:t xml:space="preserve"> its consumer engagement efforts and for</w:t>
      </w:r>
      <w:r w:rsidRPr="00335F6A">
        <w:t xml:space="preserve"> incorporating </w:t>
      </w:r>
      <w:r>
        <w:t xml:space="preserve">many of </w:t>
      </w:r>
      <w:r w:rsidRPr="00335F6A">
        <w:t xml:space="preserve">the views and priorities of consumers into the GN21 </w:t>
      </w:r>
      <w:r>
        <w:t>p</w:t>
      </w:r>
      <w:r w:rsidRPr="00335F6A">
        <w:t>lan.</w:t>
      </w:r>
      <w:r>
        <w:t xml:space="preserve"> We especially welcome Evoenergy’s efforts to engage with and understand the needs of vulnerable consumers. We note that the o</w:t>
      </w:r>
      <w:r w:rsidRPr="004272A6">
        <w:t xml:space="preserve">verarching themes identified </w:t>
      </w:r>
      <w:r>
        <w:br/>
      </w:r>
      <w:r w:rsidRPr="004272A6">
        <w:t>in Evoenergy’s consumer</w:t>
      </w:r>
      <w:r>
        <w:t xml:space="preserve"> </w:t>
      </w:r>
      <w:r w:rsidRPr="004272A6">
        <w:t>engagement</w:t>
      </w:r>
      <w:r>
        <w:t xml:space="preserve"> reflect </w:t>
      </w:r>
      <w:r w:rsidRPr="008100DF">
        <w:t xml:space="preserve">strong community support for </w:t>
      </w:r>
      <w:r>
        <w:t xml:space="preserve">addressing the needs of vulnerable consumers as part of </w:t>
      </w:r>
      <w:r w:rsidRPr="008100DF">
        <w:t xml:space="preserve">a just transition to </w:t>
      </w:r>
      <w:r>
        <w:t>net zero</w:t>
      </w:r>
      <w:r w:rsidRPr="008100DF">
        <w:t xml:space="preserve"> greenhouse gas emissions in the ACT by 2045 </w:t>
      </w:r>
      <w:r>
        <w:t>(see Box 1)</w:t>
      </w:r>
      <w:r w:rsidRPr="008100DF">
        <w:t>.</w:t>
      </w:r>
      <w:r w:rsidR="00BD27C9">
        <w:rPr>
          <w:rStyle w:val="FootnoteReference"/>
          <w:bCs/>
        </w:rPr>
        <w:footnoteReference w:id="14"/>
      </w:r>
      <w:r w:rsidRPr="008100DF">
        <w:t xml:space="preserve"> </w:t>
      </w:r>
    </w:p>
    <w:p w14:paraId="217A0091" w14:textId="77777777" w:rsidR="00FA64A6" w:rsidRDefault="00FA64A6" w:rsidP="00FA64A6">
      <w:pPr>
        <w:pStyle w:val="BodyText"/>
      </w:pPr>
      <w:r>
        <w:t xml:space="preserve">During the 2021-26 period we encourage Evoenergy develop its understanding of consumer vulnerability, including which customers are vulnerable; </w:t>
      </w:r>
      <w:r w:rsidRPr="00BE1D8E">
        <w:t xml:space="preserve">what makes </w:t>
      </w:r>
      <w:r>
        <w:t>them</w:t>
      </w:r>
      <w:r w:rsidRPr="00BE1D8E">
        <w:t xml:space="preserve"> vulnerable; the impact of </w:t>
      </w:r>
      <w:r>
        <w:t>Evoenergy’s work</w:t>
      </w:r>
      <w:r w:rsidRPr="00BE1D8E">
        <w:t xml:space="preserve"> on </w:t>
      </w:r>
      <w:r>
        <w:t>consumer vulnerability</w:t>
      </w:r>
      <w:r w:rsidRPr="00BE1D8E">
        <w:t xml:space="preserve">; and specific measures Evoenergy could </w:t>
      </w:r>
      <w:r>
        <w:t>undertake</w:t>
      </w:r>
      <w:r w:rsidRPr="00BE1D8E">
        <w:t xml:space="preserve"> to </w:t>
      </w:r>
      <w:r>
        <w:t>address consumer vulnerability</w:t>
      </w:r>
      <w:r w:rsidRPr="00BE1D8E">
        <w:t>.</w:t>
      </w:r>
    </w:p>
    <w:p w14:paraId="5A1AA8A2" w14:textId="54F59D7C" w:rsidR="00143E82" w:rsidRPr="005604E4" w:rsidRDefault="00143E82" w:rsidP="00143E82">
      <w:pPr>
        <w:pStyle w:val="Tableheading"/>
      </w:pPr>
      <w:r w:rsidRPr="005604E4">
        <w:t>Box 1 Overarching themes identified in Evoenergy’s consumer engagement</w:t>
      </w:r>
    </w:p>
    <w:tbl>
      <w:tblPr>
        <w:tblW w:w="0" w:type="auto"/>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494"/>
      </w:tblGrid>
      <w:tr w:rsidR="00143E82" w:rsidRPr="00CA7855" w14:paraId="0EDD8578" w14:textId="77777777" w:rsidTr="00D710B5">
        <w:trPr>
          <w:cantSplit/>
        </w:trPr>
        <w:tc>
          <w:tcPr>
            <w:tcW w:w="8720" w:type="dxa"/>
            <w:shd w:val="clear" w:color="auto" w:fill="auto"/>
            <w:tcMar>
              <w:left w:w="170" w:type="dxa"/>
              <w:right w:w="170" w:type="dxa"/>
            </w:tcMar>
          </w:tcPr>
          <w:p w14:paraId="4BC43DD2" w14:textId="77777777" w:rsidR="00143E82" w:rsidRPr="00906252" w:rsidRDefault="00143E82" w:rsidP="00D710B5">
            <w:pPr>
              <w:pStyle w:val="Recommendationsheading"/>
              <w:rPr>
                <w:sz w:val="22"/>
              </w:rPr>
            </w:pPr>
            <w:r w:rsidRPr="00906252">
              <w:rPr>
                <w:sz w:val="22"/>
              </w:rPr>
              <w:t>Environmental sustainability</w:t>
            </w:r>
          </w:p>
          <w:p w14:paraId="42847B81" w14:textId="77777777" w:rsidR="00143E82" w:rsidRPr="00906252" w:rsidRDefault="00143E82" w:rsidP="00D710B5">
            <w:pPr>
              <w:pStyle w:val="BodyText"/>
              <w:rPr>
                <w:sz w:val="22"/>
              </w:rPr>
            </w:pPr>
            <w:r w:rsidRPr="00906252">
              <w:rPr>
                <w:sz w:val="22"/>
              </w:rPr>
              <w:t>Environmental sustainability, as embodied in the ACT Government’s climate change policy leading to net zero greenhouse gas emissions from activities in the ACT by 2045, has widespread support in the community. We have recognised this in our 2021-26 plan by, consistent with the ACT climate change strategy, assuming that our gas network will not be expanded into new ACT suburbs while a transition roadmap is being developed; assuming lower numbers of new connections and declining gas use of gas in response to policy; and minimising investment in the network and accelerating depreciation of new long lived assets in view of the uncertainty future of the network pending a decision by 2024 on the nature of the transition.</w:t>
            </w:r>
          </w:p>
          <w:p w14:paraId="6F82D203" w14:textId="77777777" w:rsidR="00143E82" w:rsidRPr="00906252" w:rsidRDefault="00143E82" w:rsidP="00D710B5">
            <w:pPr>
              <w:pStyle w:val="Recommendationsheading"/>
              <w:rPr>
                <w:sz w:val="22"/>
              </w:rPr>
            </w:pPr>
            <w:r w:rsidRPr="00906252">
              <w:rPr>
                <w:sz w:val="22"/>
              </w:rPr>
              <w:t>Responsible transition</w:t>
            </w:r>
          </w:p>
          <w:p w14:paraId="08BFA83E" w14:textId="77777777" w:rsidR="00143E82" w:rsidRPr="00906252" w:rsidRDefault="00143E82" w:rsidP="00D710B5">
            <w:pPr>
              <w:pStyle w:val="BodyText"/>
              <w:rPr>
                <w:sz w:val="22"/>
              </w:rPr>
            </w:pPr>
            <w:r w:rsidRPr="00906252">
              <w:rPr>
                <w:sz w:val="22"/>
              </w:rPr>
              <w:t xml:space="preserve">As well as incorporating the elements discussed above under Environmental sustainability for acting consistently with the ACT climate change strategy, responsible transition also involves a least cost and orderly transition to net zero emissions. This involves our </w:t>
            </w:r>
            <w:r w:rsidRPr="00904D50">
              <w:rPr>
                <w:b/>
                <w:bCs/>
                <w:sz w:val="22"/>
              </w:rPr>
              <w:t>working with other stakeholders to develop a roadmap to net zero emissions</w:t>
            </w:r>
            <w:r w:rsidRPr="00906252">
              <w:rPr>
                <w:sz w:val="22"/>
              </w:rPr>
              <w:t xml:space="preserve">, and sharing with our community findings on the costs and benefits associated with various options for achieving net zero emissions, including both electrification and renewable gas options, and with </w:t>
            </w:r>
            <w:r w:rsidRPr="00906252">
              <w:rPr>
                <w:b/>
                <w:bCs/>
                <w:sz w:val="22"/>
              </w:rPr>
              <w:t>emphasis on the needs of vulnerable customers</w:t>
            </w:r>
            <w:r w:rsidRPr="00906252">
              <w:rPr>
                <w:sz w:val="22"/>
              </w:rPr>
              <w:t>. The impacts of accelerated depreciation should be further explored, including the AER providing necessary certainty to customers and to network owners as to how asset stranding is to be managed.</w:t>
            </w:r>
          </w:p>
          <w:p w14:paraId="3BA5FC69" w14:textId="77777777" w:rsidR="00143E82" w:rsidRPr="00906252" w:rsidRDefault="00143E82" w:rsidP="00D710B5">
            <w:pPr>
              <w:pStyle w:val="Recommendationsheading"/>
              <w:rPr>
                <w:sz w:val="22"/>
              </w:rPr>
            </w:pPr>
            <w:r w:rsidRPr="00906252">
              <w:rPr>
                <w:sz w:val="22"/>
              </w:rPr>
              <w:t>Safe and reliable service</w:t>
            </w:r>
          </w:p>
          <w:p w14:paraId="69D11039" w14:textId="77777777" w:rsidR="00143E82" w:rsidRPr="00906252" w:rsidRDefault="00143E82" w:rsidP="00D710B5">
            <w:pPr>
              <w:pStyle w:val="BodyText"/>
              <w:rPr>
                <w:sz w:val="22"/>
              </w:rPr>
            </w:pPr>
            <w:r w:rsidRPr="00906252">
              <w:rPr>
                <w:sz w:val="22"/>
              </w:rPr>
              <w:t>Many consumers will continue to use gas during the transition to net zero emissions, and Evoenergy needs to maintain a reliable service and to ensure absolutely that the network remains safe for them, network technicians, and the general community.</w:t>
            </w:r>
          </w:p>
          <w:p w14:paraId="146850DF" w14:textId="77777777" w:rsidR="00143E82" w:rsidRPr="00906252" w:rsidRDefault="00143E82" w:rsidP="00D710B5">
            <w:pPr>
              <w:pStyle w:val="Recommendationsheading"/>
              <w:rPr>
                <w:sz w:val="22"/>
              </w:rPr>
            </w:pPr>
            <w:r w:rsidRPr="00906252">
              <w:rPr>
                <w:sz w:val="22"/>
              </w:rPr>
              <w:t>Affordability and fairness</w:t>
            </w:r>
          </w:p>
          <w:p w14:paraId="00F33FA6" w14:textId="77777777" w:rsidR="00143E82" w:rsidRPr="00CA7855" w:rsidRDefault="00143E82" w:rsidP="00D710B5">
            <w:pPr>
              <w:pStyle w:val="BodyText"/>
            </w:pPr>
            <w:r w:rsidRPr="00906252">
              <w:rPr>
                <w:sz w:val="22"/>
              </w:rPr>
              <w:t>Consumers are concerned about the high price of gas services and note the need to ensure that Evoenergy’s network prices promote affordability wherever possible. Supply charges as well as disconnection fees are seen as unfairly high. Gas consumers sometimes see fairness as requiring flatter tariff structures. They are concerned that declining block tariffs lack progressivity, and perhaps even encourage higher gas consumption counter to ACT Government policy objectives. They support tariff simplification. They also support incentive schemes which encourage lower network expenditure, so long as there are measures in place to ensure continued focus on performance measures that they value.</w:t>
            </w:r>
          </w:p>
        </w:tc>
      </w:tr>
    </w:tbl>
    <w:p w14:paraId="097EB6D4" w14:textId="69FE9447" w:rsidR="00143E82" w:rsidRDefault="00143E82" w:rsidP="00143E82">
      <w:pPr>
        <w:pStyle w:val="BodyText"/>
      </w:pPr>
    </w:p>
    <w:p w14:paraId="6CFC6CD3" w14:textId="39E8F35D" w:rsidR="004D6A7D" w:rsidRDefault="004D6A7D" w:rsidP="004F49C2">
      <w:pPr>
        <w:pStyle w:val="Heading1"/>
      </w:pPr>
      <w:bookmarkStart w:id="10" w:name="_Toc64650759"/>
      <w:r>
        <w:t xml:space="preserve">Key </w:t>
      </w:r>
      <w:r w:rsidR="004F49C2">
        <w:t>elements of Evoenergy’s revised GN21 proposal</w:t>
      </w:r>
      <w:bookmarkEnd w:id="10"/>
      <w:r w:rsidR="004F49C2">
        <w:t xml:space="preserve"> </w:t>
      </w:r>
    </w:p>
    <w:p w14:paraId="5288BCE7" w14:textId="11F7F4FB" w:rsidR="00BA62A5" w:rsidRDefault="00BA62A5" w:rsidP="00BA62A5">
      <w:pPr>
        <w:pStyle w:val="Heading2"/>
      </w:pPr>
      <w:bookmarkStart w:id="11" w:name="_Toc64650760"/>
      <w:r>
        <w:t>Customer bill impacts</w:t>
      </w:r>
      <w:bookmarkEnd w:id="11"/>
    </w:p>
    <w:p w14:paraId="00D4E2A0" w14:textId="4484B7FF" w:rsidR="00D23A8B" w:rsidRDefault="00D23A8B" w:rsidP="00062901">
      <w:pPr>
        <w:pStyle w:val="BodyText"/>
      </w:pPr>
      <w:r>
        <w:t xml:space="preserve">As noted above, the </w:t>
      </w:r>
      <w:r w:rsidRPr="00D23A8B">
        <w:t>revenue that the AER allows Evoenergy under the access arrangement forms the distribution network component of retail gas bills, making up 28% of a typical residential bill and 22% for small businesses.</w:t>
      </w:r>
    </w:p>
    <w:p w14:paraId="79163E06" w14:textId="310CE420" w:rsidR="009263C6" w:rsidRPr="009263C6" w:rsidRDefault="003B7F07" w:rsidP="009263C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t xml:space="preserve">As shown in </w:t>
      </w:r>
      <w:r w:rsidR="003E7712">
        <w:t>Table 3</w:t>
      </w:r>
      <w:r>
        <w:t xml:space="preserve"> below, </w:t>
      </w:r>
      <w:r w:rsidR="00334375">
        <w:t xml:space="preserve">the bill impact of Evoenergy’s revised GN21 proposal for the typical residential customer </w:t>
      </w:r>
      <w:r w:rsidR="00DC7EA2">
        <w:t xml:space="preserve">is minimal, with </w:t>
      </w:r>
      <w:r w:rsidR="00E87F6A">
        <w:t xml:space="preserve">a real price change of -0.5% in 2021-22 </w:t>
      </w:r>
      <w:r w:rsidR="00B170A0">
        <w:t>with prices</w:t>
      </w:r>
      <w:r w:rsidR="00CF4FFD">
        <w:t xml:space="preserve"> only increas</w:t>
      </w:r>
      <w:r w:rsidR="00B170A0">
        <w:t>ing</w:t>
      </w:r>
      <w:r w:rsidR="00CF4FFD">
        <w:t xml:space="preserve"> with inflation over the </w:t>
      </w:r>
      <w:r w:rsidR="00B170A0">
        <w:t>2021-26</w:t>
      </w:r>
      <w:r w:rsidR="00CF4FFD">
        <w:t xml:space="preserve"> period. </w:t>
      </w:r>
      <w:r w:rsidR="009263C6" w:rsidRPr="009263C6">
        <w:t>Evoenergy notes that:</w:t>
      </w:r>
    </w:p>
    <w:p w14:paraId="65565454" w14:textId="0344A9FE" w:rsidR="009263C6" w:rsidRDefault="009263C6" w:rsidP="009263C6">
      <w:pPr>
        <w:pStyle w:val="BlockText"/>
      </w:pPr>
      <w:r w:rsidRPr="009263C6">
        <w:t>Because our updated demand forecast results in lower customer connections and gas volumes, our revised GN21 plan results in a smaller price reduction than what we initially proposed and what the draft decision included.</w:t>
      </w:r>
      <w:r w:rsidR="00F90155">
        <w:rPr>
          <w:rStyle w:val="FootnoteReference"/>
        </w:rPr>
        <w:footnoteReference w:id="15"/>
      </w:r>
    </w:p>
    <w:p w14:paraId="5C3A7671" w14:textId="77777777" w:rsidR="002E69F2" w:rsidRPr="00062901" w:rsidRDefault="002E69F2" w:rsidP="002E69F2">
      <w:pPr>
        <w:pStyle w:val="Tableheading"/>
      </w:pPr>
      <w:r>
        <w:t>Table 3 Customer bill impact, Evoenergy revised proposal and AER draft decision</w:t>
      </w:r>
      <w:r>
        <w:rPr>
          <w:rStyle w:val="FootnoteReference"/>
        </w:rPr>
        <w:footnoteReference w:id="16"/>
      </w:r>
    </w:p>
    <w:p w14:paraId="2E944231" w14:textId="17B86010" w:rsidR="002E69F2" w:rsidRDefault="002E69F2" w:rsidP="002E69F2">
      <w:pPr>
        <w:pStyle w:val="BodyText"/>
      </w:pPr>
      <w:r w:rsidRPr="00C63BD0">
        <w:rPr>
          <w:noProof/>
        </w:rPr>
        <w:drawing>
          <wp:inline distT="0" distB="0" distL="0" distR="0" wp14:anchorId="174A0355" wp14:editId="0D6E8C3A">
            <wp:extent cx="4924996" cy="29908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78332" cy="3083968"/>
                    </a:xfrm>
                    <a:prstGeom prst="rect">
                      <a:avLst/>
                    </a:prstGeom>
                    <a:noFill/>
                    <a:ln>
                      <a:noFill/>
                    </a:ln>
                  </pic:spPr>
                </pic:pic>
              </a:graphicData>
            </a:graphic>
          </wp:inline>
        </w:drawing>
      </w:r>
    </w:p>
    <w:p w14:paraId="36982448" w14:textId="40BF27AF" w:rsidR="0097444B" w:rsidRPr="009263C6" w:rsidRDefault="00A04AEA" w:rsidP="0097444B">
      <w:pPr>
        <w:pStyle w:val="BodyText"/>
      </w:pPr>
      <w:r>
        <w:t>A key theme of the AER’s draft decision is</w:t>
      </w:r>
      <w:r w:rsidR="003835AB">
        <w:t xml:space="preserve"> ‘e</w:t>
      </w:r>
      <w:r w:rsidR="003835AB" w:rsidRPr="003835AB">
        <w:t>nsuring consumers pay no more than they need for safe and reliable gas services that they want is a cornerstone of the access arrangement decision process</w:t>
      </w:r>
      <w:r w:rsidR="00FA03C1">
        <w:t>’</w:t>
      </w:r>
      <w:r w:rsidR="003835AB" w:rsidRPr="003835AB">
        <w:t>.</w:t>
      </w:r>
      <w:r w:rsidR="00FA03C1">
        <w:rPr>
          <w:rStyle w:val="FootnoteReference"/>
        </w:rPr>
        <w:footnoteReference w:id="17"/>
      </w:r>
      <w:r w:rsidR="008D2818">
        <w:t xml:space="preserve"> </w:t>
      </w:r>
      <w:r w:rsidR="00F51DFA">
        <w:t xml:space="preserve">ACTCOSS is largely satisfied that </w:t>
      </w:r>
      <w:r w:rsidR="00702F38">
        <w:t>Evoenergy</w:t>
      </w:r>
      <w:r w:rsidR="0033330E">
        <w:t xml:space="preserve">’s revised GN21 proposal reflects customers’ priority of </w:t>
      </w:r>
      <w:r w:rsidR="0033330E" w:rsidRPr="0033330E">
        <w:t xml:space="preserve">affordability and fairness, </w:t>
      </w:r>
      <w:r w:rsidR="0033330E">
        <w:t>alongside</w:t>
      </w:r>
      <w:r w:rsidR="0033330E" w:rsidRPr="0033330E">
        <w:t xml:space="preserve"> environmental sustainability, responsible transition, and a safe and reliable gas service</w:t>
      </w:r>
      <w:r w:rsidR="0033330E">
        <w:t xml:space="preserve">. </w:t>
      </w:r>
      <w:r w:rsidR="00A65266">
        <w:t>W</w:t>
      </w:r>
      <w:r w:rsidR="00706AC3">
        <w:t xml:space="preserve">hile </w:t>
      </w:r>
      <w:r w:rsidR="00C063D7">
        <w:t>the revised proposal results in</w:t>
      </w:r>
      <w:r w:rsidR="00416A36">
        <w:t xml:space="preserve"> </w:t>
      </w:r>
      <w:r w:rsidR="003C10FB">
        <w:t>a smaller</w:t>
      </w:r>
      <w:r w:rsidR="00416A36">
        <w:t xml:space="preserve"> </w:t>
      </w:r>
      <w:r w:rsidR="00C063D7">
        <w:t xml:space="preserve">price </w:t>
      </w:r>
      <w:r w:rsidR="00416A36">
        <w:t>decrease than in Evoenergy’s initi</w:t>
      </w:r>
      <w:r w:rsidR="004846A8">
        <w:t xml:space="preserve">al GN21 proposal and in the AER’s draft decision, </w:t>
      </w:r>
      <w:r w:rsidR="00F20D1A">
        <w:t>we welcome</w:t>
      </w:r>
      <w:r w:rsidR="00EC392A">
        <w:t xml:space="preserve"> a GN21 plan that provides</w:t>
      </w:r>
      <w:r w:rsidR="00A65266">
        <w:t xml:space="preserve"> </w:t>
      </w:r>
      <w:r w:rsidR="002E3C49">
        <w:t>price stability</w:t>
      </w:r>
      <w:r w:rsidR="00FC0ACA">
        <w:t xml:space="preserve"> without any real price increase</w:t>
      </w:r>
      <w:r w:rsidR="0062749F">
        <w:t xml:space="preserve">. </w:t>
      </w:r>
      <w:r w:rsidR="00D97931">
        <w:t xml:space="preserve">ACTCOSS </w:t>
      </w:r>
      <w:r w:rsidR="0000475A">
        <w:t>also</w:t>
      </w:r>
      <w:r w:rsidR="00CC3899">
        <w:t xml:space="preserve"> welcome</w:t>
      </w:r>
      <w:r w:rsidR="0000475A">
        <w:t>s</w:t>
      </w:r>
      <w:r w:rsidR="00CC3899">
        <w:t xml:space="preserve"> </w:t>
      </w:r>
      <w:r w:rsidR="00252F54">
        <w:t xml:space="preserve">the </w:t>
      </w:r>
      <w:r w:rsidR="00396FAD">
        <w:t xml:space="preserve">AER’s </w:t>
      </w:r>
      <w:r w:rsidR="0000475A">
        <w:t>further scrutiny</w:t>
      </w:r>
      <w:r w:rsidR="00252F54">
        <w:t xml:space="preserve"> as it develops its final decision</w:t>
      </w:r>
      <w:r w:rsidR="0000475A">
        <w:t xml:space="preserve"> </w:t>
      </w:r>
      <w:r w:rsidR="003C10FB">
        <w:t>to</w:t>
      </w:r>
      <w:r w:rsidR="00252F54">
        <w:t xml:space="preserve"> ensure that</w:t>
      </w:r>
      <w:r w:rsidR="00BB0ACF">
        <w:t xml:space="preserve"> consumers pay no more than they need to.</w:t>
      </w:r>
      <w:r w:rsidR="00396FAD">
        <w:t xml:space="preserve"> </w:t>
      </w:r>
      <w:r w:rsidR="00A65266">
        <w:t xml:space="preserve"> </w:t>
      </w:r>
      <w:r w:rsidR="00A21A27">
        <w:t xml:space="preserve"> </w:t>
      </w:r>
      <w:r w:rsidR="00A341B7">
        <w:t xml:space="preserve"> </w:t>
      </w:r>
      <w:r w:rsidR="002E3C49">
        <w:t xml:space="preserve"> </w:t>
      </w:r>
    </w:p>
    <w:p w14:paraId="2F36D334" w14:textId="01E0D9E0" w:rsidR="00232B10" w:rsidRDefault="00AD7405" w:rsidP="00232B10">
      <w:pPr>
        <w:pStyle w:val="Heading2"/>
      </w:pPr>
      <w:bookmarkStart w:id="12" w:name="_Toc64650761"/>
      <w:r>
        <w:t>Forecast demand</w:t>
      </w:r>
      <w:bookmarkEnd w:id="12"/>
    </w:p>
    <w:p w14:paraId="2A131FC6" w14:textId="28E17A8B" w:rsidR="00AD7405" w:rsidRDefault="00293181" w:rsidP="00AD7405">
      <w:pPr>
        <w:pStyle w:val="BodyText"/>
      </w:pPr>
      <w:r>
        <w:t xml:space="preserve">The AER’s draft decision did </w:t>
      </w:r>
      <w:r w:rsidRPr="00293181">
        <w:t>not accept Evoenergy’s proposed demand forecast for individual volume consumers (Tariff VI) for the 2021–26 period.</w:t>
      </w:r>
      <w:r w:rsidR="00377704">
        <w:t xml:space="preserve"> Tariff VI applies to </w:t>
      </w:r>
      <w:r w:rsidR="00377704" w:rsidRPr="00377704">
        <w:t>residential and small business customers who are charged according to the volume of gas they use</w:t>
      </w:r>
      <w:r w:rsidR="00377704">
        <w:rPr>
          <w:rStyle w:val="FootnoteReference"/>
          <w:vertAlign w:val="baseline"/>
        </w:rPr>
        <w:t>.</w:t>
      </w:r>
      <w:r w:rsidR="005A2AA4">
        <w:rPr>
          <w:rStyle w:val="FootnoteReference"/>
        </w:rPr>
        <w:footnoteReference w:id="18"/>
      </w:r>
      <w:r w:rsidR="00886DF3">
        <w:t xml:space="preserve"> </w:t>
      </w:r>
      <w:r w:rsidR="001C0402">
        <w:t xml:space="preserve">Evoenergy’s revised GN21 proposal </w:t>
      </w:r>
      <w:r w:rsidR="00851C92">
        <w:t xml:space="preserve">provides a revised demand forecast </w:t>
      </w:r>
      <w:r w:rsidR="008A6AE0">
        <w:t>based on:</w:t>
      </w:r>
    </w:p>
    <w:p w14:paraId="2A5EE13D" w14:textId="2E0E6A4D" w:rsidR="008A6AE0" w:rsidRDefault="008A6AE0" w:rsidP="00360745">
      <w:pPr>
        <w:pStyle w:val="ListBullet"/>
      </w:pPr>
      <w:r>
        <w:t>updating the demand forecast based on latest available customer numbers and usage data, up to October 2020</w:t>
      </w:r>
    </w:p>
    <w:p w14:paraId="79A32B38" w14:textId="7A10DD44" w:rsidR="008A6AE0" w:rsidRDefault="007F2D24" w:rsidP="00360745">
      <w:pPr>
        <w:pStyle w:val="ListBullet"/>
      </w:pPr>
      <w:r>
        <w:t>commissioning expert market research consultants Sagacity Research, to undertake a survey of ACT residential customers on their energy fuel preferences, future gas usage intentions, and responsiveness to electrification incentives</w:t>
      </w:r>
    </w:p>
    <w:p w14:paraId="57D8AEFF" w14:textId="74057CFA" w:rsidR="007F2D24" w:rsidRDefault="00A74F6C" w:rsidP="00360745">
      <w:pPr>
        <w:pStyle w:val="ListBullet"/>
      </w:pPr>
      <w:r>
        <w:t>analysis of specific policy targets set out in the P&amp;G agreement to achieve net zero emissions in the ACT by 2045, including the goal of no new gas connections to future infill developments from 2023</w:t>
      </w:r>
    </w:p>
    <w:p w14:paraId="66154443" w14:textId="6D26F757" w:rsidR="00A74F6C" w:rsidRDefault="00360745" w:rsidP="00360745">
      <w:pPr>
        <w:pStyle w:val="ListBullet"/>
      </w:pPr>
      <w:r>
        <w:t>review of gas demand by major gas customers on Tariff D, including commitments to transition away from natural gas.</w:t>
      </w:r>
      <w:r>
        <w:rPr>
          <w:rStyle w:val="FootnoteReference"/>
        </w:rPr>
        <w:footnoteReference w:id="19"/>
      </w:r>
    </w:p>
    <w:p w14:paraId="0AEBC470" w14:textId="5E407F27" w:rsidR="00F726DD" w:rsidRDefault="00386C1B" w:rsidP="00CF1331">
      <w:pPr>
        <w:pStyle w:val="BodyText"/>
      </w:pPr>
      <w:r>
        <w:t xml:space="preserve">Evoenergy’s revised GN21 proposal </w:t>
      </w:r>
      <w:r w:rsidR="00812007">
        <w:t>is based on</w:t>
      </w:r>
      <w:r w:rsidR="00CF1331">
        <w:t xml:space="preserve"> the following demand forecasts</w:t>
      </w:r>
      <w:r w:rsidR="00FA4462">
        <w:t xml:space="preserve"> resulting from the above</w:t>
      </w:r>
      <w:r w:rsidR="00812007">
        <w:t>:</w:t>
      </w:r>
    </w:p>
    <w:p w14:paraId="27DFFC51" w14:textId="0682EBB1" w:rsidR="00D25012" w:rsidRDefault="005D72E8" w:rsidP="00A66D73">
      <w:pPr>
        <w:pStyle w:val="ListBullet"/>
      </w:pPr>
      <w:r>
        <w:t>t</w:t>
      </w:r>
      <w:r w:rsidR="00323A67">
        <w:t xml:space="preserve">he number of connections on the volume tariffs </w:t>
      </w:r>
      <w:r w:rsidR="00FF0719">
        <w:t xml:space="preserve">being </w:t>
      </w:r>
      <w:r w:rsidR="00323A67">
        <w:t>forecast to fall by approximately 8.2% over the period</w:t>
      </w:r>
    </w:p>
    <w:p w14:paraId="63C302EA" w14:textId="0BECC6B4" w:rsidR="00812007" w:rsidRDefault="005D72E8" w:rsidP="00A66D73">
      <w:pPr>
        <w:pStyle w:val="ListBullet"/>
      </w:pPr>
      <w:r>
        <w:t>gas demand for Tariff VI customers</w:t>
      </w:r>
      <w:r w:rsidR="003A035B">
        <w:t xml:space="preserve"> in 2025-26 will be 20.43% lower than </w:t>
      </w:r>
      <w:r w:rsidR="00AA6942">
        <w:t>in 2019-20</w:t>
      </w:r>
      <w:r w:rsidR="000E527A">
        <w:t xml:space="preserve">, decreasing </w:t>
      </w:r>
      <w:r w:rsidR="0000623B">
        <w:t xml:space="preserve">by approximately 15.8% between 2021-22 </w:t>
      </w:r>
      <w:r w:rsidR="00B933F8">
        <w:t>(6.1m GJ</w:t>
      </w:r>
      <w:r w:rsidR="003E3D92">
        <w:t xml:space="preserve">) </w:t>
      </w:r>
      <w:r w:rsidR="0000623B">
        <w:t>and 2025-6</w:t>
      </w:r>
      <w:r w:rsidR="003E3D92">
        <w:t xml:space="preserve"> (5.1m GJ)</w:t>
      </w:r>
    </w:p>
    <w:p w14:paraId="78872B1F" w14:textId="00C2159B" w:rsidR="00C479AA" w:rsidRDefault="00C479AA" w:rsidP="00A66D73">
      <w:pPr>
        <w:pStyle w:val="ListBullet"/>
      </w:pPr>
      <w:r>
        <w:t xml:space="preserve">total usage and chargeable demand for demand customers </w:t>
      </w:r>
      <w:r w:rsidR="00A66D73">
        <w:t>are forecast to fall by 10% and 9% respectively.</w:t>
      </w:r>
      <w:r w:rsidR="005119D0">
        <w:rPr>
          <w:rStyle w:val="FootnoteReference"/>
        </w:rPr>
        <w:footnoteReference w:id="20"/>
      </w:r>
    </w:p>
    <w:p w14:paraId="30C38366" w14:textId="6B5ADCA6" w:rsidR="005F2260" w:rsidRDefault="00197BB3" w:rsidP="00197BB3">
      <w:pPr>
        <w:pStyle w:val="BodyText"/>
      </w:pPr>
      <w:r>
        <w:t xml:space="preserve">Evoenergy notes that in comparison to their </w:t>
      </w:r>
      <w:r w:rsidR="003E4D91">
        <w:t xml:space="preserve">initial </w:t>
      </w:r>
      <w:r>
        <w:t xml:space="preserve">GN21 </w:t>
      </w:r>
      <w:r w:rsidR="00E953CC">
        <w:t>proposal</w:t>
      </w:r>
      <w:r>
        <w:t xml:space="preserve">, </w:t>
      </w:r>
      <w:r w:rsidR="003E4D91">
        <w:t>‘</w:t>
      </w:r>
      <w:r>
        <w:t>which forecast a small increase in connections, the revised forecast reflects the ACT</w:t>
      </w:r>
      <w:r w:rsidR="003E4D91">
        <w:t xml:space="preserve"> </w:t>
      </w:r>
      <w:r>
        <w:t>Government’s commitment to have no new gas connections for infill</w:t>
      </w:r>
      <w:r w:rsidR="003E4D91">
        <w:t xml:space="preserve"> </w:t>
      </w:r>
      <w:r>
        <w:t>developments from 2023</w:t>
      </w:r>
      <w:r w:rsidR="003E4D91">
        <w:t>’</w:t>
      </w:r>
      <w:r>
        <w:t>.</w:t>
      </w:r>
      <w:r w:rsidR="003E4D91">
        <w:rPr>
          <w:rStyle w:val="FootnoteReference"/>
        </w:rPr>
        <w:footnoteReference w:id="21"/>
      </w:r>
    </w:p>
    <w:p w14:paraId="0793CD02" w14:textId="12321240" w:rsidR="00D71516" w:rsidRDefault="00472A05" w:rsidP="00197BB3">
      <w:pPr>
        <w:pStyle w:val="BodyText"/>
      </w:pPr>
      <w:r>
        <w:t xml:space="preserve">We welcome Evoenergy commissioning </w:t>
      </w:r>
      <w:r w:rsidR="00F819F6">
        <w:t xml:space="preserve">a survey of owner-occupiers as part of revising </w:t>
      </w:r>
      <w:r w:rsidR="00DC3F64">
        <w:t>its Tariff VI demand forecast.</w:t>
      </w:r>
      <w:r w:rsidR="00AB2B6B">
        <w:t xml:space="preserve"> </w:t>
      </w:r>
      <w:r w:rsidR="006B77F7">
        <w:t>We do however question</w:t>
      </w:r>
      <w:r w:rsidR="00D71516">
        <w:t xml:space="preserve"> Evoenergy</w:t>
      </w:r>
      <w:r w:rsidR="006B77F7">
        <w:t>’s</w:t>
      </w:r>
      <w:r w:rsidR="00D71516">
        <w:t xml:space="preserve"> </w:t>
      </w:r>
      <w:r w:rsidR="006B77F7">
        <w:t>statement that</w:t>
      </w:r>
      <w:r w:rsidR="00D71516">
        <w:t>:</w:t>
      </w:r>
    </w:p>
    <w:p w14:paraId="6040BFFE" w14:textId="5DF3B78E" w:rsidR="00AB2B6B" w:rsidRDefault="00F4629E" w:rsidP="00F4629E">
      <w:pPr>
        <w:pStyle w:val="BlockText"/>
      </w:pPr>
      <w:r>
        <w:t>… the CIE has estimated that the weighted average likelihood that a representative owner-occupier would no longer have any gas appliances in the next five years is 17 per cent. This means that we can expect approximately 17 per cent of our current ACT customer base to not use gas in five years’ time.</w:t>
      </w:r>
      <w:r w:rsidR="009322EF">
        <w:rPr>
          <w:rStyle w:val="FootnoteReference"/>
        </w:rPr>
        <w:footnoteReference w:id="22"/>
      </w:r>
    </w:p>
    <w:p w14:paraId="13C69414" w14:textId="7570CF1A" w:rsidR="00F4629E" w:rsidRDefault="006B77F7" w:rsidP="00F4629E">
      <w:pPr>
        <w:pStyle w:val="BodyText"/>
      </w:pPr>
      <w:r>
        <w:t>This appears to misrepresent</w:t>
      </w:r>
      <w:r w:rsidR="00AE3716">
        <w:t xml:space="preserve"> – unintentionally – T</w:t>
      </w:r>
      <w:r w:rsidR="00D70E85">
        <w:t>he CIE’s analysis which distinguishes between owner-occupiers and renters</w:t>
      </w:r>
      <w:r w:rsidR="00E821AD">
        <w:t>. Renters were not</w:t>
      </w:r>
      <w:r w:rsidR="00CA5298">
        <w:t xml:space="preserve"> included in the consumer survey</w:t>
      </w:r>
      <w:r w:rsidR="00D70E85">
        <w:t xml:space="preserve">. </w:t>
      </w:r>
      <w:r w:rsidR="00E53016">
        <w:t>Renters are a key group</w:t>
      </w:r>
      <w:r w:rsidR="00B8557F">
        <w:t xml:space="preserve"> that </w:t>
      </w:r>
      <w:r w:rsidR="00E53016">
        <w:t>we are concerned about in terms of potential stranded customers</w:t>
      </w:r>
      <w:r w:rsidR="00E52A83">
        <w:t xml:space="preserve"> due to the barriers they are likely to experience </w:t>
      </w:r>
      <w:r w:rsidR="00B8557F">
        <w:t xml:space="preserve">in transitioning from gas to electric – </w:t>
      </w:r>
      <w:r w:rsidR="00D62A59">
        <w:t>e.g.,</w:t>
      </w:r>
      <w:r w:rsidR="008671DB">
        <w:t xml:space="preserve"> </w:t>
      </w:r>
      <w:r w:rsidR="00EE63D1">
        <w:t xml:space="preserve">due to </w:t>
      </w:r>
      <w:r w:rsidR="008671DB">
        <w:t xml:space="preserve">lower income and split incentives which </w:t>
      </w:r>
      <w:r w:rsidR="006F50D4">
        <w:t>make it less likely for landlords to pay the cost of transition</w:t>
      </w:r>
      <w:r w:rsidR="00EF10BE">
        <w:t>.</w:t>
      </w:r>
      <w:r w:rsidR="008660EE">
        <w:t xml:space="preserve"> This is an important distinction and </w:t>
      </w:r>
      <w:r w:rsidR="00C522F9">
        <w:t>a</w:t>
      </w:r>
      <w:r w:rsidR="008660EE">
        <w:t xml:space="preserve"> </w:t>
      </w:r>
      <w:r w:rsidR="00217A21">
        <w:t xml:space="preserve">critical </w:t>
      </w:r>
      <w:r w:rsidR="008660EE">
        <w:t>issue given that over one-third (</w:t>
      </w:r>
      <w:r w:rsidR="008660EE" w:rsidRPr="008660EE">
        <w:t>34%</w:t>
      </w:r>
      <w:r w:rsidR="008660EE">
        <w:t>)</w:t>
      </w:r>
      <w:r w:rsidR="008660EE" w:rsidRPr="008660EE">
        <w:t xml:space="preserve"> of ACT households are renters.</w:t>
      </w:r>
      <w:r w:rsidR="008660EE">
        <w:rPr>
          <w:rStyle w:val="FootnoteReference"/>
        </w:rPr>
        <w:footnoteReference w:id="23"/>
      </w:r>
    </w:p>
    <w:p w14:paraId="0A0D8299" w14:textId="62B65B73" w:rsidR="00F4478D" w:rsidRDefault="008C1ACC" w:rsidP="00197BB3">
      <w:pPr>
        <w:pStyle w:val="BodyText"/>
      </w:pPr>
      <w:r>
        <w:t>In revising the demand forecast, w</w:t>
      </w:r>
      <w:r w:rsidR="00DC3F64">
        <w:t xml:space="preserve">e would like </w:t>
      </w:r>
      <w:r w:rsidR="00D76320">
        <w:t xml:space="preserve">to </w:t>
      </w:r>
      <w:r>
        <w:t xml:space="preserve">have seen evidence of </w:t>
      </w:r>
      <w:r w:rsidR="00DC3F64">
        <w:t xml:space="preserve">further </w:t>
      </w:r>
      <w:r w:rsidR="00086979">
        <w:t xml:space="preserve">and more detailed </w:t>
      </w:r>
      <w:r w:rsidR="00DC3F64">
        <w:t xml:space="preserve">engagement with developers around their intentions to </w:t>
      </w:r>
      <w:r w:rsidR="00F9360A">
        <w:t>either connect to the gas network or to go all-electric</w:t>
      </w:r>
      <w:r w:rsidR="00777C7F">
        <w:t xml:space="preserve"> in ACT infill developments</w:t>
      </w:r>
      <w:r w:rsidR="00F9360A">
        <w:t xml:space="preserve">. In </w:t>
      </w:r>
      <w:r w:rsidR="00960035">
        <w:t>their initial GN21 proposal, Evoenergy noted that:</w:t>
      </w:r>
    </w:p>
    <w:p w14:paraId="649F5BCB" w14:textId="77777777" w:rsidR="00EC26C4" w:rsidRDefault="00EC26C4" w:rsidP="00EC26C4">
      <w:pPr>
        <w:pStyle w:val="BlockText"/>
      </w:pPr>
      <w:r>
        <w:t>…</w:t>
      </w:r>
      <w:r w:rsidRPr="00370904">
        <w:t>historically, we have captured a large share of the medium density/high-rise sector across the ACT and in NSW. Developers have preferred centralised gas hot water plants which are cheaper, take up less space, and perform better in colder climates. At this stage, developers are continuing to choose gas for these developments, but are increasingly telling us they are looking to move away from gas.</w:t>
      </w:r>
      <w:r>
        <w:rPr>
          <w:rStyle w:val="FootnoteReference"/>
        </w:rPr>
        <w:footnoteReference w:id="24"/>
      </w:r>
    </w:p>
    <w:p w14:paraId="14C12212" w14:textId="4622D550" w:rsidR="00C479AA" w:rsidRDefault="00072389" w:rsidP="00412A51">
      <w:pPr>
        <w:pStyle w:val="BodyText"/>
      </w:pPr>
      <w:r>
        <w:t>A key assumption of the updated demand forecast produced by The Centre for International Economics is that there will be ‘</w:t>
      </w:r>
      <w:r w:rsidRPr="00CC282F">
        <w:t>no new ACT connections from 1 January 2023</w:t>
      </w:r>
      <w:r>
        <w:t>’ for the residential Tariff VI customer group.</w:t>
      </w:r>
      <w:r>
        <w:rPr>
          <w:rStyle w:val="FootnoteReference"/>
        </w:rPr>
        <w:footnoteReference w:id="25"/>
      </w:r>
      <w:r>
        <w:t xml:space="preserve"> </w:t>
      </w:r>
      <w:r w:rsidR="00801369">
        <w:t>This</w:t>
      </w:r>
      <w:r w:rsidR="00412A51">
        <w:t xml:space="preserve"> assumption</w:t>
      </w:r>
      <w:r w:rsidR="00C11390">
        <w:t xml:space="preserve"> </w:t>
      </w:r>
      <w:r w:rsidR="001F181F">
        <w:t xml:space="preserve">projects </w:t>
      </w:r>
      <w:r w:rsidR="003B1A40">
        <w:t>a</w:t>
      </w:r>
      <w:r w:rsidR="00801369">
        <w:t xml:space="preserve"> questionable</w:t>
      </w:r>
      <w:r w:rsidR="003B1A40">
        <w:t xml:space="preserve"> </w:t>
      </w:r>
      <w:r w:rsidR="009662FC">
        <w:t xml:space="preserve">amount of </w:t>
      </w:r>
      <w:r w:rsidR="008625C2">
        <w:t xml:space="preserve">certainty </w:t>
      </w:r>
      <w:r w:rsidR="001F181F">
        <w:t>onto</w:t>
      </w:r>
      <w:r w:rsidR="00C11390">
        <w:t xml:space="preserve"> the ACT Government’s</w:t>
      </w:r>
      <w:r w:rsidR="00B816FA">
        <w:t xml:space="preserve"> </w:t>
      </w:r>
      <w:r w:rsidR="002C1145">
        <w:t>‘</w:t>
      </w:r>
      <w:r w:rsidR="002C1145" w:rsidRPr="002C1145">
        <w:t>goal of no new gas mains network connections to future infill developments from 2023</w:t>
      </w:r>
      <w:r w:rsidR="002C1145">
        <w:t>’.</w:t>
      </w:r>
      <w:r w:rsidR="00ED6718">
        <w:rPr>
          <w:rStyle w:val="FootnoteReference"/>
        </w:rPr>
        <w:footnoteReference w:id="26"/>
      </w:r>
      <w:r w:rsidR="00B816FA">
        <w:t xml:space="preserve"> </w:t>
      </w:r>
      <w:r w:rsidR="00A0440A">
        <w:t xml:space="preserve">One indicator that </w:t>
      </w:r>
      <w:r w:rsidR="003E719E">
        <w:t xml:space="preserve">suggests </w:t>
      </w:r>
      <w:r w:rsidR="000A77D4">
        <w:t>th</w:t>
      </w:r>
      <w:r w:rsidR="00500990">
        <w:t xml:space="preserve">e ACT Government’s </w:t>
      </w:r>
      <w:r w:rsidR="00A0440A">
        <w:t xml:space="preserve">‘transition project’ </w:t>
      </w:r>
      <w:r w:rsidR="00623F17">
        <w:t>could</w:t>
      </w:r>
      <w:r w:rsidR="00A0440A">
        <w:t xml:space="preserve"> </w:t>
      </w:r>
      <w:r w:rsidR="002C35C9">
        <w:t>extend</w:t>
      </w:r>
      <w:r w:rsidR="001707D4">
        <w:t xml:space="preserve"> beyond</w:t>
      </w:r>
      <w:r w:rsidR="000A77D4">
        <w:t xml:space="preserve"> 1 January 2023 is that the forward estimates</w:t>
      </w:r>
      <w:r w:rsidR="001707D4">
        <w:t xml:space="preserve"> for</w:t>
      </w:r>
      <w:r w:rsidR="009A5C23">
        <w:t xml:space="preserve"> funding the legislative work to </w:t>
      </w:r>
      <w:r w:rsidR="001707D4">
        <w:t>phas</w:t>
      </w:r>
      <w:r w:rsidR="009A5C23">
        <w:t>e</w:t>
      </w:r>
      <w:r w:rsidR="001707D4">
        <w:t xml:space="preserve"> out fossil-fuel gas</w:t>
      </w:r>
      <w:r w:rsidR="000A77D4">
        <w:t xml:space="preserve"> in the 2020-21 ACT Budget extend</w:t>
      </w:r>
      <w:r w:rsidR="009A5C23">
        <w:t>s</w:t>
      </w:r>
      <w:r w:rsidR="000A77D4">
        <w:t xml:space="preserve"> to the 2023-24 financial year</w:t>
      </w:r>
      <w:r w:rsidR="00D76320">
        <w:t xml:space="preserve"> (see Appendix 1).</w:t>
      </w:r>
      <w:r w:rsidR="003E719E">
        <w:t xml:space="preserve"> </w:t>
      </w:r>
    </w:p>
    <w:p w14:paraId="19227588" w14:textId="415E44A4" w:rsidR="00BE4D41" w:rsidRDefault="00BE4D41" w:rsidP="00412A51">
      <w:pPr>
        <w:pStyle w:val="BodyText"/>
      </w:pPr>
      <w:r>
        <w:t>Likewise, we</w:t>
      </w:r>
      <w:r w:rsidR="00ED47EB">
        <w:t xml:space="preserve"> would question</w:t>
      </w:r>
      <w:r w:rsidR="0048765A">
        <w:t xml:space="preserve"> basing</w:t>
      </w:r>
      <w:r w:rsidR="00ED47EB">
        <w:t xml:space="preserve"> the assumption that ACT greenfield connections will </w:t>
      </w:r>
      <w:r w:rsidR="00B662A8">
        <w:t>be prevented from 1 July 2021 on the ACT Government’s commitment to legislate</w:t>
      </w:r>
      <w:r w:rsidR="00B662A8" w:rsidRPr="00B662A8">
        <w:t xml:space="preserve"> to prevent new gas mains network connections to future stages of greenfield residential development in the ACT in 2021-22.</w:t>
      </w:r>
    </w:p>
    <w:p w14:paraId="12235CC2" w14:textId="29D9349C" w:rsidR="00323A67" w:rsidRDefault="007307A0" w:rsidP="00323A67">
      <w:pPr>
        <w:pStyle w:val="BodyText"/>
      </w:pPr>
      <w:r>
        <w:t>Forecasting demand rapidly and under significant uncertainty</w:t>
      </w:r>
      <w:r w:rsidR="00B354B2">
        <w:t xml:space="preserve"> presents a </w:t>
      </w:r>
      <w:r w:rsidR="00C31718">
        <w:t>considerable</w:t>
      </w:r>
      <w:r w:rsidR="00B354B2">
        <w:t xml:space="preserve"> challenge in terms of getting the fundamentals right for GN21. </w:t>
      </w:r>
      <w:r w:rsidR="00905A39">
        <w:t xml:space="preserve">Under these circumstances </w:t>
      </w:r>
      <w:r w:rsidR="003A0FAF">
        <w:t xml:space="preserve">historical data is of limited value to </w:t>
      </w:r>
      <w:r w:rsidR="00932F8A">
        <w:t>forecasting future demand.</w:t>
      </w:r>
      <w:r w:rsidR="003A0FAF">
        <w:t xml:space="preserve"> </w:t>
      </w:r>
      <w:r w:rsidR="00D77606">
        <w:t xml:space="preserve">We </w:t>
      </w:r>
      <w:r w:rsidR="005C22D3">
        <w:t xml:space="preserve">recognise both the challenge </w:t>
      </w:r>
      <w:r w:rsidR="00160F46">
        <w:t xml:space="preserve">Evoenergy has faced and the effort is </w:t>
      </w:r>
      <w:r w:rsidR="004929CB">
        <w:t>has made to try to</w:t>
      </w:r>
      <w:r w:rsidR="00FE0740">
        <w:t xml:space="preserve"> meet this challenge</w:t>
      </w:r>
      <w:r w:rsidR="00B86882">
        <w:t>.</w:t>
      </w:r>
      <w:r w:rsidR="00C82B19">
        <w:t xml:space="preserve"> </w:t>
      </w:r>
      <w:r w:rsidR="00961EE3">
        <w:t>Given these circumstances we believe it is critical t</w:t>
      </w:r>
      <w:r w:rsidR="0087355D">
        <w:t xml:space="preserve">hat </w:t>
      </w:r>
      <w:r w:rsidR="0078453C">
        <w:t>the</w:t>
      </w:r>
      <w:r w:rsidR="00C43FDD">
        <w:t xml:space="preserve"> forecasts be check and teste</w:t>
      </w:r>
      <w:r w:rsidR="00ED3617">
        <w:t>d as rigorously as possible within the timeframe.</w:t>
      </w:r>
      <w:r w:rsidR="000B3D70">
        <w:t xml:space="preserve"> If</w:t>
      </w:r>
      <w:r w:rsidR="00D10CD6">
        <w:t xml:space="preserve"> </w:t>
      </w:r>
      <w:r w:rsidR="000B3D70">
        <w:t>the AER’s final decision</w:t>
      </w:r>
      <w:r w:rsidR="00D10CD6">
        <w:t xml:space="preserve"> identifies</w:t>
      </w:r>
      <w:r w:rsidR="000B3D70">
        <w:t xml:space="preserve"> significant </w:t>
      </w:r>
      <w:r w:rsidR="00BF4C4E">
        <w:t xml:space="preserve">concerns about </w:t>
      </w:r>
      <w:r w:rsidR="00D10CD6">
        <w:t xml:space="preserve">the reliability of the demand forecasts, we </w:t>
      </w:r>
      <w:r w:rsidR="00BF4C4E">
        <w:t xml:space="preserve">would support TRAC Partners suggestion </w:t>
      </w:r>
      <w:r w:rsidR="00D10CD6">
        <w:t xml:space="preserve">that </w:t>
      </w:r>
      <w:r w:rsidR="003331C5">
        <w:t>be reviewed at an appropriate stage during the 2021-26 period.</w:t>
      </w:r>
      <w:r w:rsidR="003331C5">
        <w:rPr>
          <w:rStyle w:val="FootnoteReference"/>
        </w:rPr>
        <w:footnoteReference w:id="27"/>
      </w:r>
    </w:p>
    <w:p w14:paraId="713C4FAF" w14:textId="1A5A6BAE" w:rsidR="00FF1398" w:rsidRDefault="00FF1398" w:rsidP="00323A67">
      <w:pPr>
        <w:pStyle w:val="BodyText"/>
      </w:pPr>
      <w:r>
        <w:t>The AE</w:t>
      </w:r>
      <w:r w:rsidR="0029238C">
        <w:t xml:space="preserve">R’s draft decision </w:t>
      </w:r>
      <w:r w:rsidR="007844B9">
        <w:t>explains</w:t>
      </w:r>
      <w:r w:rsidR="0029238C">
        <w:t xml:space="preserve"> the link between demand forecasts and tariffs:</w:t>
      </w:r>
    </w:p>
    <w:p w14:paraId="3772281D" w14:textId="2B2E01B2" w:rsidR="0029238C" w:rsidRDefault="001D1ACD" w:rsidP="001D1ACD">
      <w:pPr>
        <w:pStyle w:val="BlockText"/>
      </w:pPr>
      <w:r w:rsidRPr="001D1ACD">
        <w:t>Under a weighted average price cap, demand is an important input into the derivation of Evoenergy’s reference tariffs. In simple terms, tariffs are determined by dividing cost (forecast revenue) by total demand (GJ/day per consumer for each tariff class). This means that a decrease in forecast demand leads to an increase in tariffs, and vice versa. Forecast demand also affects forecasts for opex and capex (new connections) which inform our decision on the total revenue requirement.</w:t>
      </w:r>
      <w:r w:rsidR="007844B9">
        <w:rPr>
          <w:rStyle w:val="FootnoteReference"/>
        </w:rPr>
        <w:footnoteReference w:id="28"/>
      </w:r>
    </w:p>
    <w:p w14:paraId="08799188" w14:textId="6F010187" w:rsidR="00A31F5E" w:rsidRDefault="00C20B4C" w:rsidP="00323A67">
      <w:pPr>
        <w:pStyle w:val="BodyText"/>
      </w:pPr>
      <w:r>
        <w:t xml:space="preserve">Due to the fundamental importance of </w:t>
      </w:r>
      <w:r w:rsidR="008A341B">
        <w:t>the demand forecasts</w:t>
      </w:r>
      <w:r w:rsidR="00BB079D">
        <w:t xml:space="preserve"> – including </w:t>
      </w:r>
      <w:r w:rsidR="00A10143">
        <w:t>their</w:t>
      </w:r>
      <w:r w:rsidR="00D234C4">
        <w:t xml:space="preserve"> </w:t>
      </w:r>
      <w:r w:rsidR="008A3721">
        <w:t xml:space="preserve">ultimate </w:t>
      </w:r>
      <w:r w:rsidR="00D234C4">
        <w:t xml:space="preserve">influence on </w:t>
      </w:r>
      <w:r w:rsidR="00DF1854">
        <w:t>customer bill impacts</w:t>
      </w:r>
      <w:r w:rsidR="00BB079D">
        <w:t xml:space="preserve"> </w:t>
      </w:r>
      <w:r w:rsidR="008A3721">
        <w:t xml:space="preserve">and affordability </w:t>
      </w:r>
      <w:r w:rsidR="00D234C4">
        <w:t xml:space="preserve">– </w:t>
      </w:r>
      <w:r w:rsidR="008A341B">
        <w:t xml:space="preserve">and given the significant reduction </w:t>
      </w:r>
      <w:r w:rsidR="00EF5DAE">
        <w:t xml:space="preserve">(and declining trend) </w:t>
      </w:r>
      <w:r w:rsidR="008A341B">
        <w:t xml:space="preserve">in forecast demand </w:t>
      </w:r>
      <w:r w:rsidR="00EF5DAE">
        <w:t>in</w:t>
      </w:r>
      <w:r w:rsidR="00BB079D">
        <w:t xml:space="preserve"> Evoenergy’s revised GN21 proposal, </w:t>
      </w:r>
      <w:r w:rsidR="0005691F">
        <w:t>ACTCOSS</w:t>
      </w:r>
      <w:r w:rsidR="00BB079D">
        <w:t xml:space="preserve"> </w:t>
      </w:r>
      <w:r w:rsidR="008A3721">
        <w:t>recommend</w:t>
      </w:r>
      <w:r w:rsidR="0005691F">
        <w:t>s</w:t>
      </w:r>
      <w:r w:rsidR="008A3721">
        <w:t xml:space="preserve"> that the AER</w:t>
      </w:r>
      <w:r w:rsidR="00C77232">
        <w:t xml:space="preserve"> </w:t>
      </w:r>
      <w:r w:rsidR="00B60CBE">
        <w:t>rigorously assess</w:t>
      </w:r>
      <w:r w:rsidR="00FF5403">
        <w:t xml:space="preserve"> the </w:t>
      </w:r>
      <w:r w:rsidR="001967C7">
        <w:t>methodology</w:t>
      </w:r>
      <w:r w:rsidR="00A06EC8">
        <w:t xml:space="preserve"> </w:t>
      </w:r>
      <w:r w:rsidR="00D13A0C" w:rsidRPr="00D13A0C">
        <w:t>used to forecast customer numbers and gas demand for the 2021-26 period</w:t>
      </w:r>
      <w:r w:rsidR="00D13A0C">
        <w:t xml:space="preserve">, </w:t>
      </w:r>
      <w:r w:rsidR="001967C7">
        <w:t xml:space="preserve">including the </w:t>
      </w:r>
      <w:r w:rsidR="0043079F">
        <w:t xml:space="preserve">validity of </w:t>
      </w:r>
      <w:r w:rsidR="002E0EAD">
        <w:t>assumptions and</w:t>
      </w:r>
      <w:r w:rsidR="003F7601">
        <w:t xml:space="preserve"> the</w:t>
      </w:r>
      <w:r w:rsidR="002E0EAD">
        <w:t xml:space="preserve"> </w:t>
      </w:r>
      <w:r w:rsidR="0043079F">
        <w:t xml:space="preserve">reliability of </w:t>
      </w:r>
      <w:r w:rsidR="002E0EAD">
        <w:t>data</w:t>
      </w:r>
      <w:r w:rsidR="00D13A0C">
        <w:t>.</w:t>
      </w:r>
    </w:p>
    <w:p w14:paraId="20117CC1" w14:textId="1A330C55" w:rsidR="00F649BC" w:rsidRDefault="00F649BC" w:rsidP="00F649BC">
      <w:pPr>
        <w:pStyle w:val="Heading2"/>
      </w:pPr>
      <w:bookmarkStart w:id="14" w:name="_Toc64650762"/>
      <w:r>
        <w:t>Regulatory depreciation and asset lives</w:t>
      </w:r>
      <w:bookmarkEnd w:id="14"/>
    </w:p>
    <w:p w14:paraId="02796E38" w14:textId="3776A030" w:rsidR="00A95257" w:rsidRDefault="002A2825" w:rsidP="00F649BC">
      <w:pPr>
        <w:pStyle w:val="BodyText"/>
      </w:pPr>
      <w:r>
        <w:t xml:space="preserve">The ACT Government’s commitment to phase </w:t>
      </w:r>
      <w:r w:rsidRPr="002A2825">
        <w:t>out fossil-fuel</w:t>
      </w:r>
      <w:r w:rsidR="0097111D">
        <w:t xml:space="preserve"> </w:t>
      </w:r>
      <w:r w:rsidRPr="002A2825">
        <w:t xml:space="preserve">gas in the ACT </w:t>
      </w:r>
      <w:r w:rsidR="001A7558">
        <w:t xml:space="preserve">presents a clear risk </w:t>
      </w:r>
      <w:r w:rsidR="00FF252A">
        <w:t xml:space="preserve">for </w:t>
      </w:r>
      <w:r w:rsidR="001A7558">
        <w:t>Evoenergy</w:t>
      </w:r>
      <w:r w:rsidR="00297703">
        <w:t xml:space="preserve"> not being able to recover the costs of its investments if the </w:t>
      </w:r>
      <w:r w:rsidR="001A7558">
        <w:t xml:space="preserve">gas network </w:t>
      </w:r>
      <w:r w:rsidR="00B74831">
        <w:t>does not have a</w:t>
      </w:r>
      <w:r w:rsidR="00442985">
        <w:t xml:space="preserve"> useful life </w:t>
      </w:r>
      <w:r w:rsidR="00AD144C">
        <w:t>beyond 2045</w:t>
      </w:r>
      <w:r w:rsidR="003042BC">
        <w:t xml:space="preserve"> </w:t>
      </w:r>
      <w:r w:rsidR="00C43A24">
        <w:t xml:space="preserve">– </w:t>
      </w:r>
      <w:r w:rsidR="00C11AEB">
        <w:t>i.e., stranded asset risk</w:t>
      </w:r>
      <w:r w:rsidR="00C43A24">
        <w:t>.</w:t>
      </w:r>
      <w:r w:rsidR="00AD144C">
        <w:t xml:space="preserve"> </w:t>
      </w:r>
      <w:r w:rsidR="00EE48AF">
        <w:t xml:space="preserve">A key </w:t>
      </w:r>
      <w:r w:rsidR="00EE48AF" w:rsidRPr="004C6614">
        <w:t>concern</w:t>
      </w:r>
      <w:r w:rsidR="00EE48AF">
        <w:t xml:space="preserve"> for ACTCOSS</w:t>
      </w:r>
      <w:r w:rsidR="00EE48AF" w:rsidRPr="004C6614">
        <w:t xml:space="preserve"> is</w:t>
      </w:r>
      <w:r w:rsidR="00EE48AF">
        <w:t xml:space="preserve"> how Evoenergy’s </w:t>
      </w:r>
      <w:r w:rsidR="00FF252A">
        <w:t xml:space="preserve">revised </w:t>
      </w:r>
      <w:r w:rsidR="00EE48AF">
        <w:t xml:space="preserve">GN21 </w:t>
      </w:r>
      <w:r w:rsidR="00FF252A">
        <w:t>proposal</w:t>
      </w:r>
      <w:r w:rsidR="00EE48AF">
        <w:t xml:space="preserve"> responds to</w:t>
      </w:r>
      <w:r w:rsidR="006C46B6">
        <w:t xml:space="preserve"> </w:t>
      </w:r>
      <w:r w:rsidR="00EE48AF">
        <w:t>stranded c</w:t>
      </w:r>
      <w:r w:rsidR="00460485">
        <w:t>ustomer</w:t>
      </w:r>
      <w:r w:rsidR="00EE48AF">
        <w:t xml:space="preserve"> risk alongside stranded asset risk –</w:t>
      </w:r>
      <w:r w:rsidR="002C624C">
        <w:t xml:space="preserve"> i.e., </w:t>
      </w:r>
      <w:r w:rsidR="001E13CC">
        <w:t xml:space="preserve">the risk of </w:t>
      </w:r>
      <w:r w:rsidR="00C6306E">
        <w:t xml:space="preserve">certain </w:t>
      </w:r>
      <w:r w:rsidR="00EE48AF" w:rsidRPr="004C6614">
        <w:t xml:space="preserve">gas </w:t>
      </w:r>
      <w:r w:rsidR="00EE48AF">
        <w:t>customers</w:t>
      </w:r>
      <w:r w:rsidR="00EE48AF" w:rsidRPr="004C6614">
        <w:t xml:space="preserve"> </w:t>
      </w:r>
      <w:r w:rsidR="00EE48AF" w:rsidRPr="00480C14">
        <w:t xml:space="preserve">being stuck on the gas network </w:t>
      </w:r>
      <w:r w:rsidR="00EE48AF">
        <w:t xml:space="preserve">due to </w:t>
      </w:r>
      <w:r w:rsidR="002C624C">
        <w:t>barriers</w:t>
      </w:r>
      <w:r w:rsidR="00EE48AF" w:rsidRPr="004C6614">
        <w:t xml:space="preserve"> to transition</w:t>
      </w:r>
      <w:r w:rsidR="002C624C">
        <w:t>ing</w:t>
      </w:r>
      <w:r w:rsidR="00EE48AF">
        <w:t xml:space="preserve"> and, as a result, </w:t>
      </w:r>
      <w:r w:rsidR="00722A20">
        <w:t>facing</w:t>
      </w:r>
      <w:r w:rsidR="00EE48AF" w:rsidRPr="0087401B">
        <w:t xml:space="preserve"> higher gas </w:t>
      </w:r>
      <w:r w:rsidR="00101909">
        <w:t>prices</w:t>
      </w:r>
      <w:r w:rsidR="00EE48AF" w:rsidRPr="0087401B">
        <w:t xml:space="preserve"> as</w:t>
      </w:r>
      <w:r w:rsidR="00101909">
        <w:t xml:space="preserve"> network cost recovery is sped up and</w:t>
      </w:r>
      <w:r w:rsidR="00EE48AF" w:rsidRPr="0087401B">
        <w:t xml:space="preserve"> spread over a smaller customer base.</w:t>
      </w:r>
    </w:p>
    <w:p w14:paraId="189A31B6" w14:textId="6EAB002D" w:rsidR="00A95257" w:rsidRPr="00A95257" w:rsidRDefault="008958A4" w:rsidP="00DC5D93">
      <w:pPr>
        <w:pStyle w:val="BodyText"/>
      </w:pPr>
      <w:r>
        <w:t xml:space="preserve">In response to these risks, </w:t>
      </w:r>
      <w:r w:rsidR="00127F06">
        <w:t xml:space="preserve">Evoenergy’s initial GN21 proposal </w:t>
      </w:r>
      <w:r w:rsidR="00D11D46">
        <w:t>sought</w:t>
      </w:r>
      <w:r>
        <w:t xml:space="preserve"> to shorten</w:t>
      </w:r>
      <w:r w:rsidR="00A95257" w:rsidRPr="00A95257">
        <w:t xml:space="preserve"> the asset lives for three categories of new investments as follows:</w:t>
      </w:r>
    </w:p>
    <w:p w14:paraId="6E71D56D" w14:textId="77777777" w:rsidR="00A95257" w:rsidRPr="00A95257" w:rsidRDefault="00A95257" w:rsidP="00A95257">
      <w:pPr>
        <w:numPr>
          <w:ilvl w:val="0"/>
          <w:numId w:val="1"/>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rsidRPr="00A95257">
        <w:t>high pressure mains from 80 years to 50 years (c. 2071-76)</w:t>
      </w:r>
    </w:p>
    <w:p w14:paraId="2015AD49" w14:textId="77777777" w:rsidR="00A95257" w:rsidRPr="00A95257" w:rsidRDefault="00A95257" w:rsidP="00A95257">
      <w:pPr>
        <w:numPr>
          <w:ilvl w:val="0"/>
          <w:numId w:val="1"/>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rsidRPr="00A95257">
        <w:t>medium pressure mains from 50 to 30 years (c. 2051-56)</w:t>
      </w:r>
    </w:p>
    <w:p w14:paraId="7AA59891" w14:textId="102F6A42" w:rsidR="00A95257" w:rsidRDefault="00A95257" w:rsidP="00A95257">
      <w:pPr>
        <w:numPr>
          <w:ilvl w:val="0"/>
          <w:numId w:val="1"/>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rsidRPr="00A95257">
        <w:t>medium pressure services from 50 to 30 years (c. 2051-56).</w:t>
      </w:r>
    </w:p>
    <w:p w14:paraId="060C2465" w14:textId="1C99D848" w:rsidR="00EE42B0" w:rsidRDefault="00EE42B0" w:rsidP="00EE42B0">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t xml:space="preserve">Evoenergy </w:t>
      </w:r>
      <w:r w:rsidR="00D70B5D">
        <w:t>has advised that this</w:t>
      </w:r>
      <w:r w:rsidR="001C1507">
        <w:t xml:space="preserve"> proposal</w:t>
      </w:r>
      <w:r w:rsidR="00D70B5D">
        <w:t xml:space="preserve"> would add $1 per year to </w:t>
      </w:r>
      <w:r w:rsidR="001C1507">
        <w:t>customers’ gas bills.</w:t>
      </w:r>
      <w:r w:rsidR="001C1507">
        <w:rPr>
          <w:rStyle w:val="FootnoteReference"/>
        </w:rPr>
        <w:footnoteReference w:id="29"/>
      </w:r>
    </w:p>
    <w:p w14:paraId="238DC8DA" w14:textId="7B9120C0" w:rsidR="00883F51" w:rsidRDefault="003E6B47" w:rsidP="003E6B47">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t xml:space="preserve">Evoenergy </w:t>
      </w:r>
      <w:r w:rsidR="008958A4">
        <w:t xml:space="preserve">presented </w:t>
      </w:r>
      <w:r w:rsidR="00CB4DA8">
        <w:t xml:space="preserve">this as an initial step </w:t>
      </w:r>
      <w:r w:rsidR="00F92684">
        <w:t xml:space="preserve">aimed at addressing both </w:t>
      </w:r>
      <w:r w:rsidR="00A837C2">
        <w:t>the stranded asset and stranded customer risk</w:t>
      </w:r>
      <w:r w:rsidR="000F186E">
        <w:t xml:space="preserve"> in a fair and equitable manner</w:t>
      </w:r>
      <w:r w:rsidR="008958A4">
        <w:t>, arguing that</w:t>
      </w:r>
      <w:r w:rsidR="00234517">
        <w:t>:</w:t>
      </w:r>
    </w:p>
    <w:p w14:paraId="115F288B" w14:textId="72E7547E" w:rsidR="00883F51" w:rsidRDefault="00883F51" w:rsidP="00883F51">
      <w:pPr>
        <w:pStyle w:val="BlockText"/>
      </w:pPr>
      <w:r w:rsidRPr="0018600F">
        <w:t>By ensuring that the customers who receive the benefits pay a fair share of the cost, our proposal will go some way to address the concerns raised that vulnerable groups of customers will be harmed. Without a reduction in asset lives, these customers who are unable or prefer not to switch from gas will be left paying for connection capex. Reducing the asset lives will ensure that existing customers (who received 100 per cent of the benefits) contribute towards the costs before they disconnect.</w:t>
      </w:r>
      <w:r>
        <w:rPr>
          <w:rStyle w:val="FootnoteReference"/>
        </w:rPr>
        <w:footnoteReference w:id="30"/>
      </w:r>
    </w:p>
    <w:p w14:paraId="2CE44BA8" w14:textId="10F6343B" w:rsidR="00BC5054" w:rsidRDefault="00A1692E" w:rsidP="00F649BC">
      <w:pPr>
        <w:pStyle w:val="BodyText"/>
      </w:pPr>
      <w:r>
        <w:t xml:space="preserve">The AER’s draft decision </w:t>
      </w:r>
      <w:r w:rsidR="000845D3">
        <w:t xml:space="preserve">was to: </w:t>
      </w:r>
    </w:p>
    <w:p w14:paraId="0A317320" w14:textId="58CC6772" w:rsidR="000845D3" w:rsidRDefault="000845D3" w:rsidP="000845D3">
      <w:pPr>
        <w:pStyle w:val="ListBullet"/>
      </w:pPr>
      <w:r>
        <w:t>accept Evoenergy’s proposed shorter standard asset lives for pipeline assets in the ACT region</w:t>
      </w:r>
    </w:p>
    <w:p w14:paraId="503E6BC3" w14:textId="4C4E158C" w:rsidR="000845D3" w:rsidRDefault="000845D3" w:rsidP="000845D3">
      <w:pPr>
        <w:pStyle w:val="ListBullet"/>
      </w:pPr>
      <w:r>
        <w:t>not accept Evoenergy’s proposed shorter standard asset lives for pipeline assets in the NSW region; accordingly, we have created three new asset classes for pipeline assets located in the NSW region of Evoenergy’s gas network and maintained the longer standard asset lives for these new asset classes.</w:t>
      </w:r>
    </w:p>
    <w:p w14:paraId="6A9D78C5" w14:textId="23515B90" w:rsidR="001F37A1" w:rsidRDefault="00EA05F2" w:rsidP="00AB10CC">
      <w:pPr>
        <w:pStyle w:val="BodyText"/>
      </w:pPr>
      <w:r>
        <w:t xml:space="preserve">While </w:t>
      </w:r>
      <w:r w:rsidR="007421E8">
        <w:t>noting that ‘</w:t>
      </w:r>
      <w:r w:rsidR="007421E8" w:rsidRPr="007421E8">
        <w:t>there is currently not enough evidence to say that all assets would be stranded by 2045</w:t>
      </w:r>
      <w:r w:rsidR="007421E8">
        <w:t>’, t</w:t>
      </w:r>
      <w:r w:rsidR="001F37A1">
        <w:t xml:space="preserve">he AER sees </w:t>
      </w:r>
      <w:r w:rsidR="00103B83">
        <w:t>shorter standard asset lives for new pipeline assets in the ACT as</w:t>
      </w:r>
      <w:r w:rsidR="00AB10CC">
        <w:t xml:space="preserve"> ‘</w:t>
      </w:r>
      <w:r w:rsidR="00AB10CC" w:rsidRPr="00AB10CC">
        <w:t xml:space="preserve">a prudent, responsible and precautionary first step to protect the </w:t>
      </w:r>
      <w:r w:rsidR="00D62A59" w:rsidRPr="00AB10CC">
        <w:t>long-term</w:t>
      </w:r>
      <w:r w:rsidR="00AB10CC" w:rsidRPr="00AB10CC">
        <w:t xml:space="preserve"> interests of Evoenergy’s gas consumers from asset stranding risk</w:t>
      </w:r>
      <w:r w:rsidR="00AB10CC">
        <w:t>’.</w:t>
      </w:r>
      <w:r w:rsidR="00D23FEC">
        <w:rPr>
          <w:rStyle w:val="FootnoteReference"/>
        </w:rPr>
        <w:footnoteReference w:id="31"/>
      </w:r>
    </w:p>
    <w:p w14:paraId="03AE4899" w14:textId="71F23220" w:rsidR="0057232C" w:rsidRPr="00006ECB" w:rsidRDefault="00071B76" w:rsidP="0057232C">
      <w:pPr>
        <w:pStyle w:val="BodyText"/>
      </w:pPr>
      <w:r>
        <w:t>Throughout the GN21 process, ACTCOSS</w:t>
      </w:r>
      <w:r w:rsidR="0057232C">
        <w:t xml:space="preserve">’s view has been </w:t>
      </w:r>
      <w:r w:rsidR="0057232C" w:rsidRPr="001C65E8">
        <w:t>that</w:t>
      </w:r>
      <w:r w:rsidR="0057232C">
        <w:t xml:space="preserve"> in pursuing a just transition to net zero emissions </w:t>
      </w:r>
      <w:r w:rsidR="0057232C" w:rsidRPr="001C65E8">
        <w:t xml:space="preserve">it is not </w:t>
      </w:r>
      <w:r w:rsidR="0057232C">
        <w:t>fair and equitable</w:t>
      </w:r>
      <w:r w:rsidR="0057232C" w:rsidRPr="001C65E8">
        <w:t xml:space="preserve"> to expect consumers to bear the full risk of Evoenergy’s </w:t>
      </w:r>
      <w:r w:rsidR="0057232C">
        <w:t>response to stranded asset risk</w:t>
      </w:r>
      <w:r w:rsidR="0057232C" w:rsidRPr="000547D2">
        <w:t>.</w:t>
      </w:r>
      <w:r w:rsidR="0057232C">
        <w:t xml:space="preserve"> </w:t>
      </w:r>
      <w:r w:rsidR="0057232C" w:rsidRPr="00006ECB">
        <w:t>In our submission to Evoenergy on its Draft Plan we noted that:</w:t>
      </w:r>
    </w:p>
    <w:p w14:paraId="5023BBDF" w14:textId="7379DEE5" w:rsidR="0057232C" w:rsidRDefault="0057232C" w:rsidP="0057232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ind w:left="567" w:right="567"/>
        <w:rPr>
          <w:sz w:val="22"/>
        </w:rPr>
      </w:pPr>
      <w:r w:rsidRPr="00006ECB">
        <w:rPr>
          <w:sz w:val="22"/>
        </w:rPr>
        <w:t>In order for us to support Evoenergy’s approach, we would need to be confident that this approach ensures the equitable distribution of financial risks so that those exposed to risks have the ability and incentive to manage them.  A critical question is who should pay – consumers (current or future), shareholders, Evoenergy, or the ACT Government. Our view is that it is not reasonable to expect consumers to bear the full risk of Evoenergy’s gas assets becoming stranded due to the perceived climate change mitigation risks</w:t>
      </w:r>
      <w:r>
        <w:rPr>
          <w:sz w:val="22"/>
        </w:rPr>
        <w:t>.</w:t>
      </w:r>
      <w:r>
        <w:rPr>
          <w:rStyle w:val="FootnoteReference"/>
        </w:rPr>
        <w:footnoteReference w:id="32"/>
      </w:r>
    </w:p>
    <w:p w14:paraId="2568FF57" w14:textId="01EEBB4E" w:rsidR="0057232C" w:rsidRDefault="002170EC" w:rsidP="0057232C">
      <w:pPr>
        <w:pStyle w:val="BodyText"/>
      </w:pPr>
      <w:r>
        <w:t xml:space="preserve">The GN21 process has been unable to build consensus about </w:t>
      </w:r>
      <w:r w:rsidR="00A22F12">
        <w:t>how to manage stranded asset risk, particularly through the shortening of asset lives.</w:t>
      </w:r>
      <w:r w:rsidR="00B90D00">
        <w:t xml:space="preserve"> </w:t>
      </w:r>
      <w:r w:rsidR="00D01052">
        <w:t xml:space="preserve">The outcomes report from </w:t>
      </w:r>
      <w:r w:rsidR="008B0DBB">
        <w:t xml:space="preserve">Evoenergy’s </w:t>
      </w:r>
      <w:r w:rsidR="00D01052">
        <w:t xml:space="preserve">Stranded Asset Risk Workshop – which ACTCOSS </w:t>
      </w:r>
      <w:r w:rsidR="00C6248C">
        <w:t>participated in – highlights the diversity of views on this issue among stakeholders.</w:t>
      </w:r>
      <w:r w:rsidR="000710D5">
        <w:t xml:space="preserve"> </w:t>
      </w:r>
      <w:r w:rsidR="00B90D00">
        <w:t xml:space="preserve"> </w:t>
      </w:r>
      <w:r w:rsidR="000710D5">
        <w:t>Evoenergy report that the workshop found:</w:t>
      </w:r>
    </w:p>
    <w:p w14:paraId="30F45AB9" w14:textId="7948266A" w:rsidR="00424B63" w:rsidRDefault="00424B63" w:rsidP="00780DD7">
      <w:pPr>
        <w:pStyle w:val="ListBullet"/>
      </w:pPr>
      <w:r>
        <w:t>a strong theme that the government and Evoenergy should negotiate a financial solution to asset stranding that does not see costs directly passed on to customers</w:t>
      </w:r>
    </w:p>
    <w:p w14:paraId="7B0A4D9B" w14:textId="5AB38B3C" w:rsidR="00424B63" w:rsidRDefault="00424B63" w:rsidP="00780DD7">
      <w:pPr>
        <w:pStyle w:val="ListBullet"/>
      </w:pPr>
      <w:r>
        <w:t>general support for Evoenergy’s accelerated depreciation proposal, except from those who felt the government should pay</w:t>
      </w:r>
    </w:p>
    <w:p w14:paraId="7BA229A3" w14:textId="77777777" w:rsidR="00424B63" w:rsidRDefault="00424B63" w:rsidP="00780DD7">
      <w:pPr>
        <w:pStyle w:val="ListBullet"/>
      </w:pPr>
      <w:r>
        <w:t xml:space="preserve">some support for all new assets being depreciated by 2045, but with most more interested in a commitment that alternative uses be explored and discussions with the ACT Government occur first </w:t>
      </w:r>
    </w:p>
    <w:p w14:paraId="617ACD79" w14:textId="450DAE8B" w:rsidR="00424B63" w:rsidRDefault="00424B63" w:rsidP="00780DD7">
      <w:pPr>
        <w:pStyle w:val="ListBullet"/>
      </w:pPr>
      <w:r>
        <w:t xml:space="preserve">little or no appetite for immediate accelerated depreciation of all assets at this stage due to affordability concerns, with many worried that we are simply writing off alternative options </w:t>
      </w:r>
    </w:p>
    <w:p w14:paraId="38AB5728" w14:textId="03D5809C" w:rsidR="00424B63" w:rsidRDefault="00424B63" w:rsidP="00780DD7">
      <w:pPr>
        <w:pStyle w:val="ListBullet"/>
      </w:pPr>
      <w:r>
        <w:t>some feedback that accelerated depreciation was not seen as compatible with</w:t>
      </w:r>
      <w:r w:rsidR="00780DD7">
        <w:t xml:space="preserve"> </w:t>
      </w:r>
      <w:r>
        <w:t>continued market expansion</w:t>
      </w:r>
    </w:p>
    <w:p w14:paraId="3E943E48" w14:textId="6BE257BD" w:rsidR="000710D5" w:rsidRDefault="00424B63" w:rsidP="00780DD7">
      <w:pPr>
        <w:pStyle w:val="ListBullet"/>
      </w:pPr>
      <w:r>
        <w:t>some concern about vulnerable customer affordability, particularly as overall</w:t>
      </w:r>
      <w:r w:rsidR="00780DD7">
        <w:t xml:space="preserve"> </w:t>
      </w:r>
      <w:r>
        <w:t>customer numbers decline.</w:t>
      </w:r>
      <w:r w:rsidR="00794F2B">
        <w:rPr>
          <w:rStyle w:val="FootnoteReference"/>
        </w:rPr>
        <w:footnoteReference w:id="33"/>
      </w:r>
    </w:p>
    <w:p w14:paraId="2D2D3FED" w14:textId="33210891" w:rsidR="0032684E" w:rsidRDefault="003E2563" w:rsidP="00AB10CC">
      <w:pPr>
        <w:pStyle w:val="BodyText"/>
      </w:pPr>
      <w:r>
        <w:t xml:space="preserve">For ACTCOSS, the GN21 process has </w:t>
      </w:r>
      <w:r w:rsidR="00B640DF">
        <w:t xml:space="preserve">highlighted the lack of – and </w:t>
      </w:r>
      <w:r w:rsidR="00D4184F">
        <w:t xml:space="preserve">urgent </w:t>
      </w:r>
      <w:r w:rsidR="00B640DF">
        <w:t xml:space="preserve">need for – a clear and coordinated approach to </w:t>
      </w:r>
      <w:r w:rsidR="00D4184F">
        <w:t>addressing</w:t>
      </w:r>
      <w:r w:rsidR="00C737AC">
        <w:t xml:space="preserve"> stranded asset risk</w:t>
      </w:r>
      <w:r w:rsidR="00D4184F">
        <w:t xml:space="preserve"> in a way that is fair and equitable.</w:t>
      </w:r>
      <w:r w:rsidR="00A20F69">
        <w:t xml:space="preserve"> </w:t>
      </w:r>
      <w:r w:rsidR="001A3640">
        <w:t>Addressing</w:t>
      </w:r>
      <w:r w:rsidR="00A20F69">
        <w:t xml:space="preserve"> this </w:t>
      </w:r>
      <w:r w:rsidR="00DD0A68">
        <w:t>will be</w:t>
      </w:r>
      <w:r w:rsidR="00014021">
        <w:t xml:space="preserve"> critical </w:t>
      </w:r>
      <w:r w:rsidR="00E37602">
        <w:t>to achieving</w:t>
      </w:r>
      <w:r w:rsidR="00014021">
        <w:t xml:space="preserve"> an orderly, well-managed and just transition to net zero emissions.</w:t>
      </w:r>
    </w:p>
    <w:p w14:paraId="7662DFD7" w14:textId="2825D036" w:rsidR="004A051B" w:rsidRDefault="00371323" w:rsidP="00AB10CC">
      <w:pPr>
        <w:pStyle w:val="BodyText"/>
      </w:pPr>
      <w:r>
        <w:t xml:space="preserve">What </w:t>
      </w:r>
      <w:r w:rsidR="0068188E">
        <w:t>is</w:t>
      </w:r>
      <w:r>
        <w:t xml:space="preserve"> currently missing – </w:t>
      </w:r>
      <w:r w:rsidR="00804F10">
        <w:t>and</w:t>
      </w:r>
      <w:r>
        <w:t xml:space="preserve"> what we hope will emerge over the 2021-26 period – is a comprehensive </w:t>
      </w:r>
      <w:r w:rsidR="009B4677">
        <w:t xml:space="preserve">gas transition strategy for Evoenergy’s gas network in the ACT and Queanbeyan-Palerang Region. </w:t>
      </w:r>
      <w:r w:rsidR="00503418">
        <w:t>An example of what</w:t>
      </w:r>
      <w:r w:rsidR="00BE387A">
        <w:t xml:space="preserve"> such a strategy might include </w:t>
      </w:r>
      <w:r w:rsidR="00C343D9">
        <w:t>has</w:t>
      </w:r>
      <w:r w:rsidR="00466E9C">
        <w:t xml:space="preserve"> recently</w:t>
      </w:r>
      <w:r w:rsidR="00C343D9">
        <w:t xml:space="preserve"> been outlined by the California Energy Commission.</w:t>
      </w:r>
      <w:r w:rsidR="008B5277">
        <w:rPr>
          <w:rStyle w:val="FootnoteReference"/>
        </w:rPr>
        <w:footnoteReference w:id="34"/>
      </w:r>
      <w:r w:rsidR="00971F83">
        <w:t xml:space="preserve"> </w:t>
      </w:r>
      <w:r w:rsidR="00BC1CE6">
        <w:t xml:space="preserve">Accelerated depreciation can and possibly should be </w:t>
      </w:r>
      <w:r w:rsidR="00A76C5D">
        <w:t>part of a</w:t>
      </w:r>
      <w:r w:rsidR="00886EB0">
        <w:t>n integrated, comprehensive</w:t>
      </w:r>
      <w:r w:rsidR="00A76C5D">
        <w:t xml:space="preserve"> strategy</w:t>
      </w:r>
      <w:r w:rsidR="00466E9C">
        <w:t xml:space="preserve"> </w:t>
      </w:r>
      <w:r w:rsidR="008F6C77">
        <w:t>for Evoenergy’s gas network.</w:t>
      </w:r>
      <w:r w:rsidR="00A94DF8">
        <w:t xml:space="preserve"> </w:t>
      </w:r>
    </w:p>
    <w:p w14:paraId="6D39A57A" w14:textId="434A9513" w:rsidR="00D356ED" w:rsidRDefault="00D356ED" w:rsidP="00AB10CC">
      <w:pPr>
        <w:pStyle w:val="BodyText"/>
      </w:pPr>
      <w:r>
        <w:t xml:space="preserve">Under the </w:t>
      </w:r>
      <w:r w:rsidRPr="00766CA4">
        <w:rPr>
          <w:i/>
          <w:iCs/>
        </w:rPr>
        <w:t>ACT Climate Change Strategy 2019-25</w:t>
      </w:r>
      <w:r>
        <w:t xml:space="preserve"> the ACT Government has committed to </w:t>
      </w:r>
      <w:r w:rsidR="00766CA4">
        <w:t>‘d</w:t>
      </w:r>
      <w:r w:rsidRPr="00D356ED">
        <w:t>evelop a plan for achieving zero emissions from gas use by 2045, including setting timeframes with appropriate transition periods for phasing out new and existing gas connections</w:t>
      </w:r>
      <w:r w:rsidR="00766CA4">
        <w:t xml:space="preserve"> [by 2024]’</w:t>
      </w:r>
      <w:r w:rsidRPr="00D356ED">
        <w:t>.</w:t>
      </w:r>
      <w:r w:rsidR="007232A5">
        <w:rPr>
          <w:rStyle w:val="FootnoteReference"/>
        </w:rPr>
        <w:footnoteReference w:id="35"/>
      </w:r>
      <w:r w:rsidR="00702F1E">
        <w:t xml:space="preserve"> </w:t>
      </w:r>
      <w:r w:rsidR="00347928">
        <w:t xml:space="preserve">Over the same period, Evoenergy will be developing its </w:t>
      </w:r>
      <w:r w:rsidR="00C77A4B">
        <w:t xml:space="preserve">transition </w:t>
      </w:r>
      <w:r w:rsidR="00347928">
        <w:t>roadmap</w:t>
      </w:r>
      <w:r w:rsidR="000917F8">
        <w:t xml:space="preserve"> </w:t>
      </w:r>
      <w:r w:rsidR="00C77A4B">
        <w:t>to net zero emissions</w:t>
      </w:r>
      <w:r w:rsidR="007232A5">
        <w:t>, ‘</w:t>
      </w:r>
      <w:r w:rsidR="007232A5" w:rsidRPr="007232A5">
        <w:t>working closely and collaboratively with the ACT Government, industry and climate change experts, and the community to comprehensively assess the options</w:t>
      </w:r>
      <w:r w:rsidR="007232A5">
        <w:t>’</w:t>
      </w:r>
      <w:r w:rsidR="007232A5" w:rsidRPr="007232A5">
        <w:t>.</w:t>
      </w:r>
      <w:r w:rsidR="00BE71E3">
        <w:rPr>
          <w:rStyle w:val="FootnoteReference"/>
        </w:rPr>
        <w:footnoteReference w:id="36"/>
      </w:r>
    </w:p>
    <w:p w14:paraId="5B85C95B" w14:textId="2C356341" w:rsidR="00F25783" w:rsidRDefault="00533C10" w:rsidP="00AB10CC">
      <w:pPr>
        <w:pStyle w:val="BodyText"/>
      </w:pPr>
      <w:r>
        <w:t>The AER notes that it expects ‘</w:t>
      </w:r>
      <w:r w:rsidRPr="00533C10">
        <w:t>to have more policy clarity from the ACT Government at the next access arrangement review to re-assess the asset lives for the 2026–31 period</w:t>
      </w:r>
      <w:r>
        <w:t>’</w:t>
      </w:r>
      <w:r w:rsidRPr="00533C10">
        <w:t>.</w:t>
      </w:r>
      <w:r>
        <w:rPr>
          <w:rStyle w:val="FootnoteReference"/>
        </w:rPr>
        <w:footnoteReference w:id="37"/>
      </w:r>
      <w:r>
        <w:t xml:space="preserve"> The</w:t>
      </w:r>
      <w:r w:rsidR="000743B3">
        <w:t xml:space="preserve"> AER </w:t>
      </w:r>
      <w:r w:rsidR="00B7398D">
        <w:t xml:space="preserve">also </w:t>
      </w:r>
      <w:r w:rsidR="000743B3">
        <w:t>notes that</w:t>
      </w:r>
      <w:r w:rsidR="00303E1D">
        <w:t xml:space="preserve"> it has:</w:t>
      </w:r>
    </w:p>
    <w:p w14:paraId="03478346" w14:textId="7FC2A4EE" w:rsidR="000743B3" w:rsidRDefault="00742889" w:rsidP="000743B3">
      <w:pPr>
        <w:pStyle w:val="BlockText"/>
      </w:pPr>
      <w:r>
        <w:t>…</w:t>
      </w:r>
      <w:r w:rsidR="000743B3" w:rsidRPr="000743B3">
        <w:t>elevated consideration of future gas market issues in our strategic priorities list. We are currently considering how the AER could advance this discussion with consumers, industry, market bodies and government stakeholders.</w:t>
      </w:r>
      <w:r w:rsidR="000743B3">
        <w:rPr>
          <w:rStyle w:val="FootnoteReference"/>
        </w:rPr>
        <w:footnoteReference w:id="38"/>
      </w:r>
    </w:p>
    <w:p w14:paraId="24ADD106" w14:textId="6935674D" w:rsidR="00845495" w:rsidRDefault="00845495" w:rsidP="00845495">
      <w:pPr>
        <w:pStyle w:val="BodyText"/>
      </w:pPr>
      <w:r>
        <w:t>ACTCOSS welcomes this</w:t>
      </w:r>
      <w:r w:rsidR="0009418A">
        <w:t xml:space="preserve"> </w:t>
      </w:r>
      <w:r w:rsidR="00303E1D">
        <w:t>and we repeat</w:t>
      </w:r>
      <w:r>
        <w:t xml:space="preserve"> our recommendation</w:t>
      </w:r>
      <w:r w:rsidR="004A01D3">
        <w:t xml:space="preserve"> in our previous submission,</w:t>
      </w:r>
      <w:r w:rsidR="00C027CF">
        <w:t xml:space="preserve"> that</w:t>
      </w:r>
      <w:r w:rsidR="003917AD" w:rsidRPr="003917AD">
        <w:t xml:space="preserve"> the AER and/or the AEMC undertake a fit-for-purpose review of the gas law and rules to see how these might need to be changed to meet the National Gas Objective in the context of governments’ net zero greenhouse gas emissions policies.</w:t>
      </w:r>
      <w:r w:rsidR="00932B9C">
        <w:rPr>
          <w:rStyle w:val="FootnoteReference"/>
        </w:rPr>
        <w:footnoteReference w:id="39"/>
      </w:r>
    </w:p>
    <w:p w14:paraId="40C8E7B0" w14:textId="688DF66E" w:rsidR="009778E3" w:rsidRDefault="00203225" w:rsidP="00845495">
      <w:pPr>
        <w:pStyle w:val="BodyText"/>
      </w:pPr>
      <w:r>
        <w:t>The AER recently commissioned a report</w:t>
      </w:r>
      <w:r w:rsidR="002E4320">
        <w:t xml:space="preserve"> exploring regulatory approaches to consumer vulnerability.</w:t>
      </w:r>
      <w:r w:rsidR="002E4320">
        <w:rPr>
          <w:rStyle w:val="FootnoteReference"/>
        </w:rPr>
        <w:footnoteReference w:id="40"/>
      </w:r>
      <w:r w:rsidR="002E4320">
        <w:t xml:space="preserve"> </w:t>
      </w:r>
      <w:r w:rsidR="00A258E3">
        <w:t xml:space="preserve">We </w:t>
      </w:r>
      <w:r w:rsidR="006366CF">
        <w:t xml:space="preserve">would encourage the </w:t>
      </w:r>
      <w:r w:rsidR="00A258E3">
        <w:t xml:space="preserve">AER </w:t>
      </w:r>
      <w:r w:rsidR="00633867">
        <w:t xml:space="preserve">explore regulatory </w:t>
      </w:r>
      <w:r w:rsidR="00242308">
        <w:t xml:space="preserve">approaches to </w:t>
      </w:r>
      <w:r w:rsidR="00960D01">
        <w:t xml:space="preserve">consumer vulnerability </w:t>
      </w:r>
      <w:r w:rsidR="006366CF">
        <w:t xml:space="preserve">in </w:t>
      </w:r>
      <w:r w:rsidR="00633867">
        <w:t>relation to distribution</w:t>
      </w:r>
      <w:r w:rsidR="00242308">
        <w:t xml:space="preserve"> networks</w:t>
      </w:r>
      <w:r w:rsidR="00881DDF">
        <w:t>.</w:t>
      </w:r>
      <w:r w:rsidR="004C0A77">
        <w:t xml:space="preserve"> This seems to be </w:t>
      </w:r>
      <w:r w:rsidR="00537A67">
        <w:t xml:space="preserve">particularly important </w:t>
      </w:r>
      <w:r w:rsidR="00E450C4">
        <w:t>during a period of</w:t>
      </w:r>
      <w:r w:rsidR="00537A67">
        <w:t xml:space="preserve"> significant transition and </w:t>
      </w:r>
      <w:r w:rsidR="00E450C4">
        <w:t>transformation</w:t>
      </w:r>
      <w:r w:rsidR="00537A67">
        <w:t xml:space="preserve"> </w:t>
      </w:r>
      <w:r w:rsidR="00E450C4">
        <w:t>in distribution networks.</w:t>
      </w:r>
      <w:r w:rsidR="005E1A2B">
        <w:t xml:space="preserve"> </w:t>
      </w:r>
      <w:r w:rsidR="00242308">
        <w:t xml:space="preserve"> </w:t>
      </w:r>
      <w:r w:rsidR="006366CF">
        <w:t xml:space="preserve"> </w:t>
      </w:r>
    </w:p>
    <w:p w14:paraId="6CD3D6AC" w14:textId="170ED6E0" w:rsidR="00E83C67" w:rsidRDefault="00E83C67" w:rsidP="00E83C67">
      <w:pPr>
        <w:pStyle w:val="Heading2"/>
      </w:pPr>
      <w:bookmarkStart w:id="15" w:name="_Toc64650763"/>
      <w:r>
        <w:t>Tariffs</w:t>
      </w:r>
      <w:bookmarkEnd w:id="15"/>
    </w:p>
    <w:p w14:paraId="7365F661" w14:textId="6E00B5B3" w:rsidR="00B729F5" w:rsidRDefault="00B729F5" w:rsidP="00E83C67">
      <w:pPr>
        <w:pStyle w:val="BodyText"/>
      </w:pPr>
      <w:r w:rsidRPr="00B729F5">
        <w:t>ACTCOSS supported Evoenergy’s proposal to simplify tariffs by abolishing unused tariffs</w:t>
      </w:r>
      <w:r>
        <w:t xml:space="preserve">, </w:t>
      </w:r>
      <w:r w:rsidR="000D6CAC">
        <w:t>while recommending</w:t>
      </w:r>
      <w:r>
        <w:t xml:space="preserve"> that</w:t>
      </w:r>
      <w:r w:rsidR="00F50E29">
        <w:t xml:space="preserve"> </w:t>
      </w:r>
      <w:r w:rsidR="00ED5661">
        <w:t>they</w:t>
      </w:r>
      <w:r w:rsidR="000B4370" w:rsidRPr="000B4370">
        <w:t xml:space="preserve"> respond to consumer feedback by undertaking analysis of equity and sustainability impacts of declining block tariffs to ensure there is alignment with the key themes of Evoenergy’s consumer engagement.</w:t>
      </w:r>
      <w:r w:rsidR="000D6CAC">
        <w:rPr>
          <w:rStyle w:val="FootnoteReference"/>
        </w:rPr>
        <w:footnoteReference w:id="41"/>
      </w:r>
    </w:p>
    <w:p w14:paraId="3EBD5B80" w14:textId="77777777" w:rsidR="001E3832" w:rsidRPr="00D3239E" w:rsidRDefault="001E3832" w:rsidP="001E3832">
      <w:pPr>
        <w:pStyle w:val="BodyText"/>
      </w:pPr>
      <w:r>
        <w:t xml:space="preserve">As stated in their GN21 draft plan, </w:t>
      </w:r>
    </w:p>
    <w:p w14:paraId="016C0BE1" w14:textId="77777777" w:rsidR="001E3832" w:rsidRDefault="001E3832" w:rsidP="001E383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ind w:left="567" w:right="567"/>
        <w:rPr>
          <w:sz w:val="22"/>
        </w:rPr>
      </w:pPr>
      <w:r w:rsidRPr="00D3239E">
        <w:rPr>
          <w:sz w:val="22"/>
        </w:rPr>
        <w:t>Evoenergy has declining usage rates, meaning the price per unit falls the more gas is used. This helps encourage utilisation of the gas network, and minimise the bill impacts of higher usage during peak times of the year.</w:t>
      </w:r>
      <w:r w:rsidRPr="00D3239E">
        <w:rPr>
          <w:vertAlign w:val="superscript"/>
        </w:rPr>
        <w:footnoteReference w:id="42"/>
      </w:r>
    </w:p>
    <w:p w14:paraId="5BE44363" w14:textId="1EB71331" w:rsidR="00A81CDE" w:rsidRDefault="00427205" w:rsidP="00E83C67">
      <w:pPr>
        <w:pStyle w:val="BodyText"/>
      </w:pPr>
      <w:r>
        <w:t>The AER’s draft decision accepts</w:t>
      </w:r>
      <w:r w:rsidR="00D20536" w:rsidRPr="00D20536">
        <w:t xml:space="preserve"> Evoenergy</w:t>
      </w:r>
      <w:r>
        <w:t xml:space="preserve">’s </w:t>
      </w:r>
      <w:r w:rsidR="00D20536" w:rsidRPr="00D20536">
        <w:t>propos</w:t>
      </w:r>
      <w:r>
        <w:t>al</w:t>
      </w:r>
      <w:r w:rsidR="00D20536" w:rsidRPr="00D20536">
        <w:t xml:space="preserve"> to retain its declining block tariff structure</w:t>
      </w:r>
      <w:r w:rsidR="00615024">
        <w:t xml:space="preserve"> and</w:t>
      </w:r>
      <w:r w:rsidR="00D20536" w:rsidRPr="00D20536">
        <w:t xml:space="preserve"> simplify tariff classes and categories.</w:t>
      </w:r>
      <w:r w:rsidR="009D1BFF">
        <w:t xml:space="preserve"> </w:t>
      </w:r>
    </w:p>
    <w:p w14:paraId="439985FF" w14:textId="04D73BB1" w:rsidR="00E83C67" w:rsidRDefault="008479BB" w:rsidP="00E83C67">
      <w:pPr>
        <w:pStyle w:val="BodyText"/>
      </w:pPr>
      <w:r>
        <w:t>The AER’s draft decision incorrectly indicates that ACTCOSS</w:t>
      </w:r>
      <w:r w:rsidR="001E3832">
        <w:t xml:space="preserve">’s submission </w:t>
      </w:r>
      <w:r w:rsidR="00517513">
        <w:t>on Evoenergy’s proposal supported</w:t>
      </w:r>
      <w:r w:rsidR="000E2729">
        <w:t xml:space="preserve"> the declining block tariff</w:t>
      </w:r>
      <w:r w:rsidR="009B4D39">
        <w:t>.</w:t>
      </w:r>
      <w:r w:rsidR="00B219C7">
        <w:rPr>
          <w:rStyle w:val="FootnoteReference"/>
        </w:rPr>
        <w:footnoteReference w:id="43"/>
      </w:r>
      <w:r w:rsidR="00FC41C5">
        <w:t xml:space="preserve"> Rather, our submission was amongst th</w:t>
      </w:r>
      <w:r w:rsidR="00987BDF">
        <w:t>ose that raised the question of whether</w:t>
      </w:r>
      <w:r w:rsidR="003166FC">
        <w:t>:</w:t>
      </w:r>
    </w:p>
    <w:p w14:paraId="3C4F987E" w14:textId="64CDD26B" w:rsidR="00987BDF" w:rsidRDefault="00987BDF" w:rsidP="00987BDF">
      <w:pPr>
        <w:pStyle w:val="BlockText"/>
      </w:pPr>
      <w:r>
        <w:t>…</w:t>
      </w:r>
      <w:r w:rsidRPr="00987BDF">
        <w:t>declining block tariffs may be inconsistent with the ACT Government’s policy to reduce demand for gas. Also, that declining block tariffs raise equity concerns for disadvantaged customers who would typically consume smaller quantities of gas and therefore pay higher per unit network tariffs than customers consuming larger quantities.</w:t>
      </w:r>
      <w:r w:rsidR="00780288">
        <w:rPr>
          <w:rStyle w:val="FootnoteReference"/>
        </w:rPr>
        <w:footnoteReference w:id="44"/>
      </w:r>
    </w:p>
    <w:p w14:paraId="3582DCEF" w14:textId="418AA79E" w:rsidR="000E6BD1" w:rsidRDefault="000E6BD1" w:rsidP="00514697">
      <w:pPr>
        <w:pStyle w:val="BodyText"/>
      </w:pPr>
      <w:r>
        <w:t>In terms of Evoenergy’s response the AER</w:t>
      </w:r>
      <w:r w:rsidR="00064BE0">
        <w:t xml:space="preserve"> observed that</w:t>
      </w:r>
      <w:r>
        <w:t>,</w:t>
      </w:r>
    </w:p>
    <w:p w14:paraId="470E3CE5" w14:textId="7F4D1FE0" w:rsidR="00514697" w:rsidRDefault="00857CC3" w:rsidP="000E6BD1">
      <w:pPr>
        <w:pStyle w:val="BlockText"/>
      </w:pPr>
      <w:r w:rsidRPr="00857CC3">
        <w:t>Evoenergy noted in its 2021–26 access arrangement revisions proposal that similar comments were provided during its own stakeholder consultation process. In response, Evoenergy noted that declining block tariffs benefit all customers by incentivising greater gas consumption and therefore lowering per unit network costs.</w:t>
      </w:r>
      <w:r w:rsidR="00064BE0">
        <w:rPr>
          <w:rStyle w:val="FootnoteReference"/>
        </w:rPr>
        <w:footnoteReference w:id="45"/>
      </w:r>
    </w:p>
    <w:p w14:paraId="08FB7B1E" w14:textId="11318D60" w:rsidR="00A87168" w:rsidRDefault="00265D43" w:rsidP="00A87168">
      <w:pPr>
        <w:pStyle w:val="BodyText"/>
      </w:pPr>
      <w:r>
        <w:t>The AER’s draft decision states that</w:t>
      </w:r>
      <w:r w:rsidR="00C74E85">
        <w:t xml:space="preserve">, </w:t>
      </w:r>
    </w:p>
    <w:p w14:paraId="0FAF0BA6" w14:textId="307BAFCB" w:rsidR="000826A4" w:rsidRDefault="00265D43" w:rsidP="00C74E85">
      <w:pPr>
        <w:pStyle w:val="BlockText"/>
      </w:pPr>
      <w:r>
        <w:t xml:space="preserve">We </w:t>
      </w:r>
      <w:r w:rsidR="000826A4" w:rsidRPr="000826A4">
        <w:t>are satisfied that Evoenergy is retaining its declining block tariff as this is consistent with the price cap form of control. We consider the structure of declining block tariffs is well known to Evoenergy’s customers and its continuation in the 2021–26 access arrangement will allow customers to respond to the prices within each block (or band) by adjusting their consumption. Doing so will reduce their overall network charges.</w:t>
      </w:r>
    </w:p>
    <w:p w14:paraId="1413D7EA" w14:textId="26A2D583" w:rsidR="00D4159C" w:rsidRDefault="00D4159C" w:rsidP="00C74E85">
      <w:pPr>
        <w:pStyle w:val="BlockText"/>
      </w:pPr>
      <w:r w:rsidRPr="00D4159C">
        <w:t>Evoenergy correctly described the principle underlying both the price cap form of control and application of declining block tariff structures. Interactions between emissions policies and gas network tariffs may be further explored in future gas network determinations or through standalone policy projects but at this time we consider application of price caps and declining block tariffs remains in the long term interest of gas network customers.</w:t>
      </w:r>
    </w:p>
    <w:p w14:paraId="2F8AAAC9" w14:textId="64B07B27" w:rsidR="00DB3AD1" w:rsidRDefault="008D1278" w:rsidP="00D4159C">
      <w:pPr>
        <w:pStyle w:val="BodyText"/>
      </w:pPr>
      <w:r>
        <w:t>We</w:t>
      </w:r>
      <w:r w:rsidR="00BC1E9E">
        <w:t xml:space="preserve"> would question </w:t>
      </w:r>
      <w:r w:rsidR="00FB7536">
        <w:t>the AER’s assertion that ‘</w:t>
      </w:r>
      <w:r w:rsidR="00FB7536" w:rsidRPr="00FB7536">
        <w:t xml:space="preserve">the structure of declining block tariffs is well known to Evoenergy’s customers and </w:t>
      </w:r>
      <w:r w:rsidR="00720FDD">
        <w:t>[allows]</w:t>
      </w:r>
      <w:r w:rsidR="00FB7536" w:rsidRPr="00FB7536">
        <w:t xml:space="preserve"> customers to respond to the prices within each block (or band) by adjusting their consumption</w:t>
      </w:r>
      <w:r w:rsidR="00FB7536">
        <w:t>’</w:t>
      </w:r>
      <w:r w:rsidR="00FB7536" w:rsidRPr="00FB7536">
        <w:t>.</w:t>
      </w:r>
      <w:r w:rsidR="008429B6">
        <w:t xml:space="preserve"> </w:t>
      </w:r>
      <w:r w:rsidR="00B12791">
        <w:t xml:space="preserve">Drawing on observations from </w:t>
      </w:r>
      <w:r w:rsidR="00AC2892">
        <w:t>community service providers who have direct engagement with energy consumers in the ACT,</w:t>
      </w:r>
      <w:r w:rsidR="008429B6">
        <w:t xml:space="preserve"> </w:t>
      </w:r>
      <w:r w:rsidR="00AC2892">
        <w:t xml:space="preserve">we </w:t>
      </w:r>
      <w:r w:rsidR="003D0E6A">
        <w:t xml:space="preserve">suspect </w:t>
      </w:r>
      <w:r w:rsidR="008429B6">
        <w:t xml:space="preserve">there is very little awareness of this </w:t>
      </w:r>
      <w:r w:rsidR="00A12989">
        <w:t xml:space="preserve">tariff structure among residential </w:t>
      </w:r>
      <w:r w:rsidR="00E15500">
        <w:t>customers</w:t>
      </w:r>
      <w:r w:rsidR="00A12989">
        <w:t>.</w:t>
      </w:r>
      <w:r w:rsidR="00E15500">
        <w:t xml:space="preserve"> </w:t>
      </w:r>
    </w:p>
    <w:p w14:paraId="5FB48FA3" w14:textId="67EB3D50" w:rsidR="0076192B" w:rsidRDefault="00110AC3" w:rsidP="00D4159C">
      <w:pPr>
        <w:pStyle w:val="BodyText"/>
      </w:pPr>
      <w:r>
        <w:t xml:space="preserve">We </w:t>
      </w:r>
      <w:r w:rsidR="00897E7F">
        <w:t xml:space="preserve">share the view </w:t>
      </w:r>
      <w:r w:rsidR="003D0E6A">
        <w:t xml:space="preserve">expressed in </w:t>
      </w:r>
      <w:r w:rsidR="004D6A7D">
        <w:t xml:space="preserve">other submissions to the AER </w:t>
      </w:r>
      <w:r w:rsidR="004E6D77">
        <w:t>that</w:t>
      </w:r>
      <w:r w:rsidR="00897E7F">
        <w:t xml:space="preserve"> d</w:t>
      </w:r>
      <w:r w:rsidR="005D409F">
        <w:t>eclining block tariffs that incentivise</w:t>
      </w:r>
      <w:r w:rsidR="00C41747">
        <w:t xml:space="preserve"> </w:t>
      </w:r>
      <w:r w:rsidR="00B0258E">
        <w:t>greater gas consumption</w:t>
      </w:r>
      <w:r w:rsidR="005D409F">
        <w:t xml:space="preserve"> </w:t>
      </w:r>
      <w:r w:rsidR="00DE2298">
        <w:t xml:space="preserve">appear to </w:t>
      </w:r>
      <w:r w:rsidR="004E6D77">
        <w:t xml:space="preserve">be inconsistent </w:t>
      </w:r>
      <w:r w:rsidR="00FB72CD">
        <w:t>with</w:t>
      </w:r>
      <w:r w:rsidR="005D409F">
        <w:t xml:space="preserve"> </w:t>
      </w:r>
      <w:r w:rsidR="00C54FF6">
        <w:t>the ACT Government</w:t>
      </w:r>
      <w:r w:rsidR="00863411">
        <w:t xml:space="preserve">’s </w:t>
      </w:r>
      <w:r w:rsidR="00650822">
        <w:t xml:space="preserve">legislation and policies to </w:t>
      </w:r>
      <w:r w:rsidR="00A40CED">
        <w:t>reduce greenhouse gas emissions from fossil-fuel gas.</w:t>
      </w:r>
      <w:r w:rsidR="00B0258E">
        <w:t xml:space="preserve"> </w:t>
      </w:r>
      <w:r w:rsidR="008839DF">
        <w:t xml:space="preserve">There is no indication in </w:t>
      </w:r>
      <w:r w:rsidR="00B22CDB">
        <w:t xml:space="preserve">Evoenergy’s revised proposal that it </w:t>
      </w:r>
      <w:r w:rsidR="004E6D77">
        <w:t xml:space="preserve">acted on </w:t>
      </w:r>
      <w:r w:rsidR="00611C13">
        <w:t>our recommend</w:t>
      </w:r>
      <w:r w:rsidR="00F1253F">
        <w:t>ation to undertake</w:t>
      </w:r>
      <w:r w:rsidR="00611C13">
        <w:t xml:space="preserve"> </w:t>
      </w:r>
      <w:r w:rsidR="00B22CDB" w:rsidRPr="00B22CDB">
        <w:t>analysis of equity and sustainability impacts of declining block tariffs</w:t>
      </w:r>
      <w:r w:rsidR="00B22CDB">
        <w:t>.</w:t>
      </w:r>
    </w:p>
    <w:p w14:paraId="54667AFD" w14:textId="3905DCD6" w:rsidR="009B4D39" w:rsidRDefault="00D4159C" w:rsidP="00D4159C">
      <w:pPr>
        <w:pStyle w:val="BodyText"/>
      </w:pPr>
      <w:r>
        <w:t>ACTCOSS</w:t>
      </w:r>
      <w:r w:rsidR="00036442">
        <w:t xml:space="preserve"> </w:t>
      </w:r>
      <w:r w:rsidR="00BF0A88">
        <w:t>recommends that the</w:t>
      </w:r>
      <w:r w:rsidR="00036442">
        <w:t xml:space="preserve"> AER further explore the interactions between </w:t>
      </w:r>
      <w:r w:rsidR="002B48C1">
        <w:t>gas network tariffs</w:t>
      </w:r>
      <w:r w:rsidR="00FB72CD">
        <w:t>,</w:t>
      </w:r>
      <w:r w:rsidR="00FB72CD" w:rsidRPr="00FB72CD">
        <w:t xml:space="preserve"> emissions </w:t>
      </w:r>
      <w:r w:rsidR="00EE7FC9" w:rsidRPr="00FB72CD">
        <w:t>reduction,</w:t>
      </w:r>
      <w:r w:rsidR="00FB72CD">
        <w:t xml:space="preserve"> and</w:t>
      </w:r>
      <w:r w:rsidR="00FB72CD" w:rsidRPr="00FB72CD">
        <w:t xml:space="preserve"> social equity </w:t>
      </w:r>
      <w:r w:rsidR="00F959B2">
        <w:t xml:space="preserve">as part of </w:t>
      </w:r>
      <w:r w:rsidR="00003BEC">
        <w:t xml:space="preserve">its </w:t>
      </w:r>
      <w:r w:rsidR="006462C0" w:rsidRPr="006462C0">
        <w:t xml:space="preserve">elevated consideration of future gas market issues in </w:t>
      </w:r>
      <w:r w:rsidR="001A3843">
        <w:t>its</w:t>
      </w:r>
      <w:r w:rsidR="006462C0" w:rsidRPr="006462C0">
        <w:t xml:space="preserve"> strategic priorities list.</w:t>
      </w:r>
      <w:r w:rsidR="006462C0">
        <w:rPr>
          <w:rStyle w:val="FootnoteReference"/>
        </w:rPr>
        <w:footnoteReference w:id="46"/>
      </w:r>
    </w:p>
    <w:p w14:paraId="2B7F1697" w14:textId="22D49039" w:rsidR="0003655E" w:rsidRDefault="0003655E" w:rsidP="00D4159C">
      <w:pPr>
        <w:pStyle w:val="BodyText"/>
      </w:pPr>
      <w:r>
        <w:t xml:space="preserve">ACTCOSS recommends that Evoenergy </w:t>
      </w:r>
      <w:r w:rsidR="00611C13">
        <w:t xml:space="preserve">further explore </w:t>
      </w:r>
      <w:r w:rsidR="00FC09A7">
        <w:t>the</w:t>
      </w:r>
      <w:r w:rsidR="00FC09A7" w:rsidRPr="00FC09A7">
        <w:t xml:space="preserve"> interactions between gas network tariffs, emissions </w:t>
      </w:r>
      <w:r w:rsidR="00EE7FC9" w:rsidRPr="00FC09A7">
        <w:t>reduction,</w:t>
      </w:r>
      <w:r w:rsidR="00FC09A7" w:rsidRPr="00FC09A7">
        <w:t xml:space="preserve"> and social equity as part </w:t>
      </w:r>
      <w:r w:rsidR="00D46425">
        <w:t>of producing its</w:t>
      </w:r>
      <w:r w:rsidR="00E36A30">
        <w:t xml:space="preserve"> tran</w:t>
      </w:r>
      <w:r w:rsidR="00D46425">
        <w:t>sition roadmap during the 2021-26 period.</w:t>
      </w:r>
    </w:p>
    <w:p w14:paraId="4FADA5B6" w14:textId="05C4CACC" w:rsidR="00683320" w:rsidRDefault="00683320" w:rsidP="00683320">
      <w:pPr>
        <w:pStyle w:val="Heading1"/>
      </w:pPr>
      <w:bookmarkStart w:id="16" w:name="_Toc64650764"/>
      <w:r>
        <w:t>Conclusion</w:t>
      </w:r>
      <w:bookmarkEnd w:id="16"/>
    </w:p>
    <w:p w14:paraId="0C0944E8" w14:textId="7D55387A" w:rsidR="00F77166" w:rsidRPr="00F77166" w:rsidRDefault="00F77166" w:rsidP="00F771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rsidRPr="00F77166">
        <w:t xml:space="preserve">ACTCOSS commends Evoenergy for their efforts to engage consumers in the development of </w:t>
      </w:r>
      <w:r w:rsidR="00B51E08">
        <w:t>its</w:t>
      </w:r>
      <w:r w:rsidRPr="00F77166">
        <w:t xml:space="preserve"> GN21 plan. </w:t>
      </w:r>
      <w:r w:rsidR="00B51E08">
        <w:t xml:space="preserve">Importantly, </w:t>
      </w:r>
      <w:r w:rsidRPr="00F77166">
        <w:t xml:space="preserve">Evoenergy’s consumer engagement found strong community support for </w:t>
      </w:r>
      <w:r w:rsidR="00191DAC">
        <w:t>ensuring no one is left behind</w:t>
      </w:r>
      <w:r w:rsidRPr="00F77166">
        <w:t xml:space="preserve"> as part of a just transition to net zero greenhouse gas emissions in the ACT by 2045. </w:t>
      </w:r>
    </w:p>
    <w:p w14:paraId="5AA52BC1" w14:textId="66FFBC8C" w:rsidR="00F77166" w:rsidRPr="00F77166" w:rsidRDefault="00F77166" w:rsidP="00F771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rsidRPr="00F77166">
        <w:t xml:space="preserve">We </w:t>
      </w:r>
      <w:r w:rsidR="00191DAC">
        <w:t>have</w:t>
      </w:r>
      <w:r w:rsidRPr="00F77166">
        <w:t xml:space="preserve"> appreciate</w:t>
      </w:r>
      <w:r w:rsidR="00191DAC">
        <w:t>d</w:t>
      </w:r>
      <w:r w:rsidRPr="00F77166">
        <w:t xml:space="preserve"> Evoenergy’s efforts to engage with and support vulnerable gas consumers, including through their engagement with ACTCOSS. We welcome Evoenergy’s commitment to work with stakeholders to understand and consider the needs of vulnerable customers and what it can do to help as they develop their transition roadmap. </w:t>
      </w:r>
    </w:p>
    <w:p w14:paraId="0D8C8327" w14:textId="029D85FE" w:rsidR="00F77166" w:rsidRPr="00F77166" w:rsidRDefault="00F77166" w:rsidP="00F771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rsidRPr="00F77166">
        <w:t xml:space="preserve">We see a need for a better understanding and consideration of the needs of vulnerable customers to be developed now so that it can inform Evoenergy’s </w:t>
      </w:r>
      <w:r w:rsidR="00D7112C">
        <w:t>work over the 2021-26 period</w:t>
      </w:r>
      <w:r w:rsidRPr="00F77166">
        <w:t xml:space="preserve">. </w:t>
      </w:r>
      <w:r w:rsidR="00FC4DC6">
        <w:t xml:space="preserve">Developing this </w:t>
      </w:r>
      <w:r w:rsidRPr="00F77166">
        <w:t xml:space="preserve">understanding </w:t>
      </w:r>
      <w:r w:rsidR="00FC4DC6">
        <w:t xml:space="preserve">will be critical to ensuring </w:t>
      </w:r>
      <w:r w:rsidRPr="00F77166">
        <w:t xml:space="preserve">Evoenergy’s response to stranded asset risk results in a fair and equitable distribution of costs. </w:t>
      </w:r>
    </w:p>
    <w:p w14:paraId="3590B157" w14:textId="702A138C" w:rsidR="00314F06" w:rsidRDefault="0092770A" w:rsidP="00F771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t xml:space="preserve">ACTCOSS commends the AER for the rigour of its </w:t>
      </w:r>
      <w:r w:rsidR="00484AD7">
        <w:t>review of Evoenergy’s GN21 proposal</w:t>
      </w:r>
      <w:r w:rsidR="008A259B">
        <w:t>. We especially value the AER’s strong and</w:t>
      </w:r>
      <w:r w:rsidR="00314F06">
        <w:t xml:space="preserve"> clear focus on </w:t>
      </w:r>
      <w:r w:rsidR="00314F06" w:rsidRPr="00314F06">
        <w:t>ensuring consumers pay no more than they need for safe and reliable gas services</w:t>
      </w:r>
      <w:r w:rsidR="00314F06">
        <w:t>.</w:t>
      </w:r>
    </w:p>
    <w:p w14:paraId="4E7CA663" w14:textId="01C799C4" w:rsidR="00F77166" w:rsidRPr="00F77166" w:rsidRDefault="00F77166" w:rsidP="00F771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rsidRPr="00F77166">
        <w:t>Overall, ACTCOSS believes that Evoenergy’s GN21 plan is tracking well towards being capable of acceptance by the AER</w:t>
      </w:r>
      <w:r w:rsidR="00BB58EE">
        <w:t xml:space="preserve">. </w:t>
      </w:r>
      <w:r w:rsidR="00A467B3">
        <w:t>Our submission has highlighted f</w:t>
      </w:r>
      <w:r w:rsidR="00BB58EE">
        <w:t xml:space="preserve">orecast demand </w:t>
      </w:r>
      <w:r w:rsidR="00542F59">
        <w:t>as</w:t>
      </w:r>
      <w:r w:rsidR="00BB58EE">
        <w:t xml:space="preserve"> a fundamental piece of </w:t>
      </w:r>
      <w:r w:rsidR="006D03F1">
        <w:t>an access arrangement</w:t>
      </w:r>
      <w:r w:rsidR="00542F59">
        <w:t xml:space="preserve"> – having flow-on effects in terms of capital expenditure</w:t>
      </w:r>
      <w:r w:rsidR="00625230">
        <w:t>, operating expenditure, asset lives, and ultimately customers’ bills</w:t>
      </w:r>
      <w:r w:rsidR="000C7D59">
        <w:t>. We</w:t>
      </w:r>
      <w:r w:rsidR="00100A46">
        <w:t xml:space="preserve"> </w:t>
      </w:r>
      <w:r w:rsidR="000C7D59">
        <w:t>are confident that</w:t>
      </w:r>
      <w:r w:rsidR="00100A46">
        <w:t xml:space="preserve"> the AER </w:t>
      </w:r>
      <w:r w:rsidR="000C7D59">
        <w:t xml:space="preserve">will </w:t>
      </w:r>
      <w:r w:rsidR="00100A46">
        <w:t xml:space="preserve">ensure that </w:t>
      </w:r>
      <w:r w:rsidR="00991E1A">
        <w:t>its final decision is</w:t>
      </w:r>
      <w:r w:rsidR="001B77B2">
        <w:t xml:space="preserve"> </w:t>
      </w:r>
      <w:r w:rsidR="000C7D59">
        <w:t xml:space="preserve">based on the best </w:t>
      </w:r>
      <w:r w:rsidR="004830DE">
        <w:t xml:space="preserve">demand </w:t>
      </w:r>
      <w:r w:rsidR="000C7D59">
        <w:t xml:space="preserve">forecast possible under what are </w:t>
      </w:r>
      <w:r w:rsidR="004830DE">
        <w:t>very</w:t>
      </w:r>
      <w:r w:rsidR="000C7D59">
        <w:t xml:space="preserve"> challenging circumstances</w:t>
      </w:r>
      <w:r w:rsidR="008B46A1">
        <w:t>.</w:t>
      </w:r>
    </w:p>
    <w:p w14:paraId="361FD5C4" w14:textId="73531A7F" w:rsidR="00F77166" w:rsidRPr="00F77166" w:rsidRDefault="00625230" w:rsidP="00F771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t>Through our engagement with GN21</w:t>
      </w:r>
      <w:r w:rsidR="004830DE" w:rsidRPr="004830DE">
        <w:t xml:space="preserve"> </w:t>
      </w:r>
      <w:r>
        <w:t xml:space="preserve">it has become clear that there is an urgent </w:t>
      </w:r>
      <w:r w:rsidR="004830DE" w:rsidRPr="004830DE">
        <w:t xml:space="preserve">need for a comprehensive gas transition strategy for Evoenergy’s gas network in the ACT and Queanbeyan-Palerang Region. </w:t>
      </w:r>
      <w:r w:rsidR="00ED75E5">
        <w:t xml:space="preserve">This will require </w:t>
      </w:r>
      <w:r w:rsidR="002C6351">
        <w:t>significant work by ACT Government, Evoenergy, and the AER in consultation with stakeholders</w:t>
      </w:r>
      <w:r w:rsidR="001D6149">
        <w:t>.</w:t>
      </w:r>
      <w:r w:rsidR="000A69B6">
        <w:t xml:space="preserve"> </w:t>
      </w:r>
      <w:r w:rsidR="00F7683C">
        <w:t>To</w:t>
      </w:r>
      <w:r w:rsidR="009F4E07">
        <w:t xml:space="preserve"> achi</w:t>
      </w:r>
      <w:r w:rsidR="008C2172">
        <w:t>eve</w:t>
      </w:r>
      <w:r w:rsidR="009F4E07">
        <w:t xml:space="preserve"> a just transition, th</w:t>
      </w:r>
      <w:r w:rsidR="000A69B6">
        <w:t xml:space="preserve">is work will </w:t>
      </w:r>
      <w:r w:rsidR="00132A0F">
        <w:t>require</w:t>
      </w:r>
      <w:r w:rsidR="00142B12">
        <w:t xml:space="preserve"> an equity lens</w:t>
      </w:r>
      <w:r w:rsidR="009F4E07">
        <w:t xml:space="preserve"> and </w:t>
      </w:r>
      <w:r w:rsidR="008C2172">
        <w:t xml:space="preserve">an understanding of the causes and consequences of consumer vulnerability. </w:t>
      </w:r>
      <w:r w:rsidR="001D6149">
        <w:t>ACTCOSS is keen to remain engaged</w:t>
      </w:r>
      <w:r w:rsidR="00035B8F">
        <w:t xml:space="preserve"> with </w:t>
      </w:r>
      <w:r w:rsidR="00377C8F">
        <w:t xml:space="preserve">the ACT Government, Evoenergy, and the AER during the 2021-26 period to ensure </w:t>
      </w:r>
      <w:r w:rsidR="00A075CC">
        <w:t xml:space="preserve">Evoenergy’s </w:t>
      </w:r>
      <w:r w:rsidR="00D0318B">
        <w:t>gas network access arrangement for 2026-31</w:t>
      </w:r>
      <w:r w:rsidR="00E1407D">
        <w:t xml:space="preserve"> </w:t>
      </w:r>
      <w:r w:rsidR="00EA32DF">
        <w:t xml:space="preserve">is based on a </w:t>
      </w:r>
      <w:r w:rsidR="00735C1C">
        <w:t xml:space="preserve">comprehensive, </w:t>
      </w:r>
      <w:r w:rsidR="00EA32DF">
        <w:t>clear</w:t>
      </w:r>
      <w:r w:rsidR="00735C1C">
        <w:t>,</w:t>
      </w:r>
      <w:r w:rsidR="00EA32DF">
        <w:t xml:space="preserve"> and coordinated approach </w:t>
      </w:r>
      <w:r w:rsidR="00735C1C">
        <w:t>to</w:t>
      </w:r>
      <w:r w:rsidR="00EA32DF">
        <w:t xml:space="preserve"> achieving a just transition to net zero emissions in the ACT by 2045</w:t>
      </w:r>
      <w:r w:rsidR="007D52F8">
        <w:t>.</w:t>
      </w:r>
    </w:p>
    <w:p w14:paraId="28B43FDC" w14:textId="33DA7553" w:rsidR="00E003A0" w:rsidRDefault="00E003A0" w:rsidP="00E003A0">
      <w:pPr>
        <w:pStyle w:val="Heading1"/>
      </w:pPr>
      <w:bookmarkStart w:id="17" w:name="_Toc64650765"/>
      <w:r>
        <w:t>ACTCOSS contact</w:t>
      </w:r>
      <w:bookmarkEnd w:id="17"/>
    </w:p>
    <w:p w14:paraId="7F613575" w14:textId="77777777" w:rsidR="00E003A0" w:rsidRDefault="00E003A0" w:rsidP="00E003A0">
      <w:pPr>
        <w:pStyle w:val="BodyText"/>
      </w:pPr>
      <w:r>
        <w:t xml:space="preserve">We thank the AER for considering this submission. If you would like to discuss any of the issues we have raised, please do not hesitate to contact Mr Geoff Buchanan, Senior Policy Officer (Research &amp; Data), ACTCOSS at </w:t>
      </w:r>
      <w:hyperlink r:id="rId17" w:history="1">
        <w:r w:rsidRPr="00075C87">
          <w:rPr>
            <w:rStyle w:val="Hyperlink"/>
          </w:rPr>
          <w:t>geoff.buchanan@actcoss.org.au</w:t>
        </w:r>
      </w:hyperlink>
      <w:r>
        <w:t xml:space="preserve"> or call 02 6202 7200.</w:t>
      </w:r>
    </w:p>
    <w:p w14:paraId="0D373574" w14:textId="77777777" w:rsidR="00FA64A6" w:rsidRDefault="00FA64A6">
      <w:pPr>
        <w:rPr>
          <w:rFonts w:cs="Arial"/>
          <w:b/>
          <w:bCs/>
          <w:color w:val="005984"/>
          <w:kern w:val="32"/>
          <w:sz w:val="37"/>
          <w:szCs w:val="32"/>
        </w:rPr>
      </w:pPr>
      <w:r>
        <w:br w:type="page"/>
      </w:r>
    </w:p>
    <w:p w14:paraId="7464AE53" w14:textId="484B5636" w:rsidR="004A2589" w:rsidRDefault="004A2589" w:rsidP="007B5914">
      <w:pPr>
        <w:pStyle w:val="Heading1"/>
      </w:pPr>
      <w:bookmarkStart w:id="18" w:name="_Toc64650766"/>
      <w:r>
        <w:t xml:space="preserve">Appendix 1 </w:t>
      </w:r>
      <w:r w:rsidR="007B5914">
        <w:t xml:space="preserve">Relevant </w:t>
      </w:r>
      <w:r>
        <w:t xml:space="preserve">2020-21 ACT Budget </w:t>
      </w:r>
      <w:r w:rsidR="007B5914">
        <w:t>Measures</w:t>
      </w:r>
      <w:bookmarkEnd w:id="18"/>
    </w:p>
    <w:p w14:paraId="5F9FBCDC" w14:textId="25B57D2B" w:rsidR="00A14891" w:rsidRPr="00A14891" w:rsidRDefault="00252879" w:rsidP="00A14891">
      <w:pPr>
        <w:pStyle w:val="BodyText"/>
      </w:pPr>
      <w:r>
        <w:t>The 2020-21 ACT Budget</w:t>
      </w:r>
      <w:r w:rsidR="00ED48E9">
        <w:t xml:space="preserve"> announced on 9 February 2021</w:t>
      </w:r>
      <w:r>
        <w:t xml:space="preserve"> include</w:t>
      </w:r>
      <w:r w:rsidR="00ED48E9">
        <w:t>d</w:t>
      </w:r>
      <w:r>
        <w:t xml:space="preserve"> the following </w:t>
      </w:r>
      <w:r w:rsidR="001825D6">
        <w:t xml:space="preserve">funding </w:t>
      </w:r>
      <w:r w:rsidR="00901322">
        <w:t>relating to climate change action</w:t>
      </w:r>
      <w:r w:rsidR="001825D6">
        <w:t xml:space="preserve"> commitments in the ACT Labor and Greens Parliamentary and Governing Agreement</w:t>
      </w:r>
      <w:r w:rsidR="00901322">
        <w:t>.</w:t>
      </w:r>
      <w:r w:rsidR="00CA18A2">
        <w:rPr>
          <w:rStyle w:val="FootnoteReference"/>
        </w:rPr>
        <w:footnoteReference w:id="47"/>
      </w:r>
    </w:p>
    <w:p w14:paraId="0429EB7B" w14:textId="77777777" w:rsidR="00DC4244" w:rsidRPr="00DC4244" w:rsidRDefault="00DC4244" w:rsidP="00DC4244">
      <w:pPr>
        <w:keepNext/>
        <w:keepLines/>
        <w:spacing w:before="240" w:after="120"/>
        <w:outlineLvl w:val="3"/>
        <w:rPr>
          <w:rFonts w:ascii="Calibri" w:hAnsi="Calibri"/>
          <w:b/>
          <w:iCs/>
          <w:sz w:val="28"/>
          <w:lang w:eastAsia="en-US"/>
        </w:rPr>
      </w:pPr>
      <w:r w:rsidRPr="00DC4244">
        <w:rPr>
          <w:rFonts w:ascii="Calibri" w:hAnsi="Calibri"/>
          <w:b/>
          <w:iCs/>
          <w:sz w:val="28"/>
          <w:lang w:eastAsia="en-US"/>
        </w:rPr>
        <w:t xml:space="preserve">Phasing out fossil fuel gas in the ACT and supporting energy grid stability </w:t>
      </w:r>
    </w:p>
    <w:tbl>
      <w:tblPr>
        <w:tblW w:w="8959" w:type="dxa"/>
        <w:jc w:val="center"/>
        <w:tblLayout w:type="fixed"/>
        <w:tblLook w:val="0000" w:firstRow="0" w:lastRow="0" w:firstColumn="0" w:lastColumn="0" w:noHBand="0" w:noVBand="0"/>
      </w:tblPr>
      <w:tblGrid>
        <w:gridCol w:w="3652"/>
        <w:gridCol w:w="1179"/>
        <w:gridCol w:w="1041"/>
        <w:gridCol w:w="1029"/>
        <w:gridCol w:w="1029"/>
        <w:gridCol w:w="1029"/>
      </w:tblGrid>
      <w:tr w:rsidR="00DC4244" w:rsidRPr="00DC4244" w14:paraId="1A97A022" w14:textId="77777777" w:rsidTr="00D710B5">
        <w:trPr>
          <w:cantSplit/>
          <w:jc w:val="center"/>
        </w:trPr>
        <w:tc>
          <w:tcPr>
            <w:tcW w:w="3652" w:type="dxa"/>
            <w:tcBorders>
              <w:top w:val="single" w:sz="4" w:space="0" w:color="auto"/>
              <w:bottom w:val="single" w:sz="4" w:space="0" w:color="auto"/>
            </w:tcBorders>
          </w:tcPr>
          <w:p w14:paraId="573B74CC" w14:textId="77777777" w:rsidR="00DC4244" w:rsidRPr="00DC4244" w:rsidRDefault="00DC4244" w:rsidP="00DC4244">
            <w:pPr>
              <w:jc w:val="right"/>
              <w:rPr>
                <w:rFonts w:ascii="Calibri" w:hAnsi="Calibri" w:cs="Calibri"/>
                <w:color w:val="FFFFFF"/>
                <w:sz w:val="12"/>
                <w:szCs w:val="20"/>
                <w:lang w:eastAsia="en-US"/>
              </w:rPr>
            </w:pPr>
            <w:r w:rsidRPr="00DC4244">
              <w:rPr>
                <w:rFonts w:ascii="Calibri" w:hAnsi="Calibri" w:cs="Calibri"/>
                <w:color w:val="FFFFFF"/>
                <w:sz w:val="12"/>
                <w:szCs w:val="20"/>
                <w:lang w:eastAsia="en-US"/>
              </w:rPr>
              <w:t>Empty Cell</w:t>
            </w:r>
          </w:p>
        </w:tc>
        <w:tc>
          <w:tcPr>
            <w:tcW w:w="1179" w:type="dxa"/>
            <w:tcBorders>
              <w:top w:val="single" w:sz="4" w:space="0" w:color="auto"/>
              <w:bottom w:val="single" w:sz="4" w:space="0" w:color="auto"/>
            </w:tcBorders>
          </w:tcPr>
          <w:p w14:paraId="1EFC88E8" w14:textId="77777777" w:rsidR="00DC4244" w:rsidRPr="00DC4244" w:rsidRDefault="00DC4244" w:rsidP="00DC4244">
            <w:pPr>
              <w:jc w:val="right"/>
              <w:rPr>
                <w:rFonts w:ascii="Calibri" w:hAnsi="Calibri"/>
                <w:szCs w:val="20"/>
                <w:lang w:eastAsia="en-US"/>
              </w:rPr>
            </w:pPr>
            <w:r w:rsidRPr="00DC4244">
              <w:rPr>
                <w:rFonts w:ascii="Calibri" w:hAnsi="Calibri"/>
                <w:szCs w:val="20"/>
                <w:lang w:eastAsia="en-US"/>
              </w:rPr>
              <w:t>2020-21</w:t>
            </w:r>
          </w:p>
          <w:p w14:paraId="591CFB1B" w14:textId="77777777" w:rsidR="00DC4244" w:rsidRPr="00DC4244" w:rsidRDefault="00DC4244" w:rsidP="00DC4244">
            <w:pPr>
              <w:jc w:val="right"/>
              <w:rPr>
                <w:rFonts w:ascii="Calibri" w:hAnsi="Calibri"/>
                <w:szCs w:val="20"/>
                <w:lang w:eastAsia="en-US"/>
              </w:rPr>
            </w:pPr>
            <w:r w:rsidRPr="00DC4244">
              <w:rPr>
                <w:rFonts w:ascii="Calibri" w:hAnsi="Calibri"/>
                <w:szCs w:val="20"/>
                <w:lang w:eastAsia="en-US"/>
              </w:rPr>
              <w:t>$’000</w:t>
            </w:r>
          </w:p>
        </w:tc>
        <w:tc>
          <w:tcPr>
            <w:tcW w:w="1041" w:type="dxa"/>
            <w:tcBorders>
              <w:top w:val="single" w:sz="4" w:space="0" w:color="auto"/>
              <w:bottom w:val="single" w:sz="4" w:space="0" w:color="auto"/>
            </w:tcBorders>
          </w:tcPr>
          <w:p w14:paraId="47DA17F2" w14:textId="77777777" w:rsidR="00DC4244" w:rsidRPr="00DC4244" w:rsidRDefault="00DC4244" w:rsidP="00DC4244">
            <w:pPr>
              <w:jc w:val="right"/>
              <w:rPr>
                <w:rFonts w:ascii="Calibri" w:hAnsi="Calibri"/>
                <w:szCs w:val="20"/>
                <w:lang w:eastAsia="en-US"/>
              </w:rPr>
            </w:pPr>
            <w:r w:rsidRPr="00DC4244">
              <w:rPr>
                <w:rFonts w:ascii="Calibri" w:hAnsi="Calibri"/>
                <w:szCs w:val="20"/>
                <w:lang w:eastAsia="en-US"/>
              </w:rPr>
              <w:t>2021-22</w:t>
            </w:r>
          </w:p>
          <w:p w14:paraId="14D5704A" w14:textId="77777777" w:rsidR="00DC4244" w:rsidRPr="00DC4244" w:rsidRDefault="00DC4244" w:rsidP="00DC4244">
            <w:pPr>
              <w:jc w:val="right"/>
              <w:rPr>
                <w:rFonts w:ascii="Calibri" w:hAnsi="Calibri"/>
                <w:szCs w:val="20"/>
                <w:lang w:eastAsia="en-US"/>
              </w:rPr>
            </w:pPr>
            <w:r w:rsidRPr="00DC4244">
              <w:rPr>
                <w:rFonts w:ascii="Calibri" w:hAnsi="Calibri"/>
                <w:szCs w:val="20"/>
                <w:lang w:eastAsia="en-US"/>
              </w:rPr>
              <w:t>$’000</w:t>
            </w:r>
          </w:p>
        </w:tc>
        <w:tc>
          <w:tcPr>
            <w:tcW w:w="1029" w:type="dxa"/>
            <w:tcBorders>
              <w:top w:val="single" w:sz="4" w:space="0" w:color="auto"/>
              <w:bottom w:val="single" w:sz="4" w:space="0" w:color="auto"/>
            </w:tcBorders>
          </w:tcPr>
          <w:p w14:paraId="5B418466" w14:textId="77777777" w:rsidR="00DC4244" w:rsidRPr="00DC4244" w:rsidRDefault="00DC4244" w:rsidP="00DC4244">
            <w:pPr>
              <w:jc w:val="right"/>
              <w:rPr>
                <w:rFonts w:ascii="Calibri" w:hAnsi="Calibri"/>
                <w:szCs w:val="20"/>
                <w:lang w:eastAsia="en-US"/>
              </w:rPr>
            </w:pPr>
            <w:r w:rsidRPr="00DC4244">
              <w:rPr>
                <w:rFonts w:ascii="Calibri" w:hAnsi="Calibri"/>
                <w:szCs w:val="20"/>
                <w:lang w:eastAsia="en-US"/>
              </w:rPr>
              <w:t>2022-23</w:t>
            </w:r>
          </w:p>
          <w:p w14:paraId="7B811BC3" w14:textId="77777777" w:rsidR="00DC4244" w:rsidRPr="00DC4244" w:rsidRDefault="00DC4244" w:rsidP="00DC4244">
            <w:pPr>
              <w:jc w:val="right"/>
              <w:rPr>
                <w:rFonts w:ascii="Calibri" w:hAnsi="Calibri"/>
                <w:szCs w:val="20"/>
                <w:lang w:eastAsia="en-US"/>
              </w:rPr>
            </w:pPr>
            <w:r w:rsidRPr="00DC4244">
              <w:rPr>
                <w:rFonts w:ascii="Calibri" w:hAnsi="Calibri"/>
                <w:szCs w:val="20"/>
                <w:lang w:eastAsia="en-US"/>
              </w:rPr>
              <w:t>$’000</w:t>
            </w:r>
          </w:p>
        </w:tc>
        <w:tc>
          <w:tcPr>
            <w:tcW w:w="1029" w:type="dxa"/>
            <w:tcBorders>
              <w:top w:val="single" w:sz="4" w:space="0" w:color="auto"/>
              <w:bottom w:val="single" w:sz="4" w:space="0" w:color="auto"/>
            </w:tcBorders>
          </w:tcPr>
          <w:p w14:paraId="2312F876" w14:textId="77777777" w:rsidR="00DC4244" w:rsidRPr="00DC4244" w:rsidRDefault="00DC4244" w:rsidP="00DC4244">
            <w:pPr>
              <w:jc w:val="right"/>
              <w:rPr>
                <w:rFonts w:ascii="Calibri" w:hAnsi="Calibri"/>
                <w:szCs w:val="20"/>
                <w:lang w:eastAsia="en-US"/>
              </w:rPr>
            </w:pPr>
            <w:r w:rsidRPr="00DC4244">
              <w:rPr>
                <w:rFonts w:ascii="Calibri" w:hAnsi="Calibri"/>
                <w:szCs w:val="20"/>
                <w:lang w:eastAsia="en-US"/>
              </w:rPr>
              <w:t>2023-24</w:t>
            </w:r>
          </w:p>
          <w:p w14:paraId="29D27AA5" w14:textId="77777777" w:rsidR="00DC4244" w:rsidRPr="00DC4244" w:rsidRDefault="00DC4244" w:rsidP="00DC4244">
            <w:pPr>
              <w:jc w:val="right"/>
              <w:rPr>
                <w:rFonts w:ascii="Calibri" w:hAnsi="Calibri"/>
                <w:szCs w:val="20"/>
                <w:lang w:eastAsia="en-US"/>
              </w:rPr>
            </w:pPr>
            <w:r w:rsidRPr="00DC4244">
              <w:rPr>
                <w:rFonts w:ascii="Calibri" w:hAnsi="Calibri"/>
                <w:szCs w:val="20"/>
                <w:lang w:eastAsia="en-US"/>
              </w:rPr>
              <w:t>$’000</w:t>
            </w:r>
          </w:p>
        </w:tc>
        <w:tc>
          <w:tcPr>
            <w:tcW w:w="1029" w:type="dxa"/>
            <w:tcBorders>
              <w:top w:val="single" w:sz="4" w:space="0" w:color="auto"/>
              <w:bottom w:val="single" w:sz="4" w:space="0" w:color="auto"/>
            </w:tcBorders>
          </w:tcPr>
          <w:p w14:paraId="0AB7D320" w14:textId="77777777" w:rsidR="00DC4244" w:rsidRPr="00DC4244" w:rsidRDefault="00DC4244" w:rsidP="00DC4244">
            <w:pPr>
              <w:jc w:val="right"/>
              <w:rPr>
                <w:rFonts w:ascii="Calibri" w:hAnsi="Calibri"/>
                <w:b/>
                <w:szCs w:val="20"/>
                <w:lang w:eastAsia="en-US"/>
              </w:rPr>
            </w:pPr>
            <w:r w:rsidRPr="00DC4244">
              <w:rPr>
                <w:rFonts w:ascii="Calibri" w:hAnsi="Calibri"/>
                <w:b/>
                <w:szCs w:val="20"/>
                <w:lang w:eastAsia="en-US"/>
              </w:rPr>
              <w:t>Total</w:t>
            </w:r>
          </w:p>
          <w:p w14:paraId="492B3B88" w14:textId="77777777" w:rsidR="00DC4244" w:rsidRPr="00DC4244" w:rsidRDefault="00DC4244" w:rsidP="00DC4244">
            <w:pPr>
              <w:jc w:val="right"/>
              <w:rPr>
                <w:rFonts w:ascii="Calibri" w:hAnsi="Calibri"/>
                <w:b/>
                <w:szCs w:val="20"/>
                <w:lang w:eastAsia="en-US"/>
              </w:rPr>
            </w:pPr>
            <w:r w:rsidRPr="00DC4244">
              <w:rPr>
                <w:rFonts w:ascii="Calibri" w:hAnsi="Calibri"/>
                <w:b/>
                <w:szCs w:val="20"/>
                <w:lang w:eastAsia="en-US"/>
              </w:rPr>
              <w:t>$’000</w:t>
            </w:r>
          </w:p>
        </w:tc>
      </w:tr>
      <w:tr w:rsidR="00DC4244" w:rsidRPr="00DC4244" w14:paraId="772664F4" w14:textId="77777777" w:rsidTr="00D710B5">
        <w:trPr>
          <w:cantSplit/>
          <w:jc w:val="center"/>
        </w:trPr>
        <w:tc>
          <w:tcPr>
            <w:tcW w:w="3652" w:type="dxa"/>
            <w:tcBorders>
              <w:top w:val="single" w:sz="4" w:space="0" w:color="auto"/>
              <w:bottom w:val="single" w:sz="4" w:space="0" w:color="auto"/>
            </w:tcBorders>
          </w:tcPr>
          <w:p w14:paraId="45E6F604" w14:textId="77777777" w:rsidR="00DC4244" w:rsidRPr="00DC4244" w:rsidRDefault="00DC4244" w:rsidP="00DC4244">
            <w:pPr>
              <w:rPr>
                <w:rFonts w:ascii="Calibri" w:hAnsi="Calibri"/>
                <w:szCs w:val="20"/>
                <w:lang w:eastAsia="en-US"/>
              </w:rPr>
            </w:pPr>
            <w:r w:rsidRPr="00DC4244">
              <w:rPr>
                <w:rFonts w:ascii="Calibri" w:hAnsi="Calibri"/>
                <w:szCs w:val="20"/>
                <w:lang w:eastAsia="en-US"/>
              </w:rPr>
              <w:t>Expenses</w:t>
            </w:r>
          </w:p>
        </w:tc>
        <w:tc>
          <w:tcPr>
            <w:tcW w:w="1179" w:type="dxa"/>
            <w:tcBorders>
              <w:top w:val="single" w:sz="4" w:space="0" w:color="auto"/>
              <w:bottom w:val="single" w:sz="4" w:space="0" w:color="auto"/>
            </w:tcBorders>
          </w:tcPr>
          <w:p w14:paraId="4878E419" w14:textId="77777777" w:rsidR="00DC4244" w:rsidRPr="00DC4244" w:rsidRDefault="00DC4244" w:rsidP="00DC4244">
            <w:pPr>
              <w:jc w:val="right"/>
              <w:rPr>
                <w:rFonts w:ascii="Calibri" w:hAnsi="Calibri"/>
                <w:szCs w:val="20"/>
                <w:lang w:eastAsia="en-US"/>
              </w:rPr>
            </w:pPr>
            <w:r w:rsidRPr="00DC4244">
              <w:rPr>
                <w:rFonts w:ascii="Calibri" w:hAnsi="Calibri"/>
                <w:szCs w:val="20"/>
                <w:lang w:eastAsia="en-US"/>
              </w:rPr>
              <w:t>213</w:t>
            </w:r>
          </w:p>
        </w:tc>
        <w:tc>
          <w:tcPr>
            <w:tcW w:w="1041" w:type="dxa"/>
            <w:tcBorders>
              <w:top w:val="single" w:sz="4" w:space="0" w:color="auto"/>
              <w:bottom w:val="single" w:sz="4" w:space="0" w:color="auto"/>
            </w:tcBorders>
          </w:tcPr>
          <w:p w14:paraId="60D37B75" w14:textId="77777777" w:rsidR="00DC4244" w:rsidRPr="00DC4244" w:rsidRDefault="00DC4244" w:rsidP="00DC4244">
            <w:pPr>
              <w:jc w:val="right"/>
              <w:rPr>
                <w:rFonts w:ascii="Calibri" w:hAnsi="Calibri"/>
                <w:szCs w:val="20"/>
                <w:lang w:eastAsia="en-US"/>
              </w:rPr>
            </w:pPr>
            <w:r w:rsidRPr="00DC4244">
              <w:rPr>
                <w:rFonts w:ascii="Calibri" w:hAnsi="Calibri"/>
                <w:szCs w:val="20"/>
                <w:lang w:eastAsia="en-US"/>
              </w:rPr>
              <w:t>379</w:t>
            </w:r>
          </w:p>
        </w:tc>
        <w:tc>
          <w:tcPr>
            <w:tcW w:w="1029" w:type="dxa"/>
            <w:tcBorders>
              <w:top w:val="single" w:sz="4" w:space="0" w:color="auto"/>
              <w:bottom w:val="single" w:sz="4" w:space="0" w:color="auto"/>
            </w:tcBorders>
          </w:tcPr>
          <w:p w14:paraId="2C341252" w14:textId="77777777" w:rsidR="00DC4244" w:rsidRPr="00DC4244" w:rsidRDefault="00DC4244" w:rsidP="00DC4244">
            <w:pPr>
              <w:jc w:val="right"/>
              <w:rPr>
                <w:rFonts w:ascii="Calibri" w:hAnsi="Calibri"/>
                <w:szCs w:val="20"/>
                <w:lang w:eastAsia="en-US"/>
              </w:rPr>
            </w:pPr>
            <w:r w:rsidRPr="00DC4244">
              <w:rPr>
                <w:rFonts w:ascii="Calibri" w:hAnsi="Calibri"/>
                <w:szCs w:val="20"/>
                <w:lang w:eastAsia="en-US"/>
              </w:rPr>
              <w:t>131</w:t>
            </w:r>
          </w:p>
        </w:tc>
        <w:tc>
          <w:tcPr>
            <w:tcW w:w="1029" w:type="dxa"/>
            <w:tcBorders>
              <w:top w:val="single" w:sz="4" w:space="0" w:color="auto"/>
              <w:bottom w:val="single" w:sz="4" w:space="0" w:color="auto"/>
            </w:tcBorders>
          </w:tcPr>
          <w:p w14:paraId="64AF8CF5" w14:textId="77777777" w:rsidR="00DC4244" w:rsidRPr="00DC4244" w:rsidRDefault="00DC4244" w:rsidP="00DC4244">
            <w:pPr>
              <w:jc w:val="right"/>
              <w:rPr>
                <w:rFonts w:ascii="Calibri" w:hAnsi="Calibri"/>
                <w:szCs w:val="20"/>
                <w:lang w:eastAsia="en-US"/>
              </w:rPr>
            </w:pPr>
            <w:r w:rsidRPr="00DC4244">
              <w:rPr>
                <w:rFonts w:ascii="Calibri" w:hAnsi="Calibri"/>
                <w:szCs w:val="20"/>
                <w:lang w:eastAsia="en-US"/>
              </w:rPr>
              <w:t>132</w:t>
            </w:r>
          </w:p>
        </w:tc>
        <w:tc>
          <w:tcPr>
            <w:tcW w:w="1029" w:type="dxa"/>
            <w:tcBorders>
              <w:top w:val="single" w:sz="4" w:space="0" w:color="auto"/>
              <w:bottom w:val="single" w:sz="4" w:space="0" w:color="auto"/>
            </w:tcBorders>
          </w:tcPr>
          <w:p w14:paraId="3DBF838C" w14:textId="77777777" w:rsidR="00DC4244" w:rsidRPr="00DC4244" w:rsidRDefault="00DC4244" w:rsidP="00DC4244">
            <w:pPr>
              <w:jc w:val="right"/>
              <w:rPr>
                <w:rFonts w:ascii="Calibri" w:hAnsi="Calibri"/>
                <w:b/>
                <w:bCs/>
                <w:szCs w:val="20"/>
                <w:lang w:eastAsia="en-US"/>
              </w:rPr>
            </w:pPr>
            <w:r w:rsidRPr="00DC4244">
              <w:rPr>
                <w:rFonts w:ascii="Calibri" w:hAnsi="Calibri"/>
                <w:b/>
                <w:bCs/>
                <w:szCs w:val="20"/>
                <w:lang w:eastAsia="en-US"/>
              </w:rPr>
              <w:t>855</w:t>
            </w:r>
          </w:p>
        </w:tc>
      </w:tr>
    </w:tbl>
    <w:p w14:paraId="16FBCF57" w14:textId="77777777" w:rsidR="00DC4244" w:rsidRPr="00DC4244" w:rsidRDefault="00DC4244" w:rsidP="00DC4244">
      <w:pPr>
        <w:spacing w:before="120" w:after="120"/>
        <w:rPr>
          <w:rFonts w:ascii="Calibri" w:eastAsia="Calibri" w:hAnsi="Calibri"/>
          <w:lang w:eastAsia="en-US"/>
        </w:rPr>
      </w:pPr>
      <w:r w:rsidRPr="00DC4244">
        <w:rPr>
          <w:rFonts w:ascii="Calibri" w:eastAsia="Calibri" w:hAnsi="Calibri"/>
          <w:lang w:eastAsia="en-US"/>
        </w:rPr>
        <w:t>The Government will support the development of a long-term plan for the phase out of gas use in the ACT. This includes funding to develop legislative amendments to prevent future gas connections in residential greenfield and urban infill developments. It also covers projects that will advance all-electric infill developments.</w:t>
      </w:r>
    </w:p>
    <w:p w14:paraId="4CB064B0" w14:textId="77777777" w:rsidR="009709EF" w:rsidRPr="009709EF" w:rsidRDefault="009709EF" w:rsidP="009709EF">
      <w:pPr>
        <w:keepNext/>
        <w:keepLines/>
        <w:spacing w:before="240" w:after="120"/>
        <w:outlineLvl w:val="3"/>
        <w:rPr>
          <w:rFonts w:ascii="Calibri" w:hAnsi="Calibri"/>
          <w:b/>
          <w:iCs/>
          <w:sz w:val="28"/>
          <w:lang w:eastAsia="en-US"/>
        </w:rPr>
      </w:pPr>
      <w:r w:rsidRPr="009709EF">
        <w:rPr>
          <w:rFonts w:ascii="Calibri" w:hAnsi="Calibri"/>
          <w:b/>
          <w:iCs/>
          <w:sz w:val="28"/>
          <w:lang w:eastAsia="en-US"/>
        </w:rPr>
        <w:t xml:space="preserve">Sustainable Household Scheme </w:t>
      </w:r>
    </w:p>
    <w:tbl>
      <w:tblPr>
        <w:tblW w:w="9072" w:type="dxa"/>
        <w:jc w:val="center"/>
        <w:tblLayout w:type="fixed"/>
        <w:tblLook w:val="0000" w:firstRow="0" w:lastRow="0" w:firstColumn="0" w:lastColumn="0" w:noHBand="0" w:noVBand="0"/>
      </w:tblPr>
      <w:tblGrid>
        <w:gridCol w:w="3686"/>
        <w:gridCol w:w="1145"/>
        <w:gridCol w:w="1041"/>
        <w:gridCol w:w="1029"/>
        <w:gridCol w:w="1029"/>
        <w:gridCol w:w="1142"/>
      </w:tblGrid>
      <w:tr w:rsidR="009709EF" w:rsidRPr="009709EF" w14:paraId="2F5FF958" w14:textId="77777777" w:rsidTr="00D710B5">
        <w:trPr>
          <w:cantSplit/>
          <w:jc w:val="center"/>
        </w:trPr>
        <w:tc>
          <w:tcPr>
            <w:tcW w:w="3686" w:type="dxa"/>
            <w:tcBorders>
              <w:top w:val="single" w:sz="4" w:space="0" w:color="auto"/>
              <w:bottom w:val="single" w:sz="4" w:space="0" w:color="auto"/>
            </w:tcBorders>
          </w:tcPr>
          <w:p w14:paraId="261384A3" w14:textId="77777777" w:rsidR="009709EF" w:rsidRPr="009709EF" w:rsidRDefault="009709EF" w:rsidP="009709EF">
            <w:pPr>
              <w:jc w:val="right"/>
              <w:rPr>
                <w:rFonts w:ascii="Calibri" w:hAnsi="Calibri" w:cs="Calibri"/>
                <w:i/>
                <w:color w:val="FFFFFF"/>
                <w:sz w:val="2"/>
                <w:szCs w:val="20"/>
                <w:lang w:eastAsia="en-US"/>
              </w:rPr>
            </w:pPr>
            <w:r w:rsidRPr="009709EF">
              <w:rPr>
                <w:rFonts w:ascii="Calibri" w:hAnsi="Calibri" w:cs="Calibri"/>
                <w:i/>
                <w:color w:val="FFFFFF"/>
                <w:sz w:val="2"/>
                <w:szCs w:val="20"/>
                <w:lang w:eastAsia="en-US"/>
              </w:rPr>
              <w:t>Empty Cell</w:t>
            </w:r>
          </w:p>
        </w:tc>
        <w:tc>
          <w:tcPr>
            <w:tcW w:w="1145" w:type="dxa"/>
            <w:tcBorders>
              <w:top w:val="single" w:sz="4" w:space="0" w:color="auto"/>
              <w:bottom w:val="single" w:sz="4" w:space="0" w:color="auto"/>
            </w:tcBorders>
          </w:tcPr>
          <w:p w14:paraId="55D42CBE" w14:textId="77777777" w:rsidR="009709EF" w:rsidRPr="009709EF" w:rsidRDefault="009709EF" w:rsidP="009709EF">
            <w:pPr>
              <w:jc w:val="right"/>
              <w:rPr>
                <w:rFonts w:ascii="Calibri" w:hAnsi="Calibri"/>
                <w:szCs w:val="20"/>
                <w:lang w:eastAsia="en-US"/>
              </w:rPr>
            </w:pPr>
            <w:r w:rsidRPr="009709EF">
              <w:rPr>
                <w:rFonts w:ascii="Calibri" w:hAnsi="Calibri"/>
                <w:szCs w:val="20"/>
                <w:lang w:eastAsia="en-US"/>
              </w:rPr>
              <w:t>2020-21</w:t>
            </w:r>
          </w:p>
          <w:p w14:paraId="47C55275" w14:textId="77777777" w:rsidR="009709EF" w:rsidRPr="009709EF" w:rsidRDefault="009709EF" w:rsidP="009709EF">
            <w:pPr>
              <w:jc w:val="right"/>
              <w:rPr>
                <w:rFonts w:ascii="Calibri" w:hAnsi="Calibri"/>
                <w:szCs w:val="20"/>
                <w:lang w:eastAsia="en-US"/>
              </w:rPr>
            </w:pPr>
            <w:r w:rsidRPr="009709EF">
              <w:rPr>
                <w:rFonts w:ascii="Calibri" w:hAnsi="Calibri"/>
                <w:szCs w:val="20"/>
                <w:lang w:eastAsia="en-US"/>
              </w:rPr>
              <w:t>$’000</w:t>
            </w:r>
          </w:p>
        </w:tc>
        <w:tc>
          <w:tcPr>
            <w:tcW w:w="1041" w:type="dxa"/>
            <w:tcBorders>
              <w:top w:val="single" w:sz="4" w:space="0" w:color="auto"/>
              <w:bottom w:val="single" w:sz="4" w:space="0" w:color="auto"/>
            </w:tcBorders>
          </w:tcPr>
          <w:p w14:paraId="77F93FBF" w14:textId="77777777" w:rsidR="009709EF" w:rsidRPr="009709EF" w:rsidRDefault="009709EF" w:rsidP="009709EF">
            <w:pPr>
              <w:jc w:val="right"/>
              <w:rPr>
                <w:rFonts w:ascii="Calibri" w:hAnsi="Calibri"/>
                <w:szCs w:val="20"/>
                <w:lang w:eastAsia="en-US"/>
              </w:rPr>
            </w:pPr>
            <w:r w:rsidRPr="009709EF">
              <w:rPr>
                <w:rFonts w:ascii="Calibri" w:hAnsi="Calibri"/>
                <w:szCs w:val="20"/>
                <w:lang w:eastAsia="en-US"/>
              </w:rPr>
              <w:t>2021-22</w:t>
            </w:r>
          </w:p>
          <w:p w14:paraId="300F7C26" w14:textId="77777777" w:rsidR="009709EF" w:rsidRPr="009709EF" w:rsidRDefault="009709EF" w:rsidP="009709EF">
            <w:pPr>
              <w:jc w:val="right"/>
              <w:rPr>
                <w:rFonts w:ascii="Calibri" w:hAnsi="Calibri"/>
                <w:szCs w:val="20"/>
                <w:lang w:eastAsia="en-US"/>
              </w:rPr>
            </w:pPr>
            <w:r w:rsidRPr="009709EF">
              <w:rPr>
                <w:rFonts w:ascii="Calibri" w:hAnsi="Calibri"/>
                <w:szCs w:val="20"/>
                <w:lang w:eastAsia="en-US"/>
              </w:rPr>
              <w:t>$’000</w:t>
            </w:r>
          </w:p>
        </w:tc>
        <w:tc>
          <w:tcPr>
            <w:tcW w:w="1029" w:type="dxa"/>
            <w:tcBorders>
              <w:top w:val="single" w:sz="4" w:space="0" w:color="auto"/>
              <w:bottom w:val="single" w:sz="4" w:space="0" w:color="auto"/>
            </w:tcBorders>
          </w:tcPr>
          <w:p w14:paraId="5D1A77B9" w14:textId="77777777" w:rsidR="009709EF" w:rsidRPr="009709EF" w:rsidRDefault="009709EF" w:rsidP="009709EF">
            <w:pPr>
              <w:jc w:val="right"/>
              <w:rPr>
                <w:rFonts w:ascii="Calibri" w:hAnsi="Calibri"/>
                <w:szCs w:val="20"/>
                <w:lang w:eastAsia="en-US"/>
              </w:rPr>
            </w:pPr>
            <w:r w:rsidRPr="009709EF">
              <w:rPr>
                <w:rFonts w:ascii="Calibri" w:hAnsi="Calibri"/>
                <w:szCs w:val="20"/>
                <w:lang w:eastAsia="en-US"/>
              </w:rPr>
              <w:t>2022-23</w:t>
            </w:r>
          </w:p>
          <w:p w14:paraId="5B6FDDB4" w14:textId="77777777" w:rsidR="009709EF" w:rsidRPr="009709EF" w:rsidRDefault="009709EF" w:rsidP="009709EF">
            <w:pPr>
              <w:jc w:val="right"/>
              <w:rPr>
                <w:rFonts w:ascii="Calibri" w:hAnsi="Calibri"/>
                <w:szCs w:val="20"/>
                <w:lang w:eastAsia="en-US"/>
              </w:rPr>
            </w:pPr>
            <w:r w:rsidRPr="009709EF">
              <w:rPr>
                <w:rFonts w:ascii="Calibri" w:hAnsi="Calibri"/>
                <w:szCs w:val="20"/>
                <w:lang w:eastAsia="en-US"/>
              </w:rPr>
              <w:t>$’000</w:t>
            </w:r>
          </w:p>
        </w:tc>
        <w:tc>
          <w:tcPr>
            <w:tcW w:w="1029" w:type="dxa"/>
            <w:tcBorders>
              <w:top w:val="single" w:sz="4" w:space="0" w:color="auto"/>
              <w:bottom w:val="single" w:sz="4" w:space="0" w:color="auto"/>
            </w:tcBorders>
          </w:tcPr>
          <w:p w14:paraId="6D993900" w14:textId="77777777" w:rsidR="009709EF" w:rsidRPr="009709EF" w:rsidRDefault="009709EF" w:rsidP="009709EF">
            <w:pPr>
              <w:jc w:val="right"/>
              <w:rPr>
                <w:rFonts w:ascii="Calibri" w:hAnsi="Calibri"/>
                <w:szCs w:val="20"/>
                <w:lang w:eastAsia="en-US"/>
              </w:rPr>
            </w:pPr>
            <w:r w:rsidRPr="009709EF">
              <w:rPr>
                <w:rFonts w:ascii="Calibri" w:hAnsi="Calibri"/>
                <w:szCs w:val="20"/>
                <w:lang w:eastAsia="en-US"/>
              </w:rPr>
              <w:t>2023-24</w:t>
            </w:r>
          </w:p>
          <w:p w14:paraId="2A2CA372" w14:textId="77777777" w:rsidR="009709EF" w:rsidRPr="009709EF" w:rsidRDefault="009709EF" w:rsidP="009709EF">
            <w:pPr>
              <w:jc w:val="right"/>
              <w:rPr>
                <w:rFonts w:ascii="Calibri" w:hAnsi="Calibri"/>
                <w:szCs w:val="20"/>
                <w:lang w:eastAsia="en-US"/>
              </w:rPr>
            </w:pPr>
            <w:r w:rsidRPr="009709EF">
              <w:rPr>
                <w:rFonts w:ascii="Calibri" w:hAnsi="Calibri"/>
                <w:szCs w:val="20"/>
                <w:lang w:eastAsia="en-US"/>
              </w:rPr>
              <w:t>$’000</w:t>
            </w:r>
          </w:p>
        </w:tc>
        <w:tc>
          <w:tcPr>
            <w:tcW w:w="1142" w:type="dxa"/>
            <w:tcBorders>
              <w:top w:val="single" w:sz="4" w:space="0" w:color="auto"/>
              <w:bottom w:val="single" w:sz="4" w:space="0" w:color="auto"/>
            </w:tcBorders>
          </w:tcPr>
          <w:p w14:paraId="0D871C5E" w14:textId="77777777" w:rsidR="009709EF" w:rsidRPr="009709EF" w:rsidRDefault="009709EF" w:rsidP="009709EF">
            <w:pPr>
              <w:jc w:val="right"/>
              <w:rPr>
                <w:rFonts w:ascii="Calibri" w:hAnsi="Calibri"/>
                <w:b/>
                <w:szCs w:val="20"/>
                <w:lang w:eastAsia="en-US"/>
              </w:rPr>
            </w:pPr>
            <w:r w:rsidRPr="009709EF">
              <w:rPr>
                <w:rFonts w:ascii="Calibri" w:hAnsi="Calibri"/>
                <w:b/>
                <w:szCs w:val="20"/>
                <w:lang w:eastAsia="en-US"/>
              </w:rPr>
              <w:t>Total</w:t>
            </w:r>
          </w:p>
          <w:p w14:paraId="1357EE5C" w14:textId="77777777" w:rsidR="009709EF" w:rsidRPr="009709EF" w:rsidRDefault="009709EF" w:rsidP="009709EF">
            <w:pPr>
              <w:jc w:val="right"/>
              <w:rPr>
                <w:rFonts w:ascii="Calibri" w:hAnsi="Calibri"/>
                <w:b/>
                <w:szCs w:val="20"/>
                <w:lang w:eastAsia="en-US"/>
              </w:rPr>
            </w:pPr>
            <w:r w:rsidRPr="009709EF">
              <w:rPr>
                <w:rFonts w:ascii="Calibri" w:hAnsi="Calibri"/>
                <w:b/>
                <w:szCs w:val="20"/>
                <w:lang w:eastAsia="en-US"/>
              </w:rPr>
              <w:t>$’000</w:t>
            </w:r>
          </w:p>
        </w:tc>
      </w:tr>
      <w:tr w:rsidR="009709EF" w:rsidRPr="009709EF" w14:paraId="590842A8" w14:textId="77777777" w:rsidTr="00D710B5">
        <w:trPr>
          <w:cantSplit/>
          <w:jc w:val="center"/>
        </w:trPr>
        <w:tc>
          <w:tcPr>
            <w:tcW w:w="3686" w:type="dxa"/>
          </w:tcPr>
          <w:p w14:paraId="0FED681C" w14:textId="77777777" w:rsidR="009709EF" w:rsidRPr="009709EF" w:rsidRDefault="009709EF" w:rsidP="009709EF">
            <w:pPr>
              <w:rPr>
                <w:rFonts w:ascii="Calibri" w:hAnsi="Calibri"/>
                <w:szCs w:val="20"/>
                <w:lang w:eastAsia="en-US"/>
              </w:rPr>
            </w:pPr>
            <w:r w:rsidRPr="009709EF">
              <w:rPr>
                <w:rFonts w:ascii="Calibri" w:hAnsi="Calibri"/>
                <w:szCs w:val="20"/>
                <w:lang w:eastAsia="en-US"/>
              </w:rPr>
              <w:t>Capital</w:t>
            </w:r>
          </w:p>
        </w:tc>
        <w:tc>
          <w:tcPr>
            <w:tcW w:w="1145" w:type="dxa"/>
          </w:tcPr>
          <w:p w14:paraId="21BFA40F" w14:textId="77777777" w:rsidR="009709EF" w:rsidRPr="009709EF" w:rsidRDefault="009709EF" w:rsidP="009709EF">
            <w:pPr>
              <w:jc w:val="right"/>
              <w:rPr>
                <w:rFonts w:ascii="Calibri" w:hAnsi="Calibri"/>
                <w:szCs w:val="20"/>
                <w:lang w:eastAsia="en-US"/>
              </w:rPr>
            </w:pPr>
            <w:r w:rsidRPr="009709EF">
              <w:rPr>
                <w:rFonts w:ascii="Calibri" w:hAnsi="Calibri" w:cs="Calibri"/>
                <w:szCs w:val="20"/>
                <w:lang w:eastAsia="en-US"/>
              </w:rPr>
              <w:t>8,125</w:t>
            </w:r>
          </w:p>
        </w:tc>
        <w:tc>
          <w:tcPr>
            <w:tcW w:w="1041" w:type="dxa"/>
          </w:tcPr>
          <w:p w14:paraId="50059B88" w14:textId="77777777" w:rsidR="009709EF" w:rsidRPr="009709EF" w:rsidRDefault="009709EF" w:rsidP="009709EF">
            <w:pPr>
              <w:jc w:val="right"/>
              <w:rPr>
                <w:rFonts w:ascii="Calibri" w:hAnsi="Calibri"/>
                <w:szCs w:val="20"/>
                <w:lang w:eastAsia="en-US"/>
              </w:rPr>
            </w:pPr>
            <w:r w:rsidRPr="009709EF">
              <w:rPr>
                <w:rFonts w:ascii="Calibri" w:hAnsi="Calibri" w:cs="Calibri"/>
                <w:szCs w:val="20"/>
                <w:lang w:eastAsia="en-US"/>
              </w:rPr>
              <w:t>31,300</w:t>
            </w:r>
          </w:p>
        </w:tc>
        <w:tc>
          <w:tcPr>
            <w:tcW w:w="1029" w:type="dxa"/>
          </w:tcPr>
          <w:p w14:paraId="022C8035" w14:textId="77777777" w:rsidR="009709EF" w:rsidRPr="009709EF" w:rsidRDefault="009709EF" w:rsidP="009709EF">
            <w:pPr>
              <w:jc w:val="right"/>
              <w:rPr>
                <w:rFonts w:ascii="Calibri" w:hAnsi="Calibri"/>
                <w:szCs w:val="20"/>
                <w:lang w:eastAsia="en-US"/>
              </w:rPr>
            </w:pPr>
            <w:r w:rsidRPr="009709EF">
              <w:rPr>
                <w:rFonts w:ascii="Calibri" w:hAnsi="Calibri" w:cs="Calibri"/>
                <w:szCs w:val="20"/>
                <w:lang w:eastAsia="en-US"/>
              </w:rPr>
              <w:t>31,300</w:t>
            </w:r>
          </w:p>
        </w:tc>
        <w:tc>
          <w:tcPr>
            <w:tcW w:w="1029" w:type="dxa"/>
          </w:tcPr>
          <w:p w14:paraId="003F35E4" w14:textId="77777777" w:rsidR="009709EF" w:rsidRPr="009709EF" w:rsidRDefault="009709EF" w:rsidP="009709EF">
            <w:pPr>
              <w:jc w:val="right"/>
              <w:rPr>
                <w:rFonts w:ascii="Calibri" w:hAnsi="Calibri"/>
                <w:szCs w:val="20"/>
                <w:lang w:eastAsia="en-US"/>
              </w:rPr>
            </w:pPr>
            <w:r w:rsidRPr="009709EF">
              <w:rPr>
                <w:rFonts w:ascii="Calibri" w:hAnsi="Calibri" w:cs="Calibri"/>
                <w:szCs w:val="20"/>
                <w:lang w:eastAsia="en-US"/>
              </w:rPr>
              <w:t>31,300</w:t>
            </w:r>
          </w:p>
        </w:tc>
        <w:tc>
          <w:tcPr>
            <w:tcW w:w="1142" w:type="dxa"/>
          </w:tcPr>
          <w:p w14:paraId="14032DFF" w14:textId="77777777" w:rsidR="009709EF" w:rsidRPr="009709EF" w:rsidRDefault="009709EF" w:rsidP="009709EF">
            <w:pPr>
              <w:jc w:val="right"/>
              <w:rPr>
                <w:rFonts w:ascii="Calibri" w:hAnsi="Calibri"/>
                <w:b/>
                <w:szCs w:val="20"/>
                <w:lang w:eastAsia="en-US"/>
              </w:rPr>
            </w:pPr>
            <w:r w:rsidRPr="009709EF">
              <w:rPr>
                <w:rFonts w:ascii="Calibri" w:hAnsi="Calibri" w:cs="Calibri"/>
                <w:b/>
                <w:szCs w:val="20"/>
                <w:lang w:eastAsia="en-US"/>
              </w:rPr>
              <w:t>102,025</w:t>
            </w:r>
          </w:p>
        </w:tc>
      </w:tr>
      <w:tr w:rsidR="009709EF" w:rsidRPr="009709EF" w14:paraId="275E63A6" w14:textId="77777777" w:rsidTr="00D710B5">
        <w:trPr>
          <w:cantSplit/>
          <w:jc w:val="center"/>
        </w:trPr>
        <w:tc>
          <w:tcPr>
            <w:tcW w:w="3686" w:type="dxa"/>
          </w:tcPr>
          <w:p w14:paraId="2CF20B5D" w14:textId="77777777" w:rsidR="009709EF" w:rsidRPr="009709EF" w:rsidRDefault="009709EF" w:rsidP="009709EF">
            <w:pPr>
              <w:rPr>
                <w:rFonts w:ascii="Calibri" w:hAnsi="Calibri"/>
                <w:szCs w:val="20"/>
                <w:lang w:eastAsia="en-US"/>
              </w:rPr>
            </w:pPr>
            <w:r w:rsidRPr="009709EF">
              <w:rPr>
                <w:rFonts w:ascii="Calibri" w:hAnsi="Calibri"/>
                <w:szCs w:val="20"/>
                <w:lang w:eastAsia="en-US"/>
              </w:rPr>
              <w:t>Offset – Capital</w:t>
            </w:r>
          </w:p>
        </w:tc>
        <w:tc>
          <w:tcPr>
            <w:tcW w:w="1145" w:type="dxa"/>
          </w:tcPr>
          <w:p w14:paraId="5CAAAA94" w14:textId="77777777" w:rsidR="009709EF" w:rsidRPr="009709EF" w:rsidRDefault="009709EF" w:rsidP="009709EF">
            <w:pPr>
              <w:jc w:val="right"/>
              <w:rPr>
                <w:rFonts w:ascii="Calibri" w:hAnsi="Calibri"/>
                <w:szCs w:val="20"/>
                <w:lang w:eastAsia="en-US"/>
              </w:rPr>
            </w:pPr>
            <w:r w:rsidRPr="009709EF">
              <w:rPr>
                <w:rFonts w:ascii="Calibri" w:hAnsi="Calibri" w:cs="Calibri"/>
                <w:szCs w:val="20"/>
                <w:lang w:eastAsia="en-US"/>
              </w:rPr>
              <w:t>-129</w:t>
            </w:r>
          </w:p>
        </w:tc>
        <w:tc>
          <w:tcPr>
            <w:tcW w:w="1041" w:type="dxa"/>
          </w:tcPr>
          <w:p w14:paraId="1A5EC7A9" w14:textId="77777777" w:rsidR="009709EF" w:rsidRPr="009709EF" w:rsidRDefault="009709EF" w:rsidP="009709EF">
            <w:pPr>
              <w:jc w:val="right"/>
              <w:rPr>
                <w:rFonts w:ascii="Calibri" w:hAnsi="Calibri"/>
                <w:szCs w:val="20"/>
                <w:lang w:eastAsia="en-US"/>
              </w:rPr>
            </w:pPr>
            <w:r w:rsidRPr="009709EF">
              <w:rPr>
                <w:rFonts w:ascii="Calibri" w:hAnsi="Calibri" w:cs="Calibri"/>
                <w:szCs w:val="20"/>
                <w:lang w:eastAsia="en-US"/>
              </w:rPr>
              <w:t>-3,745</w:t>
            </w:r>
          </w:p>
        </w:tc>
        <w:tc>
          <w:tcPr>
            <w:tcW w:w="1029" w:type="dxa"/>
          </w:tcPr>
          <w:p w14:paraId="411E5458" w14:textId="77777777" w:rsidR="009709EF" w:rsidRPr="009709EF" w:rsidRDefault="009709EF" w:rsidP="009709EF">
            <w:pPr>
              <w:jc w:val="right"/>
              <w:rPr>
                <w:rFonts w:ascii="Calibri" w:hAnsi="Calibri"/>
                <w:szCs w:val="20"/>
                <w:lang w:eastAsia="en-US"/>
              </w:rPr>
            </w:pPr>
            <w:r w:rsidRPr="009709EF">
              <w:rPr>
                <w:rFonts w:ascii="Calibri" w:hAnsi="Calibri" w:cs="Calibri"/>
                <w:szCs w:val="20"/>
                <w:lang w:eastAsia="en-US"/>
              </w:rPr>
              <w:t>-6,719</w:t>
            </w:r>
          </w:p>
        </w:tc>
        <w:tc>
          <w:tcPr>
            <w:tcW w:w="1029" w:type="dxa"/>
          </w:tcPr>
          <w:p w14:paraId="4396856A" w14:textId="77777777" w:rsidR="009709EF" w:rsidRPr="009709EF" w:rsidRDefault="009709EF" w:rsidP="009709EF">
            <w:pPr>
              <w:jc w:val="right"/>
              <w:rPr>
                <w:rFonts w:ascii="Calibri" w:hAnsi="Calibri"/>
                <w:szCs w:val="20"/>
                <w:lang w:eastAsia="en-US"/>
              </w:rPr>
            </w:pPr>
            <w:r w:rsidRPr="009709EF">
              <w:rPr>
                <w:rFonts w:ascii="Calibri" w:hAnsi="Calibri" w:cs="Calibri"/>
                <w:szCs w:val="20"/>
                <w:lang w:eastAsia="en-US"/>
              </w:rPr>
              <w:t>-9,692</w:t>
            </w:r>
          </w:p>
        </w:tc>
        <w:tc>
          <w:tcPr>
            <w:tcW w:w="1142" w:type="dxa"/>
          </w:tcPr>
          <w:p w14:paraId="00891E5C" w14:textId="77777777" w:rsidR="009709EF" w:rsidRPr="009709EF" w:rsidRDefault="009709EF" w:rsidP="009709EF">
            <w:pPr>
              <w:jc w:val="right"/>
              <w:rPr>
                <w:rFonts w:ascii="Calibri" w:hAnsi="Calibri"/>
                <w:b/>
                <w:szCs w:val="20"/>
                <w:lang w:eastAsia="en-US"/>
              </w:rPr>
            </w:pPr>
            <w:r w:rsidRPr="009709EF">
              <w:rPr>
                <w:rFonts w:ascii="Calibri" w:hAnsi="Calibri" w:cs="Calibri"/>
                <w:b/>
                <w:szCs w:val="20"/>
                <w:lang w:eastAsia="en-US"/>
              </w:rPr>
              <w:t>-20,285</w:t>
            </w:r>
          </w:p>
        </w:tc>
      </w:tr>
      <w:tr w:rsidR="009709EF" w:rsidRPr="009709EF" w14:paraId="601546A4" w14:textId="77777777" w:rsidTr="00D710B5">
        <w:trPr>
          <w:cantSplit/>
          <w:jc w:val="center"/>
        </w:trPr>
        <w:tc>
          <w:tcPr>
            <w:tcW w:w="3686" w:type="dxa"/>
            <w:tcBorders>
              <w:top w:val="single" w:sz="4" w:space="0" w:color="auto"/>
              <w:bottom w:val="single" w:sz="4" w:space="0" w:color="auto"/>
            </w:tcBorders>
          </w:tcPr>
          <w:p w14:paraId="6B21A1EF" w14:textId="77777777" w:rsidR="009709EF" w:rsidRPr="009709EF" w:rsidRDefault="009709EF" w:rsidP="009709EF">
            <w:pPr>
              <w:rPr>
                <w:rFonts w:ascii="Calibri" w:hAnsi="Calibri"/>
                <w:b/>
                <w:szCs w:val="20"/>
                <w:lang w:eastAsia="en-US"/>
              </w:rPr>
            </w:pPr>
            <w:r w:rsidRPr="009709EF">
              <w:rPr>
                <w:rFonts w:ascii="Calibri" w:hAnsi="Calibri"/>
                <w:b/>
                <w:szCs w:val="20"/>
                <w:lang w:eastAsia="en-US"/>
              </w:rPr>
              <w:t>Net capital</w:t>
            </w:r>
          </w:p>
        </w:tc>
        <w:tc>
          <w:tcPr>
            <w:tcW w:w="1145" w:type="dxa"/>
            <w:tcBorders>
              <w:top w:val="single" w:sz="4" w:space="0" w:color="auto"/>
              <w:bottom w:val="single" w:sz="4" w:space="0" w:color="auto"/>
            </w:tcBorders>
          </w:tcPr>
          <w:p w14:paraId="044E2FDF" w14:textId="77777777" w:rsidR="009709EF" w:rsidRPr="009709EF" w:rsidRDefault="009709EF" w:rsidP="009709EF">
            <w:pPr>
              <w:jc w:val="right"/>
              <w:rPr>
                <w:rFonts w:ascii="Calibri" w:hAnsi="Calibri"/>
                <w:b/>
                <w:szCs w:val="20"/>
                <w:lang w:eastAsia="en-US"/>
              </w:rPr>
            </w:pPr>
            <w:r w:rsidRPr="009709EF">
              <w:rPr>
                <w:rFonts w:ascii="Calibri" w:hAnsi="Calibri" w:cs="Calibri"/>
                <w:b/>
                <w:szCs w:val="20"/>
                <w:lang w:eastAsia="en-US"/>
              </w:rPr>
              <w:t>7,996</w:t>
            </w:r>
          </w:p>
        </w:tc>
        <w:tc>
          <w:tcPr>
            <w:tcW w:w="1041" w:type="dxa"/>
            <w:tcBorders>
              <w:top w:val="single" w:sz="4" w:space="0" w:color="auto"/>
              <w:bottom w:val="single" w:sz="4" w:space="0" w:color="auto"/>
            </w:tcBorders>
          </w:tcPr>
          <w:p w14:paraId="468F3861" w14:textId="77777777" w:rsidR="009709EF" w:rsidRPr="009709EF" w:rsidRDefault="009709EF" w:rsidP="009709EF">
            <w:pPr>
              <w:jc w:val="right"/>
              <w:rPr>
                <w:rFonts w:ascii="Calibri" w:hAnsi="Calibri"/>
                <w:b/>
                <w:szCs w:val="20"/>
                <w:lang w:eastAsia="en-US"/>
              </w:rPr>
            </w:pPr>
            <w:r w:rsidRPr="009709EF">
              <w:rPr>
                <w:rFonts w:ascii="Calibri" w:hAnsi="Calibri" w:cs="Calibri"/>
                <w:b/>
                <w:szCs w:val="20"/>
                <w:lang w:eastAsia="en-US"/>
              </w:rPr>
              <w:t>27,555</w:t>
            </w:r>
          </w:p>
        </w:tc>
        <w:tc>
          <w:tcPr>
            <w:tcW w:w="1029" w:type="dxa"/>
            <w:tcBorders>
              <w:top w:val="single" w:sz="4" w:space="0" w:color="auto"/>
              <w:bottom w:val="single" w:sz="4" w:space="0" w:color="auto"/>
            </w:tcBorders>
          </w:tcPr>
          <w:p w14:paraId="7F72CE2E" w14:textId="77777777" w:rsidR="009709EF" w:rsidRPr="009709EF" w:rsidRDefault="009709EF" w:rsidP="009709EF">
            <w:pPr>
              <w:jc w:val="right"/>
              <w:rPr>
                <w:rFonts w:ascii="Calibri" w:hAnsi="Calibri"/>
                <w:b/>
                <w:szCs w:val="20"/>
                <w:lang w:eastAsia="en-US"/>
              </w:rPr>
            </w:pPr>
            <w:r w:rsidRPr="009709EF">
              <w:rPr>
                <w:rFonts w:ascii="Calibri" w:hAnsi="Calibri" w:cs="Calibri"/>
                <w:b/>
                <w:szCs w:val="20"/>
                <w:lang w:eastAsia="en-US"/>
              </w:rPr>
              <w:t>24,581</w:t>
            </w:r>
          </w:p>
        </w:tc>
        <w:tc>
          <w:tcPr>
            <w:tcW w:w="1029" w:type="dxa"/>
            <w:tcBorders>
              <w:top w:val="single" w:sz="4" w:space="0" w:color="auto"/>
              <w:bottom w:val="single" w:sz="4" w:space="0" w:color="auto"/>
            </w:tcBorders>
          </w:tcPr>
          <w:p w14:paraId="725CBEF5" w14:textId="77777777" w:rsidR="009709EF" w:rsidRPr="009709EF" w:rsidRDefault="009709EF" w:rsidP="009709EF">
            <w:pPr>
              <w:jc w:val="right"/>
              <w:rPr>
                <w:rFonts w:ascii="Calibri" w:hAnsi="Calibri"/>
                <w:b/>
                <w:szCs w:val="20"/>
                <w:lang w:eastAsia="en-US"/>
              </w:rPr>
            </w:pPr>
            <w:r w:rsidRPr="009709EF">
              <w:rPr>
                <w:rFonts w:ascii="Calibri" w:hAnsi="Calibri" w:cs="Calibri"/>
                <w:b/>
                <w:szCs w:val="20"/>
                <w:lang w:eastAsia="en-US"/>
              </w:rPr>
              <w:t>21,608</w:t>
            </w:r>
          </w:p>
        </w:tc>
        <w:tc>
          <w:tcPr>
            <w:tcW w:w="1142" w:type="dxa"/>
            <w:tcBorders>
              <w:top w:val="single" w:sz="4" w:space="0" w:color="auto"/>
              <w:bottom w:val="single" w:sz="4" w:space="0" w:color="auto"/>
            </w:tcBorders>
          </w:tcPr>
          <w:p w14:paraId="6B16ADC5" w14:textId="77777777" w:rsidR="009709EF" w:rsidRPr="009709EF" w:rsidRDefault="009709EF" w:rsidP="009709EF">
            <w:pPr>
              <w:jc w:val="right"/>
              <w:rPr>
                <w:rFonts w:ascii="Calibri" w:hAnsi="Calibri"/>
                <w:b/>
                <w:szCs w:val="20"/>
                <w:lang w:eastAsia="en-US"/>
              </w:rPr>
            </w:pPr>
            <w:r w:rsidRPr="009709EF">
              <w:rPr>
                <w:rFonts w:ascii="Calibri" w:hAnsi="Calibri" w:cs="Calibri"/>
                <w:b/>
                <w:szCs w:val="20"/>
                <w:lang w:eastAsia="en-US"/>
              </w:rPr>
              <w:t>81,740</w:t>
            </w:r>
          </w:p>
        </w:tc>
      </w:tr>
      <w:tr w:rsidR="009709EF" w:rsidRPr="009709EF" w14:paraId="54CCFD7B" w14:textId="77777777" w:rsidTr="00D710B5">
        <w:trPr>
          <w:cantSplit/>
          <w:jc w:val="center"/>
        </w:trPr>
        <w:tc>
          <w:tcPr>
            <w:tcW w:w="3686" w:type="dxa"/>
            <w:tcBorders>
              <w:top w:val="single" w:sz="4" w:space="0" w:color="auto"/>
            </w:tcBorders>
          </w:tcPr>
          <w:p w14:paraId="2B43E6F5" w14:textId="77777777" w:rsidR="009709EF" w:rsidRPr="009709EF" w:rsidRDefault="009709EF" w:rsidP="009709EF">
            <w:pPr>
              <w:rPr>
                <w:rFonts w:ascii="Calibri" w:hAnsi="Calibri"/>
                <w:szCs w:val="20"/>
                <w:lang w:eastAsia="en-US"/>
              </w:rPr>
            </w:pPr>
            <w:r w:rsidRPr="009709EF">
              <w:rPr>
                <w:rFonts w:ascii="Calibri" w:hAnsi="Calibri"/>
                <w:szCs w:val="20"/>
                <w:lang w:eastAsia="en-US"/>
              </w:rPr>
              <w:t>Expenses – Cash</w:t>
            </w:r>
          </w:p>
        </w:tc>
        <w:tc>
          <w:tcPr>
            <w:tcW w:w="1145" w:type="dxa"/>
            <w:tcBorders>
              <w:top w:val="single" w:sz="4" w:space="0" w:color="auto"/>
            </w:tcBorders>
          </w:tcPr>
          <w:p w14:paraId="670015A0" w14:textId="77777777" w:rsidR="009709EF" w:rsidRPr="009709EF" w:rsidRDefault="009709EF" w:rsidP="009709EF">
            <w:pPr>
              <w:jc w:val="right"/>
              <w:rPr>
                <w:rFonts w:ascii="Calibri" w:hAnsi="Calibri" w:cs="Calibri"/>
                <w:szCs w:val="20"/>
                <w:lang w:eastAsia="en-US"/>
              </w:rPr>
            </w:pPr>
            <w:r w:rsidRPr="009709EF">
              <w:rPr>
                <w:rFonts w:ascii="Calibri" w:hAnsi="Calibri" w:cs="Calibri"/>
                <w:szCs w:val="20"/>
                <w:lang w:eastAsia="en-US"/>
              </w:rPr>
              <w:t>645</w:t>
            </w:r>
          </w:p>
        </w:tc>
        <w:tc>
          <w:tcPr>
            <w:tcW w:w="1041" w:type="dxa"/>
            <w:tcBorders>
              <w:top w:val="single" w:sz="4" w:space="0" w:color="auto"/>
            </w:tcBorders>
          </w:tcPr>
          <w:p w14:paraId="094A860D" w14:textId="77777777" w:rsidR="009709EF" w:rsidRPr="009709EF" w:rsidRDefault="009709EF" w:rsidP="009709EF">
            <w:pPr>
              <w:jc w:val="right"/>
              <w:rPr>
                <w:rFonts w:ascii="Calibri" w:hAnsi="Calibri" w:cs="Calibri"/>
                <w:szCs w:val="20"/>
                <w:lang w:eastAsia="en-US"/>
              </w:rPr>
            </w:pPr>
            <w:r w:rsidRPr="009709EF">
              <w:rPr>
                <w:rFonts w:ascii="Calibri" w:hAnsi="Calibri" w:cs="Calibri"/>
                <w:szCs w:val="20"/>
                <w:lang w:eastAsia="en-US"/>
              </w:rPr>
              <w:t>2,045</w:t>
            </w:r>
          </w:p>
        </w:tc>
        <w:tc>
          <w:tcPr>
            <w:tcW w:w="1029" w:type="dxa"/>
            <w:tcBorders>
              <w:top w:val="single" w:sz="4" w:space="0" w:color="auto"/>
            </w:tcBorders>
          </w:tcPr>
          <w:p w14:paraId="0B055BEB" w14:textId="77777777" w:rsidR="009709EF" w:rsidRPr="009709EF" w:rsidRDefault="009709EF" w:rsidP="009709EF">
            <w:pPr>
              <w:jc w:val="right"/>
              <w:rPr>
                <w:rFonts w:ascii="Calibri" w:hAnsi="Calibri" w:cs="Calibri"/>
                <w:szCs w:val="20"/>
                <w:lang w:eastAsia="en-US"/>
              </w:rPr>
            </w:pPr>
            <w:r w:rsidRPr="009709EF">
              <w:rPr>
                <w:rFonts w:ascii="Calibri" w:hAnsi="Calibri" w:cs="Calibri"/>
                <w:szCs w:val="20"/>
                <w:lang w:eastAsia="en-US"/>
              </w:rPr>
              <w:t>1,679</w:t>
            </w:r>
          </w:p>
        </w:tc>
        <w:tc>
          <w:tcPr>
            <w:tcW w:w="1029" w:type="dxa"/>
            <w:tcBorders>
              <w:top w:val="single" w:sz="4" w:space="0" w:color="auto"/>
            </w:tcBorders>
          </w:tcPr>
          <w:p w14:paraId="67A40CE0" w14:textId="77777777" w:rsidR="009709EF" w:rsidRPr="009709EF" w:rsidRDefault="009709EF" w:rsidP="009709EF">
            <w:pPr>
              <w:jc w:val="right"/>
              <w:rPr>
                <w:rFonts w:ascii="Calibri" w:hAnsi="Calibri" w:cs="Calibri"/>
                <w:szCs w:val="20"/>
                <w:lang w:eastAsia="en-US"/>
              </w:rPr>
            </w:pPr>
            <w:r w:rsidRPr="009709EF">
              <w:rPr>
                <w:rFonts w:ascii="Calibri" w:hAnsi="Calibri" w:cs="Calibri"/>
                <w:szCs w:val="20"/>
                <w:lang w:eastAsia="en-US"/>
              </w:rPr>
              <w:t>1,718</w:t>
            </w:r>
          </w:p>
        </w:tc>
        <w:tc>
          <w:tcPr>
            <w:tcW w:w="1142" w:type="dxa"/>
            <w:tcBorders>
              <w:top w:val="single" w:sz="4" w:space="0" w:color="auto"/>
            </w:tcBorders>
          </w:tcPr>
          <w:p w14:paraId="1B8EEAA8" w14:textId="77777777" w:rsidR="009709EF" w:rsidRPr="009709EF" w:rsidRDefault="009709EF" w:rsidP="009709EF">
            <w:pPr>
              <w:jc w:val="right"/>
              <w:rPr>
                <w:rFonts w:ascii="Calibri" w:hAnsi="Calibri" w:cs="Calibri"/>
                <w:b/>
                <w:szCs w:val="20"/>
                <w:lang w:eastAsia="en-US"/>
              </w:rPr>
            </w:pPr>
            <w:r w:rsidRPr="009709EF">
              <w:rPr>
                <w:rFonts w:ascii="Calibri" w:hAnsi="Calibri" w:cs="Calibri"/>
                <w:b/>
                <w:szCs w:val="20"/>
                <w:lang w:eastAsia="en-US"/>
              </w:rPr>
              <w:t>6,087</w:t>
            </w:r>
          </w:p>
        </w:tc>
      </w:tr>
      <w:tr w:rsidR="009709EF" w:rsidRPr="009709EF" w14:paraId="17F67648" w14:textId="77777777" w:rsidTr="00D710B5">
        <w:trPr>
          <w:cantSplit/>
          <w:jc w:val="center"/>
        </w:trPr>
        <w:tc>
          <w:tcPr>
            <w:tcW w:w="3686" w:type="dxa"/>
            <w:tcBorders>
              <w:bottom w:val="single" w:sz="4" w:space="0" w:color="auto"/>
            </w:tcBorders>
          </w:tcPr>
          <w:p w14:paraId="57253857" w14:textId="77777777" w:rsidR="009709EF" w:rsidRPr="009709EF" w:rsidRDefault="009709EF" w:rsidP="009709EF">
            <w:pPr>
              <w:rPr>
                <w:rFonts w:ascii="Calibri" w:hAnsi="Calibri"/>
                <w:szCs w:val="20"/>
                <w:lang w:eastAsia="en-US"/>
              </w:rPr>
            </w:pPr>
            <w:r w:rsidRPr="009709EF">
              <w:rPr>
                <w:rFonts w:ascii="Calibri" w:hAnsi="Calibri"/>
                <w:szCs w:val="20"/>
                <w:lang w:eastAsia="en-US"/>
              </w:rPr>
              <w:t>Expenses – Non-cash</w:t>
            </w:r>
          </w:p>
        </w:tc>
        <w:tc>
          <w:tcPr>
            <w:tcW w:w="1145" w:type="dxa"/>
            <w:tcBorders>
              <w:bottom w:val="single" w:sz="4" w:space="0" w:color="auto"/>
            </w:tcBorders>
          </w:tcPr>
          <w:p w14:paraId="49EF4795" w14:textId="77777777" w:rsidR="009709EF" w:rsidRPr="009709EF" w:rsidRDefault="009709EF" w:rsidP="009709EF">
            <w:pPr>
              <w:jc w:val="right"/>
              <w:rPr>
                <w:rFonts w:ascii="Calibri" w:hAnsi="Calibri" w:cs="Calibri"/>
                <w:szCs w:val="20"/>
                <w:lang w:eastAsia="en-US"/>
              </w:rPr>
            </w:pPr>
            <w:r w:rsidRPr="009709EF">
              <w:rPr>
                <w:rFonts w:ascii="Calibri" w:hAnsi="Calibri" w:cs="Calibri"/>
                <w:szCs w:val="20"/>
                <w:lang w:eastAsia="en-US"/>
              </w:rPr>
              <w:t>1,684</w:t>
            </w:r>
          </w:p>
        </w:tc>
        <w:tc>
          <w:tcPr>
            <w:tcW w:w="1041" w:type="dxa"/>
            <w:tcBorders>
              <w:bottom w:val="single" w:sz="4" w:space="0" w:color="auto"/>
            </w:tcBorders>
          </w:tcPr>
          <w:p w14:paraId="7B9A0122" w14:textId="77777777" w:rsidR="009709EF" w:rsidRPr="009709EF" w:rsidRDefault="009709EF" w:rsidP="009709EF">
            <w:pPr>
              <w:jc w:val="right"/>
              <w:rPr>
                <w:rFonts w:ascii="Calibri" w:hAnsi="Calibri" w:cs="Calibri"/>
                <w:szCs w:val="20"/>
                <w:lang w:eastAsia="en-US"/>
              </w:rPr>
            </w:pPr>
            <w:r w:rsidRPr="009709EF">
              <w:rPr>
                <w:rFonts w:ascii="Calibri" w:hAnsi="Calibri" w:cs="Calibri"/>
                <w:szCs w:val="20"/>
                <w:lang w:eastAsia="en-US"/>
              </w:rPr>
              <w:t>5,805</w:t>
            </w:r>
          </w:p>
        </w:tc>
        <w:tc>
          <w:tcPr>
            <w:tcW w:w="1029" w:type="dxa"/>
            <w:tcBorders>
              <w:bottom w:val="single" w:sz="4" w:space="0" w:color="auto"/>
            </w:tcBorders>
          </w:tcPr>
          <w:p w14:paraId="5E2A65AB" w14:textId="77777777" w:rsidR="009709EF" w:rsidRPr="009709EF" w:rsidRDefault="009709EF" w:rsidP="009709EF">
            <w:pPr>
              <w:jc w:val="right"/>
              <w:rPr>
                <w:rFonts w:ascii="Calibri" w:hAnsi="Calibri" w:cs="Calibri"/>
                <w:szCs w:val="20"/>
                <w:lang w:eastAsia="en-US"/>
              </w:rPr>
            </w:pPr>
            <w:r w:rsidRPr="009709EF">
              <w:rPr>
                <w:rFonts w:ascii="Calibri" w:hAnsi="Calibri" w:cs="Calibri"/>
                <w:szCs w:val="20"/>
                <w:lang w:eastAsia="en-US"/>
              </w:rPr>
              <w:t>4,877</w:t>
            </w:r>
          </w:p>
        </w:tc>
        <w:tc>
          <w:tcPr>
            <w:tcW w:w="1029" w:type="dxa"/>
            <w:tcBorders>
              <w:bottom w:val="single" w:sz="4" w:space="0" w:color="auto"/>
            </w:tcBorders>
          </w:tcPr>
          <w:p w14:paraId="1B8B35C1" w14:textId="77777777" w:rsidR="009709EF" w:rsidRPr="009709EF" w:rsidRDefault="009709EF" w:rsidP="009709EF">
            <w:pPr>
              <w:jc w:val="right"/>
              <w:rPr>
                <w:rFonts w:ascii="Calibri" w:hAnsi="Calibri" w:cs="Calibri"/>
                <w:szCs w:val="20"/>
                <w:lang w:eastAsia="en-US"/>
              </w:rPr>
            </w:pPr>
            <w:r w:rsidRPr="009709EF">
              <w:rPr>
                <w:rFonts w:ascii="Calibri" w:hAnsi="Calibri" w:cs="Calibri"/>
                <w:szCs w:val="20"/>
                <w:lang w:eastAsia="en-US"/>
              </w:rPr>
              <w:t>4,052</w:t>
            </w:r>
          </w:p>
        </w:tc>
        <w:tc>
          <w:tcPr>
            <w:tcW w:w="1142" w:type="dxa"/>
            <w:tcBorders>
              <w:bottom w:val="single" w:sz="4" w:space="0" w:color="auto"/>
            </w:tcBorders>
          </w:tcPr>
          <w:p w14:paraId="4699DE6B" w14:textId="77777777" w:rsidR="009709EF" w:rsidRPr="009709EF" w:rsidRDefault="009709EF" w:rsidP="009709EF">
            <w:pPr>
              <w:jc w:val="right"/>
              <w:rPr>
                <w:rFonts w:ascii="Calibri" w:hAnsi="Calibri" w:cs="Calibri"/>
                <w:b/>
                <w:szCs w:val="20"/>
                <w:lang w:eastAsia="en-US"/>
              </w:rPr>
            </w:pPr>
            <w:r w:rsidRPr="009709EF">
              <w:rPr>
                <w:rFonts w:ascii="Calibri" w:hAnsi="Calibri" w:cs="Calibri"/>
                <w:b/>
                <w:szCs w:val="20"/>
                <w:lang w:eastAsia="en-US"/>
              </w:rPr>
              <w:t>16,418</w:t>
            </w:r>
          </w:p>
        </w:tc>
      </w:tr>
      <w:tr w:rsidR="009709EF" w:rsidRPr="009709EF" w14:paraId="338FCD25" w14:textId="77777777" w:rsidTr="00D710B5">
        <w:trPr>
          <w:cantSplit/>
          <w:jc w:val="center"/>
        </w:trPr>
        <w:tc>
          <w:tcPr>
            <w:tcW w:w="3686" w:type="dxa"/>
            <w:tcBorders>
              <w:top w:val="single" w:sz="4" w:space="0" w:color="auto"/>
              <w:bottom w:val="single" w:sz="4" w:space="0" w:color="auto"/>
            </w:tcBorders>
          </w:tcPr>
          <w:p w14:paraId="65245F9A" w14:textId="77777777" w:rsidR="009709EF" w:rsidRPr="009709EF" w:rsidRDefault="009709EF" w:rsidP="009709EF">
            <w:pPr>
              <w:rPr>
                <w:rFonts w:ascii="Calibri" w:hAnsi="Calibri"/>
                <w:b/>
                <w:szCs w:val="20"/>
                <w:lang w:eastAsia="en-US"/>
              </w:rPr>
            </w:pPr>
            <w:r w:rsidRPr="009709EF">
              <w:rPr>
                <w:rFonts w:ascii="Calibri" w:hAnsi="Calibri"/>
                <w:b/>
                <w:szCs w:val="20"/>
                <w:lang w:eastAsia="en-US"/>
              </w:rPr>
              <w:t>Net cost of services</w:t>
            </w:r>
          </w:p>
        </w:tc>
        <w:tc>
          <w:tcPr>
            <w:tcW w:w="1145" w:type="dxa"/>
            <w:tcBorders>
              <w:top w:val="single" w:sz="4" w:space="0" w:color="auto"/>
              <w:bottom w:val="single" w:sz="4" w:space="0" w:color="auto"/>
            </w:tcBorders>
          </w:tcPr>
          <w:p w14:paraId="3F7480AB" w14:textId="77777777" w:rsidR="009709EF" w:rsidRPr="009709EF" w:rsidRDefault="009709EF" w:rsidP="009709EF">
            <w:pPr>
              <w:jc w:val="right"/>
              <w:rPr>
                <w:rFonts w:ascii="Calibri" w:hAnsi="Calibri" w:cs="Calibri"/>
                <w:b/>
                <w:szCs w:val="20"/>
                <w:lang w:eastAsia="en-US"/>
              </w:rPr>
            </w:pPr>
            <w:r w:rsidRPr="009709EF">
              <w:rPr>
                <w:rFonts w:ascii="Calibri" w:hAnsi="Calibri" w:cs="Calibri"/>
                <w:b/>
                <w:szCs w:val="20"/>
                <w:lang w:eastAsia="en-US"/>
              </w:rPr>
              <w:t>2,329</w:t>
            </w:r>
          </w:p>
        </w:tc>
        <w:tc>
          <w:tcPr>
            <w:tcW w:w="1041" w:type="dxa"/>
            <w:tcBorders>
              <w:top w:val="single" w:sz="4" w:space="0" w:color="auto"/>
              <w:bottom w:val="single" w:sz="4" w:space="0" w:color="auto"/>
            </w:tcBorders>
          </w:tcPr>
          <w:p w14:paraId="73790545" w14:textId="77777777" w:rsidR="009709EF" w:rsidRPr="009709EF" w:rsidRDefault="009709EF" w:rsidP="009709EF">
            <w:pPr>
              <w:jc w:val="right"/>
              <w:rPr>
                <w:rFonts w:ascii="Calibri" w:hAnsi="Calibri" w:cs="Calibri"/>
                <w:b/>
                <w:szCs w:val="20"/>
                <w:lang w:eastAsia="en-US"/>
              </w:rPr>
            </w:pPr>
            <w:r w:rsidRPr="009709EF">
              <w:rPr>
                <w:rFonts w:ascii="Calibri" w:hAnsi="Calibri" w:cs="Calibri"/>
                <w:b/>
                <w:szCs w:val="20"/>
                <w:lang w:eastAsia="en-US"/>
              </w:rPr>
              <w:t>7,850</w:t>
            </w:r>
          </w:p>
        </w:tc>
        <w:tc>
          <w:tcPr>
            <w:tcW w:w="1029" w:type="dxa"/>
            <w:tcBorders>
              <w:top w:val="single" w:sz="4" w:space="0" w:color="auto"/>
              <w:bottom w:val="single" w:sz="4" w:space="0" w:color="auto"/>
            </w:tcBorders>
          </w:tcPr>
          <w:p w14:paraId="04CC3084" w14:textId="77777777" w:rsidR="009709EF" w:rsidRPr="009709EF" w:rsidRDefault="009709EF" w:rsidP="009709EF">
            <w:pPr>
              <w:jc w:val="right"/>
              <w:rPr>
                <w:rFonts w:ascii="Calibri" w:hAnsi="Calibri" w:cs="Calibri"/>
                <w:b/>
                <w:szCs w:val="20"/>
                <w:lang w:eastAsia="en-US"/>
              </w:rPr>
            </w:pPr>
            <w:r w:rsidRPr="009709EF">
              <w:rPr>
                <w:rFonts w:ascii="Calibri" w:hAnsi="Calibri" w:cs="Calibri"/>
                <w:b/>
                <w:szCs w:val="20"/>
                <w:lang w:eastAsia="en-US"/>
              </w:rPr>
              <w:t>6,556</w:t>
            </w:r>
          </w:p>
        </w:tc>
        <w:tc>
          <w:tcPr>
            <w:tcW w:w="1029" w:type="dxa"/>
            <w:tcBorders>
              <w:top w:val="single" w:sz="4" w:space="0" w:color="auto"/>
              <w:bottom w:val="single" w:sz="4" w:space="0" w:color="auto"/>
            </w:tcBorders>
          </w:tcPr>
          <w:p w14:paraId="286DE297" w14:textId="77777777" w:rsidR="009709EF" w:rsidRPr="009709EF" w:rsidRDefault="009709EF" w:rsidP="009709EF">
            <w:pPr>
              <w:jc w:val="right"/>
              <w:rPr>
                <w:rFonts w:ascii="Calibri" w:hAnsi="Calibri" w:cs="Calibri"/>
                <w:b/>
                <w:szCs w:val="20"/>
                <w:lang w:eastAsia="en-US"/>
              </w:rPr>
            </w:pPr>
            <w:r w:rsidRPr="009709EF">
              <w:rPr>
                <w:rFonts w:ascii="Calibri" w:hAnsi="Calibri" w:cs="Calibri"/>
                <w:b/>
                <w:szCs w:val="20"/>
                <w:lang w:eastAsia="en-US"/>
              </w:rPr>
              <w:t>5,770</w:t>
            </w:r>
          </w:p>
        </w:tc>
        <w:tc>
          <w:tcPr>
            <w:tcW w:w="1142" w:type="dxa"/>
            <w:tcBorders>
              <w:top w:val="single" w:sz="4" w:space="0" w:color="auto"/>
              <w:bottom w:val="single" w:sz="4" w:space="0" w:color="auto"/>
            </w:tcBorders>
          </w:tcPr>
          <w:p w14:paraId="1A9A7BE5" w14:textId="77777777" w:rsidR="009709EF" w:rsidRPr="009709EF" w:rsidRDefault="009709EF" w:rsidP="009709EF">
            <w:pPr>
              <w:jc w:val="right"/>
              <w:rPr>
                <w:rFonts w:ascii="Calibri" w:hAnsi="Calibri" w:cs="Calibri"/>
                <w:b/>
                <w:szCs w:val="20"/>
                <w:lang w:eastAsia="en-US"/>
              </w:rPr>
            </w:pPr>
            <w:r w:rsidRPr="009709EF">
              <w:rPr>
                <w:rFonts w:ascii="Calibri" w:hAnsi="Calibri" w:cs="Calibri"/>
                <w:b/>
                <w:szCs w:val="20"/>
                <w:lang w:eastAsia="en-US"/>
              </w:rPr>
              <w:t>22,505</w:t>
            </w:r>
          </w:p>
        </w:tc>
      </w:tr>
    </w:tbl>
    <w:p w14:paraId="2EBDCCD3" w14:textId="77777777" w:rsidR="009709EF" w:rsidRPr="009709EF" w:rsidRDefault="009709EF" w:rsidP="009709EF">
      <w:pPr>
        <w:spacing w:before="120" w:after="120"/>
        <w:rPr>
          <w:rFonts w:ascii="Calibri" w:eastAsia="Calibri" w:hAnsi="Calibri"/>
          <w:lang w:eastAsia="en-US"/>
        </w:rPr>
      </w:pPr>
      <w:r w:rsidRPr="009709EF">
        <w:rPr>
          <w:rFonts w:ascii="Calibri" w:eastAsia="Calibri" w:hAnsi="Calibri"/>
          <w:lang w:eastAsia="en-US"/>
        </w:rPr>
        <w:t xml:space="preserve">The Government will implement a program of zero interest loans of up to $15,000 for households and not-for-profit community organisations to assist with the upfront costs of investing in: rooftop solar panels; household battery storage; zero emission vehicles; and efficient electric appliances. </w:t>
      </w:r>
    </w:p>
    <w:p w14:paraId="42677FF6" w14:textId="77777777" w:rsidR="009709EF" w:rsidRPr="009709EF" w:rsidRDefault="009709EF" w:rsidP="009709EF">
      <w:pPr>
        <w:spacing w:before="120" w:after="120"/>
        <w:rPr>
          <w:rFonts w:ascii="Calibri" w:eastAsia="Calibri" w:hAnsi="Calibri"/>
          <w:lang w:eastAsia="en-US"/>
        </w:rPr>
      </w:pPr>
      <w:r w:rsidRPr="009709EF">
        <w:rPr>
          <w:rFonts w:ascii="Calibri" w:eastAsia="Calibri" w:hAnsi="Calibri"/>
          <w:lang w:eastAsia="en-US"/>
        </w:rPr>
        <w:t>The program will also include an education and communications program focused on energy efficiency and the shift from gas to electric energy.</w:t>
      </w:r>
    </w:p>
    <w:p w14:paraId="17A4DAE2" w14:textId="77777777" w:rsidR="009709EF" w:rsidRPr="009709EF" w:rsidRDefault="009709EF" w:rsidP="009709EF">
      <w:pPr>
        <w:spacing w:before="120" w:after="120"/>
        <w:rPr>
          <w:rFonts w:ascii="Calibri" w:eastAsia="Calibri" w:hAnsi="Calibri"/>
          <w:lang w:eastAsia="en-US"/>
        </w:rPr>
      </w:pPr>
      <w:r w:rsidRPr="009709EF">
        <w:rPr>
          <w:rFonts w:ascii="Calibri" w:eastAsia="Calibri" w:hAnsi="Calibri"/>
          <w:lang w:eastAsia="en-US"/>
        </w:rPr>
        <w:t xml:space="preserve">Detailed design work will be undertaken in early 2021 ahead of the loans being progressively made available to the ACT community from mid-2021. </w:t>
      </w:r>
    </w:p>
    <w:p w14:paraId="78F344CF" w14:textId="77777777" w:rsidR="00126F78" w:rsidRPr="00126F78" w:rsidRDefault="00126F78" w:rsidP="00126F78">
      <w:pPr>
        <w:keepNext/>
        <w:keepLines/>
        <w:spacing w:before="240" w:after="120"/>
        <w:outlineLvl w:val="3"/>
        <w:rPr>
          <w:rFonts w:ascii="Calibri" w:hAnsi="Calibri"/>
          <w:b/>
          <w:iCs/>
          <w:sz w:val="28"/>
          <w:lang w:eastAsia="en-US"/>
        </w:rPr>
      </w:pPr>
      <w:r w:rsidRPr="00126F78">
        <w:rPr>
          <w:rFonts w:ascii="Calibri" w:hAnsi="Calibri"/>
          <w:b/>
          <w:iCs/>
          <w:sz w:val="28"/>
          <w:lang w:eastAsia="en-US"/>
        </w:rPr>
        <w:t xml:space="preserve">Vulnerable Household Energy Support </w:t>
      </w:r>
    </w:p>
    <w:tbl>
      <w:tblPr>
        <w:tblW w:w="8959" w:type="dxa"/>
        <w:jc w:val="center"/>
        <w:tblLayout w:type="fixed"/>
        <w:tblLook w:val="0000" w:firstRow="0" w:lastRow="0" w:firstColumn="0" w:lastColumn="0" w:noHBand="0" w:noVBand="0"/>
      </w:tblPr>
      <w:tblGrid>
        <w:gridCol w:w="3652"/>
        <w:gridCol w:w="1179"/>
        <w:gridCol w:w="1041"/>
        <w:gridCol w:w="1029"/>
        <w:gridCol w:w="1029"/>
        <w:gridCol w:w="1029"/>
      </w:tblGrid>
      <w:tr w:rsidR="00126F78" w:rsidRPr="00126F78" w14:paraId="141D448D" w14:textId="77777777" w:rsidTr="00601539">
        <w:trPr>
          <w:cantSplit/>
          <w:tblHeader/>
          <w:jc w:val="center"/>
        </w:trPr>
        <w:tc>
          <w:tcPr>
            <w:tcW w:w="3652" w:type="dxa"/>
            <w:tcBorders>
              <w:top w:val="single" w:sz="4" w:space="0" w:color="auto"/>
              <w:bottom w:val="single" w:sz="4" w:space="0" w:color="auto"/>
            </w:tcBorders>
          </w:tcPr>
          <w:p w14:paraId="27A3BEE0" w14:textId="77777777" w:rsidR="00126F78" w:rsidRPr="00126F78" w:rsidRDefault="00126F78" w:rsidP="00126F78">
            <w:pPr>
              <w:jc w:val="right"/>
              <w:rPr>
                <w:rFonts w:ascii="Calibri" w:hAnsi="Calibri" w:cs="Calibri"/>
                <w:color w:val="FFFFFF"/>
                <w:sz w:val="12"/>
                <w:szCs w:val="20"/>
                <w:lang w:eastAsia="en-US"/>
              </w:rPr>
            </w:pPr>
            <w:r w:rsidRPr="00126F78">
              <w:rPr>
                <w:rFonts w:ascii="Calibri" w:hAnsi="Calibri" w:cs="Calibri"/>
                <w:color w:val="FFFFFF"/>
                <w:sz w:val="12"/>
                <w:szCs w:val="20"/>
                <w:lang w:eastAsia="en-US"/>
              </w:rPr>
              <w:t>Empty Cell</w:t>
            </w:r>
          </w:p>
        </w:tc>
        <w:tc>
          <w:tcPr>
            <w:tcW w:w="1179" w:type="dxa"/>
            <w:tcBorders>
              <w:top w:val="single" w:sz="4" w:space="0" w:color="auto"/>
              <w:bottom w:val="single" w:sz="4" w:space="0" w:color="auto"/>
            </w:tcBorders>
          </w:tcPr>
          <w:p w14:paraId="4FDE4CA6" w14:textId="77777777" w:rsidR="00126F78" w:rsidRPr="00126F78" w:rsidRDefault="00126F78" w:rsidP="00126F78">
            <w:pPr>
              <w:jc w:val="right"/>
              <w:rPr>
                <w:rFonts w:ascii="Calibri" w:hAnsi="Calibri"/>
                <w:szCs w:val="20"/>
                <w:lang w:eastAsia="en-US"/>
              </w:rPr>
            </w:pPr>
            <w:r w:rsidRPr="00126F78">
              <w:rPr>
                <w:rFonts w:ascii="Calibri" w:hAnsi="Calibri"/>
                <w:szCs w:val="20"/>
                <w:lang w:eastAsia="en-US"/>
              </w:rPr>
              <w:t>2020-21</w:t>
            </w:r>
          </w:p>
          <w:p w14:paraId="1E2F5BC4" w14:textId="77777777" w:rsidR="00126F78" w:rsidRPr="00126F78" w:rsidRDefault="00126F78" w:rsidP="00126F78">
            <w:pPr>
              <w:jc w:val="right"/>
              <w:rPr>
                <w:rFonts w:ascii="Calibri" w:hAnsi="Calibri"/>
                <w:szCs w:val="20"/>
                <w:lang w:eastAsia="en-US"/>
              </w:rPr>
            </w:pPr>
            <w:r w:rsidRPr="00126F78">
              <w:rPr>
                <w:rFonts w:ascii="Calibri" w:hAnsi="Calibri"/>
                <w:szCs w:val="20"/>
                <w:lang w:eastAsia="en-US"/>
              </w:rPr>
              <w:t>$’000</w:t>
            </w:r>
          </w:p>
        </w:tc>
        <w:tc>
          <w:tcPr>
            <w:tcW w:w="1041" w:type="dxa"/>
            <w:tcBorders>
              <w:top w:val="single" w:sz="4" w:space="0" w:color="auto"/>
              <w:bottom w:val="single" w:sz="4" w:space="0" w:color="auto"/>
            </w:tcBorders>
          </w:tcPr>
          <w:p w14:paraId="19E0316B" w14:textId="77777777" w:rsidR="00126F78" w:rsidRPr="00126F78" w:rsidRDefault="00126F78" w:rsidP="00126F78">
            <w:pPr>
              <w:jc w:val="right"/>
              <w:rPr>
                <w:rFonts w:ascii="Calibri" w:hAnsi="Calibri"/>
                <w:szCs w:val="20"/>
                <w:lang w:eastAsia="en-US"/>
              </w:rPr>
            </w:pPr>
            <w:r w:rsidRPr="00126F78">
              <w:rPr>
                <w:rFonts w:ascii="Calibri" w:hAnsi="Calibri"/>
                <w:szCs w:val="20"/>
                <w:lang w:eastAsia="en-US"/>
              </w:rPr>
              <w:t>2021-22</w:t>
            </w:r>
          </w:p>
          <w:p w14:paraId="48D486B9" w14:textId="77777777" w:rsidR="00126F78" w:rsidRPr="00126F78" w:rsidRDefault="00126F78" w:rsidP="00126F78">
            <w:pPr>
              <w:jc w:val="right"/>
              <w:rPr>
                <w:rFonts w:ascii="Calibri" w:hAnsi="Calibri"/>
                <w:szCs w:val="20"/>
                <w:lang w:eastAsia="en-US"/>
              </w:rPr>
            </w:pPr>
            <w:r w:rsidRPr="00126F78">
              <w:rPr>
                <w:rFonts w:ascii="Calibri" w:hAnsi="Calibri"/>
                <w:szCs w:val="20"/>
                <w:lang w:eastAsia="en-US"/>
              </w:rPr>
              <w:t>$’000</w:t>
            </w:r>
          </w:p>
        </w:tc>
        <w:tc>
          <w:tcPr>
            <w:tcW w:w="1029" w:type="dxa"/>
            <w:tcBorders>
              <w:top w:val="single" w:sz="4" w:space="0" w:color="auto"/>
              <w:bottom w:val="single" w:sz="4" w:space="0" w:color="auto"/>
            </w:tcBorders>
          </w:tcPr>
          <w:p w14:paraId="1C415188" w14:textId="77777777" w:rsidR="00126F78" w:rsidRPr="00126F78" w:rsidRDefault="00126F78" w:rsidP="00126F78">
            <w:pPr>
              <w:jc w:val="right"/>
              <w:rPr>
                <w:rFonts w:ascii="Calibri" w:hAnsi="Calibri"/>
                <w:szCs w:val="20"/>
                <w:lang w:eastAsia="en-US"/>
              </w:rPr>
            </w:pPr>
            <w:r w:rsidRPr="00126F78">
              <w:rPr>
                <w:rFonts w:ascii="Calibri" w:hAnsi="Calibri"/>
                <w:szCs w:val="20"/>
                <w:lang w:eastAsia="en-US"/>
              </w:rPr>
              <w:t>2022-23</w:t>
            </w:r>
          </w:p>
          <w:p w14:paraId="10E19E95" w14:textId="77777777" w:rsidR="00126F78" w:rsidRPr="00126F78" w:rsidRDefault="00126F78" w:rsidP="00126F78">
            <w:pPr>
              <w:jc w:val="right"/>
              <w:rPr>
                <w:rFonts w:ascii="Calibri" w:hAnsi="Calibri"/>
                <w:szCs w:val="20"/>
                <w:lang w:eastAsia="en-US"/>
              </w:rPr>
            </w:pPr>
            <w:r w:rsidRPr="00126F78">
              <w:rPr>
                <w:rFonts w:ascii="Calibri" w:hAnsi="Calibri"/>
                <w:szCs w:val="20"/>
                <w:lang w:eastAsia="en-US"/>
              </w:rPr>
              <w:t>$’000</w:t>
            </w:r>
          </w:p>
        </w:tc>
        <w:tc>
          <w:tcPr>
            <w:tcW w:w="1029" w:type="dxa"/>
            <w:tcBorders>
              <w:top w:val="single" w:sz="4" w:space="0" w:color="auto"/>
              <w:bottom w:val="single" w:sz="4" w:space="0" w:color="auto"/>
            </w:tcBorders>
          </w:tcPr>
          <w:p w14:paraId="3A8D7B3E" w14:textId="77777777" w:rsidR="00126F78" w:rsidRPr="00126F78" w:rsidRDefault="00126F78" w:rsidP="00126F78">
            <w:pPr>
              <w:jc w:val="right"/>
              <w:rPr>
                <w:rFonts w:ascii="Calibri" w:hAnsi="Calibri"/>
                <w:szCs w:val="20"/>
                <w:lang w:eastAsia="en-US"/>
              </w:rPr>
            </w:pPr>
            <w:r w:rsidRPr="00126F78">
              <w:rPr>
                <w:rFonts w:ascii="Calibri" w:hAnsi="Calibri"/>
                <w:szCs w:val="20"/>
                <w:lang w:eastAsia="en-US"/>
              </w:rPr>
              <w:t>2023-24</w:t>
            </w:r>
          </w:p>
          <w:p w14:paraId="60BDCD71" w14:textId="77777777" w:rsidR="00126F78" w:rsidRPr="00126F78" w:rsidRDefault="00126F78" w:rsidP="00126F78">
            <w:pPr>
              <w:jc w:val="right"/>
              <w:rPr>
                <w:rFonts w:ascii="Calibri" w:hAnsi="Calibri"/>
                <w:szCs w:val="20"/>
                <w:lang w:eastAsia="en-US"/>
              </w:rPr>
            </w:pPr>
            <w:r w:rsidRPr="00126F78">
              <w:rPr>
                <w:rFonts w:ascii="Calibri" w:hAnsi="Calibri"/>
                <w:szCs w:val="20"/>
                <w:lang w:eastAsia="en-US"/>
              </w:rPr>
              <w:t>$’000</w:t>
            </w:r>
          </w:p>
        </w:tc>
        <w:tc>
          <w:tcPr>
            <w:tcW w:w="1029" w:type="dxa"/>
            <w:tcBorders>
              <w:top w:val="single" w:sz="4" w:space="0" w:color="auto"/>
              <w:bottom w:val="single" w:sz="4" w:space="0" w:color="auto"/>
            </w:tcBorders>
          </w:tcPr>
          <w:p w14:paraId="6C7F52AC" w14:textId="77777777" w:rsidR="00126F78" w:rsidRPr="00126F78" w:rsidRDefault="00126F78" w:rsidP="00126F78">
            <w:pPr>
              <w:jc w:val="right"/>
              <w:rPr>
                <w:rFonts w:ascii="Calibri" w:hAnsi="Calibri"/>
                <w:b/>
                <w:szCs w:val="20"/>
                <w:lang w:eastAsia="en-US"/>
              </w:rPr>
            </w:pPr>
            <w:r w:rsidRPr="00126F78">
              <w:rPr>
                <w:rFonts w:ascii="Calibri" w:hAnsi="Calibri"/>
                <w:b/>
                <w:szCs w:val="20"/>
                <w:lang w:eastAsia="en-US"/>
              </w:rPr>
              <w:t>Total</w:t>
            </w:r>
          </w:p>
          <w:p w14:paraId="6B937C87" w14:textId="77777777" w:rsidR="00126F78" w:rsidRPr="00126F78" w:rsidRDefault="00126F78" w:rsidP="00126F78">
            <w:pPr>
              <w:jc w:val="right"/>
              <w:rPr>
                <w:rFonts w:ascii="Calibri" w:hAnsi="Calibri"/>
                <w:b/>
                <w:szCs w:val="20"/>
                <w:lang w:eastAsia="en-US"/>
              </w:rPr>
            </w:pPr>
            <w:r w:rsidRPr="00126F78">
              <w:rPr>
                <w:rFonts w:ascii="Calibri" w:hAnsi="Calibri"/>
                <w:b/>
                <w:szCs w:val="20"/>
                <w:lang w:eastAsia="en-US"/>
              </w:rPr>
              <w:t>$’000</w:t>
            </w:r>
          </w:p>
        </w:tc>
      </w:tr>
      <w:tr w:rsidR="00126F78" w:rsidRPr="00126F78" w14:paraId="2CB3E57F" w14:textId="77777777" w:rsidTr="00D710B5">
        <w:trPr>
          <w:cantSplit/>
          <w:jc w:val="center"/>
        </w:trPr>
        <w:tc>
          <w:tcPr>
            <w:tcW w:w="3652" w:type="dxa"/>
            <w:tcBorders>
              <w:bottom w:val="single" w:sz="4" w:space="0" w:color="auto"/>
            </w:tcBorders>
          </w:tcPr>
          <w:p w14:paraId="41DB924A" w14:textId="77777777" w:rsidR="00126F78" w:rsidRPr="00126F78" w:rsidRDefault="00126F78" w:rsidP="00126F78">
            <w:pPr>
              <w:rPr>
                <w:rFonts w:ascii="Calibri" w:hAnsi="Calibri"/>
                <w:szCs w:val="20"/>
                <w:lang w:eastAsia="en-US"/>
              </w:rPr>
            </w:pPr>
            <w:r w:rsidRPr="00126F78">
              <w:rPr>
                <w:rFonts w:ascii="Calibri" w:hAnsi="Calibri"/>
                <w:szCs w:val="20"/>
                <w:lang w:eastAsia="en-US"/>
              </w:rPr>
              <w:t>Capital – Provision</w:t>
            </w:r>
          </w:p>
        </w:tc>
        <w:tc>
          <w:tcPr>
            <w:tcW w:w="1179" w:type="dxa"/>
            <w:tcBorders>
              <w:bottom w:val="single" w:sz="4" w:space="0" w:color="auto"/>
            </w:tcBorders>
          </w:tcPr>
          <w:p w14:paraId="1F87FC26" w14:textId="77777777" w:rsidR="00126F78" w:rsidRPr="00126F78" w:rsidRDefault="00126F78" w:rsidP="00126F78">
            <w:pPr>
              <w:jc w:val="right"/>
              <w:rPr>
                <w:rFonts w:ascii="Calibri" w:hAnsi="Calibri"/>
                <w:szCs w:val="20"/>
                <w:lang w:eastAsia="en-US"/>
              </w:rPr>
            </w:pPr>
            <w:r w:rsidRPr="00126F78">
              <w:rPr>
                <w:rFonts w:ascii="Calibri" w:hAnsi="Calibri"/>
                <w:szCs w:val="20"/>
                <w:lang w:eastAsia="en-US"/>
              </w:rPr>
              <w:t>0</w:t>
            </w:r>
          </w:p>
        </w:tc>
        <w:tc>
          <w:tcPr>
            <w:tcW w:w="1041" w:type="dxa"/>
            <w:tcBorders>
              <w:bottom w:val="single" w:sz="4" w:space="0" w:color="auto"/>
            </w:tcBorders>
          </w:tcPr>
          <w:p w14:paraId="3EE0FA6C" w14:textId="77777777" w:rsidR="00126F78" w:rsidRPr="00126F78" w:rsidRDefault="00126F78" w:rsidP="00126F78">
            <w:pPr>
              <w:jc w:val="right"/>
              <w:rPr>
                <w:rFonts w:ascii="Calibri" w:hAnsi="Calibri"/>
                <w:szCs w:val="20"/>
                <w:lang w:eastAsia="en-US"/>
              </w:rPr>
            </w:pPr>
            <w:r w:rsidRPr="00126F78">
              <w:rPr>
                <w:rFonts w:ascii="Calibri" w:hAnsi="Calibri"/>
                <w:szCs w:val="20"/>
                <w:lang w:eastAsia="en-US"/>
              </w:rPr>
              <w:t>12,337</w:t>
            </w:r>
          </w:p>
        </w:tc>
        <w:tc>
          <w:tcPr>
            <w:tcW w:w="1029" w:type="dxa"/>
            <w:tcBorders>
              <w:bottom w:val="single" w:sz="4" w:space="0" w:color="auto"/>
            </w:tcBorders>
          </w:tcPr>
          <w:p w14:paraId="57F3D90D" w14:textId="77777777" w:rsidR="00126F78" w:rsidRPr="00126F78" w:rsidRDefault="00126F78" w:rsidP="00126F78">
            <w:pPr>
              <w:jc w:val="right"/>
              <w:rPr>
                <w:rFonts w:ascii="Calibri" w:hAnsi="Calibri"/>
                <w:szCs w:val="20"/>
                <w:lang w:eastAsia="en-US"/>
              </w:rPr>
            </w:pPr>
            <w:r w:rsidRPr="00126F78">
              <w:rPr>
                <w:rFonts w:ascii="Calibri" w:hAnsi="Calibri"/>
                <w:szCs w:val="20"/>
                <w:lang w:eastAsia="en-US"/>
              </w:rPr>
              <w:t>12,337</w:t>
            </w:r>
          </w:p>
        </w:tc>
        <w:tc>
          <w:tcPr>
            <w:tcW w:w="1029" w:type="dxa"/>
            <w:tcBorders>
              <w:bottom w:val="single" w:sz="4" w:space="0" w:color="auto"/>
            </w:tcBorders>
          </w:tcPr>
          <w:p w14:paraId="40DA9D11" w14:textId="77777777" w:rsidR="00126F78" w:rsidRPr="00126F78" w:rsidRDefault="00126F78" w:rsidP="00126F78">
            <w:pPr>
              <w:jc w:val="right"/>
              <w:rPr>
                <w:rFonts w:ascii="Calibri" w:hAnsi="Calibri"/>
                <w:szCs w:val="20"/>
                <w:lang w:eastAsia="en-US"/>
              </w:rPr>
            </w:pPr>
            <w:r w:rsidRPr="00126F78">
              <w:rPr>
                <w:rFonts w:ascii="Calibri" w:hAnsi="Calibri"/>
                <w:szCs w:val="20"/>
                <w:lang w:eastAsia="en-US"/>
              </w:rPr>
              <w:t>12,337</w:t>
            </w:r>
          </w:p>
        </w:tc>
        <w:tc>
          <w:tcPr>
            <w:tcW w:w="1029" w:type="dxa"/>
            <w:tcBorders>
              <w:bottom w:val="single" w:sz="4" w:space="0" w:color="auto"/>
            </w:tcBorders>
          </w:tcPr>
          <w:p w14:paraId="1DC86ABF" w14:textId="77777777" w:rsidR="00126F78" w:rsidRPr="00126F78" w:rsidRDefault="00126F78" w:rsidP="00126F78">
            <w:pPr>
              <w:jc w:val="right"/>
              <w:rPr>
                <w:rFonts w:ascii="Calibri" w:hAnsi="Calibri"/>
                <w:b/>
                <w:szCs w:val="20"/>
                <w:lang w:eastAsia="en-US"/>
              </w:rPr>
            </w:pPr>
            <w:r w:rsidRPr="00126F78">
              <w:rPr>
                <w:rFonts w:ascii="Calibri" w:hAnsi="Calibri"/>
                <w:b/>
                <w:szCs w:val="20"/>
                <w:lang w:eastAsia="en-US"/>
              </w:rPr>
              <w:t>37,011</w:t>
            </w:r>
          </w:p>
        </w:tc>
      </w:tr>
      <w:tr w:rsidR="00126F78" w:rsidRPr="00126F78" w14:paraId="75172B9C" w14:textId="77777777" w:rsidTr="00D710B5">
        <w:trPr>
          <w:cantSplit/>
          <w:jc w:val="center"/>
        </w:trPr>
        <w:tc>
          <w:tcPr>
            <w:tcW w:w="3652" w:type="dxa"/>
          </w:tcPr>
          <w:p w14:paraId="0C781740" w14:textId="77777777" w:rsidR="00126F78" w:rsidRPr="00126F78" w:rsidRDefault="00126F78" w:rsidP="00126F78">
            <w:pPr>
              <w:rPr>
                <w:rFonts w:ascii="Calibri" w:hAnsi="Calibri"/>
                <w:szCs w:val="20"/>
                <w:lang w:eastAsia="en-US"/>
              </w:rPr>
            </w:pPr>
            <w:r w:rsidRPr="00126F78">
              <w:rPr>
                <w:rFonts w:ascii="Calibri" w:hAnsi="Calibri"/>
                <w:szCs w:val="20"/>
                <w:lang w:eastAsia="en-US"/>
              </w:rPr>
              <w:t>Expenses</w:t>
            </w:r>
          </w:p>
        </w:tc>
        <w:tc>
          <w:tcPr>
            <w:tcW w:w="1179" w:type="dxa"/>
          </w:tcPr>
          <w:p w14:paraId="7620AB1E" w14:textId="77777777" w:rsidR="00126F78" w:rsidRPr="00126F78" w:rsidRDefault="00126F78" w:rsidP="00126F78">
            <w:pPr>
              <w:jc w:val="right"/>
              <w:rPr>
                <w:rFonts w:ascii="Calibri" w:hAnsi="Calibri"/>
                <w:szCs w:val="20"/>
                <w:lang w:eastAsia="en-US"/>
              </w:rPr>
            </w:pPr>
            <w:r w:rsidRPr="00126F78">
              <w:rPr>
                <w:rFonts w:ascii="Calibri" w:hAnsi="Calibri"/>
                <w:szCs w:val="20"/>
                <w:lang w:eastAsia="en-US"/>
              </w:rPr>
              <w:t>219</w:t>
            </w:r>
          </w:p>
        </w:tc>
        <w:tc>
          <w:tcPr>
            <w:tcW w:w="1041" w:type="dxa"/>
          </w:tcPr>
          <w:p w14:paraId="5E5198EE" w14:textId="77777777" w:rsidR="00126F78" w:rsidRPr="00126F78" w:rsidRDefault="00126F78" w:rsidP="00126F78">
            <w:pPr>
              <w:jc w:val="right"/>
              <w:rPr>
                <w:rFonts w:ascii="Calibri" w:hAnsi="Calibri"/>
                <w:szCs w:val="20"/>
                <w:lang w:eastAsia="en-US"/>
              </w:rPr>
            </w:pPr>
            <w:r w:rsidRPr="00126F78">
              <w:rPr>
                <w:rFonts w:ascii="Calibri" w:hAnsi="Calibri"/>
                <w:szCs w:val="20"/>
                <w:lang w:eastAsia="en-US"/>
              </w:rPr>
              <w:t>0</w:t>
            </w:r>
          </w:p>
        </w:tc>
        <w:tc>
          <w:tcPr>
            <w:tcW w:w="1029" w:type="dxa"/>
          </w:tcPr>
          <w:p w14:paraId="7B64C630" w14:textId="77777777" w:rsidR="00126F78" w:rsidRPr="00126F78" w:rsidRDefault="00126F78" w:rsidP="00126F78">
            <w:pPr>
              <w:jc w:val="right"/>
              <w:rPr>
                <w:rFonts w:ascii="Calibri" w:hAnsi="Calibri"/>
                <w:szCs w:val="20"/>
                <w:lang w:eastAsia="en-US"/>
              </w:rPr>
            </w:pPr>
            <w:r w:rsidRPr="00126F78">
              <w:rPr>
                <w:rFonts w:ascii="Calibri" w:hAnsi="Calibri"/>
                <w:szCs w:val="20"/>
                <w:lang w:eastAsia="en-US"/>
              </w:rPr>
              <w:t>0</w:t>
            </w:r>
          </w:p>
        </w:tc>
        <w:tc>
          <w:tcPr>
            <w:tcW w:w="1029" w:type="dxa"/>
          </w:tcPr>
          <w:p w14:paraId="64141692" w14:textId="77777777" w:rsidR="00126F78" w:rsidRPr="00126F78" w:rsidRDefault="00126F78" w:rsidP="00126F78">
            <w:pPr>
              <w:jc w:val="right"/>
              <w:rPr>
                <w:rFonts w:ascii="Calibri" w:hAnsi="Calibri"/>
                <w:szCs w:val="20"/>
                <w:lang w:eastAsia="en-US"/>
              </w:rPr>
            </w:pPr>
            <w:r w:rsidRPr="00126F78">
              <w:rPr>
                <w:rFonts w:ascii="Calibri" w:hAnsi="Calibri"/>
                <w:szCs w:val="20"/>
                <w:lang w:eastAsia="en-US"/>
              </w:rPr>
              <w:t>0</w:t>
            </w:r>
          </w:p>
        </w:tc>
        <w:tc>
          <w:tcPr>
            <w:tcW w:w="1029" w:type="dxa"/>
          </w:tcPr>
          <w:p w14:paraId="71B2D80C" w14:textId="77777777" w:rsidR="00126F78" w:rsidRPr="00126F78" w:rsidRDefault="00126F78" w:rsidP="00126F78">
            <w:pPr>
              <w:jc w:val="right"/>
              <w:rPr>
                <w:rFonts w:ascii="Calibri" w:hAnsi="Calibri"/>
                <w:b/>
                <w:szCs w:val="20"/>
                <w:lang w:eastAsia="en-US"/>
              </w:rPr>
            </w:pPr>
            <w:r w:rsidRPr="00126F78">
              <w:rPr>
                <w:rFonts w:ascii="Calibri" w:hAnsi="Calibri"/>
                <w:b/>
                <w:szCs w:val="20"/>
                <w:lang w:eastAsia="en-US"/>
              </w:rPr>
              <w:t>219</w:t>
            </w:r>
          </w:p>
        </w:tc>
      </w:tr>
      <w:tr w:rsidR="00126F78" w:rsidRPr="00126F78" w14:paraId="1CC5B173" w14:textId="77777777" w:rsidTr="00D710B5">
        <w:trPr>
          <w:cantSplit/>
          <w:jc w:val="center"/>
        </w:trPr>
        <w:tc>
          <w:tcPr>
            <w:tcW w:w="3652" w:type="dxa"/>
          </w:tcPr>
          <w:p w14:paraId="14F0E534" w14:textId="77777777" w:rsidR="00126F78" w:rsidRPr="00126F78" w:rsidRDefault="00126F78" w:rsidP="00126F78">
            <w:pPr>
              <w:rPr>
                <w:rFonts w:ascii="Calibri" w:hAnsi="Calibri"/>
                <w:szCs w:val="20"/>
                <w:lang w:eastAsia="en-US"/>
              </w:rPr>
            </w:pPr>
            <w:r w:rsidRPr="00126F78">
              <w:rPr>
                <w:rFonts w:ascii="Calibri" w:hAnsi="Calibri"/>
                <w:szCs w:val="20"/>
                <w:lang w:eastAsia="en-US"/>
              </w:rPr>
              <w:t>Expenses – Provision</w:t>
            </w:r>
          </w:p>
        </w:tc>
        <w:tc>
          <w:tcPr>
            <w:tcW w:w="1179" w:type="dxa"/>
          </w:tcPr>
          <w:p w14:paraId="7895B429" w14:textId="77777777" w:rsidR="00126F78" w:rsidRPr="00126F78" w:rsidRDefault="00126F78" w:rsidP="00126F78">
            <w:pPr>
              <w:jc w:val="right"/>
              <w:rPr>
                <w:rFonts w:ascii="Calibri" w:hAnsi="Calibri"/>
                <w:szCs w:val="20"/>
                <w:lang w:eastAsia="en-US"/>
              </w:rPr>
            </w:pPr>
            <w:r w:rsidRPr="00126F78">
              <w:rPr>
                <w:rFonts w:ascii="Calibri" w:hAnsi="Calibri"/>
                <w:szCs w:val="20"/>
                <w:lang w:eastAsia="en-US"/>
              </w:rPr>
              <w:t>0</w:t>
            </w:r>
          </w:p>
        </w:tc>
        <w:tc>
          <w:tcPr>
            <w:tcW w:w="1041" w:type="dxa"/>
          </w:tcPr>
          <w:p w14:paraId="222D728C" w14:textId="77777777" w:rsidR="00126F78" w:rsidRPr="00126F78" w:rsidRDefault="00126F78" w:rsidP="00126F78">
            <w:pPr>
              <w:jc w:val="right"/>
              <w:rPr>
                <w:rFonts w:ascii="Calibri" w:hAnsi="Calibri"/>
                <w:szCs w:val="20"/>
                <w:lang w:eastAsia="en-US"/>
              </w:rPr>
            </w:pPr>
            <w:r w:rsidRPr="00126F78">
              <w:rPr>
                <w:rFonts w:ascii="Calibri" w:hAnsi="Calibri"/>
                <w:szCs w:val="20"/>
                <w:lang w:eastAsia="en-US"/>
              </w:rPr>
              <w:t>125</w:t>
            </w:r>
          </w:p>
        </w:tc>
        <w:tc>
          <w:tcPr>
            <w:tcW w:w="1029" w:type="dxa"/>
          </w:tcPr>
          <w:p w14:paraId="44901CD5" w14:textId="77777777" w:rsidR="00126F78" w:rsidRPr="00126F78" w:rsidRDefault="00126F78" w:rsidP="00126F78">
            <w:pPr>
              <w:jc w:val="right"/>
              <w:rPr>
                <w:rFonts w:ascii="Calibri" w:hAnsi="Calibri"/>
                <w:szCs w:val="20"/>
                <w:lang w:eastAsia="en-US"/>
              </w:rPr>
            </w:pPr>
            <w:r w:rsidRPr="00126F78">
              <w:rPr>
                <w:rFonts w:ascii="Calibri" w:hAnsi="Calibri"/>
                <w:szCs w:val="20"/>
                <w:lang w:eastAsia="en-US"/>
              </w:rPr>
              <w:t>125</w:t>
            </w:r>
          </w:p>
        </w:tc>
        <w:tc>
          <w:tcPr>
            <w:tcW w:w="1029" w:type="dxa"/>
          </w:tcPr>
          <w:p w14:paraId="67AEE527" w14:textId="77777777" w:rsidR="00126F78" w:rsidRPr="00126F78" w:rsidRDefault="00126F78" w:rsidP="00126F78">
            <w:pPr>
              <w:jc w:val="right"/>
              <w:rPr>
                <w:rFonts w:ascii="Calibri" w:hAnsi="Calibri"/>
                <w:szCs w:val="20"/>
                <w:lang w:eastAsia="en-US"/>
              </w:rPr>
            </w:pPr>
            <w:r w:rsidRPr="00126F78">
              <w:rPr>
                <w:rFonts w:ascii="Calibri" w:hAnsi="Calibri"/>
                <w:szCs w:val="20"/>
                <w:lang w:eastAsia="en-US"/>
              </w:rPr>
              <w:t>125</w:t>
            </w:r>
          </w:p>
        </w:tc>
        <w:tc>
          <w:tcPr>
            <w:tcW w:w="1029" w:type="dxa"/>
          </w:tcPr>
          <w:p w14:paraId="3B99F7D6" w14:textId="77777777" w:rsidR="00126F78" w:rsidRPr="00126F78" w:rsidRDefault="00126F78" w:rsidP="00126F78">
            <w:pPr>
              <w:jc w:val="right"/>
              <w:rPr>
                <w:rFonts w:ascii="Calibri" w:hAnsi="Calibri"/>
                <w:b/>
                <w:szCs w:val="20"/>
                <w:lang w:eastAsia="en-US"/>
              </w:rPr>
            </w:pPr>
            <w:r w:rsidRPr="00126F78">
              <w:rPr>
                <w:rFonts w:ascii="Calibri" w:hAnsi="Calibri"/>
                <w:b/>
                <w:szCs w:val="20"/>
                <w:lang w:eastAsia="en-US"/>
              </w:rPr>
              <w:t>375</w:t>
            </w:r>
          </w:p>
        </w:tc>
      </w:tr>
      <w:tr w:rsidR="00126F78" w:rsidRPr="00126F78" w14:paraId="364E5783" w14:textId="77777777" w:rsidTr="00D710B5">
        <w:trPr>
          <w:cantSplit/>
          <w:jc w:val="center"/>
        </w:trPr>
        <w:tc>
          <w:tcPr>
            <w:tcW w:w="3652" w:type="dxa"/>
            <w:tcBorders>
              <w:top w:val="single" w:sz="4" w:space="0" w:color="auto"/>
              <w:bottom w:val="single" w:sz="4" w:space="0" w:color="auto"/>
            </w:tcBorders>
          </w:tcPr>
          <w:p w14:paraId="6735410C" w14:textId="77777777" w:rsidR="00126F78" w:rsidRPr="00126F78" w:rsidRDefault="00126F78" w:rsidP="00126F78">
            <w:pPr>
              <w:rPr>
                <w:rFonts w:ascii="Calibri" w:hAnsi="Calibri"/>
                <w:b/>
                <w:szCs w:val="20"/>
                <w:lang w:eastAsia="en-US"/>
              </w:rPr>
            </w:pPr>
            <w:r w:rsidRPr="00126F78">
              <w:rPr>
                <w:rFonts w:ascii="Calibri" w:hAnsi="Calibri"/>
                <w:b/>
                <w:szCs w:val="20"/>
                <w:lang w:eastAsia="en-US"/>
              </w:rPr>
              <w:t>Net cost of services</w:t>
            </w:r>
          </w:p>
        </w:tc>
        <w:tc>
          <w:tcPr>
            <w:tcW w:w="1179" w:type="dxa"/>
            <w:tcBorders>
              <w:top w:val="single" w:sz="4" w:space="0" w:color="auto"/>
              <w:bottom w:val="single" w:sz="4" w:space="0" w:color="auto"/>
            </w:tcBorders>
          </w:tcPr>
          <w:p w14:paraId="010D5303" w14:textId="77777777" w:rsidR="00126F78" w:rsidRPr="00126F78" w:rsidRDefault="00126F78" w:rsidP="00126F78">
            <w:pPr>
              <w:jc w:val="right"/>
              <w:rPr>
                <w:rFonts w:ascii="Calibri" w:hAnsi="Calibri"/>
                <w:b/>
                <w:szCs w:val="20"/>
                <w:lang w:eastAsia="en-US"/>
              </w:rPr>
            </w:pPr>
            <w:r w:rsidRPr="00126F78">
              <w:rPr>
                <w:rFonts w:ascii="Calibri" w:hAnsi="Calibri"/>
                <w:b/>
                <w:szCs w:val="20"/>
                <w:lang w:eastAsia="en-US"/>
              </w:rPr>
              <w:t>219</w:t>
            </w:r>
          </w:p>
        </w:tc>
        <w:tc>
          <w:tcPr>
            <w:tcW w:w="1041" w:type="dxa"/>
            <w:tcBorders>
              <w:top w:val="single" w:sz="4" w:space="0" w:color="auto"/>
              <w:bottom w:val="single" w:sz="4" w:space="0" w:color="auto"/>
            </w:tcBorders>
          </w:tcPr>
          <w:p w14:paraId="773651E9" w14:textId="77777777" w:rsidR="00126F78" w:rsidRPr="00126F78" w:rsidRDefault="00126F78" w:rsidP="00126F78">
            <w:pPr>
              <w:jc w:val="right"/>
              <w:rPr>
                <w:rFonts w:ascii="Calibri" w:hAnsi="Calibri"/>
                <w:b/>
                <w:szCs w:val="20"/>
                <w:lang w:eastAsia="en-US"/>
              </w:rPr>
            </w:pPr>
            <w:r w:rsidRPr="00126F78">
              <w:rPr>
                <w:rFonts w:ascii="Calibri" w:hAnsi="Calibri"/>
                <w:b/>
                <w:szCs w:val="20"/>
                <w:lang w:eastAsia="en-US"/>
              </w:rPr>
              <w:t>125</w:t>
            </w:r>
          </w:p>
        </w:tc>
        <w:tc>
          <w:tcPr>
            <w:tcW w:w="1029" w:type="dxa"/>
            <w:tcBorders>
              <w:top w:val="single" w:sz="4" w:space="0" w:color="auto"/>
              <w:bottom w:val="single" w:sz="4" w:space="0" w:color="auto"/>
            </w:tcBorders>
          </w:tcPr>
          <w:p w14:paraId="79F13DD8" w14:textId="77777777" w:rsidR="00126F78" w:rsidRPr="00126F78" w:rsidRDefault="00126F78" w:rsidP="00126F78">
            <w:pPr>
              <w:jc w:val="right"/>
              <w:rPr>
                <w:rFonts w:ascii="Calibri" w:hAnsi="Calibri"/>
                <w:b/>
                <w:szCs w:val="20"/>
                <w:lang w:eastAsia="en-US"/>
              </w:rPr>
            </w:pPr>
            <w:r w:rsidRPr="00126F78">
              <w:rPr>
                <w:rFonts w:ascii="Calibri" w:hAnsi="Calibri"/>
                <w:b/>
                <w:szCs w:val="20"/>
                <w:lang w:eastAsia="en-US"/>
              </w:rPr>
              <w:t>125</w:t>
            </w:r>
          </w:p>
        </w:tc>
        <w:tc>
          <w:tcPr>
            <w:tcW w:w="1029" w:type="dxa"/>
            <w:tcBorders>
              <w:top w:val="single" w:sz="4" w:space="0" w:color="auto"/>
              <w:bottom w:val="single" w:sz="4" w:space="0" w:color="auto"/>
            </w:tcBorders>
          </w:tcPr>
          <w:p w14:paraId="36DE89EB" w14:textId="77777777" w:rsidR="00126F78" w:rsidRPr="00126F78" w:rsidRDefault="00126F78" w:rsidP="00126F78">
            <w:pPr>
              <w:jc w:val="right"/>
              <w:rPr>
                <w:rFonts w:ascii="Calibri" w:hAnsi="Calibri"/>
                <w:b/>
                <w:szCs w:val="20"/>
                <w:lang w:eastAsia="en-US"/>
              </w:rPr>
            </w:pPr>
            <w:r w:rsidRPr="00126F78">
              <w:rPr>
                <w:rFonts w:ascii="Calibri" w:hAnsi="Calibri"/>
                <w:b/>
                <w:szCs w:val="20"/>
                <w:lang w:eastAsia="en-US"/>
              </w:rPr>
              <w:t>125</w:t>
            </w:r>
          </w:p>
        </w:tc>
        <w:tc>
          <w:tcPr>
            <w:tcW w:w="1029" w:type="dxa"/>
            <w:tcBorders>
              <w:top w:val="single" w:sz="4" w:space="0" w:color="auto"/>
              <w:bottom w:val="single" w:sz="4" w:space="0" w:color="auto"/>
            </w:tcBorders>
          </w:tcPr>
          <w:p w14:paraId="125DDF5B" w14:textId="77777777" w:rsidR="00126F78" w:rsidRPr="00126F78" w:rsidRDefault="00126F78" w:rsidP="00126F78">
            <w:pPr>
              <w:jc w:val="right"/>
              <w:rPr>
                <w:rFonts w:ascii="Calibri" w:hAnsi="Calibri"/>
                <w:b/>
                <w:szCs w:val="20"/>
                <w:lang w:eastAsia="en-US"/>
              </w:rPr>
            </w:pPr>
            <w:r w:rsidRPr="00126F78">
              <w:rPr>
                <w:rFonts w:ascii="Calibri" w:hAnsi="Calibri"/>
                <w:b/>
                <w:szCs w:val="20"/>
                <w:lang w:eastAsia="en-US"/>
              </w:rPr>
              <w:t>594</w:t>
            </w:r>
          </w:p>
        </w:tc>
      </w:tr>
    </w:tbl>
    <w:p w14:paraId="768011EE" w14:textId="77777777" w:rsidR="00126F78" w:rsidRPr="00126F78" w:rsidRDefault="00126F78" w:rsidP="00126F78">
      <w:pPr>
        <w:spacing w:before="120" w:after="120"/>
        <w:rPr>
          <w:rFonts w:ascii="Calibri" w:eastAsia="Calibri" w:hAnsi="Calibri"/>
          <w:lang w:eastAsia="en-US"/>
        </w:rPr>
      </w:pPr>
      <w:r w:rsidRPr="00126F78">
        <w:rPr>
          <w:rFonts w:ascii="Calibri" w:eastAsia="Calibri" w:hAnsi="Calibri"/>
          <w:lang w:eastAsia="en-US"/>
        </w:rPr>
        <w:t>The Government is providing funding to undertake policy design work for a $50 million fund to improve building efficiency and sustainability for social and public housing, low income owner-occupiers and rental properties. A provision has also been established for the balance of the $50 million fund (including $12.462 million in 2024</w:t>
      </w:r>
      <w:r w:rsidRPr="00126F78">
        <w:rPr>
          <w:rFonts w:ascii="Calibri" w:eastAsia="Calibri" w:hAnsi="Calibri"/>
          <w:lang w:eastAsia="en-US"/>
        </w:rPr>
        <w:noBreakHyphen/>
        <w:t>25).</w:t>
      </w:r>
    </w:p>
    <w:p w14:paraId="53840E2D" w14:textId="77777777" w:rsidR="009709EF" w:rsidRPr="007B5914" w:rsidRDefault="009709EF" w:rsidP="007B5914">
      <w:pPr>
        <w:pStyle w:val="BodyText"/>
      </w:pPr>
    </w:p>
    <w:p w14:paraId="58A1DBE4" w14:textId="6D4F25C6" w:rsidR="008779E9" w:rsidRPr="00CA7855" w:rsidRDefault="008779E9" w:rsidP="00112D70">
      <w:pPr>
        <w:pStyle w:val="BodyText"/>
        <w:rPr>
          <w:lang w:eastAsia="en-AU"/>
        </w:rPr>
      </w:pPr>
    </w:p>
    <w:p w14:paraId="7FCD7A77" w14:textId="77777777" w:rsidR="00112D70" w:rsidRPr="00CA7855" w:rsidRDefault="00112D70" w:rsidP="00112D70">
      <w:pPr>
        <w:pStyle w:val="BodyText"/>
        <w:rPr>
          <w:lang w:eastAsia="en-AU"/>
        </w:rPr>
      </w:pPr>
    </w:p>
    <w:sectPr w:rsidR="00112D70" w:rsidRPr="00CA7855" w:rsidSect="002C4E3A">
      <w:headerReference w:type="even" r:id="rId18"/>
      <w:headerReference w:type="default" r:id="rId19"/>
      <w:footerReference w:type="even" r:id="rId20"/>
      <w:footerReference w:type="default" r:id="rId21"/>
      <w:headerReference w:type="first" r:id="rId22"/>
      <w:footerReference w:type="first" r:id="rId23"/>
      <w:pgSz w:w="11906" w:h="16838"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FBD82" w14:textId="77777777" w:rsidR="00781CB8" w:rsidRDefault="00781CB8">
      <w:r>
        <w:separator/>
      </w:r>
    </w:p>
  </w:endnote>
  <w:endnote w:type="continuationSeparator" w:id="0">
    <w:p w14:paraId="4906AE62" w14:textId="77777777" w:rsidR="00781CB8" w:rsidRDefault="00781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FAAB9" w14:textId="77777777" w:rsidR="00F30767" w:rsidRDefault="00F30767"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257F27" w14:textId="77777777" w:rsidR="00F30767" w:rsidRDefault="00F307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985CB" w14:textId="77777777" w:rsidR="00F30767" w:rsidRDefault="00F30767"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2F3E">
      <w:rPr>
        <w:rStyle w:val="PageNumber"/>
        <w:noProof/>
      </w:rPr>
      <w:t>6</w:t>
    </w:r>
    <w:r>
      <w:rPr>
        <w:rStyle w:val="PageNumber"/>
      </w:rPr>
      <w:fldChar w:fldCharType="end"/>
    </w:r>
  </w:p>
  <w:p w14:paraId="4C0EA0A0" w14:textId="77777777" w:rsidR="00F30767" w:rsidRDefault="00F307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35E68" w14:textId="77777777" w:rsidR="007476B9" w:rsidRDefault="00747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10E93" w14:textId="77777777" w:rsidR="00781CB8" w:rsidRDefault="00781CB8">
      <w:r>
        <w:separator/>
      </w:r>
    </w:p>
  </w:footnote>
  <w:footnote w:type="continuationSeparator" w:id="0">
    <w:p w14:paraId="4198C05E" w14:textId="77777777" w:rsidR="00781CB8" w:rsidRDefault="00781CB8">
      <w:r>
        <w:continuationSeparator/>
      </w:r>
    </w:p>
  </w:footnote>
  <w:footnote w:id="1">
    <w:p w14:paraId="699018F6" w14:textId="7E32D089" w:rsidR="00E9082E" w:rsidRDefault="00E9082E">
      <w:pPr>
        <w:pStyle w:val="FootnoteText"/>
      </w:pPr>
      <w:r>
        <w:rPr>
          <w:rStyle w:val="FootnoteReference"/>
        </w:rPr>
        <w:footnoteRef/>
      </w:r>
      <w:r>
        <w:t xml:space="preserve"> AER, </w:t>
      </w:r>
      <w:r w:rsidRPr="006F3021">
        <w:rPr>
          <w:i/>
          <w:iCs/>
        </w:rPr>
        <w:t>Draft decision – Evoenergy access arrangement 2021-26: Overview</w:t>
      </w:r>
      <w:r>
        <w:t xml:space="preserve">, AER, Melbourne, November 2020, p. 5, </w:t>
      </w:r>
      <w:hyperlink r:id="rId1" w:history="1">
        <w:r w:rsidRPr="00C32DA9">
          <w:rPr>
            <w:rStyle w:val="Hyperlink"/>
          </w:rPr>
          <w:t>https://www.aer.gov.au/system/files/AER%20-%20Draft%20Decision%20-%20Evoenergy%20access%20arrangement%202021-26%20-%20Overview%20-%20November%202020_0.pdf</w:t>
        </w:r>
      </w:hyperlink>
    </w:p>
  </w:footnote>
  <w:footnote w:id="2">
    <w:p w14:paraId="19315057" w14:textId="77777777" w:rsidR="00E9082E" w:rsidRDefault="00E9082E" w:rsidP="00E9082E">
      <w:pPr>
        <w:pStyle w:val="FootnoteText"/>
      </w:pPr>
      <w:r>
        <w:rPr>
          <w:rStyle w:val="FootnoteReference"/>
        </w:rPr>
        <w:footnoteRef/>
      </w:r>
      <w:r>
        <w:t xml:space="preserve"> ibid. </w:t>
      </w:r>
    </w:p>
  </w:footnote>
  <w:footnote w:id="3">
    <w:p w14:paraId="541CBD3D" w14:textId="77777777" w:rsidR="005226B6" w:rsidRDefault="005226B6" w:rsidP="005226B6">
      <w:pPr>
        <w:pStyle w:val="FootnoteText"/>
      </w:pPr>
      <w:r w:rsidRPr="000117B1">
        <w:footnoteRef/>
      </w:r>
      <w:r w:rsidRPr="000117B1">
        <w:t xml:space="preserve"> </w:t>
      </w:r>
      <w:r w:rsidRPr="000117B1">
        <w:tab/>
      </w:r>
      <w:r>
        <w:t xml:space="preserve">ACTCOSS, </w:t>
      </w:r>
      <w:r w:rsidRPr="003262C2">
        <w:rPr>
          <w:i/>
          <w:iCs/>
        </w:rPr>
        <w:t>Submission: Evoenergy gas network 2021 draft plan</w:t>
      </w:r>
      <w:r>
        <w:t>, ACTCOSS, Canberra, April 2020, available at, &lt;</w:t>
      </w:r>
      <w:hyperlink r:id="rId2" w:history="1">
        <w:r w:rsidRPr="000117B1">
          <w:rPr>
            <w:rStyle w:val="Hyperlink"/>
          </w:rPr>
          <w:t>https://www.actcoss.org.au/publications/advocacy-publications/submission-evoenergy-gas-network-2021-draft-plan</w:t>
        </w:r>
      </w:hyperlink>
      <w:r>
        <w:t xml:space="preserve">&gt;. </w:t>
      </w:r>
    </w:p>
  </w:footnote>
  <w:footnote w:id="4">
    <w:p w14:paraId="05F8D221" w14:textId="213828D8" w:rsidR="00592286" w:rsidRDefault="00592286">
      <w:pPr>
        <w:pStyle w:val="FootnoteText"/>
      </w:pPr>
      <w:r>
        <w:rPr>
          <w:rStyle w:val="FootnoteReference"/>
        </w:rPr>
        <w:footnoteRef/>
      </w:r>
      <w:r>
        <w:t xml:space="preserve"> ACTCOSS, </w:t>
      </w:r>
      <w:r w:rsidRPr="00047A68">
        <w:rPr>
          <w:i/>
          <w:iCs/>
        </w:rPr>
        <w:t xml:space="preserve">Submission: </w:t>
      </w:r>
      <w:r w:rsidR="00A85A36" w:rsidRPr="00047A68">
        <w:rPr>
          <w:i/>
          <w:iCs/>
        </w:rPr>
        <w:t>Evoenergy’s gas network 2021-26 access arrangement proposal to the Australian Energy Regulator</w:t>
      </w:r>
      <w:r w:rsidR="007E05DD">
        <w:t>, ACTCOSS, Canberra, August 2020, available at, &lt;</w:t>
      </w:r>
      <w:hyperlink r:id="rId3" w:history="1">
        <w:r w:rsidR="00047A68" w:rsidRPr="006B6367">
          <w:rPr>
            <w:rStyle w:val="Hyperlink"/>
          </w:rPr>
          <w:t>https://www.actcoss.org.au/publications/advocacy-publications/submission-evoenergys-gas-network-2021-26-access-arrangement</w:t>
        </w:r>
      </w:hyperlink>
      <w:r w:rsidR="00047A68">
        <w:t xml:space="preserve">&gt;. </w:t>
      </w:r>
    </w:p>
  </w:footnote>
  <w:footnote w:id="5">
    <w:p w14:paraId="6D94C232" w14:textId="77777777" w:rsidR="005226B6" w:rsidRDefault="005226B6" w:rsidP="005226B6">
      <w:pPr>
        <w:pStyle w:val="FootnoteText"/>
      </w:pPr>
      <w:r w:rsidRPr="000117B1">
        <w:footnoteRef/>
      </w:r>
      <w:r w:rsidRPr="000117B1">
        <w:t xml:space="preserve"> </w:t>
      </w:r>
      <w:r w:rsidRPr="000117B1">
        <w:tab/>
      </w:r>
      <w:r>
        <w:t xml:space="preserve">ACTCOSS, </w:t>
      </w:r>
      <w:r w:rsidRPr="00EF0354">
        <w:rPr>
          <w:i/>
          <w:iCs/>
        </w:rPr>
        <w:t>GN21 energy consumer advocacy workshop outcomes report: building capacity for people on low incomes, experiencing disadvantage, or at risk or hardship to actively engage in the Evoenergy Gas Network 2021-26 Access Arrangement Review</w:t>
      </w:r>
      <w:r>
        <w:t>, ACTCOSS, Canberra, October 2019, available at, &lt;</w:t>
      </w:r>
      <w:hyperlink r:id="rId4" w:history="1">
        <w:r w:rsidRPr="000117B1">
          <w:rPr>
            <w:rStyle w:val="Hyperlink"/>
          </w:rPr>
          <w:t>https://www.actcoss.org.au/publications/advocacy-publications/report-gn21-energy-consumer-advocacy-workshop-outcomes</w:t>
        </w:r>
      </w:hyperlink>
      <w:r>
        <w:t xml:space="preserve">&gt;. </w:t>
      </w:r>
    </w:p>
  </w:footnote>
  <w:footnote w:id="6">
    <w:p w14:paraId="7B9364CF" w14:textId="40E99350" w:rsidR="00335546" w:rsidRDefault="00335546">
      <w:pPr>
        <w:pStyle w:val="FootnoteText"/>
      </w:pPr>
      <w:r>
        <w:rPr>
          <w:rStyle w:val="FootnoteReference"/>
        </w:rPr>
        <w:footnoteRef/>
      </w:r>
      <w:r>
        <w:t xml:space="preserve"> </w:t>
      </w:r>
      <w:hyperlink r:id="rId5" w:history="1">
        <w:r w:rsidR="001F4C67" w:rsidRPr="001742D6">
          <w:rPr>
            <w:rStyle w:val="Hyperlink"/>
            <w:i/>
            <w:iCs/>
          </w:rPr>
          <w:t>Climate Change and Greenhouse Gas Reduction Act 2010</w:t>
        </w:r>
      </w:hyperlink>
      <w:r w:rsidR="001D2832">
        <w:t xml:space="preserve"> (ACT)</w:t>
      </w:r>
      <w:r w:rsidR="001F4C67">
        <w:t xml:space="preserve">; </w:t>
      </w:r>
      <w:hyperlink r:id="rId6" w:history="1">
        <w:r w:rsidR="001F4C67" w:rsidRPr="00E76BFC">
          <w:rPr>
            <w:rStyle w:val="Hyperlink"/>
            <w:i/>
            <w:iCs/>
          </w:rPr>
          <w:t>Climate Change and Greenhouse Gas Reduction (Interim Targets) Determination 2018</w:t>
        </w:r>
      </w:hyperlink>
      <w:r w:rsidR="001D2832">
        <w:t xml:space="preserve"> (ACT).</w:t>
      </w:r>
    </w:p>
  </w:footnote>
  <w:footnote w:id="7">
    <w:p w14:paraId="397D9565" w14:textId="7ED5DFB5" w:rsidR="00FD2830" w:rsidRDefault="00FD2830">
      <w:pPr>
        <w:pStyle w:val="FootnoteText"/>
      </w:pPr>
      <w:r>
        <w:rPr>
          <w:rStyle w:val="FootnoteReference"/>
        </w:rPr>
        <w:footnoteRef/>
      </w:r>
      <w:r>
        <w:t xml:space="preserve"> </w:t>
      </w:r>
      <w:r w:rsidR="00A81D2C" w:rsidRPr="00A81D2C">
        <w:t xml:space="preserve">ACT Government, </w:t>
      </w:r>
      <w:r w:rsidR="00A81D2C" w:rsidRPr="00A81D2C">
        <w:rPr>
          <w:i/>
          <w:iCs/>
        </w:rPr>
        <w:t>ACT Sustainable Energy Policy 2020-25 Discussion Paper</w:t>
      </w:r>
      <w:r w:rsidR="00A81D2C" w:rsidRPr="00A81D2C">
        <w:t xml:space="preserve">, Environment, Planning and Sustainable Development Directorate, Canberra, 2019, </w:t>
      </w:r>
      <w:r w:rsidR="00A81D2C">
        <w:t>p.</w:t>
      </w:r>
      <w:r w:rsidR="00802655">
        <w:t xml:space="preserve"> 55, </w:t>
      </w:r>
      <w:r w:rsidR="00A81D2C">
        <w:t xml:space="preserve"> </w:t>
      </w:r>
      <w:hyperlink r:id="rId7" w:history="1">
        <w:r w:rsidR="00802655" w:rsidRPr="00C32DA9">
          <w:rPr>
            <w:rStyle w:val="Hyperlink"/>
          </w:rPr>
          <w:t>https://www.environment.act.gov.au/__data/assets/pdf_file/0007/1411567/act-sustainable-energy-policy-discussion-paper.pdf</w:t>
        </w:r>
      </w:hyperlink>
      <w:r w:rsidR="00802655">
        <w:t xml:space="preserve"> </w:t>
      </w:r>
      <w:r w:rsidR="00A81D2C" w:rsidRPr="00A81D2C">
        <w:t xml:space="preserve"> </w:t>
      </w:r>
    </w:p>
  </w:footnote>
  <w:footnote w:id="8">
    <w:p w14:paraId="5910F67F" w14:textId="77777777" w:rsidR="009B3DE5" w:rsidRDefault="009B3DE5" w:rsidP="009B3DE5">
      <w:pPr>
        <w:pStyle w:val="FootnoteText"/>
      </w:pPr>
      <w:r w:rsidRPr="000117B1">
        <w:footnoteRef/>
      </w:r>
      <w:r w:rsidRPr="000117B1">
        <w:t xml:space="preserve"> </w:t>
      </w:r>
      <w:r w:rsidRPr="000117B1">
        <w:tab/>
      </w:r>
      <w:r>
        <w:t xml:space="preserve">ACT Government, </w:t>
      </w:r>
      <w:r w:rsidRPr="00F2271A">
        <w:rPr>
          <w:i/>
          <w:iCs/>
        </w:rPr>
        <w:t>ACT Climate Change Strategy 2019-25</w:t>
      </w:r>
      <w:r>
        <w:t>, Environment, Planning and Sustainable Development Directorate, Canberra, ACT 2019, p. 4, viewed at, &lt;</w:t>
      </w:r>
      <w:hyperlink r:id="rId8" w:history="1">
        <w:r w:rsidRPr="00161EF3">
          <w:rPr>
            <w:rStyle w:val="Hyperlink"/>
          </w:rPr>
          <w:t>https://www.environment.act.gov.au/cc/act-climate-change-strategy</w:t>
        </w:r>
      </w:hyperlink>
      <w:r>
        <w:t>&gt;.</w:t>
      </w:r>
    </w:p>
  </w:footnote>
  <w:footnote w:id="9">
    <w:p w14:paraId="7ACD3EA0" w14:textId="39F92646" w:rsidR="009B3DE5" w:rsidRDefault="009B3DE5" w:rsidP="009B3DE5">
      <w:pPr>
        <w:pStyle w:val="FootnoteText"/>
      </w:pPr>
      <w:r w:rsidRPr="000117B1">
        <w:footnoteRef/>
      </w:r>
      <w:r w:rsidRPr="000117B1">
        <w:t xml:space="preserve"> </w:t>
      </w:r>
      <w:r w:rsidRPr="000117B1">
        <w:tab/>
      </w:r>
      <w:r w:rsidR="003C3176">
        <w:t xml:space="preserve">ibid, </w:t>
      </w:r>
      <w:r>
        <w:t>p. 47.</w:t>
      </w:r>
    </w:p>
  </w:footnote>
  <w:footnote w:id="10">
    <w:p w14:paraId="2EE86DD2" w14:textId="46614D6F" w:rsidR="009B3DE5" w:rsidRDefault="009B3DE5" w:rsidP="009B3DE5">
      <w:pPr>
        <w:pStyle w:val="FootnoteText"/>
      </w:pPr>
      <w:r w:rsidRPr="000117B1">
        <w:footnoteRef/>
      </w:r>
      <w:r w:rsidRPr="000117B1">
        <w:t xml:space="preserve"> </w:t>
      </w:r>
      <w:r w:rsidRPr="000117B1">
        <w:tab/>
      </w:r>
      <w:r w:rsidR="00DA38E9">
        <w:t xml:space="preserve">ibid, </w:t>
      </w:r>
      <w:r>
        <w:t>p. 7.</w:t>
      </w:r>
    </w:p>
  </w:footnote>
  <w:footnote w:id="11">
    <w:p w14:paraId="6ADCBBBC" w14:textId="074AB1F3" w:rsidR="00B86C91" w:rsidRDefault="00B86C91">
      <w:pPr>
        <w:pStyle w:val="FootnoteText"/>
      </w:pPr>
      <w:r>
        <w:rPr>
          <w:rStyle w:val="FootnoteReference"/>
        </w:rPr>
        <w:footnoteRef/>
      </w:r>
      <w:r>
        <w:t xml:space="preserve"> </w:t>
      </w:r>
      <w:r w:rsidR="00A05447">
        <w:t xml:space="preserve">ACT Government, </w:t>
      </w:r>
      <w:r w:rsidR="00A05447" w:rsidRPr="004D07BA">
        <w:rPr>
          <w:i/>
          <w:iCs/>
        </w:rPr>
        <w:t>Parliamentary &amp; Governing Agreement</w:t>
      </w:r>
      <w:r w:rsidR="002B000E" w:rsidRPr="004D07BA">
        <w:rPr>
          <w:i/>
          <w:iCs/>
        </w:rPr>
        <w:t xml:space="preserve"> – 10</w:t>
      </w:r>
      <w:r w:rsidR="002B000E" w:rsidRPr="004D07BA">
        <w:rPr>
          <w:i/>
          <w:iCs/>
          <w:vertAlign w:val="superscript"/>
        </w:rPr>
        <w:t>th</w:t>
      </w:r>
      <w:r w:rsidR="002B000E" w:rsidRPr="004D07BA">
        <w:rPr>
          <w:i/>
          <w:iCs/>
        </w:rPr>
        <w:t xml:space="preserve"> Legislative Assembly Australian Capital Territory</w:t>
      </w:r>
      <w:r w:rsidR="002B000E">
        <w:t xml:space="preserve">, ACT Government, Canberra, 2020, </w:t>
      </w:r>
      <w:r w:rsidR="0088449C">
        <w:t xml:space="preserve">Appendix 1, </w:t>
      </w:r>
      <w:hyperlink r:id="rId9" w:history="1">
        <w:r w:rsidR="004D07BA" w:rsidRPr="00C32DA9">
          <w:rPr>
            <w:rStyle w:val="Hyperlink"/>
          </w:rPr>
          <w:t>https://www.cmtedd.act.gov.au/__data/assets/pdf_file/0003/1654077/Parliamentary-Agreement-for-the-10th-Legislative-Assembly.pdf</w:t>
        </w:r>
      </w:hyperlink>
      <w:r w:rsidR="004D07BA">
        <w:t xml:space="preserve"> </w:t>
      </w:r>
    </w:p>
  </w:footnote>
  <w:footnote w:id="12">
    <w:p w14:paraId="3867C173" w14:textId="0B8E86BC" w:rsidR="00C76C22" w:rsidRDefault="00C76C22">
      <w:pPr>
        <w:pStyle w:val="FootnoteText"/>
      </w:pPr>
      <w:r>
        <w:rPr>
          <w:rStyle w:val="FootnoteReference"/>
        </w:rPr>
        <w:footnoteRef/>
      </w:r>
      <w:r>
        <w:t xml:space="preserve"> ibid. Note: Emphasis added.</w:t>
      </w:r>
    </w:p>
  </w:footnote>
  <w:footnote w:id="13">
    <w:p w14:paraId="2C244B28" w14:textId="44645BD3" w:rsidR="00441CC5" w:rsidRDefault="00441CC5">
      <w:pPr>
        <w:pStyle w:val="FootnoteText"/>
      </w:pPr>
      <w:r>
        <w:rPr>
          <w:rStyle w:val="FootnoteReference"/>
        </w:rPr>
        <w:footnoteRef/>
      </w:r>
      <w:r>
        <w:t xml:space="preserve"> ACT Government, </w:t>
      </w:r>
      <w:r w:rsidR="00D1035A" w:rsidRPr="00B410A9">
        <w:rPr>
          <w:i/>
          <w:iCs/>
        </w:rPr>
        <w:t xml:space="preserve">ACT Budget 2020-21 </w:t>
      </w:r>
      <w:r w:rsidR="002444FC" w:rsidRPr="00B410A9">
        <w:rPr>
          <w:i/>
          <w:iCs/>
        </w:rPr>
        <w:t>Budget Outlook</w:t>
      </w:r>
      <w:r w:rsidR="002444FC">
        <w:t xml:space="preserve">, ACT Government, Canberra, February 2021, </w:t>
      </w:r>
      <w:hyperlink r:id="rId10" w:history="1">
        <w:r w:rsidR="00B410A9" w:rsidRPr="00C32DA9">
          <w:rPr>
            <w:rStyle w:val="Hyperlink"/>
          </w:rPr>
          <w:t>https://apps.treasury.act.gov.au/budget/budget-2020-21</w:t>
        </w:r>
      </w:hyperlink>
      <w:r w:rsidR="00B410A9">
        <w:t xml:space="preserve"> </w:t>
      </w:r>
    </w:p>
  </w:footnote>
  <w:footnote w:id="14">
    <w:p w14:paraId="60725100" w14:textId="77777777" w:rsidR="00BD27C9" w:rsidRDefault="00BD27C9" w:rsidP="00BD27C9">
      <w:pPr>
        <w:pStyle w:val="FootnoteText"/>
      </w:pPr>
      <w:r w:rsidRPr="00751C3F">
        <w:footnoteRef/>
      </w:r>
      <w:r w:rsidRPr="00751C3F">
        <w:t xml:space="preserve"> </w:t>
      </w:r>
      <w:bookmarkStart w:id="9" w:name="_Hlk48067436"/>
      <w:r w:rsidRPr="00751C3F">
        <w:tab/>
      </w:r>
      <w:r w:rsidRPr="004067DC">
        <w:t xml:space="preserve">Evoenergy, </w:t>
      </w:r>
      <w:r w:rsidRPr="004067DC">
        <w:rPr>
          <w:i/>
          <w:iCs/>
        </w:rPr>
        <w:t>Overview – Access arrangement information, ACT and Queanbeyan-Palerang gas network 2021-26</w:t>
      </w:r>
      <w:r w:rsidRPr="004067DC">
        <w:t xml:space="preserve">, Submission to the Australian Energy Regulator, (Evoenergy GN21 Overview), Evoenergy, Canberra, June 2020, p. </w:t>
      </w:r>
      <w:r>
        <w:t xml:space="preserve">14, </w:t>
      </w:r>
      <w:hyperlink r:id="rId11" w:history="1">
        <w:r w:rsidRPr="003A3F73">
          <w:rPr>
            <w:rStyle w:val="Hyperlink"/>
          </w:rPr>
          <w:t>https://www.aer.gov.au/networks-pipelines/determinations-access-arrangements/evoenergy-access-arrangement-2021-26/proposal</w:t>
        </w:r>
      </w:hyperlink>
      <w:bookmarkEnd w:id="9"/>
      <w:r>
        <w:t xml:space="preserve">   </w:t>
      </w:r>
    </w:p>
  </w:footnote>
  <w:footnote w:id="15">
    <w:p w14:paraId="21E028A2" w14:textId="3AEB87F0" w:rsidR="00F90155" w:rsidRDefault="00F90155">
      <w:pPr>
        <w:pStyle w:val="FootnoteText"/>
      </w:pPr>
      <w:r>
        <w:rPr>
          <w:rStyle w:val="FootnoteReference"/>
        </w:rPr>
        <w:footnoteRef/>
      </w:r>
      <w:r>
        <w:t xml:space="preserve"> </w:t>
      </w:r>
      <w:r w:rsidR="00A643C3">
        <w:t xml:space="preserve">Evoenergy, </w:t>
      </w:r>
      <w:r w:rsidR="00A643C3" w:rsidRPr="00A643C3">
        <w:rPr>
          <w:i/>
          <w:iCs/>
        </w:rPr>
        <w:t>Revised GN21 plan</w:t>
      </w:r>
      <w:r w:rsidR="00A643C3">
        <w:t>, op. cit., p. 48.</w:t>
      </w:r>
    </w:p>
  </w:footnote>
  <w:footnote w:id="16">
    <w:p w14:paraId="49DEC22A" w14:textId="358A4B87" w:rsidR="002E69F2" w:rsidRDefault="002E69F2" w:rsidP="002E69F2">
      <w:pPr>
        <w:pStyle w:val="FootnoteText"/>
      </w:pPr>
      <w:r>
        <w:rPr>
          <w:rStyle w:val="FootnoteReference"/>
        </w:rPr>
        <w:footnoteRef/>
      </w:r>
      <w:r>
        <w:t xml:space="preserve"> </w:t>
      </w:r>
      <w:r w:rsidR="00780C2B">
        <w:t>ibid.</w:t>
      </w:r>
    </w:p>
  </w:footnote>
  <w:footnote w:id="17">
    <w:p w14:paraId="428C9BF7" w14:textId="4B1D3F5B" w:rsidR="00FA03C1" w:rsidRDefault="00FA03C1">
      <w:pPr>
        <w:pStyle w:val="FootnoteText"/>
      </w:pPr>
      <w:r>
        <w:rPr>
          <w:rStyle w:val="FootnoteReference"/>
        </w:rPr>
        <w:footnoteRef/>
      </w:r>
      <w:r>
        <w:t xml:space="preserve"> AER, </w:t>
      </w:r>
      <w:r w:rsidR="00F348A7" w:rsidRPr="008D2818">
        <w:rPr>
          <w:i/>
          <w:iCs/>
        </w:rPr>
        <w:t>Draft decision</w:t>
      </w:r>
      <w:r w:rsidR="00F348A7">
        <w:t xml:space="preserve">, op. cit., p. </w:t>
      </w:r>
      <w:r w:rsidR="008D2818">
        <w:t>7</w:t>
      </w:r>
    </w:p>
  </w:footnote>
  <w:footnote w:id="18">
    <w:p w14:paraId="0287CD4C" w14:textId="18934F12" w:rsidR="005A2AA4" w:rsidRDefault="005A2AA4" w:rsidP="005A2AA4">
      <w:pPr>
        <w:pStyle w:val="FootnoteText"/>
      </w:pPr>
      <w:r>
        <w:rPr>
          <w:rStyle w:val="FootnoteReference"/>
        </w:rPr>
        <w:footnoteRef/>
      </w:r>
      <w:r>
        <w:t xml:space="preserve"> Customers are split into two main groups: volume customers and demand customers. The volume group includes our </w:t>
      </w:r>
      <w:bookmarkStart w:id="13" w:name="_Hlk64544978"/>
      <w:r>
        <w:t>residential and small business customers who are charged according to the volume of gas they use</w:t>
      </w:r>
      <w:bookmarkEnd w:id="13"/>
      <w:r>
        <w:t xml:space="preserve">, while the demand group includes our largest commercial customers who are charged based on the capacity they require. </w:t>
      </w:r>
    </w:p>
  </w:footnote>
  <w:footnote w:id="19">
    <w:p w14:paraId="1FC698C8" w14:textId="629FD5FF" w:rsidR="00360745" w:rsidRDefault="00360745">
      <w:pPr>
        <w:pStyle w:val="FootnoteText"/>
      </w:pPr>
      <w:r>
        <w:rPr>
          <w:rStyle w:val="FootnoteReference"/>
        </w:rPr>
        <w:footnoteRef/>
      </w:r>
      <w:r>
        <w:t xml:space="preserve"> Evoenergy, </w:t>
      </w:r>
      <w:r w:rsidRPr="00F726DD">
        <w:rPr>
          <w:i/>
          <w:iCs/>
        </w:rPr>
        <w:t>Revised GN21 plan</w:t>
      </w:r>
      <w:r>
        <w:t>, op. cit., p</w:t>
      </w:r>
      <w:r w:rsidR="00F726DD">
        <w:t>p. 39-40.</w:t>
      </w:r>
    </w:p>
  </w:footnote>
  <w:footnote w:id="20">
    <w:p w14:paraId="641FD05D" w14:textId="31CAA51A" w:rsidR="005119D0" w:rsidRDefault="005119D0">
      <w:pPr>
        <w:pStyle w:val="FootnoteText"/>
      </w:pPr>
      <w:r>
        <w:rPr>
          <w:rStyle w:val="FootnoteReference"/>
        </w:rPr>
        <w:footnoteRef/>
      </w:r>
      <w:r>
        <w:t xml:space="preserve"> </w:t>
      </w:r>
      <w:r w:rsidR="00753BFA">
        <w:t>ibid</w:t>
      </w:r>
      <w:r>
        <w:t xml:space="preserve">, pp. </w:t>
      </w:r>
      <w:r w:rsidR="00753BFA">
        <w:t>45-6.</w:t>
      </w:r>
    </w:p>
  </w:footnote>
  <w:footnote w:id="21">
    <w:p w14:paraId="3FC1A6AC" w14:textId="4660BC84" w:rsidR="003E4D91" w:rsidRDefault="003E4D91">
      <w:pPr>
        <w:pStyle w:val="FootnoteText"/>
      </w:pPr>
      <w:r>
        <w:rPr>
          <w:rStyle w:val="FootnoteReference"/>
        </w:rPr>
        <w:footnoteRef/>
      </w:r>
      <w:r>
        <w:t xml:space="preserve"> </w:t>
      </w:r>
      <w:r w:rsidR="001963E5">
        <w:t>ibid</w:t>
      </w:r>
      <w:r>
        <w:t xml:space="preserve">, p. </w:t>
      </w:r>
      <w:r w:rsidR="001963E5">
        <w:t>45.</w:t>
      </w:r>
    </w:p>
  </w:footnote>
  <w:footnote w:id="22">
    <w:p w14:paraId="69D5B0F4" w14:textId="79C27CE1" w:rsidR="009322EF" w:rsidRDefault="009322EF">
      <w:pPr>
        <w:pStyle w:val="FootnoteText"/>
      </w:pPr>
      <w:r>
        <w:rPr>
          <w:rStyle w:val="FootnoteReference"/>
        </w:rPr>
        <w:footnoteRef/>
      </w:r>
      <w:r>
        <w:t xml:space="preserve"> ibid, p. 43.</w:t>
      </w:r>
    </w:p>
  </w:footnote>
  <w:footnote w:id="23">
    <w:p w14:paraId="3B0AEB0F" w14:textId="1EE54A88" w:rsidR="008660EE" w:rsidRDefault="008660EE">
      <w:pPr>
        <w:pStyle w:val="FootnoteText"/>
      </w:pPr>
      <w:r>
        <w:rPr>
          <w:rStyle w:val="FootnoteReference"/>
        </w:rPr>
        <w:footnoteRef/>
      </w:r>
      <w:r>
        <w:t xml:space="preserve"> </w:t>
      </w:r>
      <w:r w:rsidR="00D8475A" w:rsidRPr="00D8475A">
        <w:t xml:space="preserve">ABS, </w:t>
      </w:r>
      <w:r w:rsidR="00D8475A" w:rsidRPr="00D8475A">
        <w:rPr>
          <w:i/>
          <w:iCs/>
        </w:rPr>
        <w:t>4130.0 - Housing Occupancy and Costs, 2017-18</w:t>
      </w:r>
      <w:r w:rsidR="00D8475A" w:rsidRPr="00D8475A">
        <w:t xml:space="preserve">, ABS, Canberra, 2020, Summary: States and Territories, </w:t>
      </w:r>
      <w:hyperlink r:id="rId12" w:history="1">
        <w:r w:rsidR="00D8475A" w:rsidRPr="006E1AA0">
          <w:rPr>
            <w:rStyle w:val="Hyperlink"/>
          </w:rPr>
          <w:t>https://www.abs.gov.au/ausstats/abs@.nsf/Lookup/by%20Subject/4130.0~2017-18~Main%20Features~States%20and%20Territories~9</w:t>
        </w:r>
      </w:hyperlink>
      <w:r w:rsidR="00D8475A">
        <w:t xml:space="preserve"> </w:t>
      </w:r>
    </w:p>
  </w:footnote>
  <w:footnote w:id="24">
    <w:p w14:paraId="50915FD3" w14:textId="261FFF7E" w:rsidR="00EC26C4" w:rsidRDefault="00EC26C4" w:rsidP="00EC26C4">
      <w:pPr>
        <w:pStyle w:val="FootnoteText"/>
      </w:pPr>
      <w:r w:rsidRPr="00751C3F">
        <w:footnoteRef/>
      </w:r>
      <w:r w:rsidRPr="00751C3F">
        <w:t xml:space="preserve"> </w:t>
      </w:r>
      <w:r w:rsidRPr="00751C3F">
        <w:tab/>
      </w:r>
      <w:r w:rsidR="00072389" w:rsidRPr="00072389">
        <w:t xml:space="preserve">Evoenergy, </w:t>
      </w:r>
      <w:r w:rsidR="00072389" w:rsidRPr="00072389">
        <w:rPr>
          <w:i/>
          <w:iCs/>
        </w:rPr>
        <w:t>Overview – Access arrangement information, ACT and Queanbeyan-Palerang gas network 2021-26</w:t>
      </w:r>
      <w:r w:rsidR="00072389" w:rsidRPr="00072389">
        <w:t xml:space="preserve">, Submission to the Australian Energy Regulator, (Evoenergy GN21 Overview), Evoenergy, Canberra, June 2020, p. </w:t>
      </w:r>
      <w:r w:rsidR="00072389">
        <w:t>25</w:t>
      </w:r>
      <w:r w:rsidR="00072389" w:rsidRPr="00072389">
        <w:t xml:space="preserve">, </w:t>
      </w:r>
      <w:hyperlink r:id="rId13" w:history="1">
        <w:r w:rsidR="00072389" w:rsidRPr="006E1AA0">
          <w:rPr>
            <w:rStyle w:val="Hyperlink"/>
          </w:rPr>
          <w:t>https://www.aer.gov.au/networks-pipelines/determinations-access-arrangements/evoenergy-access-arrangement-2021-26/proposal</w:t>
        </w:r>
      </w:hyperlink>
      <w:r w:rsidR="00072389">
        <w:t xml:space="preserve"> </w:t>
      </w:r>
    </w:p>
  </w:footnote>
  <w:footnote w:id="25">
    <w:p w14:paraId="114A976F" w14:textId="77777777" w:rsidR="00072389" w:rsidRDefault="00072389" w:rsidP="00072389">
      <w:pPr>
        <w:pStyle w:val="FootnoteText"/>
      </w:pPr>
      <w:r>
        <w:rPr>
          <w:rStyle w:val="FootnoteReference"/>
        </w:rPr>
        <w:footnoteRef/>
      </w:r>
      <w:r>
        <w:t xml:space="preserve"> The Centre for International Economics, </w:t>
      </w:r>
      <w:r w:rsidRPr="005C15FE">
        <w:rPr>
          <w:i/>
          <w:iCs/>
        </w:rPr>
        <w:t>Update for forecast demand for natural gas – ACT and Queanbeyan-Palerang 2021-26</w:t>
      </w:r>
      <w:r>
        <w:t xml:space="preserve">, Final report, prepared for Evoenergy, The CIE, Canberra, </w:t>
      </w:r>
      <w:r w:rsidRPr="007D351F">
        <w:t>22 December 2020,</w:t>
      </w:r>
      <w:r>
        <w:t xml:space="preserve"> [Evoenergy Revised GN21 Proposal Attachment 8.1], </w:t>
      </w:r>
      <w:hyperlink r:id="rId14" w:history="1">
        <w:r w:rsidRPr="00C32DA9">
          <w:rPr>
            <w:rStyle w:val="Hyperlink"/>
          </w:rPr>
          <w:t>https://www.aer.gov.au/system/files/Evoenergy%20-%20CIE%20-%20Attachment%208.1%20-%20Update%20to%20forecast%20demand%20report%20-%20January%202021_0.pdf</w:t>
        </w:r>
      </w:hyperlink>
      <w:r>
        <w:t xml:space="preserve"> </w:t>
      </w:r>
    </w:p>
  </w:footnote>
  <w:footnote w:id="26">
    <w:p w14:paraId="6563754D" w14:textId="75353948" w:rsidR="00ED6718" w:rsidRDefault="00ED6718">
      <w:pPr>
        <w:pStyle w:val="FootnoteText"/>
      </w:pPr>
      <w:r>
        <w:rPr>
          <w:rStyle w:val="FootnoteReference"/>
        </w:rPr>
        <w:footnoteRef/>
      </w:r>
      <w:r>
        <w:t xml:space="preserve"> </w:t>
      </w:r>
      <w:r w:rsidRPr="00ED6718">
        <w:t xml:space="preserve">ACT Government, </w:t>
      </w:r>
      <w:r w:rsidRPr="00ED6718">
        <w:rPr>
          <w:i/>
          <w:iCs/>
        </w:rPr>
        <w:t>Parliamentary &amp; Governing Agreement</w:t>
      </w:r>
      <w:r>
        <w:t>, op. cit.</w:t>
      </w:r>
    </w:p>
  </w:footnote>
  <w:footnote w:id="27">
    <w:p w14:paraId="2690A2AA" w14:textId="7417BEA6" w:rsidR="003331C5" w:rsidRDefault="003331C5">
      <w:pPr>
        <w:pStyle w:val="FootnoteText"/>
      </w:pPr>
      <w:r>
        <w:rPr>
          <w:rStyle w:val="FootnoteReference"/>
        </w:rPr>
        <w:footnoteRef/>
      </w:r>
      <w:r>
        <w:t xml:space="preserve"> TRAC Partners, </w:t>
      </w:r>
      <w:r w:rsidR="00C844E3" w:rsidRPr="0078453C">
        <w:rPr>
          <w:i/>
          <w:iCs/>
        </w:rPr>
        <w:t>Technical report: response to AER draft decision &amp; Evoenergy revised access arrangement proposal – 2021-26</w:t>
      </w:r>
      <w:r w:rsidR="00A32A68">
        <w:t xml:space="preserve">, prepared for Energy Consumers Australia, TRAC Partners, </w:t>
      </w:r>
      <w:r w:rsidR="000C54CA">
        <w:t xml:space="preserve">2021, p. </w:t>
      </w:r>
      <w:r w:rsidR="0078453C">
        <w:t>18.</w:t>
      </w:r>
    </w:p>
  </w:footnote>
  <w:footnote w:id="28">
    <w:p w14:paraId="1F03D412" w14:textId="6968FDF0" w:rsidR="007844B9" w:rsidRDefault="007844B9">
      <w:pPr>
        <w:pStyle w:val="FootnoteText"/>
      </w:pPr>
      <w:r>
        <w:rPr>
          <w:rStyle w:val="FootnoteReference"/>
        </w:rPr>
        <w:footnoteRef/>
      </w:r>
      <w:r>
        <w:t xml:space="preserve"> AER, </w:t>
      </w:r>
      <w:r w:rsidRPr="007844B9">
        <w:rPr>
          <w:i/>
          <w:iCs/>
        </w:rPr>
        <w:t>Draft decision</w:t>
      </w:r>
      <w:r>
        <w:t>, op. cit., p. 24.</w:t>
      </w:r>
    </w:p>
  </w:footnote>
  <w:footnote w:id="29">
    <w:p w14:paraId="550B090A" w14:textId="4DBFFC57" w:rsidR="001C1507" w:rsidRDefault="001C1507">
      <w:pPr>
        <w:pStyle w:val="FootnoteText"/>
      </w:pPr>
      <w:r>
        <w:rPr>
          <w:rStyle w:val="FootnoteReference"/>
        </w:rPr>
        <w:footnoteRef/>
      </w:r>
      <w:r>
        <w:t xml:space="preserve"> </w:t>
      </w:r>
      <w:r w:rsidR="003472D7">
        <w:t xml:space="preserve">CommunicationLink, </w:t>
      </w:r>
      <w:r w:rsidR="00767340" w:rsidRPr="006C1AB6">
        <w:rPr>
          <w:i/>
          <w:iCs/>
        </w:rPr>
        <w:t>Evoenergy stranded asset risk deep dive workshop – September 2020</w:t>
      </w:r>
      <w:r w:rsidR="007B08B4" w:rsidRPr="006C1AB6">
        <w:rPr>
          <w:i/>
          <w:iCs/>
        </w:rPr>
        <w:t>: Outcomes report</w:t>
      </w:r>
      <w:r w:rsidR="007B08B4">
        <w:t xml:space="preserve">, CommunicationLink, Canberra, 16 October 2020, p. </w:t>
      </w:r>
      <w:r w:rsidR="00D35149">
        <w:t>9, [</w:t>
      </w:r>
      <w:r w:rsidR="00B47F64">
        <w:t xml:space="preserve">Evoenergy GN21 Revised Proposal </w:t>
      </w:r>
      <w:r w:rsidR="009A62E5">
        <w:t>Attachment</w:t>
      </w:r>
      <w:r w:rsidR="00B47F64">
        <w:t xml:space="preserve"> 4.1], </w:t>
      </w:r>
      <w:hyperlink r:id="rId15" w:history="1">
        <w:r w:rsidR="006C1AB6" w:rsidRPr="003A3F73">
          <w:rPr>
            <w:rStyle w:val="Hyperlink"/>
          </w:rPr>
          <w:t>https://www.aer.gov.au/system/files/Evoenergy%20-%20Communication%20Link%20-%20Attachment%204.1%20-%20Stranded%20asset%20risk%20deep%20dive%20report%20-%20January%202021.pdf</w:t>
        </w:r>
      </w:hyperlink>
      <w:r w:rsidR="006C1AB6">
        <w:t xml:space="preserve"> </w:t>
      </w:r>
    </w:p>
  </w:footnote>
  <w:footnote w:id="30">
    <w:p w14:paraId="0AA30BB4" w14:textId="72264489" w:rsidR="00883F51" w:rsidRDefault="00883F51" w:rsidP="00883F51">
      <w:pPr>
        <w:pStyle w:val="FootnoteText"/>
      </w:pPr>
      <w:r w:rsidRPr="00751C3F">
        <w:footnoteRef/>
      </w:r>
      <w:r w:rsidRPr="00751C3F">
        <w:t xml:space="preserve"> </w:t>
      </w:r>
      <w:r w:rsidRPr="00751C3F">
        <w:tab/>
      </w:r>
      <w:r w:rsidRPr="001F1C07">
        <w:t>Evoenergy</w:t>
      </w:r>
      <w:r w:rsidR="00D23FEC">
        <w:t xml:space="preserve">, </w:t>
      </w:r>
      <w:r w:rsidRPr="00D23FEC">
        <w:rPr>
          <w:i/>
          <w:iCs/>
        </w:rPr>
        <w:t>GN21 Overview</w:t>
      </w:r>
      <w:r w:rsidRPr="001F1C07">
        <w:t xml:space="preserve">, p. </w:t>
      </w:r>
      <w:r>
        <w:t>24.</w:t>
      </w:r>
    </w:p>
  </w:footnote>
  <w:footnote w:id="31">
    <w:p w14:paraId="09A733DE" w14:textId="3C8325E2" w:rsidR="00D23FEC" w:rsidRDefault="00D23FEC">
      <w:pPr>
        <w:pStyle w:val="FootnoteText"/>
      </w:pPr>
      <w:r>
        <w:rPr>
          <w:rStyle w:val="FootnoteReference"/>
        </w:rPr>
        <w:footnoteRef/>
      </w:r>
      <w:r>
        <w:t xml:space="preserve"> </w:t>
      </w:r>
      <w:r w:rsidR="00712FA7">
        <w:t xml:space="preserve">AER, </w:t>
      </w:r>
      <w:r w:rsidR="00712FA7" w:rsidRPr="00254665">
        <w:rPr>
          <w:i/>
          <w:iCs/>
        </w:rPr>
        <w:t>Draft decision</w:t>
      </w:r>
      <w:r w:rsidR="00712FA7">
        <w:t>, op. cit., p</w:t>
      </w:r>
      <w:r w:rsidR="00F67439">
        <w:t>p. 40 &amp;</w:t>
      </w:r>
      <w:r w:rsidR="00712FA7">
        <w:t xml:space="preserve"> 10</w:t>
      </w:r>
      <w:r w:rsidR="00F67439">
        <w:t>.</w:t>
      </w:r>
    </w:p>
  </w:footnote>
  <w:footnote w:id="32">
    <w:p w14:paraId="2A25AFE5" w14:textId="77777777" w:rsidR="0057232C" w:rsidRDefault="0057232C" w:rsidP="0057232C">
      <w:pPr>
        <w:pStyle w:val="FootnoteText"/>
      </w:pPr>
      <w:r w:rsidRPr="00AE77F2">
        <w:footnoteRef/>
      </w:r>
      <w:r w:rsidRPr="00AE77F2">
        <w:t xml:space="preserve"> </w:t>
      </w:r>
      <w:r>
        <w:tab/>
      </w:r>
      <w:r w:rsidRPr="00CB1AE4">
        <w:t xml:space="preserve">ACTCOSS, </w:t>
      </w:r>
      <w:r w:rsidRPr="005D6EFE">
        <w:rPr>
          <w:i/>
          <w:iCs/>
        </w:rPr>
        <w:t>Submission: Evoenergy gas network 2021 draft plan</w:t>
      </w:r>
      <w:r w:rsidRPr="00CB1AE4">
        <w:t xml:space="preserve">, </w:t>
      </w:r>
      <w:r>
        <w:t>op. cit., pp. 15-16.</w:t>
      </w:r>
    </w:p>
  </w:footnote>
  <w:footnote w:id="33">
    <w:p w14:paraId="654CD4D6" w14:textId="6F6C2818" w:rsidR="00794F2B" w:rsidRDefault="00794F2B">
      <w:pPr>
        <w:pStyle w:val="FootnoteText"/>
      </w:pPr>
      <w:r>
        <w:rPr>
          <w:rStyle w:val="FootnoteReference"/>
        </w:rPr>
        <w:footnoteRef/>
      </w:r>
      <w:r>
        <w:t xml:space="preserve"> Evoenergy, </w:t>
      </w:r>
      <w:r w:rsidRPr="00810306">
        <w:rPr>
          <w:i/>
          <w:iCs/>
        </w:rPr>
        <w:t>Revised GN21 plan</w:t>
      </w:r>
      <w:r>
        <w:t xml:space="preserve">, op. cit., </w:t>
      </w:r>
      <w:r w:rsidR="00810306">
        <w:t>p. 8.</w:t>
      </w:r>
    </w:p>
  </w:footnote>
  <w:footnote w:id="34">
    <w:p w14:paraId="11ADA20F" w14:textId="3E2E4278" w:rsidR="008B5277" w:rsidRDefault="008B5277">
      <w:pPr>
        <w:pStyle w:val="FootnoteText"/>
      </w:pPr>
      <w:r>
        <w:rPr>
          <w:rStyle w:val="FootnoteReference"/>
        </w:rPr>
        <w:footnoteRef/>
      </w:r>
      <w:r>
        <w:t xml:space="preserve"> California Energy Commission, </w:t>
      </w:r>
      <w:r w:rsidR="008F34C6" w:rsidRPr="00D617AF">
        <w:rPr>
          <w:i/>
          <w:iCs/>
        </w:rPr>
        <w:t>The challenge of retail gas in California’s low</w:t>
      </w:r>
      <w:r w:rsidR="004F636C" w:rsidRPr="00D617AF">
        <w:rPr>
          <w:i/>
          <w:iCs/>
        </w:rPr>
        <w:t>-carbon future: technology options, customer costs, and public health benefits of reducing natural gas use</w:t>
      </w:r>
      <w:r w:rsidR="004F636C">
        <w:t xml:space="preserve">, </w:t>
      </w:r>
      <w:r w:rsidR="001940F8">
        <w:t xml:space="preserve">Final project report, California Energy Commission, </w:t>
      </w:r>
      <w:r w:rsidR="00D125F7">
        <w:t xml:space="preserve">April 2020, </w:t>
      </w:r>
      <w:r w:rsidR="00D617AF">
        <w:t>pp. 58-59.</w:t>
      </w:r>
    </w:p>
  </w:footnote>
  <w:footnote w:id="35">
    <w:p w14:paraId="1035A259" w14:textId="39B2CD4E" w:rsidR="007232A5" w:rsidRDefault="007232A5">
      <w:pPr>
        <w:pStyle w:val="FootnoteText"/>
      </w:pPr>
      <w:r>
        <w:rPr>
          <w:rStyle w:val="FootnoteReference"/>
        </w:rPr>
        <w:footnoteRef/>
      </w:r>
      <w:r>
        <w:t xml:space="preserve"> ACT Government, </w:t>
      </w:r>
      <w:r w:rsidRPr="00323CF3">
        <w:rPr>
          <w:i/>
          <w:iCs/>
        </w:rPr>
        <w:t>ACT Climate Change Strategy 2019-25</w:t>
      </w:r>
      <w:r w:rsidR="008327F6">
        <w:t xml:space="preserve">, op. cit., p. </w:t>
      </w:r>
      <w:r w:rsidR="00323CF3">
        <w:t>10.</w:t>
      </w:r>
    </w:p>
  </w:footnote>
  <w:footnote w:id="36">
    <w:p w14:paraId="4A73D7A6" w14:textId="4E2A6C60" w:rsidR="00BE71E3" w:rsidRDefault="00BE71E3">
      <w:pPr>
        <w:pStyle w:val="FootnoteText"/>
      </w:pPr>
      <w:r>
        <w:rPr>
          <w:rStyle w:val="FootnoteReference"/>
        </w:rPr>
        <w:footnoteRef/>
      </w:r>
      <w:r>
        <w:t xml:space="preserve"> Evoenergy, </w:t>
      </w:r>
      <w:r w:rsidR="004B426B" w:rsidRPr="002A2A8D">
        <w:rPr>
          <w:i/>
          <w:iCs/>
        </w:rPr>
        <w:t>GN21 Overview</w:t>
      </w:r>
      <w:r w:rsidR="004B426B">
        <w:t xml:space="preserve">, op. cit., p. </w:t>
      </w:r>
      <w:r w:rsidR="002A2A8D">
        <w:t>13.</w:t>
      </w:r>
    </w:p>
  </w:footnote>
  <w:footnote w:id="37">
    <w:p w14:paraId="0BD8F321" w14:textId="0E40E0CD" w:rsidR="00533C10" w:rsidRDefault="00533C10">
      <w:pPr>
        <w:pStyle w:val="FootnoteText"/>
      </w:pPr>
      <w:r>
        <w:rPr>
          <w:rStyle w:val="FootnoteReference"/>
        </w:rPr>
        <w:footnoteRef/>
      </w:r>
      <w:r>
        <w:t xml:space="preserve"> </w:t>
      </w:r>
      <w:r w:rsidR="00C70191">
        <w:t xml:space="preserve">AER, </w:t>
      </w:r>
      <w:r w:rsidR="00C70191" w:rsidRPr="002E69F2">
        <w:rPr>
          <w:i/>
          <w:iCs/>
        </w:rPr>
        <w:t>Draft decision</w:t>
      </w:r>
      <w:r w:rsidR="00C70191">
        <w:t xml:space="preserve">, op. cit., p. </w:t>
      </w:r>
      <w:r w:rsidR="00B61508">
        <w:t>40</w:t>
      </w:r>
    </w:p>
  </w:footnote>
  <w:footnote w:id="38">
    <w:p w14:paraId="6DC490E0" w14:textId="1C94212D" w:rsidR="000743B3" w:rsidRDefault="000743B3">
      <w:pPr>
        <w:pStyle w:val="FootnoteText"/>
      </w:pPr>
      <w:r>
        <w:rPr>
          <w:rStyle w:val="FootnoteReference"/>
        </w:rPr>
        <w:footnoteRef/>
      </w:r>
      <w:r>
        <w:t xml:space="preserve"> </w:t>
      </w:r>
      <w:r w:rsidR="00742889">
        <w:t>ibid</w:t>
      </w:r>
      <w:r w:rsidR="00B7398D">
        <w:t>, p. 10.</w:t>
      </w:r>
    </w:p>
  </w:footnote>
  <w:footnote w:id="39">
    <w:p w14:paraId="0F80B554" w14:textId="526BD899" w:rsidR="00932B9C" w:rsidRDefault="00932B9C">
      <w:pPr>
        <w:pStyle w:val="FootnoteText"/>
      </w:pPr>
      <w:r>
        <w:rPr>
          <w:rStyle w:val="FootnoteReference"/>
        </w:rPr>
        <w:footnoteRef/>
      </w:r>
      <w:r>
        <w:t xml:space="preserve"> </w:t>
      </w:r>
      <w:r w:rsidR="00574D99">
        <w:t xml:space="preserve">ACTCOSS, </w:t>
      </w:r>
      <w:r w:rsidR="00574D99" w:rsidRPr="00615024">
        <w:rPr>
          <w:i/>
          <w:iCs/>
        </w:rPr>
        <w:t>Submission: Evoenergy’s gas network 2021-25 access arrangement proposal to the Australian Energy Regulator</w:t>
      </w:r>
      <w:r w:rsidR="00574D99">
        <w:t xml:space="preserve">, op. cit., </w:t>
      </w:r>
      <w:r w:rsidR="006239E4">
        <w:t>p.8</w:t>
      </w:r>
      <w:r w:rsidR="00574D99">
        <w:t>.</w:t>
      </w:r>
    </w:p>
  </w:footnote>
  <w:footnote w:id="40">
    <w:p w14:paraId="0DFA6582" w14:textId="122FF6CE" w:rsidR="002E4320" w:rsidRDefault="002E4320">
      <w:pPr>
        <w:pStyle w:val="FootnoteText"/>
      </w:pPr>
      <w:r>
        <w:rPr>
          <w:rStyle w:val="FootnoteReference"/>
        </w:rPr>
        <w:footnoteRef/>
      </w:r>
      <w:r>
        <w:t xml:space="preserve"> </w:t>
      </w:r>
      <w:r w:rsidR="00B56BC9">
        <w:t xml:space="preserve">E O’Neill, </w:t>
      </w:r>
      <w:r w:rsidR="00B56BC9" w:rsidRPr="000C5686">
        <w:rPr>
          <w:i/>
          <w:iCs/>
        </w:rPr>
        <w:t>Exploring regulatory approaches to consumer vulnerability</w:t>
      </w:r>
      <w:r w:rsidR="00B56BC9">
        <w:t xml:space="preserve">, A report to the Australian Energy Regulator, Consumer </w:t>
      </w:r>
      <w:r w:rsidR="005B41B8">
        <w:t xml:space="preserve">Policy Research Centre, Melbourne, February 2020, </w:t>
      </w:r>
      <w:hyperlink r:id="rId16" w:history="1">
        <w:r w:rsidR="000C5686" w:rsidRPr="006E1AA0">
          <w:rPr>
            <w:rStyle w:val="Hyperlink"/>
          </w:rPr>
          <w:t>https://www.aer.gov.au/system/files/CPRC%20-%20Exploring%20regulatory%20approaches%20to%20consumer%20vulnerability%20-%20A%20report%20for%20the%20AER%20-%20February%202020_0.pdf</w:t>
        </w:r>
      </w:hyperlink>
      <w:r w:rsidR="000C5686">
        <w:t xml:space="preserve"> </w:t>
      </w:r>
    </w:p>
  </w:footnote>
  <w:footnote w:id="41">
    <w:p w14:paraId="50E2ED3E" w14:textId="3025C6B3" w:rsidR="000D6CAC" w:rsidRDefault="000D6CAC">
      <w:pPr>
        <w:pStyle w:val="FootnoteText"/>
      </w:pPr>
      <w:r>
        <w:rPr>
          <w:rStyle w:val="FootnoteReference"/>
        </w:rPr>
        <w:footnoteRef/>
      </w:r>
      <w:r>
        <w:t xml:space="preserve"> </w:t>
      </w:r>
      <w:r w:rsidR="005A0691">
        <w:t xml:space="preserve">ACTCOSS, </w:t>
      </w:r>
      <w:r w:rsidR="0046338F" w:rsidRPr="00615024">
        <w:rPr>
          <w:i/>
          <w:iCs/>
        </w:rPr>
        <w:t>Subm</w:t>
      </w:r>
      <w:r w:rsidR="00F74934" w:rsidRPr="00615024">
        <w:rPr>
          <w:i/>
          <w:iCs/>
        </w:rPr>
        <w:t>i</w:t>
      </w:r>
      <w:r w:rsidR="0046338F" w:rsidRPr="00615024">
        <w:rPr>
          <w:i/>
          <w:iCs/>
        </w:rPr>
        <w:t>ssion</w:t>
      </w:r>
      <w:r w:rsidR="00F74934" w:rsidRPr="00615024">
        <w:rPr>
          <w:i/>
          <w:iCs/>
        </w:rPr>
        <w:t xml:space="preserve">: </w:t>
      </w:r>
      <w:r w:rsidR="00106CFB" w:rsidRPr="00615024">
        <w:rPr>
          <w:i/>
          <w:iCs/>
        </w:rPr>
        <w:t>Evoenergy’s gas network 2021-25 access arrangement proposal to the Australian Energy Regulator</w:t>
      </w:r>
      <w:r w:rsidR="00106CFB">
        <w:t>, op. cit., p</w:t>
      </w:r>
      <w:r w:rsidR="00615024">
        <w:t>p. 20-21.</w:t>
      </w:r>
    </w:p>
  </w:footnote>
  <w:footnote w:id="42">
    <w:p w14:paraId="29106A11" w14:textId="16A93905" w:rsidR="001E3832" w:rsidRDefault="001E3832" w:rsidP="001E3832">
      <w:pPr>
        <w:pStyle w:val="FootnoteText"/>
      </w:pPr>
      <w:r w:rsidRPr="004A6387">
        <w:footnoteRef/>
      </w:r>
      <w:r w:rsidRPr="004A6387">
        <w:t xml:space="preserve"> </w:t>
      </w:r>
      <w:r>
        <w:tab/>
      </w:r>
      <w:r w:rsidRPr="00194064">
        <w:t xml:space="preserve">Evoenergy, </w:t>
      </w:r>
      <w:r w:rsidRPr="00194064">
        <w:rPr>
          <w:i/>
          <w:iCs/>
        </w:rPr>
        <w:t>Evoenergy gas network 2021 draft plan</w:t>
      </w:r>
      <w:r w:rsidRPr="00194064">
        <w:t>, Evoenergy gas network 2021-26 access arrangement review, Evoenergy, Canberra, February 2020, p.</w:t>
      </w:r>
      <w:r>
        <w:t>44</w:t>
      </w:r>
      <w:r w:rsidRPr="00194064">
        <w:t xml:space="preserve">, </w:t>
      </w:r>
      <w:hyperlink r:id="rId17" w:history="1">
        <w:r w:rsidRPr="000117B1">
          <w:rPr>
            <w:rStyle w:val="Hyperlink"/>
          </w:rPr>
          <w:t>https://www.evoenergy.com.au/gas-network-draft-plan</w:t>
        </w:r>
      </w:hyperlink>
    </w:p>
  </w:footnote>
  <w:footnote w:id="43">
    <w:p w14:paraId="7FC88FC0" w14:textId="375287BF" w:rsidR="00B219C7" w:rsidRDefault="00B219C7">
      <w:pPr>
        <w:pStyle w:val="FootnoteText"/>
      </w:pPr>
      <w:r>
        <w:rPr>
          <w:rStyle w:val="FootnoteReference"/>
        </w:rPr>
        <w:footnoteRef/>
      </w:r>
      <w:r>
        <w:t xml:space="preserve"> </w:t>
      </w:r>
      <w:r w:rsidR="00987BDF">
        <w:t xml:space="preserve">AER, </w:t>
      </w:r>
      <w:r w:rsidR="00476301" w:rsidRPr="00780288">
        <w:rPr>
          <w:i/>
          <w:iCs/>
        </w:rPr>
        <w:t>Draft decision Evoenergy access arrangement 2021 to 2026 Attachment 9 Reference tariff setting</w:t>
      </w:r>
      <w:r w:rsidR="00476301">
        <w:t xml:space="preserve">, AER, </w:t>
      </w:r>
      <w:r w:rsidR="00EA327E">
        <w:t>Melbourne, November 2020</w:t>
      </w:r>
      <w:r w:rsidR="00E401D6">
        <w:t xml:space="preserve">, p. 10 (fn 22), </w:t>
      </w:r>
      <w:hyperlink r:id="rId18" w:history="1">
        <w:r w:rsidR="00780288" w:rsidRPr="00C32DA9">
          <w:rPr>
            <w:rStyle w:val="Hyperlink"/>
          </w:rPr>
          <w:t>https://www.aer.gov.au/system/files/AER%20-%20Draft%20decision%20-%20Evoenergy%20access%20arrangement%202021-26%20-%20Attachment%209%20-%20Reference%20tariff%20setting%20-%20November%202020_0.pdf</w:t>
        </w:r>
      </w:hyperlink>
      <w:r w:rsidR="00780288">
        <w:t xml:space="preserve"> </w:t>
      </w:r>
    </w:p>
  </w:footnote>
  <w:footnote w:id="44">
    <w:p w14:paraId="31EDD52A" w14:textId="098E354B" w:rsidR="00780288" w:rsidRDefault="00780288">
      <w:pPr>
        <w:pStyle w:val="FootnoteText"/>
      </w:pPr>
      <w:r>
        <w:rPr>
          <w:rStyle w:val="FootnoteReference"/>
        </w:rPr>
        <w:footnoteRef/>
      </w:r>
      <w:r>
        <w:t xml:space="preserve"> </w:t>
      </w:r>
      <w:r w:rsidR="00A87168">
        <w:t>ibid</w:t>
      </w:r>
      <w:r>
        <w:t xml:space="preserve">, p. </w:t>
      </w:r>
      <w:r w:rsidR="00A87168">
        <w:t>10.</w:t>
      </w:r>
    </w:p>
  </w:footnote>
  <w:footnote w:id="45">
    <w:p w14:paraId="4CCCDF84" w14:textId="2F2A8D30" w:rsidR="00064BE0" w:rsidRDefault="00064BE0">
      <w:pPr>
        <w:pStyle w:val="FootnoteText"/>
      </w:pPr>
      <w:r>
        <w:rPr>
          <w:rStyle w:val="FootnoteReference"/>
        </w:rPr>
        <w:footnoteRef/>
      </w:r>
      <w:r>
        <w:t xml:space="preserve"> ibid. </w:t>
      </w:r>
    </w:p>
  </w:footnote>
  <w:footnote w:id="46">
    <w:p w14:paraId="2D1707F6" w14:textId="74F0038E" w:rsidR="006462C0" w:rsidRDefault="006462C0">
      <w:pPr>
        <w:pStyle w:val="FootnoteText"/>
      </w:pPr>
      <w:r>
        <w:rPr>
          <w:rStyle w:val="FootnoteReference"/>
        </w:rPr>
        <w:footnoteRef/>
      </w:r>
      <w:r>
        <w:t xml:space="preserve"> AER, </w:t>
      </w:r>
      <w:r w:rsidR="008247C5">
        <w:t>Draft decision overview, p. 10.</w:t>
      </w:r>
    </w:p>
  </w:footnote>
  <w:footnote w:id="47">
    <w:p w14:paraId="3E8F8FAC" w14:textId="635376A6" w:rsidR="00CA18A2" w:rsidRPr="00F84DFB" w:rsidRDefault="00CA18A2">
      <w:pPr>
        <w:pStyle w:val="FootnoteText"/>
      </w:pPr>
      <w:r>
        <w:rPr>
          <w:rStyle w:val="FootnoteReference"/>
        </w:rPr>
        <w:footnoteRef/>
      </w:r>
      <w:r>
        <w:t xml:space="preserve"> ACT </w:t>
      </w:r>
      <w:r w:rsidR="00F25C2C">
        <w:t>Government</w:t>
      </w:r>
      <w:r w:rsidR="00E906C7">
        <w:t xml:space="preserve">, </w:t>
      </w:r>
      <w:r w:rsidR="00E906C7" w:rsidRPr="00B410A9">
        <w:rPr>
          <w:i/>
          <w:iCs/>
        </w:rPr>
        <w:t>ACT Budget 2020-21 Budget Outlook</w:t>
      </w:r>
      <w:r w:rsidR="00E906C7">
        <w:rPr>
          <w:i/>
          <w:iCs/>
        </w:rPr>
        <w:t xml:space="preserve">, </w:t>
      </w:r>
      <w:r w:rsidR="00E906C7" w:rsidRPr="00F84DFB">
        <w:t>op. cit.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2CE91" w14:textId="77777777" w:rsidR="007476B9" w:rsidRDefault="007476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F9D2E" w14:textId="12191B48" w:rsidR="007476B9" w:rsidRDefault="007476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5ADBE" w14:textId="77777777" w:rsidR="007476B9" w:rsidRDefault="00747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82CE8854"/>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581EDE74"/>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53B23B74"/>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2F56440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8"/>
    <w:multiLevelType w:val="singleLevel"/>
    <w:tmpl w:val="75A0D654"/>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245E8AF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2B05A86"/>
    <w:multiLevelType w:val="multilevel"/>
    <w:tmpl w:val="F10CE0A8"/>
    <w:lvl w:ilvl="0">
      <w:start w:val="1"/>
      <w:numFmt w:val="lowerLetter"/>
      <w:pStyle w:val="BlockText-ListLetter"/>
      <w:lvlText w:val="%1."/>
      <w:lvlJc w:val="left"/>
      <w:pPr>
        <w:tabs>
          <w:tab w:val="num" w:pos="1134"/>
        </w:tabs>
        <w:ind w:left="1134" w:hanging="567"/>
      </w:pPr>
      <w:rPr>
        <w:rFonts w:hint="default"/>
      </w:rPr>
    </w:lvl>
    <w:lvl w:ilvl="1">
      <w:start w:val="1"/>
      <w:numFmt w:val="lowerLetter"/>
      <w:pStyle w:val="BlockText-ListLetter2"/>
      <w:lvlText w:val="%2."/>
      <w:lvlJc w:val="left"/>
      <w:pPr>
        <w:tabs>
          <w:tab w:val="num" w:pos="1701"/>
        </w:tabs>
        <w:ind w:left="1701" w:hanging="567"/>
      </w:pPr>
      <w:rPr>
        <w:rFonts w:hint="default"/>
      </w:rPr>
    </w:lvl>
    <w:lvl w:ilvl="2">
      <w:start w:val="1"/>
      <w:numFmt w:val="lowerLetter"/>
      <w:pStyle w:val="BlockText-ListLetter3"/>
      <w:lvlText w:val="%3."/>
      <w:lvlJc w:val="left"/>
      <w:pPr>
        <w:tabs>
          <w:tab w:val="num" w:pos="2268"/>
        </w:tabs>
        <w:ind w:left="2268" w:hanging="567"/>
      </w:pPr>
      <w:rPr>
        <w:rFonts w:hint="default"/>
      </w:rPr>
    </w:lvl>
    <w:lvl w:ilvl="3">
      <w:start w:val="1"/>
      <w:numFmt w:val="lowerLetter"/>
      <w:pStyle w:val="BlockText-ListLetter4"/>
      <w:lvlText w:val="%4."/>
      <w:lvlJc w:val="left"/>
      <w:pPr>
        <w:tabs>
          <w:tab w:val="num" w:pos="2835"/>
        </w:tabs>
        <w:ind w:left="2835" w:hanging="567"/>
      </w:pPr>
      <w:rPr>
        <w:rFonts w:hint="default"/>
      </w:rPr>
    </w:lvl>
    <w:lvl w:ilvl="4">
      <w:start w:val="1"/>
      <w:numFmt w:val="lowerLetter"/>
      <w:pStyle w:val="BlockText-ListLetter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 w15:restartNumberingAfterBreak="0">
    <w:nsid w:val="05C7657D"/>
    <w:multiLevelType w:val="multilevel"/>
    <w:tmpl w:val="CED68300"/>
    <w:lvl w:ilvl="0">
      <w:start w:val="1"/>
      <w:numFmt w:val="lowerRoman"/>
      <w:pStyle w:val="Table-ListRoman"/>
      <w:lvlText w:val="%1."/>
      <w:lvlJc w:val="left"/>
      <w:pPr>
        <w:tabs>
          <w:tab w:val="num" w:pos="284"/>
        </w:tabs>
        <w:ind w:left="284" w:hanging="284"/>
      </w:pPr>
      <w:rPr>
        <w:rFonts w:hint="default"/>
      </w:rPr>
    </w:lvl>
    <w:lvl w:ilvl="1">
      <w:start w:val="1"/>
      <w:numFmt w:val="lowerRoman"/>
      <w:pStyle w:val="Table-ListRoman2"/>
      <w:lvlText w:val="%2."/>
      <w:lvlJc w:val="left"/>
      <w:pPr>
        <w:tabs>
          <w:tab w:val="num" w:pos="567"/>
        </w:tabs>
        <w:ind w:left="567" w:hanging="283"/>
      </w:pPr>
      <w:rPr>
        <w:rFonts w:hint="default"/>
      </w:rPr>
    </w:lvl>
    <w:lvl w:ilvl="2">
      <w:start w:val="1"/>
      <w:numFmt w:val="lowerRoman"/>
      <w:pStyle w:val="Table-ListRoman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09176078"/>
    <w:multiLevelType w:val="multilevel"/>
    <w:tmpl w:val="C00C042A"/>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09D2764A"/>
    <w:multiLevelType w:val="multilevel"/>
    <w:tmpl w:val="8DAA325A"/>
    <w:lvl w:ilvl="0">
      <w:start w:val="1"/>
      <w:numFmt w:val="lowerLetter"/>
      <w:pStyle w:val="ListLetter"/>
      <w:lvlText w:val="%1."/>
      <w:lvlJc w:val="left"/>
      <w:pPr>
        <w:tabs>
          <w:tab w:val="num" w:pos="567"/>
        </w:tabs>
        <w:ind w:left="567" w:hanging="567"/>
      </w:pPr>
      <w:rPr>
        <w:rFonts w:hint="default"/>
        <w:b w:val="0"/>
        <w:i w:val="0"/>
        <w:color w:val="auto"/>
      </w:rPr>
    </w:lvl>
    <w:lvl w:ilvl="1">
      <w:start w:val="1"/>
      <w:numFmt w:val="lowerLetter"/>
      <w:pStyle w:val="ListLetter2"/>
      <w:lvlText w:val="%2."/>
      <w:lvlJc w:val="left"/>
      <w:pPr>
        <w:tabs>
          <w:tab w:val="num" w:pos="1134"/>
        </w:tabs>
        <w:ind w:left="1134" w:hanging="567"/>
      </w:pPr>
      <w:rPr>
        <w:rFonts w:hint="default"/>
        <w:b w:val="0"/>
        <w:i w:val="0"/>
        <w:color w:val="auto"/>
      </w:rPr>
    </w:lvl>
    <w:lvl w:ilvl="2">
      <w:start w:val="1"/>
      <w:numFmt w:val="lowerLetter"/>
      <w:pStyle w:val="ListLetter3"/>
      <w:lvlText w:val="%3."/>
      <w:lvlJc w:val="left"/>
      <w:pPr>
        <w:tabs>
          <w:tab w:val="num" w:pos="1701"/>
        </w:tabs>
        <w:ind w:left="1701" w:hanging="567"/>
      </w:pPr>
      <w:rPr>
        <w:rFonts w:hint="default"/>
        <w:b w:val="0"/>
        <w:i w:val="0"/>
        <w:color w:val="auto"/>
      </w:rPr>
    </w:lvl>
    <w:lvl w:ilvl="3">
      <w:start w:val="1"/>
      <w:numFmt w:val="lowerLetter"/>
      <w:pStyle w:val="ListLetter4"/>
      <w:lvlText w:val="%4."/>
      <w:lvlJc w:val="left"/>
      <w:pPr>
        <w:tabs>
          <w:tab w:val="num" w:pos="2268"/>
        </w:tabs>
        <w:ind w:left="2268" w:hanging="567"/>
      </w:pPr>
      <w:rPr>
        <w:rFonts w:hint="default"/>
        <w:b w:val="0"/>
        <w:i w:val="0"/>
        <w:color w:val="auto"/>
      </w:rPr>
    </w:lvl>
    <w:lvl w:ilvl="4">
      <w:start w:val="1"/>
      <w:numFmt w:val="lowerLetter"/>
      <w:pStyle w:val="ListLett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0CB24400"/>
    <w:multiLevelType w:val="multilevel"/>
    <w:tmpl w:val="194E070E"/>
    <w:lvl w:ilvl="0">
      <w:start w:val="1"/>
      <w:numFmt w:val="decimal"/>
      <w:pStyle w:val="ListNumber"/>
      <w:lvlText w:val="%1."/>
      <w:lvlJc w:val="left"/>
      <w:pPr>
        <w:tabs>
          <w:tab w:val="num" w:pos="567"/>
        </w:tabs>
        <w:ind w:left="567" w:hanging="567"/>
      </w:pPr>
      <w:rPr>
        <w:rFonts w:hint="default"/>
        <w:b w:val="0"/>
        <w:i w:val="0"/>
        <w:color w:val="auto"/>
      </w:rPr>
    </w:lvl>
    <w:lvl w:ilvl="1">
      <w:start w:val="1"/>
      <w:numFmt w:val="decimal"/>
      <w:pStyle w:val="ListNumber2"/>
      <w:lvlText w:val="%2."/>
      <w:lvlJc w:val="left"/>
      <w:pPr>
        <w:tabs>
          <w:tab w:val="num" w:pos="1134"/>
        </w:tabs>
        <w:ind w:left="1134" w:hanging="567"/>
      </w:pPr>
      <w:rPr>
        <w:rFonts w:hint="default"/>
        <w:b w:val="0"/>
        <w:i w:val="0"/>
        <w:color w:val="auto"/>
      </w:rPr>
    </w:lvl>
    <w:lvl w:ilvl="2">
      <w:start w:val="1"/>
      <w:numFmt w:val="decimal"/>
      <w:pStyle w:val="ListNumber3"/>
      <w:lvlText w:val="%3."/>
      <w:lvlJc w:val="left"/>
      <w:pPr>
        <w:tabs>
          <w:tab w:val="num" w:pos="1701"/>
        </w:tabs>
        <w:ind w:left="1701" w:hanging="567"/>
      </w:pPr>
      <w:rPr>
        <w:rFonts w:hint="default"/>
        <w:b w:val="0"/>
        <w:i w:val="0"/>
        <w:color w:val="auto"/>
      </w:rPr>
    </w:lvl>
    <w:lvl w:ilvl="3">
      <w:start w:val="1"/>
      <w:numFmt w:val="decimal"/>
      <w:pStyle w:val="ListNumber4"/>
      <w:lvlText w:val="%4."/>
      <w:lvlJc w:val="left"/>
      <w:pPr>
        <w:tabs>
          <w:tab w:val="num" w:pos="2268"/>
        </w:tabs>
        <w:ind w:left="2268" w:hanging="567"/>
      </w:pPr>
      <w:rPr>
        <w:rFonts w:hint="default"/>
        <w:b w:val="0"/>
        <w:i w:val="0"/>
        <w:color w:val="auto"/>
      </w:rPr>
    </w:lvl>
    <w:lvl w:ilvl="4">
      <w:start w:val="1"/>
      <w:numFmt w:val="decimal"/>
      <w:pStyle w:val="ListNumb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13DF06C3"/>
    <w:multiLevelType w:val="multilevel"/>
    <w:tmpl w:val="1D4A2A4C"/>
    <w:lvl w:ilvl="0">
      <w:start w:val="1"/>
      <w:numFmt w:val="decimal"/>
      <w:pStyle w:val="BlockText-ListNumber"/>
      <w:lvlText w:val="%1."/>
      <w:lvlJc w:val="left"/>
      <w:pPr>
        <w:tabs>
          <w:tab w:val="num" w:pos="1134"/>
        </w:tabs>
        <w:ind w:left="1134" w:hanging="567"/>
      </w:pPr>
      <w:rPr>
        <w:rFonts w:hint="default"/>
      </w:rPr>
    </w:lvl>
    <w:lvl w:ilvl="1">
      <w:start w:val="1"/>
      <w:numFmt w:val="decimal"/>
      <w:pStyle w:val="BlockText-ListNumber2"/>
      <w:lvlText w:val="%2."/>
      <w:lvlJc w:val="left"/>
      <w:pPr>
        <w:tabs>
          <w:tab w:val="num" w:pos="1701"/>
        </w:tabs>
        <w:ind w:left="1701" w:hanging="567"/>
      </w:pPr>
      <w:rPr>
        <w:rFonts w:hint="default"/>
      </w:rPr>
    </w:lvl>
    <w:lvl w:ilvl="2">
      <w:start w:val="1"/>
      <w:numFmt w:val="decimal"/>
      <w:pStyle w:val="BlockText-ListNumber3"/>
      <w:lvlText w:val="%3."/>
      <w:lvlJc w:val="left"/>
      <w:pPr>
        <w:tabs>
          <w:tab w:val="num" w:pos="2268"/>
        </w:tabs>
        <w:ind w:left="2268" w:hanging="567"/>
      </w:pPr>
      <w:rPr>
        <w:rFonts w:hint="default"/>
      </w:rPr>
    </w:lvl>
    <w:lvl w:ilvl="3">
      <w:start w:val="1"/>
      <w:numFmt w:val="decimal"/>
      <w:pStyle w:val="BlockText-ListNumber4"/>
      <w:lvlText w:val="%4."/>
      <w:lvlJc w:val="left"/>
      <w:pPr>
        <w:tabs>
          <w:tab w:val="num" w:pos="2835"/>
        </w:tabs>
        <w:ind w:left="2835" w:hanging="567"/>
      </w:pPr>
      <w:rPr>
        <w:rFonts w:hint="default"/>
      </w:rPr>
    </w:lvl>
    <w:lvl w:ilvl="4">
      <w:start w:val="1"/>
      <w:numFmt w:val="decimal"/>
      <w:pStyle w:val="BlockText-ListNumber5"/>
      <w:lvlText w:val="%5."/>
      <w:lvlJc w:val="left"/>
      <w:pPr>
        <w:tabs>
          <w:tab w:val="num" w:pos="3402"/>
        </w:tabs>
        <w:ind w:left="3402" w:hanging="567"/>
      </w:pPr>
      <w:rPr>
        <w:rFonts w:hint="default"/>
      </w:rPr>
    </w:lvl>
    <w:lvl w:ilvl="5">
      <w:start w:val="1"/>
      <w:numFmt w:val="none"/>
      <w:lvlText w:val="%6"/>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15:restartNumberingAfterBreak="0">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3"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hint="default"/>
      </w:rPr>
    </w:lvl>
    <w:lvl w:ilvl="1">
      <w:start w:val="1"/>
      <w:numFmt w:val="decimal"/>
      <w:pStyle w:val="Table-ListNumber2"/>
      <w:lvlText w:val="%2."/>
      <w:lvlJc w:val="left"/>
      <w:pPr>
        <w:tabs>
          <w:tab w:val="num" w:pos="567"/>
        </w:tabs>
        <w:ind w:left="567" w:hanging="283"/>
      </w:pPr>
      <w:rPr>
        <w:rFonts w:hint="default"/>
      </w:rPr>
    </w:lvl>
    <w:lvl w:ilvl="2">
      <w:start w:val="1"/>
      <w:numFmt w:val="decimal"/>
      <w:pStyle w:val="Table-ListNumb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15:restartNumberingAfterBreak="0">
    <w:nsid w:val="27FE6A7C"/>
    <w:multiLevelType w:val="multilevel"/>
    <w:tmpl w:val="0D9A3C00"/>
    <w:lvl w:ilvl="0">
      <w:start w:val="1"/>
      <w:numFmt w:val="lowerLetter"/>
      <w:pStyle w:val="Table-ListLetter"/>
      <w:lvlText w:val="%1."/>
      <w:lvlJc w:val="left"/>
      <w:pPr>
        <w:tabs>
          <w:tab w:val="num" w:pos="284"/>
        </w:tabs>
        <w:ind w:left="284" w:hanging="284"/>
      </w:pPr>
      <w:rPr>
        <w:rFonts w:hint="default"/>
      </w:rPr>
    </w:lvl>
    <w:lvl w:ilvl="1">
      <w:start w:val="1"/>
      <w:numFmt w:val="lowerLetter"/>
      <w:pStyle w:val="Table-ListLetter2"/>
      <w:lvlText w:val="%2."/>
      <w:lvlJc w:val="left"/>
      <w:pPr>
        <w:tabs>
          <w:tab w:val="num" w:pos="567"/>
        </w:tabs>
        <w:ind w:left="567" w:hanging="283"/>
      </w:pPr>
      <w:rPr>
        <w:rFonts w:hint="default"/>
      </w:rPr>
    </w:lvl>
    <w:lvl w:ilvl="2">
      <w:start w:val="1"/>
      <w:numFmt w:val="lowerLetter"/>
      <w:pStyle w:val="Table-ListLett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2E204E2D"/>
    <w:multiLevelType w:val="multilevel"/>
    <w:tmpl w:val="CA3ACC40"/>
    <w:lvl w:ilvl="0">
      <w:start w:val="1"/>
      <w:numFmt w:val="bullet"/>
      <w:lvlText w:val=""/>
      <w:lvlJc w:val="left"/>
      <w:pPr>
        <w:tabs>
          <w:tab w:val="num" w:pos="284"/>
        </w:tabs>
        <w:ind w:left="284" w:hanging="284"/>
      </w:pPr>
      <w:rPr>
        <w:rFonts w:ascii="Symbol" w:hAnsi="Symbol" w:hint="default"/>
        <w:b w:val="0"/>
        <w:i w:val="0"/>
        <w:color w:val="005984"/>
        <w:sz w:val="20"/>
      </w:rPr>
    </w:lvl>
    <w:lvl w:ilvl="1">
      <w:start w:val="1"/>
      <w:numFmt w:val="bullet"/>
      <w:lvlText w:val=""/>
      <w:lvlJc w:val="left"/>
      <w:pPr>
        <w:tabs>
          <w:tab w:val="num" w:pos="567"/>
        </w:tabs>
        <w:ind w:left="567" w:hanging="283"/>
      </w:pPr>
      <w:rPr>
        <w:rFonts w:ascii="Symbol" w:hAnsi="Symbol" w:hint="default"/>
        <w:color w:val="005984"/>
        <w:sz w:val="20"/>
      </w:rPr>
    </w:lvl>
    <w:lvl w:ilvl="2">
      <w:start w:val="1"/>
      <w:numFmt w:val="bullet"/>
      <w:lvlText w:val=""/>
      <w:lvlJc w:val="left"/>
      <w:pPr>
        <w:tabs>
          <w:tab w:val="num" w:pos="851"/>
        </w:tabs>
        <w:ind w:left="851" w:hanging="284"/>
      </w:pPr>
      <w:rPr>
        <w:rFonts w:ascii="Symbol" w:hAnsi="Symbol" w:hint="default"/>
        <w:color w:val="005984"/>
        <w:sz w:val="20"/>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hint="default"/>
      </w:rPr>
    </w:lvl>
    <w:lvl w:ilvl="1">
      <w:start w:val="1"/>
      <w:numFmt w:val="none"/>
      <w:pStyle w:val="BlockText-ListContinue2"/>
      <w:lvlText w:val=""/>
      <w:lvlJc w:val="left"/>
      <w:pPr>
        <w:tabs>
          <w:tab w:val="num" w:pos="1701"/>
        </w:tabs>
        <w:ind w:left="1701" w:hanging="567"/>
      </w:pPr>
      <w:rPr>
        <w:rFonts w:hint="default"/>
      </w:rPr>
    </w:lvl>
    <w:lvl w:ilvl="2">
      <w:start w:val="1"/>
      <w:numFmt w:val="none"/>
      <w:pStyle w:val="BlockText-ListContinue3"/>
      <w:lvlText w:val=""/>
      <w:lvlJc w:val="left"/>
      <w:pPr>
        <w:tabs>
          <w:tab w:val="num" w:pos="2268"/>
        </w:tabs>
        <w:ind w:left="2268" w:hanging="567"/>
      </w:pPr>
      <w:rPr>
        <w:rFonts w:hint="default"/>
      </w:rPr>
    </w:lvl>
    <w:lvl w:ilvl="3">
      <w:start w:val="1"/>
      <w:numFmt w:val="none"/>
      <w:pStyle w:val="BlockText-ListContinue4"/>
      <w:lvlText w:val=""/>
      <w:lvlJc w:val="left"/>
      <w:pPr>
        <w:tabs>
          <w:tab w:val="num" w:pos="2835"/>
        </w:tabs>
        <w:ind w:left="2835" w:hanging="567"/>
      </w:pPr>
      <w:rPr>
        <w:rFonts w:hint="default"/>
      </w:rPr>
    </w:lvl>
    <w:lvl w:ilvl="4">
      <w:start w:val="1"/>
      <w:numFmt w:val="none"/>
      <w:pStyle w:val="BlockText-ListContinue5"/>
      <w:lvlText w:val=""/>
      <w:lvlJc w:val="left"/>
      <w:pPr>
        <w:tabs>
          <w:tab w:val="num" w:pos="3402"/>
        </w:tabs>
        <w:ind w:left="3402" w:hanging="567"/>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7" w15:restartNumberingAfterBreak="0">
    <w:nsid w:val="36CD1F83"/>
    <w:multiLevelType w:val="multilevel"/>
    <w:tmpl w:val="538A4656"/>
    <w:lvl w:ilvl="0">
      <w:start w:val="1"/>
      <w:numFmt w:val="lowerRoman"/>
      <w:lvlText w:val="%1."/>
      <w:lvlJc w:val="left"/>
      <w:pPr>
        <w:tabs>
          <w:tab w:val="num" w:pos="360"/>
        </w:tabs>
        <w:ind w:left="360" w:hanging="360"/>
      </w:pPr>
      <w:rPr>
        <w:rFonts w:hint="default"/>
        <w:b w:val="0"/>
        <w:i w:val="0"/>
        <w:color w:val="auto"/>
      </w:rPr>
    </w:lvl>
    <w:lvl w:ilvl="1">
      <w:start w:val="1"/>
      <w:numFmt w:val="lowerRoman"/>
      <w:lvlText w:val="%2."/>
      <w:lvlJc w:val="left"/>
      <w:pPr>
        <w:tabs>
          <w:tab w:val="num" w:pos="720"/>
        </w:tabs>
        <w:ind w:left="720" w:hanging="360"/>
      </w:pPr>
      <w:rPr>
        <w:rFonts w:hint="default"/>
        <w:b w:val="0"/>
        <w:i w:val="0"/>
        <w:color w:val="auto"/>
      </w:rPr>
    </w:lvl>
    <w:lvl w:ilvl="2">
      <w:start w:val="1"/>
      <w:numFmt w:val="lowerRoman"/>
      <w:lvlText w:val="%3."/>
      <w:lvlJc w:val="left"/>
      <w:pPr>
        <w:tabs>
          <w:tab w:val="num" w:pos="1080"/>
        </w:tabs>
        <w:ind w:left="1080" w:hanging="360"/>
      </w:pPr>
      <w:rPr>
        <w:rFonts w:hint="default"/>
        <w:b w:val="0"/>
        <w:i w:val="0"/>
        <w:color w:val="auto"/>
      </w:rPr>
    </w:lvl>
    <w:lvl w:ilvl="3">
      <w:start w:val="1"/>
      <w:numFmt w:val="lowerRoman"/>
      <w:lvlText w:val="%4."/>
      <w:lvlJc w:val="left"/>
      <w:pPr>
        <w:tabs>
          <w:tab w:val="num" w:pos="1440"/>
        </w:tabs>
        <w:ind w:left="1440" w:hanging="360"/>
      </w:pPr>
      <w:rPr>
        <w:rFonts w:hint="default"/>
        <w:b w:val="0"/>
        <w:i w:val="0"/>
        <w:color w:val="auto"/>
      </w:rPr>
    </w:lvl>
    <w:lvl w:ilvl="4">
      <w:start w:val="1"/>
      <w:numFmt w:val="lowerRoman"/>
      <w:lvlText w:val="%5."/>
      <w:lvlJc w:val="left"/>
      <w:pPr>
        <w:tabs>
          <w:tab w:val="num" w:pos="1800"/>
        </w:tabs>
        <w:ind w:left="1800" w:hanging="360"/>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8" w15:restartNumberingAfterBreak="0">
    <w:nsid w:val="40A652B7"/>
    <w:multiLevelType w:val="multilevel"/>
    <w:tmpl w:val="8A1A986E"/>
    <w:styleLink w:val="111111"/>
    <w:lvl w:ilvl="0">
      <w:start w:val="1"/>
      <w:numFmt w:val="decimal"/>
      <w:suff w:val="space"/>
      <w:lvlText w:val="%1."/>
      <w:lvlJc w:val="left"/>
      <w:pPr>
        <w:ind w:left="284" w:hanging="284"/>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9" w15:restartNumberingAfterBreak="0">
    <w:nsid w:val="4E303B0C"/>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1" w15:restartNumberingAfterBreak="0">
    <w:nsid w:val="5532156C"/>
    <w:multiLevelType w:val="multilevel"/>
    <w:tmpl w:val="6A9697C2"/>
    <w:styleLink w:val="1ai"/>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2" w15:restartNumberingAfterBreak="0">
    <w:nsid w:val="55735B65"/>
    <w:multiLevelType w:val="multilevel"/>
    <w:tmpl w:val="447EF884"/>
    <w:lvl w:ilvl="0">
      <w:start w:val="1"/>
      <w:numFmt w:val="lowerRoman"/>
      <w:pStyle w:val="BlockText-ListRoman"/>
      <w:lvlText w:val="%1."/>
      <w:lvlJc w:val="left"/>
      <w:pPr>
        <w:tabs>
          <w:tab w:val="num" w:pos="1134"/>
        </w:tabs>
        <w:ind w:left="1134" w:hanging="567"/>
      </w:pPr>
      <w:rPr>
        <w:rFonts w:hint="default"/>
      </w:rPr>
    </w:lvl>
    <w:lvl w:ilvl="1">
      <w:start w:val="1"/>
      <w:numFmt w:val="lowerRoman"/>
      <w:pStyle w:val="BlockText-ListRoman2"/>
      <w:lvlText w:val="%2."/>
      <w:lvlJc w:val="left"/>
      <w:pPr>
        <w:tabs>
          <w:tab w:val="num" w:pos="1701"/>
        </w:tabs>
        <w:ind w:left="1701" w:hanging="567"/>
      </w:pPr>
      <w:rPr>
        <w:rFonts w:hint="default"/>
      </w:rPr>
    </w:lvl>
    <w:lvl w:ilvl="2">
      <w:start w:val="1"/>
      <w:numFmt w:val="lowerRoman"/>
      <w:pStyle w:val="BlockText-ListRoman3"/>
      <w:lvlText w:val="%3."/>
      <w:lvlJc w:val="left"/>
      <w:pPr>
        <w:tabs>
          <w:tab w:val="num" w:pos="2268"/>
        </w:tabs>
        <w:ind w:left="2268" w:hanging="567"/>
      </w:pPr>
      <w:rPr>
        <w:rFonts w:hint="default"/>
      </w:rPr>
    </w:lvl>
    <w:lvl w:ilvl="3">
      <w:start w:val="1"/>
      <w:numFmt w:val="lowerRoman"/>
      <w:pStyle w:val="BlockText-ListRoman4"/>
      <w:lvlText w:val="%4."/>
      <w:lvlJc w:val="left"/>
      <w:pPr>
        <w:tabs>
          <w:tab w:val="num" w:pos="2835"/>
        </w:tabs>
        <w:ind w:left="2835" w:hanging="567"/>
      </w:pPr>
      <w:rPr>
        <w:rFonts w:hint="default"/>
      </w:rPr>
    </w:lvl>
    <w:lvl w:ilvl="4">
      <w:start w:val="1"/>
      <w:numFmt w:val="lowerRoman"/>
      <w:pStyle w:val="BlockText-ListRoman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15:restartNumberingAfterBreak="0">
    <w:nsid w:val="5B796D78"/>
    <w:multiLevelType w:val="multilevel"/>
    <w:tmpl w:val="26F4C10A"/>
    <w:lvl w:ilvl="0">
      <w:start w:val="1"/>
      <w:numFmt w:val="lowerRoman"/>
      <w:pStyle w:val="ListRoman"/>
      <w:lvlText w:val="%1."/>
      <w:lvlJc w:val="left"/>
      <w:pPr>
        <w:tabs>
          <w:tab w:val="num" w:pos="567"/>
        </w:tabs>
        <w:ind w:left="567" w:hanging="567"/>
      </w:pPr>
      <w:rPr>
        <w:rFonts w:hint="default"/>
        <w:b w:val="0"/>
        <w:i w:val="0"/>
        <w:color w:val="auto"/>
      </w:rPr>
    </w:lvl>
    <w:lvl w:ilvl="1">
      <w:start w:val="1"/>
      <w:numFmt w:val="lowerRoman"/>
      <w:pStyle w:val="ListRoman2"/>
      <w:lvlText w:val="%2."/>
      <w:lvlJc w:val="left"/>
      <w:pPr>
        <w:tabs>
          <w:tab w:val="num" w:pos="1134"/>
        </w:tabs>
        <w:ind w:left="1134" w:hanging="567"/>
      </w:pPr>
      <w:rPr>
        <w:rFonts w:hint="default"/>
        <w:b w:val="0"/>
        <w:i w:val="0"/>
        <w:color w:val="auto"/>
      </w:rPr>
    </w:lvl>
    <w:lvl w:ilvl="2">
      <w:start w:val="1"/>
      <w:numFmt w:val="lowerRoman"/>
      <w:pStyle w:val="ListRoman3"/>
      <w:lvlText w:val="%3."/>
      <w:lvlJc w:val="left"/>
      <w:pPr>
        <w:tabs>
          <w:tab w:val="num" w:pos="1701"/>
        </w:tabs>
        <w:ind w:left="1701" w:hanging="567"/>
      </w:pPr>
      <w:rPr>
        <w:rFonts w:hint="default"/>
        <w:b w:val="0"/>
        <w:i w:val="0"/>
        <w:color w:val="auto"/>
      </w:rPr>
    </w:lvl>
    <w:lvl w:ilvl="3">
      <w:start w:val="1"/>
      <w:numFmt w:val="lowerRoman"/>
      <w:pStyle w:val="ListRoman4"/>
      <w:lvlText w:val="%4."/>
      <w:lvlJc w:val="left"/>
      <w:pPr>
        <w:tabs>
          <w:tab w:val="num" w:pos="2268"/>
        </w:tabs>
        <w:ind w:left="2268" w:hanging="567"/>
      </w:pPr>
      <w:rPr>
        <w:rFonts w:hint="default"/>
        <w:b w:val="0"/>
        <w:i w:val="0"/>
        <w:color w:val="auto"/>
      </w:rPr>
    </w:lvl>
    <w:lvl w:ilvl="4">
      <w:start w:val="1"/>
      <w:numFmt w:val="lowerRoman"/>
      <w:pStyle w:val="ListRoman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4" w15:restartNumberingAfterBreak="0">
    <w:nsid w:val="63395E5F"/>
    <w:multiLevelType w:val="multilevel"/>
    <w:tmpl w:val="7AA80116"/>
    <w:lvl w:ilvl="0">
      <w:start w:val="1"/>
      <w:numFmt w:val="none"/>
      <w:pStyle w:val="ListContinue"/>
      <w:lvlText w:val=""/>
      <w:lvlJc w:val="left"/>
      <w:pPr>
        <w:tabs>
          <w:tab w:val="num" w:pos="567"/>
        </w:tabs>
        <w:ind w:left="567" w:hanging="567"/>
      </w:pPr>
      <w:rPr>
        <w:rFonts w:hint="default"/>
      </w:rPr>
    </w:lvl>
    <w:lvl w:ilvl="1">
      <w:start w:val="1"/>
      <w:numFmt w:val="none"/>
      <w:pStyle w:val="ListContinue2"/>
      <w:lvlText w:val=""/>
      <w:lvlJc w:val="left"/>
      <w:pPr>
        <w:tabs>
          <w:tab w:val="num" w:pos="1134"/>
        </w:tabs>
        <w:ind w:left="1134" w:hanging="567"/>
      </w:pPr>
      <w:rPr>
        <w:rFonts w:hint="default"/>
      </w:rPr>
    </w:lvl>
    <w:lvl w:ilvl="2">
      <w:start w:val="1"/>
      <w:numFmt w:val="none"/>
      <w:pStyle w:val="ListContinue3"/>
      <w:lvlText w:val=""/>
      <w:lvlJc w:val="left"/>
      <w:pPr>
        <w:tabs>
          <w:tab w:val="num" w:pos="1701"/>
        </w:tabs>
        <w:ind w:left="1701" w:hanging="567"/>
      </w:pPr>
      <w:rPr>
        <w:rFonts w:hint="default"/>
      </w:rPr>
    </w:lvl>
    <w:lvl w:ilvl="3">
      <w:start w:val="1"/>
      <w:numFmt w:val="none"/>
      <w:pStyle w:val="ListContinue4"/>
      <w:lvlText w:val=""/>
      <w:lvlJc w:val="left"/>
      <w:pPr>
        <w:tabs>
          <w:tab w:val="num" w:pos="2268"/>
        </w:tabs>
        <w:ind w:left="2268" w:hanging="567"/>
      </w:pPr>
      <w:rPr>
        <w:rFonts w:hint="default"/>
      </w:rPr>
    </w:lvl>
    <w:lvl w:ilvl="4">
      <w:start w:val="1"/>
      <w:numFmt w:val="none"/>
      <w:pStyle w:val="ListContinue5"/>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25" w15:restartNumberingAfterBreak="0">
    <w:nsid w:val="65E1428C"/>
    <w:multiLevelType w:val="multilevel"/>
    <w:tmpl w:val="20F23230"/>
    <w:lvl w:ilvl="0">
      <w:start w:val="1"/>
      <w:numFmt w:val="bullet"/>
      <w:lvlText w:val=""/>
      <w:lvlJc w:val="left"/>
      <w:pPr>
        <w:tabs>
          <w:tab w:val="num" w:pos="1134"/>
        </w:tabs>
        <w:ind w:left="1134" w:hanging="567"/>
      </w:pPr>
      <w:rPr>
        <w:rFonts w:ascii="Symbol" w:hAnsi="Symbol" w:hint="default"/>
        <w:b w:val="0"/>
        <w:i w:val="0"/>
        <w:color w:val="005984"/>
        <w:sz w:val="22"/>
      </w:rPr>
    </w:lvl>
    <w:lvl w:ilvl="1">
      <w:start w:val="1"/>
      <w:numFmt w:val="bullet"/>
      <w:lvlText w:val=""/>
      <w:lvlJc w:val="left"/>
      <w:pPr>
        <w:tabs>
          <w:tab w:val="num" w:pos="1701"/>
        </w:tabs>
        <w:ind w:left="1701" w:hanging="567"/>
      </w:pPr>
      <w:rPr>
        <w:rFonts w:ascii="Symbol" w:hAnsi="Symbol" w:hint="default"/>
        <w:color w:val="005984"/>
        <w:sz w:val="22"/>
      </w:rPr>
    </w:lvl>
    <w:lvl w:ilvl="2">
      <w:start w:val="1"/>
      <w:numFmt w:val="bullet"/>
      <w:lvlText w:val=""/>
      <w:lvlJc w:val="left"/>
      <w:pPr>
        <w:tabs>
          <w:tab w:val="num" w:pos="2268"/>
        </w:tabs>
        <w:ind w:left="2268" w:hanging="567"/>
      </w:pPr>
      <w:rPr>
        <w:rFonts w:ascii="Symbol" w:hAnsi="Symbol" w:hint="default"/>
        <w:color w:val="005984"/>
        <w:sz w:val="22"/>
      </w:rPr>
    </w:lvl>
    <w:lvl w:ilvl="3">
      <w:start w:val="1"/>
      <w:numFmt w:val="bullet"/>
      <w:lvlText w:val=""/>
      <w:lvlJc w:val="left"/>
      <w:pPr>
        <w:tabs>
          <w:tab w:val="num" w:pos="2835"/>
        </w:tabs>
        <w:ind w:left="2835" w:hanging="567"/>
      </w:pPr>
      <w:rPr>
        <w:rFonts w:ascii="Symbol" w:hAnsi="Symbol" w:hint="default"/>
        <w:color w:val="005984"/>
        <w:sz w:val="22"/>
      </w:rPr>
    </w:lvl>
    <w:lvl w:ilvl="4">
      <w:start w:val="1"/>
      <w:numFmt w:val="bullet"/>
      <w:lvlText w:val=""/>
      <w:lvlJc w:val="left"/>
      <w:pPr>
        <w:tabs>
          <w:tab w:val="num" w:pos="3402"/>
        </w:tabs>
        <w:ind w:left="3402" w:hanging="567"/>
      </w:pPr>
      <w:rPr>
        <w:rFonts w:ascii="Symbol" w:hAnsi="Symbol" w:hint="default"/>
        <w:color w:val="005984"/>
        <w:sz w:val="22"/>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26" w15:restartNumberingAfterBreak="0">
    <w:nsid w:val="68D875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10"/>
  </w:num>
  <w:num w:numId="3">
    <w:abstractNumId w:val="21"/>
  </w:num>
  <w:num w:numId="4">
    <w:abstractNumId w:val="19"/>
  </w:num>
  <w:num w:numId="5">
    <w:abstractNumId w:val="18"/>
  </w:num>
  <w:num w:numId="6">
    <w:abstractNumId w:val="20"/>
  </w:num>
  <w:num w:numId="7">
    <w:abstractNumId w:val="12"/>
  </w:num>
  <w:num w:numId="8">
    <w:abstractNumId w:val="24"/>
  </w:num>
  <w:num w:numId="9">
    <w:abstractNumId w:val="9"/>
  </w:num>
  <w:num w:numId="10">
    <w:abstractNumId w:val="23"/>
  </w:num>
  <w:num w:numId="11">
    <w:abstractNumId w:val="11"/>
  </w:num>
  <w:num w:numId="12">
    <w:abstractNumId w:val="6"/>
  </w:num>
  <w:num w:numId="13">
    <w:abstractNumId w:val="22"/>
  </w:num>
  <w:num w:numId="14">
    <w:abstractNumId w:val="13"/>
  </w:num>
  <w:num w:numId="15">
    <w:abstractNumId w:val="14"/>
  </w:num>
  <w:num w:numId="16">
    <w:abstractNumId w:val="7"/>
  </w:num>
  <w:num w:numId="17">
    <w:abstractNumId w:val="17"/>
  </w:num>
  <w:num w:numId="18">
    <w:abstractNumId w:val="4"/>
  </w:num>
  <w:num w:numId="19">
    <w:abstractNumId w:val="2"/>
  </w:num>
  <w:num w:numId="20">
    <w:abstractNumId w:val="1"/>
  </w:num>
  <w:num w:numId="21">
    <w:abstractNumId w:val="3"/>
  </w:num>
  <w:num w:numId="22">
    <w:abstractNumId w:val="0"/>
  </w:num>
  <w:num w:numId="23">
    <w:abstractNumId w:val="16"/>
  </w:num>
  <w:num w:numId="24">
    <w:abstractNumId w:val="26"/>
  </w:num>
  <w:num w:numId="25">
    <w:abstractNumId w:val="25"/>
  </w:num>
  <w:num w:numId="26">
    <w:abstractNumId w:val="15"/>
  </w:num>
  <w:num w:numId="27">
    <w:abstractNumId w:val="8"/>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DA8"/>
    <w:rsid w:val="0000015B"/>
    <w:rsid w:val="00000585"/>
    <w:rsid w:val="00001157"/>
    <w:rsid w:val="00001CC1"/>
    <w:rsid w:val="00002044"/>
    <w:rsid w:val="0000255E"/>
    <w:rsid w:val="000027A8"/>
    <w:rsid w:val="00002C41"/>
    <w:rsid w:val="00003BEC"/>
    <w:rsid w:val="000040BA"/>
    <w:rsid w:val="00004697"/>
    <w:rsid w:val="0000475A"/>
    <w:rsid w:val="00004C9A"/>
    <w:rsid w:val="0000517C"/>
    <w:rsid w:val="0000588C"/>
    <w:rsid w:val="00005A28"/>
    <w:rsid w:val="00005AF7"/>
    <w:rsid w:val="00005B30"/>
    <w:rsid w:val="00005FF4"/>
    <w:rsid w:val="0000623B"/>
    <w:rsid w:val="00006B64"/>
    <w:rsid w:val="00007467"/>
    <w:rsid w:val="00007AF0"/>
    <w:rsid w:val="00010F14"/>
    <w:rsid w:val="000116AF"/>
    <w:rsid w:val="00011872"/>
    <w:rsid w:val="000119E3"/>
    <w:rsid w:val="00011B78"/>
    <w:rsid w:val="000120D3"/>
    <w:rsid w:val="00012365"/>
    <w:rsid w:val="00012633"/>
    <w:rsid w:val="00012D83"/>
    <w:rsid w:val="00012E73"/>
    <w:rsid w:val="000132C9"/>
    <w:rsid w:val="00013B13"/>
    <w:rsid w:val="00013ED8"/>
    <w:rsid w:val="00014021"/>
    <w:rsid w:val="00014172"/>
    <w:rsid w:val="00014206"/>
    <w:rsid w:val="00014249"/>
    <w:rsid w:val="000143A5"/>
    <w:rsid w:val="00014A41"/>
    <w:rsid w:val="00014B3B"/>
    <w:rsid w:val="0001514A"/>
    <w:rsid w:val="000152FD"/>
    <w:rsid w:val="00015F7A"/>
    <w:rsid w:val="000162D8"/>
    <w:rsid w:val="000164F8"/>
    <w:rsid w:val="000166C8"/>
    <w:rsid w:val="00016946"/>
    <w:rsid w:val="00017087"/>
    <w:rsid w:val="00017887"/>
    <w:rsid w:val="000215B8"/>
    <w:rsid w:val="00021975"/>
    <w:rsid w:val="00021F04"/>
    <w:rsid w:val="00022381"/>
    <w:rsid w:val="0002251B"/>
    <w:rsid w:val="00022CA9"/>
    <w:rsid w:val="000233EA"/>
    <w:rsid w:val="000238CB"/>
    <w:rsid w:val="000239A2"/>
    <w:rsid w:val="00023C3F"/>
    <w:rsid w:val="0002453D"/>
    <w:rsid w:val="000246AF"/>
    <w:rsid w:val="000247E6"/>
    <w:rsid w:val="00024A48"/>
    <w:rsid w:val="00024DDE"/>
    <w:rsid w:val="000252FB"/>
    <w:rsid w:val="000253A9"/>
    <w:rsid w:val="00025A2F"/>
    <w:rsid w:val="00025F23"/>
    <w:rsid w:val="00026723"/>
    <w:rsid w:val="00026A30"/>
    <w:rsid w:val="0002726C"/>
    <w:rsid w:val="0002768E"/>
    <w:rsid w:val="00030229"/>
    <w:rsid w:val="000302A3"/>
    <w:rsid w:val="0003057E"/>
    <w:rsid w:val="00030AAE"/>
    <w:rsid w:val="000317A8"/>
    <w:rsid w:val="00031E30"/>
    <w:rsid w:val="00031E69"/>
    <w:rsid w:val="00031F38"/>
    <w:rsid w:val="00031FE2"/>
    <w:rsid w:val="000320C0"/>
    <w:rsid w:val="000321B4"/>
    <w:rsid w:val="00032F54"/>
    <w:rsid w:val="0003306C"/>
    <w:rsid w:val="0003344E"/>
    <w:rsid w:val="00033717"/>
    <w:rsid w:val="00033E4C"/>
    <w:rsid w:val="000340E0"/>
    <w:rsid w:val="000343C8"/>
    <w:rsid w:val="000345E0"/>
    <w:rsid w:val="00034610"/>
    <w:rsid w:val="00034E48"/>
    <w:rsid w:val="0003516D"/>
    <w:rsid w:val="000355EE"/>
    <w:rsid w:val="00035679"/>
    <w:rsid w:val="000358E8"/>
    <w:rsid w:val="00035B8F"/>
    <w:rsid w:val="00036236"/>
    <w:rsid w:val="00036442"/>
    <w:rsid w:val="0003655E"/>
    <w:rsid w:val="00036701"/>
    <w:rsid w:val="00036EFE"/>
    <w:rsid w:val="000372C0"/>
    <w:rsid w:val="00037427"/>
    <w:rsid w:val="00037BE6"/>
    <w:rsid w:val="00040A4C"/>
    <w:rsid w:val="00040CFB"/>
    <w:rsid w:val="00040DD7"/>
    <w:rsid w:val="00040F25"/>
    <w:rsid w:val="000418AF"/>
    <w:rsid w:val="00041995"/>
    <w:rsid w:val="00041BF1"/>
    <w:rsid w:val="00041F28"/>
    <w:rsid w:val="00042382"/>
    <w:rsid w:val="00042E96"/>
    <w:rsid w:val="00043919"/>
    <w:rsid w:val="00043CF4"/>
    <w:rsid w:val="00043D22"/>
    <w:rsid w:val="00043F97"/>
    <w:rsid w:val="00044716"/>
    <w:rsid w:val="000447F4"/>
    <w:rsid w:val="00044A07"/>
    <w:rsid w:val="00044D90"/>
    <w:rsid w:val="0004507D"/>
    <w:rsid w:val="000454CC"/>
    <w:rsid w:val="00046C0E"/>
    <w:rsid w:val="00046F42"/>
    <w:rsid w:val="000471FF"/>
    <w:rsid w:val="00047A68"/>
    <w:rsid w:val="00047B01"/>
    <w:rsid w:val="000503BF"/>
    <w:rsid w:val="00050620"/>
    <w:rsid w:val="000506CD"/>
    <w:rsid w:val="00050C3C"/>
    <w:rsid w:val="00050D10"/>
    <w:rsid w:val="00050E6A"/>
    <w:rsid w:val="0005220F"/>
    <w:rsid w:val="00053BED"/>
    <w:rsid w:val="00054130"/>
    <w:rsid w:val="00054338"/>
    <w:rsid w:val="000546C5"/>
    <w:rsid w:val="00054AD4"/>
    <w:rsid w:val="000550EC"/>
    <w:rsid w:val="0005513A"/>
    <w:rsid w:val="000553B2"/>
    <w:rsid w:val="00055A5F"/>
    <w:rsid w:val="00055D5E"/>
    <w:rsid w:val="00056271"/>
    <w:rsid w:val="0005637E"/>
    <w:rsid w:val="0005647A"/>
    <w:rsid w:val="00056819"/>
    <w:rsid w:val="0005691F"/>
    <w:rsid w:val="00056969"/>
    <w:rsid w:val="000574A2"/>
    <w:rsid w:val="000576F3"/>
    <w:rsid w:val="00057763"/>
    <w:rsid w:val="00057BF2"/>
    <w:rsid w:val="00060934"/>
    <w:rsid w:val="00060E6E"/>
    <w:rsid w:val="00060F36"/>
    <w:rsid w:val="00060F8B"/>
    <w:rsid w:val="00060FF2"/>
    <w:rsid w:val="0006183F"/>
    <w:rsid w:val="00061BD0"/>
    <w:rsid w:val="00061DBB"/>
    <w:rsid w:val="00061F5A"/>
    <w:rsid w:val="000622B1"/>
    <w:rsid w:val="00062901"/>
    <w:rsid w:val="00063064"/>
    <w:rsid w:val="000631D9"/>
    <w:rsid w:val="0006342A"/>
    <w:rsid w:val="0006399D"/>
    <w:rsid w:val="00063DF4"/>
    <w:rsid w:val="00063EE6"/>
    <w:rsid w:val="0006459D"/>
    <w:rsid w:val="000646B1"/>
    <w:rsid w:val="00064BE0"/>
    <w:rsid w:val="00064FA6"/>
    <w:rsid w:val="0006512C"/>
    <w:rsid w:val="000659DC"/>
    <w:rsid w:val="00065AF2"/>
    <w:rsid w:val="00066893"/>
    <w:rsid w:val="00066F37"/>
    <w:rsid w:val="00067018"/>
    <w:rsid w:val="00067248"/>
    <w:rsid w:val="00067529"/>
    <w:rsid w:val="000677B2"/>
    <w:rsid w:val="00067900"/>
    <w:rsid w:val="00067A96"/>
    <w:rsid w:val="00070148"/>
    <w:rsid w:val="0007044D"/>
    <w:rsid w:val="000704AE"/>
    <w:rsid w:val="00070586"/>
    <w:rsid w:val="0007074A"/>
    <w:rsid w:val="000710D5"/>
    <w:rsid w:val="000717FA"/>
    <w:rsid w:val="00071B76"/>
    <w:rsid w:val="00071BF7"/>
    <w:rsid w:val="00072389"/>
    <w:rsid w:val="00072957"/>
    <w:rsid w:val="00072FC1"/>
    <w:rsid w:val="0007344A"/>
    <w:rsid w:val="00073589"/>
    <w:rsid w:val="000739EE"/>
    <w:rsid w:val="00073A77"/>
    <w:rsid w:val="00073E5F"/>
    <w:rsid w:val="00073F40"/>
    <w:rsid w:val="00073F60"/>
    <w:rsid w:val="0007435C"/>
    <w:rsid w:val="000743B3"/>
    <w:rsid w:val="0007474E"/>
    <w:rsid w:val="0007534D"/>
    <w:rsid w:val="00075471"/>
    <w:rsid w:val="000755E9"/>
    <w:rsid w:val="000762BD"/>
    <w:rsid w:val="00076AAA"/>
    <w:rsid w:val="00076CEF"/>
    <w:rsid w:val="00076D5C"/>
    <w:rsid w:val="00076F20"/>
    <w:rsid w:val="000771DF"/>
    <w:rsid w:val="000773D8"/>
    <w:rsid w:val="00077575"/>
    <w:rsid w:val="00077C59"/>
    <w:rsid w:val="00077FF6"/>
    <w:rsid w:val="00080AFB"/>
    <w:rsid w:val="00080F27"/>
    <w:rsid w:val="000812BB"/>
    <w:rsid w:val="00081DF2"/>
    <w:rsid w:val="00081EC0"/>
    <w:rsid w:val="00082109"/>
    <w:rsid w:val="00082527"/>
    <w:rsid w:val="000825FA"/>
    <w:rsid w:val="000826A4"/>
    <w:rsid w:val="00082CD6"/>
    <w:rsid w:val="00082E7C"/>
    <w:rsid w:val="000837F9"/>
    <w:rsid w:val="00083AF7"/>
    <w:rsid w:val="000845D3"/>
    <w:rsid w:val="00084C86"/>
    <w:rsid w:val="0008599F"/>
    <w:rsid w:val="00085D47"/>
    <w:rsid w:val="00085EEB"/>
    <w:rsid w:val="00085F3A"/>
    <w:rsid w:val="00086280"/>
    <w:rsid w:val="0008672D"/>
    <w:rsid w:val="0008683F"/>
    <w:rsid w:val="00086979"/>
    <w:rsid w:val="00086BE3"/>
    <w:rsid w:val="00086DBE"/>
    <w:rsid w:val="00086E1B"/>
    <w:rsid w:val="00087011"/>
    <w:rsid w:val="00087369"/>
    <w:rsid w:val="000900A1"/>
    <w:rsid w:val="00090209"/>
    <w:rsid w:val="000909A8"/>
    <w:rsid w:val="000909FD"/>
    <w:rsid w:val="00090A4F"/>
    <w:rsid w:val="000910AE"/>
    <w:rsid w:val="000915C3"/>
    <w:rsid w:val="000917F8"/>
    <w:rsid w:val="00091E3A"/>
    <w:rsid w:val="00091F32"/>
    <w:rsid w:val="000923E3"/>
    <w:rsid w:val="000923E8"/>
    <w:rsid w:val="000924F7"/>
    <w:rsid w:val="00092606"/>
    <w:rsid w:val="00092A6C"/>
    <w:rsid w:val="00092D66"/>
    <w:rsid w:val="000932CC"/>
    <w:rsid w:val="000938E3"/>
    <w:rsid w:val="00093E89"/>
    <w:rsid w:val="0009418A"/>
    <w:rsid w:val="00094301"/>
    <w:rsid w:val="000943A8"/>
    <w:rsid w:val="00095480"/>
    <w:rsid w:val="00095E56"/>
    <w:rsid w:val="00096103"/>
    <w:rsid w:val="0009615B"/>
    <w:rsid w:val="0009660D"/>
    <w:rsid w:val="00096802"/>
    <w:rsid w:val="00096939"/>
    <w:rsid w:val="00096D8F"/>
    <w:rsid w:val="00097786"/>
    <w:rsid w:val="000A056E"/>
    <w:rsid w:val="000A1539"/>
    <w:rsid w:val="000A161D"/>
    <w:rsid w:val="000A1786"/>
    <w:rsid w:val="000A21CD"/>
    <w:rsid w:val="000A2225"/>
    <w:rsid w:val="000A3386"/>
    <w:rsid w:val="000A34B6"/>
    <w:rsid w:val="000A3862"/>
    <w:rsid w:val="000A38BB"/>
    <w:rsid w:val="000A3ABE"/>
    <w:rsid w:val="000A3BFE"/>
    <w:rsid w:val="000A3DD1"/>
    <w:rsid w:val="000A435D"/>
    <w:rsid w:val="000A4B05"/>
    <w:rsid w:val="000A5013"/>
    <w:rsid w:val="000A501C"/>
    <w:rsid w:val="000A5475"/>
    <w:rsid w:val="000A59FF"/>
    <w:rsid w:val="000A5C70"/>
    <w:rsid w:val="000A61ED"/>
    <w:rsid w:val="000A65BC"/>
    <w:rsid w:val="000A6756"/>
    <w:rsid w:val="000A69B6"/>
    <w:rsid w:val="000A762F"/>
    <w:rsid w:val="000A7647"/>
    <w:rsid w:val="000A76C9"/>
    <w:rsid w:val="000A77D4"/>
    <w:rsid w:val="000A7934"/>
    <w:rsid w:val="000A7A09"/>
    <w:rsid w:val="000A7F11"/>
    <w:rsid w:val="000B0144"/>
    <w:rsid w:val="000B0386"/>
    <w:rsid w:val="000B039C"/>
    <w:rsid w:val="000B07D4"/>
    <w:rsid w:val="000B1357"/>
    <w:rsid w:val="000B13AE"/>
    <w:rsid w:val="000B16EF"/>
    <w:rsid w:val="000B1876"/>
    <w:rsid w:val="000B2114"/>
    <w:rsid w:val="000B2A20"/>
    <w:rsid w:val="000B2AF8"/>
    <w:rsid w:val="000B35E3"/>
    <w:rsid w:val="000B3D70"/>
    <w:rsid w:val="000B4051"/>
    <w:rsid w:val="000B4370"/>
    <w:rsid w:val="000B4866"/>
    <w:rsid w:val="000B4A23"/>
    <w:rsid w:val="000B54FC"/>
    <w:rsid w:val="000B58B6"/>
    <w:rsid w:val="000B5CDA"/>
    <w:rsid w:val="000B69F9"/>
    <w:rsid w:val="000B6F08"/>
    <w:rsid w:val="000B705F"/>
    <w:rsid w:val="000B7938"/>
    <w:rsid w:val="000B7BA2"/>
    <w:rsid w:val="000C03B8"/>
    <w:rsid w:val="000C06D1"/>
    <w:rsid w:val="000C0C16"/>
    <w:rsid w:val="000C0D40"/>
    <w:rsid w:val="000C0FDF"/>
    <w:rsid w:val="000C1329"/>
    <w:rsid w:val="000C1B6B"/>
    <w:rsid w:val="000C1FD8"/>
    <w:rsid w:val="000C22A7"/>
    <w:rsid w:val="000C363D"/>
    <w:rsid w:val="000C37C8"/>
    <w:rsid w:val="000C4999"/>
    <w:rsid w:val="000C52BB"/>
    <w:rsid w:val="000C5437"/>
    <w:rsid w:val="000C54CA"/>
    <w:rsid w:val="000C5686"/>
    <w:rsid w:val="000C57A3"/>
    <w:rsid w:val="000C5BD7"/>
    <w:rsid w:val="000C5D11"/>
    <w:rsid w:val="000C60EE"/>
    <w:rsid w:val="000C662B"/>
    <w:rsid w:val="000C7B0F"/>
    <w:rsid w:val="000C7C48"/>
    <w:rsid w:val="000C7D59"/>
    <w:rsid w:val="000D0B03"/>
    <w:rsid w:val="000D0F69"/>
    <w:rsid w:val="000D108B"/>
    <w:rsid w:val="000D1282"/>
    <w:rsid w:val="000D17D0"/>
    <w:rsid w:val="000D186E"/>
    <w:rsid w:val="000D1B3E"/>
    <w:rsid w:val="000D1B74"/>
    <w:rsid w:val="000D1EE1"/>
    <w:rsid w:val="000D1F22"/>
    <w:rsid w:val="000D23EA"/>
    <w:rsid w:val="000D27EB"/>
    <w:rsid w:val="000D3102"/>
    <w:rsid w:val="000D32E6"/>
    <w:rsid w:val="000D36F5"/>
    <w:rsid w:val="000D3721"/>
    <w:rsid w:val="000D3F21"/>
    <w:rsid w:val="000D4580"/>
    <w:rsid w:val="000D4915"/>
    <w:rsid w:val="000D4CA8"/>
    <w:rsid w:val="000D51EE"/>
    <w:rsid w:val="000D52C3"/>
    <w:rsid w:val="000D5432"/>
    <w:rsid w:val="000D5DE6"/>
    <w:rsid w:val="000D6BB1"/>
    <w:rsid w:val="000D6CAC"/>
    <w:rsid w:val="000D71DB"/>
    <w:rsid w:val="000D7415"/>
    <w:rsid w:val="000E0D39"/>
    <w:rsid w:val="000E0D95"/>
    <w:rsid w:val="000E1A65"/>
    <w:rsid w:val="000E1A74"/>
    <w:rsid w:val="000E1C2E"/>
    <w:rsid w:val="000E203E"/>
    <w:rsid w:val="000E208D"/>
    <w:rsid w:val="000E20E8"/>
    <w:rsid w:val="000E2729"/>
    <w:rsid w:val="000E2C55"/>
    <w:rsid w:val="000E31E8"/>
    <w:rsid w:val="000E3698"/>
    <w:rsid w:val="000E36BA"/>
    <w:rsid w:val="000E3879"/>
    <w:rsid w:val="000E3D46"/>
    <w:rsid w:val="000E3E97"/>
    <w:rsid w:val="000E4AAD"/>
    <w:rsid w:val="000E4F34"/>
    <w:rsid w:val="000E527A"/>
    <w:rsid w:val="000E5AC7"/>
    <w:rsid w:val="000E5F84"/>
    <w:rsid w:val="000E610D"/>
    <w:rsid w:val="000E6774"/>
    <w:rsid w:val="000E6BD1"/>
    <w:rsid w:val="000E76E9"/>
    <w:rsid w:val="000E78F7"/>
    <w:rsid w:val="000F098E"/>
    <w:rsid w:val="000F0AA6"/>
    <w:rsid w:val="000F14F7"/>
    <w:rsid w:val="000F186E"/>
    <w:rsid w:val="000F1A19"/>
    <w:rsid w:val="000F1CDC"/>
    <w:rsid w:val="000F262E"/>
    <w:rsid w:val="000F27FF"/>
    <w:rsid w:val="000F39F4"/>
    <w:rsid w:val="000F461B"/>
    <w:rsid w:val="000F4692"/>
    <w:rsid w:val="000F4F71"/>
    <w:rsid w:val="000F5085"/>
    <w:rsid w:val="000F56AC"/>
    <w:rsid w:val="000F581C"/>
    <w:rsid w:val="000F5B27"/>
    <w:rsid w:val="000F5FDF"/>
    <w:rsid w:val="000F69E8"/>
    <w:rsid w:val="000F6BDC"/>
    <w:rsid w:val="000F6DC9"/>
    <w:rsid w:val="000F71B8"/>
    <w:rsid w:val="000F73C5"/>
    <w:rsid w:val="00100A46"/>
    <w:rsid w:val="00100B87"/>
    <w:rsid w:val="00100C37"/>
    <w:rsid w:val="00100C86"/>
    <w:rsid w:val="00101373"/>
    <w:rsid w:val="00101589"/>
    <w:rsid w:val="001017B4"/>
    <w:rsid w:val="00101909"/>
    <w:rsid w:val="001027CF"/>
    <w:rsid w:val="00102A07"/>
    <w:rsid w:val="00102D95"/>
    <w:rsid w:val="00102D9C"/>
    <w:rsid w:val="00103B83"/>
    <w:rsid w:val="00103BE9"/>
    <w:rsid w:val="00103FC7"/>
    <w:rsid w:val="001040E9"/>
    <w:rsid w:val="001040EC"/>
    <w:rsid w:val="00104C21"/>
    <w:rsid w:val="00104FBE"/>
    <w:rsid w:val="001052A2"/>
    <w:rsid w:val="001056BD"/>
    <w:rsid w:val="0010628C"/>
    <w:rsid w:val="00106CFB"/>
    <w:rsid w:val="00106F30"/>
    <w:rsid w:val="00107469"/>
    <w:rsid w:val="00107A8C"/>
    <w:rsid w:val="00110AC3"/>
    <w:rsid w:val="00111019"/>
    <w:rsid w:val="001112E3"/>
    <w:rsid w:val="0011178F"/>
    <w:rsid w:val="00111DEF"/>
    <w:rsid w:val="00112027"/>
    <w:rsid w:val="001120E4"/>
    <w:rsid w:val="00112C38"/>
    <w:rsid w:val="00112D44"/>
    <w:rsid w:val="00112D70"/>
    <w:rsid w:val="00113216"/>
    <w:rsid w:val="00113510"/>
    <w:rsid w:val="001135C2"/>
    <w:rsid w:val="00113866"/>
    <w:rsid w:val="00114787"/>
    <w:rsid w:val="001148A7"/>
    <w:rsid w:val="00114932"/>
    <w:rsid w:val="00114D34"/>
    <w:rsid w:val="00115181"/>
    <w:rsid w:val="001151E6"/>
    <w:rsid w:val="00115270"/>
    <w:rsid w:val="001157D9"/>
    <w:rsid w:val="00115C21"/>
    <w:rsid w:val="00116097"/>
    <w:rsid w:val="0011629A"/>
    <w:rsid w:val="0011641A"/>
    <w:rsid w:val="00116AB3"/>
    <w:rsid w:val="00116D55"/>
    <w:rsid w:val="00116F58"/>
    <w:rsid w:val="00117F25"/>
    <w:rsid w:val="001204E3"/>
    <w:rsid w:val="001205A1"/>
    <w:rsid w:val="001205A4"/>
    <w:rsid w:val="00120DE1"/>
    <w:rsid w:val="001213A3"/>
    <w:rsid w:val="0012177B"/>
    <w:rsid w:val="00121AE3"/>
    <w:rsid w:val="00121D44"/>
    <w:rsid w:val="00122740"/>
    <w:rsid w:val="00122DF0"/>
    <w:rsid w:val="001232C5"/>
    <w:rsid w:val="00123B15"/>
    <w:rsid w:val="001244FA"/>
    <w:rsid w:val="0012505F"/>
    <w:rsid w:val="001250CD"/>
    <w:rsid w:val="001254E9"/>
    <w:rsid w:val="00125B92"/>
    <w:rsid w:val="00125C11"/>
    <w:rsid w:val="00126713"/>
    <w:rsid w:val="00126D22"/>
    <w:rsid w:val="00126F78"/>
    <w:rsid w:val="001270EE"/>
    <w:rsid w:val="0012720B"/>
    <w:rsid w:val="0012762E"/>
    <w:rsid w:val="00127B24"/>
    <w:rsid w:val="00127F06"/>
    <w:rsid w:val="001303D4"/>
    <w:rsid w:val="00130751"/>
    <w:rsid w:val="00131322"/>
    <w:rsid w:val="00131965"/>
    <w:rsid w:val="00131AFB"/>
    <w:rsid w:val="00131D3F"/>
    <w:rsid w:val="00131D95"/>
    <w:rsid w:val="00131F9B"/>
    <w:rsid w:val="001320F0"/>
    <w:rsid w:val="00132190"/>
    <w:rsid w:val="00132552"/>
    <w:rsid w:val="00132A0F"/>
    <w:rsid w:val="00132F5E"/>
    <w:rsid w:val="0013344D"/>
    <w:rsid w:val="00133C57"/>
    <w:rsid w:val="001347CA"/>
    <w:rsid w:val="00134B44"/>
    <w:rsid w:val="00134D46"/>
    <w:rsid w:val="00135A61"/>
    <w:rsid w:val="00135E66"/>
    <w:rsid w:val="0013698C"/>
    <w:rsid w:val="001377DE"/>
    <w:rsid w:val="0013785B"/>
    <w:rsid w:val="00137AF8"/>
    <w:rsid w:val="001405FD"/>
    <w:rsid w:val="001406ED"/>
    <w:rsid w:val="00140A42"/>
    <w:rsid w:val="00140A6B"/>
    <w:rsid w:val="00140DEA"/>
    <w:rsid w:val="00141410"/>
    <w:rsid w:val="0014153A"/>
    <w:rsid w:val="0014161E"/>
    <w:rsid w:val="00141D89"/>
    <w:rsid w:val="001428F3"/>
    <w:rsid w:val="00142B12"/>
    <w:rsid w:val="00142B78"/>
    <w:rsid w:val="00143411"/>
    <w:rsid w:val="001434FA"/>
    <w:rsid w:val="00143E82"/>
    <w:rsid w:val="001442B1"/>
    <w:rsid w:val="0014484F"/>
    <w:rsid w:val="0014496B"/>
    <w:rsid w:val="00144FA2"/>
    <w:rsid w:val="001452BE"/>
    <w:rsid w:val="0014538A"/>
    <w:rsid w:val="001454B7"/>
    <w:rsid w:val="00145717"/>
    <w:rsid w:val="00145C64"/>
    <w:rsid w:val="00146E81"/>
    <w:rsid w:val="001473CD"/>
    <w:rsid w:val="00147756"/>
    <w:rsid w:val="00147AB7"/>
    <w:rsid w:val="0015006B"/>
    <w:rsid w:val="001503A1"/>
    <w:rsid w:val="00150904"/>
    <w:rsid w:val="001517BD"/>
    <w:rsid w:val="00151BC0"/>
    <w:rsid w:val="00151BFA"/>
    <w:rsid w:val="00152293"/>
    <w:rsid w:val="00152A93"/>
    <w:rsid w:val="00152D3F"/>
    <w:rsid w:val="00153BAA"/>
    <w:rsid w:val="001542FF"/>
    <w:rsid w:val="0015462C"/>
    <w:rsid w:val="00154F9C"/>
    <w:rsid w:val="0015585B"/>
    <w:rsid w:val="00156923"/>
    <w:rsid w:val="00156A23"/>
    <w:rsid w:val="00156BB1"/>
    <w:rsid w:val="00156BED"/>
    <w:rsid w:val="00156DB0"/>
    <w:rsid w:val="00157B88"/>
    <w:rsid w:val="00160900"/>
    <w:rsid w:val="00160947"/>
    <w:rsid w:val="00160AD9"/>
    <w:rsid w:val="00160F46"/>
    <w:rsid w:val="001610FE"/>
    <w:rsid w:val="0016115D"/>
    <w:rsid w:val="0016165D"/>
    <w:rsid w:val="0016197C"/>
    <w:rsid w:val="00161ABA"/>
    <w:rsid w:val="00161F07"/>
    <w:rsid w:val="0016245C"/>
    <w:rsid w:val="0016318D"/>
    <w:rsid w:val="00163482"/>
    <w:rsid w:val="0016363B"/>
    <w:rsid w:val="00164184"/>
    <w:rsid w:val="00164895"/>
    <w:rsid w:val="001648A4"/>
    <w:rsid w:val="00165605"/>
    <w:rsid w:val="00165792"/>
    <w:rsid w:val="001659AB"/>
    <w:rsid w:val="00165ABE"/>
    <w:rsid w:val="00165F8F"/>
    <w:rsid w:val="0016628A"/>
    <w:rsid w:val="00166D83"/>
    <w:rsid w:val="00167200"/>
    <w:rsid w:val="001704BE"/>
    <w:rsid w:val="001707D4"/>
    <w:rsid w:val="00170817"/>
    <w:rsid w:val="00170CE5"/>
    <w:rsid w:val="00172183"/>
    <w:rsid w:val="001728CB"/>
    <w:rsid w:val="00172970"/>
    <w:rsid w:val="001734E5"/>
    <w:rsid w:val="00173CE1"/>
    <w:rsid w:val="001742D6"/>
    <w:rsid w:val="00174751"/>
    <w:rsid w:val="001747DD"/>
    <w:rsid w:val="001751C7"/>
    <w:rsid w:val="001761B3"/>
    <w:rsid w:val="00176412"/>
    <w:rsid w:val="00176562"/>
    <w:rsid w:val="001774D8"/>
    <w:rsid w:val="00177588"/>
    <w:rsid w:val="001779C5"/>
    <w:rsid w:val="00177FC3"/>
    <w:rsid w:val="001800E6"/>
    <w:rsid w:val="001800FA"/>
    <w:rsid w:val="00180A90"/>
    <w:rsid w:val="00181C54"/>
    <w:rsid w:val="001822D7"/>
    <w:rsid w:val="001825D6"/>
    <w:rsid w:val="0018260E"/>
    <w:rsid w:val="00182F1F"/>
    <w:rsid w:val="00182FE7"/>
    <w:rsid w:val="00183229"/>
    <w:rsid w:val="00183456"/>
    <w:rsid w:val="00183779"/>
    <w:rsid w:val="00183F6B"/>
    <w:rsid w:val="001845B2"/>
    <w:rsid w:val="0018462C"/>
    <w:rsid w:val="00185011"/>
    <w:rsid w:val="001852B7"/>
    <w:rsid w:val="00185509"/>
    <w:rsid w:val="0018574B"/>
    <w:rsid w:val="00186CFD"/>
    <w:rsid w:val="001870E5"/>
    <w:rsid w:val="0018739F"/>
    <w:rsid w:val="001875F8"/>
    <w:rsid w:val="00187A6C"/>
    <w:rsid w:val="00187CBC"/>
    <w:rsid w:val="0019036A"/>
    <w:rsid w:val="00190D7B"/>
    <w:rsid w:val="0019104D"/>
    <w:rsid w:val="00191DAC"/>
    <w:rsid w:val="00191DCE"/>
    <w:rsid w:val="00192451"/>
    <w:rsid w:val="0019257F"/>
    <w:rsid w:val="00192C79"/>
    <w:rsid w:val="00193B91"/>
    <w:rsid w:val="00193ED3"/>
    <w:rsid w:val="001940F8"/>
    <w:rsid w:val="00194214"/>
    <w:rsid w:val="001949F5"/>
    <w:rsid w:val="00194AD4"/>
    <w:rsid w:val="00194B72"/>
    <w:rsid w:val="00194C6D"/>
    <w:rsid w:val="00194DDD"/>
    <w:rsid w:val="00195619"/>
    <w:rsid w:val="00195B32"/>
    <w:rsid w:val="00195E3B"/>
    <w:rsid w:val="00195E7B"/>
    <w:rsid w:val="001963E5"/>
    <w:rsid w:val="001967C7"/>
    <w:rsid w:val="00196D40"/>
    <w:rsid w:val="00196F97"/>
    <w:rsid w:val="00197372"/>
    <w:rsid w:val="00197582"/>
    <w:rsid w:val="00197BB3"/>
    <w:rsid w:val="00197C04"/>
    <w:rsid w:val="001A0305"/>
    <w:rsid w:val="001A04EB"/>
    <w:rsid w:val="001A0F4E"/>
    <w:rsid w:val="001A0FF4"/>
    <w:rsid w:val="001A120B"/>
    <w:rsid w:val="001A14C2"/>
    <w:rsid w:val="001A1730"/>
    <w:rsid w:val="001A177A"/>
    <w:rsid w:val="001A177B"/>
    <w:rsid w:val="001A17EB"/>
    <w:rsid w:val="001A19AC"/>
    <w:rsid w:val="001A1A7D"/>
    <w:rsid w:val="001A1CA6"/>
    <w:rsid w:val="001A2E42"/>
    <w:rsid w:val="001A2E55"/>
    <w:rsid w:val="001A2FCA"/>
    <w:rsid w:val="001A3255"/>
    <w:rsid w:val="001A32E2"/>
    <w:rsid w:val="001A3640"/>
    <w:rsid w:val="001A37B1"/>
    <w:rsid w:val="001A3843"/>
    <w:rsid w:val="001A3C8C"/>
    <w:rsid w:val="001A40F4"/>
    <w:rsid w:val="001A4EF6"/>
    <w:rsid w:val="001A52A3"/>
    <w:rsid w:val="001A544C"/>
    <w:rsid w:val="001A68BD"/>
    <w:rsid w:val="001A6928"/>
    <w:rsid w:val="001A6C17"/>
    <w:rsid w:val="001A7558"/>
    <w:rsid w:val="001A7D8C"/>
    <w:rsid w:val="001A7E66"/>
    <w:rsid w:val="001A7FDF"/>
    <w:rsid w:val="001B05E9"/>
    <w:rsid w:val="001B07B5"/>
    <w:rsid w:val="001B111D"/>
    <w:rsid w:val="001B11A3"/>
    <w:rsid w:val="001B162F"/>
    <w:rsid w:val="001B1863"/>
    <w:rsid w:val="001B1A7A"/>
    <w:rsid w:val="001B1EE2"/>
    <w:rsid w:val="001B2112"/>
    <w:rsid w:val="001B211B"/>
    <w:rsid w:val="001B2807"/>
    <w:rsid w:val="001B28B6"/>
    <w:rsid w:val="001B29BA"/>
    <w:rsid w:val="001B2F70"/>
    <w:rsid w:val="001B2FCD"/>
    <w:rsid w:val="001B3723"/>
    <w:rsid w:val="001B3BDD"/>
    <w:rsid w:val="001B3D3F"/>
    <w:rsid w:val="001B3DA9"/>
    <w:rsid w:val="001B4A5C"/>
    <w:rsid w:val="001B4E77"/>
    <w:rsid w:val="001B5035"/>
    <w:rsid w:val="001B5137"/>
    <w:rsid w:val="001B51CC"/>
    <w:rsid w:val="001B5490"/>
    <w:rsid w:val="001B55E6"/>
    <w:rsid w:val="001B707A"/>
    <w:rsid w:val="001B74C0"/>
    <w:rsid w:val="001B76ED"/>
    <w:rsid w:val="001B77B2"/>
    <w:rsid w:val="001B7AC6"/>
    <w:rsid w:val="001C017E"/>
    <w:rsid w:val="001C01A5"/>
    <w:rsid w:val="001C0402"/>
    <w:rsid w:val="001C061C"/>
    <w:rsid w:val="001C0DCF"/>
    <w:rsid w:val="001C1507"/>
    <w:rsid w:val="001C177B"/>
    <w:rsid w:val="001C1A79"/>
    <w:rsid w:val="001C1DFC"/>
    <w:rsid w:val="001C2858"/>
    <w:rsid w:val="001C285C"/>
    <w:rsid w:val="001C2B7D"/>
    <w:rsid w:val="001C2E76"/>
    <w:rsid w:val="001C32EA"/>
    <w:rsid w:val="001C34D7"/>
    <w:rsid w:val="001C3589"/>
    <w:rsid w:val="001C3731"/>
    <w:rsid w:val="001C3800"/>
    <w:rsid w:val="001C3A84"/>
    <w:rsid w:val="001C3BA7"/>
    <w:rsid w:val="001C3D63"/>
    <w:rsid w:val="001C4152"/>
    <w:rsid w:val="001C4246"/>
    <w:rsid w:val="001C4311"/>
    <w:rsid w:val="001C441B"/>
    <w:rsid w:val="001C4727"/>
    <w:rsid w:val="001C499F"/>
    <w:rsid w:val="001C4D0A"/>
    <w:rsid w:val="001C50CA"/>
    <w:rsid w:val="001C549D"/>
    <w:rsid w:val="001C54B3"/>
    <w:rsid w:val="001C562C"/>
    <w:rsid w:val="001C69F0"/>
    <w:rsid w:val="001C6AF4"/>
    <w:rsid w:val="001C75E9"/>
    <w:rsid w:val="001C7C79"/>
    <w:rsid w:val="001C7CBE"/>
    <w:rsid w:val="001C7D84"/>
    <w:rsid w:val="001D01D4"/>
    <w:rsid w:val="001D08F7"/>
    <w:rsid w:val="001D0900"/>
    <w:rsid w:val="001D0975"/>
    <w:rsid w:val="001D0ADC"/>
    <w:rsid w:val="001D0FDD"/>
    <w:rsid w:val="001D17FD"/>
    <w:rsid w:val="001D1843"/>
    <w:rsid w:val="001D1ACD"/>
    <w:rsid w:val="001D1C37"/>
    <w:rsid w:val="001D1E2C"/>
    <w:rsid w:val="001D2019"/>
    <w:rsid w:val="001D2123"/>
    <w:rsid w:val="001D2832"/>
    <w:rsid w:val="001D31C1"/>
    <w:rsid w:val="001D35F6"/>
    <w:rsid w:val="001D3902"/>
    <w:rsid w:val="001D3EEA"/>
    <w:rsid w:val="001D4272"/>
    <w:rsid w:val="001D50B3"/>
    <w:rsid w:val="001D52A0"/>
    <w:rsid w:val="001D5767"/>
    <w:rsid w:val="001D5CCF"/>
    <w:rsid w:val="001D6149"/>
    <w:rsid w:val="001D6D28"/>
    <w:rsid w:val="001D6EEF"/>
    <w:rsid w:val="001E05EA"/>
    <w:rsid w:val="001E1035"/>
    <w:rsid w:val="001E13CC"/>
    <w:rsid w:val="001E1990"/>
    <w:rsid w:val="001E1A2C"/>
    <w:rsid w:val="001E1F60"/>
    <w:rsid w:val="001E20E6"/>
    <w:rsid w:val="001E2886"/>
    <w:rsid w:val="001E3832"/>
    <w:rsid w:val="001E4636"/>
    <w:rsid w:val="001E468C"/>
    <w:rsid w:val="001E4979"/>
    <w:rsid w:val="001E49B5"/>
    <w:rsid w:val="001E4A2B"/>
    <w:rsid w:val="001E4B25"/>
    <w:rsid w:val="001E4E0E"/>
    <w:rsid w:val="001E5335"/>
    <w:rsid w:val="001E553F"/>
    <w:rsid w:val="001E5641"/>
    <w:rsid w:val="001E623A"/>
    <w:rsid w:val="001E6272"/>
    <w:rsid w:val="001E6369"/>
    <w:rsid w:val="001E63AC"/>
    <w:rsid w:val="001E65EC"/>
    <w:rsid w:val="001E7515"/>
    <w:rsid w:val="001E7934"/>
    <w:rsid w:val="001E7E3C"/>
    <w:rsid w:val="001F0485"/>
    <w:rsid w:val="001F0555"/>
    <w:rsid w:val="001F0CD7"/>
    <w:rsid w:val="001F0CE3"/>
    <w:rsid w:val="001F0DBC"/>
    <w:rsid w:val="001F1049"/>
    <w:rsid w:val="001F1192"/>
    <w:rsid w:val="001F15DF"/>
    <w:rsid w:val="001F16F2"/>
    <w:rsid w:val="001F181F"/>
    <w:rsid w:val="001F1A50"/>
    <w:rsid w:val="001F1F59"/>
    <w:rsid w:val="001F2C64"/>
    <w:rsid w:val="001F2CDD"/>
    <w:rsid w:val="001F374E"/>
    <w:rsid w:val="001F37A1"/>
    <w:rsid w:val="001F3948"/>
    <w:rsid w:val="001F3F33"/>
    <w:rsid w:val="001F463F"/>
    <w:rsid w:val="001F495E"/>
    <w:rsid w:val="001F49A7"/>
    <w:rsid w:val="001F4C67"/>
    <w:rsid w:val="001F4E75"/>
    <w:rsid w:val="001F4EDD"/>
    <w:rsid w:val="001F5207"/>
    <w:rsid w:val="001F5229"/>
    <w:rsid w:val="001F55B9"/>
    <w:rsid w:val="001F5781"/>
    <w:rsid w:val="001F5B8D"/>
    <w:rsid w:val="001F5E3C"/>
    <w:rsid w:val="001F6B00"/>
    <w:rsid w:val="001F6B7E"/>
    <w:rsid w:val="001F6BC4"/>
    <w:rsid w:val="001F71B1"/>
    <w:rsid w:val="001F7329"/>
    <w:rsid w:val="001F74B3"/>
    <w:rsid w:val="001F799C"/>
    <w:rsid w:val="001F7B0D"/>
    <w:rsid w:val="001F7FF3"/>
    <w:rsid w:val="0020013C"/>
    <w:rsid w:val="0020038B"/>
    <w:rsid w:val="0020072D"/>
    <w:rsid w:val="0020082D"/>
    <w:rsid w:val="00200D28"/>
    <w:rsid w:val="00201216"/>
    <w:rsid w:val="002012AF"/>
    <w:rsid w:val="002013C2"/>
    <w:rsid w:val="0020160B"/>
    <w:rsid w:val="00201783"/>
    <w:rsid w:val="00201D57"/>
    <w:rsid w:val="00202337"/>
    <w:rsid w:val="002025DA"/>
    <w:rsid w:val="00203060"/>
    <w:rsid w:val="0020314B"/>
    <w:rsid w:val="00203225"/>
    <w:rsid w:val="002035EC"/>
    <w:rsid w:val="002037E3"/>
    <w:rsid w:val="00203A60"/>
    <w:rsid w:val="00203D00"/>
    <w:rsid w:val="00204192"/>
    <w:rsid w:val="00205671"/>
    <w:rsid w:val="00206353"/>
    <w:rsid w:val="0020643D"/>
    <w:rsid w:val="00206802"/>
    <w:rsid w:val="00206878"/>
    <w:rsid w:val="00206882"/>
    <w:rsid w:val="002076B7"/>
    <w:rsid w:val="00210128"/>
    <w:rsid w:val="002107DC"/>
    <w:rsid w:val="00210BB4"/>
    <w:rsid w:val="00211195"/>
    <w:rsid w:val="00211866"/>
    <w:rsid w:val="0021190B"/>
    <w:rsid w:val="00211BFA"/>
    <w:rsid w:val="00211E14"/>
    <w:rsid w:val="0021218B"/>
    <w:rsid w:val="00212593"/>
    <w:rsid w:val="00212CC0"/>
    <w:rsid w:val="0021378D"/>
    <w:rsid w:val="002138E8"/>
    <w:rsid w:val="00213D6A"/>
    <w:rsid w:val="00213EE7"/>
    <w:rsid w:val="00214B9A"/>
    <w:rsid w:val="00214ED9"/>
    <w:rsid w:val="00215534"/>
    <w:rsid w:val="002156C9"/>
    <w:rsid w:val="00215AE8"/>
    <w:rsid w:val="00216A0D"/>
    <w:rsid w:val="002170EC"/>
    <w:rsid w:val="002179F6"/>
    <w:rsid w:val="00217A21"/>
    <w:rsid w:val="00220240"/>
    <w:rsid w:val="002208BA"/>
    <w:rsid w:val="00220F80"/>
    <w:rsid w:val="002212FD"/>
    <w:rsid w:val="00221DC9"/>
    <w:rsid w:val="00222321"/>
    <w:rsid w:val="00222565"/>
    <w:rsid w:val="00222CE1"/>
    <w:rsid w:val="00222E88"/>
    <w:rsid w:val="00223CC2"/>
    <w:rsid w:val="002243E1"/>
    <w:rsid w:val="002244B7"/>
    <w:rsid w:val="0022460F"/>
    <w:rsid w:val="00224FB2"/>
    <w:rsid w:val="0022506C"/>
    <w:rsid w:val="00225085"/>
    <w:rsid w:val="002252EC"/>
    <w:rsid w:val="002254F6"/>
    <w:rsid w:val="002261C9"/>
    <w:rsid w:val="00226FEF"/>
    <w:rsid w:val="00227061"/>
    <w:rsid w:val="002272FA"/>
    <w:rsid w:val="00227630"/>
    <w:rsid w:val="00231640"/>
    <w:rsid w:val="002317B4"/>
    <w:rsid w:val="00231AF3"/>
    <w:rsid w:val="00231BCE"/>
    <w:rsid w:val="002329E2"/>
    <w:rsid w:val="00232AE3"/>
    <w:rsid w:val="00232B10"/>
    <w:rsid w:val="00232E2A"/>
    <w:rsid w:val="00232FF4"/>
    <w:rsid w:val="002330E4"/>
    <w:rsid w:val="00233783"/>
    <w:rsid w:val="00233C70"/>
    <w:rsid w:val="0023406A"/>
    <w:rsid w:val="002340FA"/>
    <w:rsid w:val="00234517"/>
    <w:rsid w:val="0023457A"/>
    <w:rsid w:val="00234A2A"/>
    <w:rsid w:val="00234A85"/>
    <w:rsid w:val="00234C94"/>
    <w:rsid w:val="0023500A"/>
    <w:rsid w:val="00235AAD"/>
    <w:rsid w:val="00235F09"/>
    <w:rsid w:val="00235FD5"/>
    <w:rsid w:val="002366F5"/>
    <w:rsid w:val="00236863"/>
    <w:rsid w:val="00236FE7"/>
    <w:rsid w:val="00237044"/>
    <w:rsid w:val="0023733F"/>
    <w:rsid w:val="00240658"/>
    <w:rsid w:val="0024066C"/>
    <w:rsid w:val="00240EA7"/>
    <w:rsid w:val="00241283"/>
    <w:rsid w:val="002413BF"/>
    <w:rsid w:val="00241D76"/>
    <w:rsid w:val="00242308"/>
    <w:rsid w:val="002427A4"/>
    <w:rsid w:val="00242F1F"/>
    <w:rsid w:val="002431A5"/>
    <w:rsid w:val="0024387E"/>
    <w:rsid w:val="0024420E"/>
    <w:rsid w:val="002444FC"/>
    <w:rsid w:val="00245019"/>
    <w:rsid w:val="00245475"/>
    <w:rsid w:val="00245A7F"/>
    <w:rsid w:val="00245ADA"/>
    <w:rsid w:val="00246869"/>
    <w:rsid w:val="00246C9A"/>
    <w:rsid w:val="0024727E"/>
    <w:rsid w:val="002478AE"/>
    <w:rsid w:val="002478E4"/>
    <w:rsid w:val="002479B4"/>
    <w:rsid w:val="00247F81"/>
    <w:rsid w:val="00250702"/>
    <w:rsid w:val="002507B5"/>
    <w:rsid w:val="00250CD4"/>
    <w:rsid w:val="00250F34"/>
    <w:rsid w:val="0025148C"/>
    <w:rsid w:val="002527E2"/>
    <w:rsid w:val="00252879"/>
    <w:rsid w:val="002528E6"/>
    <w:rsid w:val="00252ABF"/>
    <w:rsid w:val="00252AE6"/>
    <w:rsid w:val="00252F54"/>
    <w:rsid w:val="0025367C"/>
    <w:rsid w:val="0025393B"/>
    <w:rsid w:val="002539DE"/>
    <w:rsid w:val="00253EF6"/>
    <w:rsid w:val="002544EA"/>
    <w:rsid w:val="00254592"/>
    <w:rsid w:val="00254665"/>
    <w:rsid w:val="00255650"/>
    <w:rsid w:val="00255695"/>
    <w:rsid w:val="00255977"/>
    <w:rsid w:val="00255AD3"/>
    <w:rsid w:val="00255C8A"/>
    <w:rsid w:val="00257376"/>
    <w:rsid w:val="00257752"/>
    <w:rsid w:val="002578C4"/>
    <w:rsid w:val="00260322"/>
    <w:rsid w:val="00261092"/>
    <w:rsid w:val="00261161"/>
    <w:rsid w:val="00261B5A"/>
    <w:rsid w:val="00261CB9"/>
    <w:rsid w:val="0026237A"/>
    <w:rsid w:val="002623A2"/>
    <w:rsid w:val="002629FD"/>
    <w:rsid w:val="00262C33"/>
    <w:rsid w:val="00262D87"/>
    <w:rsid w:val="00263252"/>
    <w:rsid w:val="00263442"/>
    <w:rsid w:val="0026349C"/>
    <w:rsid w:val="00263929"/>
    <w:rsid w:val="0026396B"/>
    <w:rsid w:val="00263A0C"/>
    <w:rsid w:val="0026498C"/>
    <w:rsid w:val="00264A36"/>
    <w:rsid w:val="002651E6"/>
    <w:rsid w:val="00265D43"/>
    <w:rsid w:val="002660F6"/>
    <w:rsid w:val="00266CE7"/>
    <w:rsid w:val="002670F7"/>
    <w:rsid w:val="002670F9"/>
    <w:rsid w:val="00267612"/>
    <w:rsid w:val="002701A9"/>
    <w:rsid w:val="00270AFC"/>
    <w:rsid w:val="00270DFE"/>
    <w:rsid w:val="002714EE"/>
    <w:rsid w:val="002715E4"/>
    <w:rsid w:val="00271AE4"/>
    <w:rsid w:val="00271BDE"/>
    <w:rsid w:val="00271C59"/>
    <w:rsid w:val="002723FE"/>
    <w:rsid w:val="0027242A"/>
    <w:rsid w:val="002726DA"/>
    <w:rsid w:val="00272D0D"/>
    <w:rsid w:val="00272E49"/>
    <w:rsid w:val="0027301B"/>
    <w:rsid w:val="00273A0C"/>
    <w:rsid w:val="00274836"/>
    <w:rsid w:val="00274B0D"/>
    <w:rsid w:val="00274BA8"/>
    <w:rsid w:val="00274FE0"/>
    <w:rsid w:val="00275E45"/>
    <w:rsid w:val="002769F1"/>
    <w:rsid w:val="00276C2C"/>
    <w:rsid w:val="00276C4D"/>
    <w:rsid w:val="00277039"/>
    <w:rsid w:val="00277936"/>
    <w:rsid w:val="0027793C"/>
    <w:rsid w:val="002806A9"/>
    <w:rsid w:val="00281791"/>
    <w:rsid w:val="00281EA2"/>
    <w:rsid w:val="00281F49"/>
    <w:rsid w:val="00282041"/>
    <w:rsid w:val="00282838"/>
    <w:rsid w:val="00282854"/>
    <w:rsid w:val="00282A20"/>
    <w:rsid w:val="0028317F"/>
    <w:rsid w:val="00283514"/>
    <w:rsid w:val="002839B5"/>
    <w:rsid w:val="00283D06"/>
    <w:rsid w:val="00283E74"/>
    <w:rsid w:val="002840A0"/>
    <w:rsid w:val="00285514"/>
    <w:rsid w:val="002859DA"/>
    <w:rsid w:val="00286057"/>
    <w:rsid w:val="00286203"/>
    <w:rsid w:val="002868A7"/>
    <w:rsid w:val="00286F66"/>
    <w:rsid w:val="00287082"/>
    <w:rsid w:val="00287EE3"/>
    <w:rsid w:val="002900F3"/>
    <w:rsid w:val="00290414"/>
    <w:rsid w:val="00290564"/>
    <w:rsid w:val="00290911"/>
    <w:rsid w:val="0029098F"/>
    <w:rsid w:val="002909C2"/>
    <w:rsid w:val="00290D0B"/>
    <w:rsid w:val="00291CEE"/>
    <w:rsid w:val="00291E9B"/>
    <w:rsid w:val="0029219A"/>
    <w:rsid w:val="0029238C"/>
    <w:rsid w:val="00292FD6"/>
    <w:rsid w:val="00293181"/>
    <w:rsid w:val="002933B3"/>
    <w:rsid w:val="00294102"/>
    <w:rsid w:val="002942F4"/>
    <w:rsid w:val="00294DD4"/>
    <w:rsid w:val="00295038"/>
    <w:rsid w:val="0029564D"/>
    <w:rsid w:val="00295F5E"/>
    <w:rsid w:val="00295F60"/>
    <w:rsid w:val="00295F71"/>
    <w:rsid w:val="0029615B"/>
    <w:rsid w:val="00296F85"/>
    <w:rsid w:val="002973AB"/>
    <w:rsid w:val="00297703"/>
    <w:rsid w:val="002977B2"/>
    <w:rsid w:val="0029781B"/>
    <w:rsid w:val="00297F31"/>
    <w:rsid w:val="002A045E"/>
    <w:rsid w:val="002A0F34"/>
    <w:rsid w:val="002A17D5"/>
    <w:rsid w:val="002A1B1B"/>
    <w:rsid w:val="002A202F"/>
    <w:rsid w:val="002A2339"/>
    <w:rsid w:val="002A2535"/>
    <w:rsid w:val="002A277B"/>
    <w:rsid w:val="002A2825"/>
    <w:rsid w:val="002A2A8D"/>
    <w:rsid w:val="002A2F3E"/>
    <w:rsid w:val="002A2FA7"/>
    <w:rsid w:val="002A3342"/>
    <w:rsid w:val="002A3803"/>
    <w:rsid w:val="002A384A"/>
    <w:rsid w:val="002A4333"/>
    <w:rsid w:val="002A43BB"/>
    <w:rsid w:val="002A4618"/>
    <w:rsid w:val="002A503D"/>
    <w:rsid w:val="002A50C4"/>
    <w:rsid w:val="002A52C4"/>
    <w:rsid w:val="002A5554"/>
    <w:rsid w:val="002A6076"/>
    <w:rsid w:val="002A66E2"/>
    <w:rsid w:val="002A74CB"/>
    <w:rsid w:val="002A7776"/>
    <w:rsid w:val="002B000E"/>
    <w:rsid w:val="002B0A88"/>
    <w:rsid w:val="002B0B42"/>
    <w:rsid w:val="002B0C9D"/>
    <w:rsid w:val="002B176B"/>
    <w:rsid w:val="002B184E"/>
    <w:rsid w:val="002B1D2A"/>
    <w:rsid w:val="002B1DDD"/>
    <w:rsid w:val="002B1EC9"/>
    <w:rsid w:val="002B2464"/>
    <w:rsid w:val="002B258B"/>
    <w:rsid w:val="002B27AB"/>
    <w:rsid w:val="002B2BF7"/>
    <w:rsid w:val="002B2C02"/>
    <w:rsid w:val="002B2ED0"/>
    <w:rsid w:val="002B3829"/>
    <w:rsid w:val="002B3DBF"/>
    <w:rsid w:val="002B4102"/>
    <w:rsid w:val="002B411A"/>
    <w:rsid w:val="002B43BC"/>
    <w:rsid w:val="002B48C1"/>
    <w:rsid w:val="002B490E"/>
    <w:rsid w:val="002B4A8C"/>
    <w:rsid w:val="002B5E59"/>
    <w:rsid w:val="002B5F9F"/>
    <w:rsid w:val="002B607A"/>
    <w:rsid w:val="002B615C"/>
    <w:rsid w:val="002B61B8"/>
    <w:rsid w:val="002B6408"/>
    <w:rsid w:val="002B642E"/>
    <w:rsid w:val="002B66D9"/>
    <w:rsid w:val="002C0CC8"/>
    <w:rsid w:val="002C1145"/>
    <w:rsid w:val="002C11C4"/>
    <w:rsid w:val="002C16DF"/>
    <w:rsid w:val="002C1933"/>
    <w:rsid w:val="002C2BFC"/>
    <w:rsid w:val="002C34EA"/>
    <w:rsid w:val="002C35C9"/>
    <w:rsid w:val="002C41F2"/>
    <w:rsid w:val="002C46D4"/>
    <w:rsid w:val="002C4E3A"/>
    <w:rsid w:val="002C4E96"/>
    <w:rsid w:val="002C53EE"/>
    <w:rsid w:val="002C5860"/>
    <w:rsid w:val="002C59C5"/>
    <w:rsid w:val="002C624C"/>
    <w:rsid w:val="002C6351"/>
    <w:rsid w:val="002C6425"/>
    <w:rsid w:val="002C6DB1"/>
    <w:rsid w:val="002C72EF"/>
    <w:rsid w:val="002C750C"/>
    <w:rsid w:val="002C7811"/>
    <w:rsid w:val="002C7F58"/>
    <w:rsid w:val="002D00FA"/>
    <w:rsid w:val="002D02C0"/>
    <w:rsid w:val="002D0595"/>
    <w:rsid w:val="002D078E"/>
    <w:rsid w:val="002D0B60"/>
    <w:rsid w:val="002D0B65"/>
    <w:rsid w:val="002D0E8C"/>
    <w:rsid w:val="002D1338"/>
    <w:rsid w:val="002D2363"/>
    <w:rsid w:val="002D2490"/>
    <w:rsid w:val="002D2763"/>
    <w:rsid w:val="002D3697"/>
    <w:rsid w:val="002D387F"/>
    <w:rsid w:val="002D3F34"/>
    <w:rsid w:val="002D3FEF"/>
    <w:rsid w:val="002D4114"/>
    <w:rsid w:val="002D4412"/>
    <w:rsid w:val="002D4421"/>
    <w:rsid w:val="002D47AF"/>
    <w:rsid w:val="002D48C5"/>
    <w:rsid w:val="002D4CC6"/>
    <w:rsid w:val="002D532B"/>
    <w:rsid w:val="002D5A24"/>
    <w:rsid w:val="002D5AA3"/>
    <w:rsid w:val="002D73AC"/>
    <w:rsid w:val="002D761B"/>
    <w:rsid w:val="002D7706"/>
    <w:rsid w:val="002D79D5"/>
    <w:rsid w:val="002E0255"/>
    <w:rsid w:val="002E0CC1"/>
    <w:rsid w:val="002E0EAD"/>
    <w:rsid w:val="002E0EBA"/>
    <w:rsid w:val="002E1BD6"/>
    <w:rsid w:val="002E2751"/>
    <w:rsid w:val="002E2779"/>
    <w:rsid w:val="002E27A1"/>
    <w:rsid w:val="002E38EA"/>
    <w:rsid w:val="002E3997"/>
    <w:rsid w:val="002E3B2B"/>
    <w:rsid w:val="002E3C49"/>
    <w:rsid w:val="002E3CC9"/>
    <w:rsid w:val="002E3D95"/>
    <w:rsid w:val="002E40DF"/>
    <w:rsid w:val="002E4320"/>
    <w:rsid w:val="002E4902"/>
    <w:rsid w:val="002E4B5B"/>
    <w:rsid w:val="002E4D57"/>
    <w:rsid w:val="002E4FC9"/>
    <w:rsid w:val="002E52F3"/>
    <w:rsid w:val="002E55AA"/>
    <w:rsid w:val="002E5801"/>
    <w:rsid w:val="002E69F2"/>
    <w:rsid w:val="002E6A58"/>
    <w:rsid w:val="002E7015"/>
    <w:rsid w:val="002E70B3"/>
    <w:rsid w:val="002E76D5"/>
    <w:rsid w:val="002E7862"/>
    <w:rsid w:val="002E78DB"/>
    <w:rsid w:val="002F034A"/>
    <w:rsid w:val="002F075D"/>
    <w:rsid w:val="002F089B"/>
    <w:rsid w:val="002F0B7D"/>
    <w:rsid w:val="002F0C87"/>
    <w:rsid w:val="002F0EC7"/>
    <w:rsid w:val="002F1736"/>
    <w:rsid w:val="002F1993"/>
    <w:rsid w:val="002F1D8D"/>
    <w:rsid w:val="002F230D"/>
    <w:rsid w:val="002F297F"/>
    <w:rsid w:val="002F2CDD"/>
    <w:rsid w:val="002F2D89"/>
    <w:rsid w:val="002F3814"/>
    <w:rsid w:val="002F3A98"/>
    <w:rsid w:val="002F3E06"/>
    <w:rsid w:val="002F3FB6"/>
    <w:rsid w:val="002F4325"/>
    <w:rsid w:val="002F4ECA"/>
    <w:rsid w:val="002F4FBF"/>
    <w:rsid w:val="002F516E"/>
    <w:rsid w:val="002F5B91"/>
    <w:rsid w:val="002F5E04"/>
    <w:rsid w:val="002F63AC"/>
    <w:rsid w:val="002F67D0"/>
    <w:rsid w:val="002F7947"/>
    <w:rsid w:val="00300045"/>
    <w:rsid w:val="003006E1"/>
    <w:rsid w:val="00300912"/>
    <w:rsid w:val="00300F23"/>
    <w:rsid w:val="00301102"/>
    <w:rsid w:val="00301763"/>
    <w:rsid w:val="003019F2"/>
    <w:rsid w:val="00301B48"/>
    <w:rsid w:val="00301C6C"/>
    <w:rsid w:val="00301E3C"/>
    <w:rsid w:val="0030200C"/>
    <w:rsid w:val="00302190"/>
    <w:rsid w:val="003021CB"/>
    <w:rsid w:val="003028F5"/>
    <w:rsid w:val="0030297F"/>
    <w:rsid w:val="00302E5C"/>
    <w:rsid w:val="003030B0"/>
    <w:rsid w:val="00303551"/>
    <w:rsid w:val="0030378F"/>
    <w:rsid w:val="003037A8"/>
    <w:rsid w:val="00303E1D"/>
    <w:rsid w:val="003040F2"/>
    <w:rsid w:val="003042BC"/>
    <w:rsid w:val="00304321"/>
    <w:rsid w:val="00304544"/>
    <w:rsid w:val="00304930"/>
    <w:rsid w:val="00304B34"/>
    <w:rsid w:val="00304DED"/>
    <w:rsid w:val="00304F01"/>
    <w:rsid w:val="00304F75"/>
    <w:rsid w:val="0030586D"/>
    <w:rsid w:val="00305DD5"/>
    <w:rsid w:val="00306577"/>
    <w:rsid w:val="003067DC"/>
    <w:rsid w:val="00306809"/>
    <w:rsid w:val="003069D8"/>
    <w:rsid w:val="00310543"/>
    <w:rsid w:val="003107A9"/>
    <w:rsid w:val="0031175C"/>
    <w:rsid w:val="00311D17"/>
    <w:rsid w:val="0031221C"/>
    <w:rsid w:val="003122AA"/>
    <w:rsid w:val="00312D6B"/>
    <w:rsid w:val="00312DD3"/>
    <w:rsid w:val="00312FD5"/>
    <w:rsid w:val="00313593"/>
    <w:rsid w:val="003139E1"/>
    <w:rsid w:val="00314F06"/>
    <w:rsid w:val="003151CA"/>
    <w:rsid w:val="003151D0"/>
    <w:rsid w:val="0031549A"/>
    <w:rsid w:val="00315C2C"/>
    <w:rsid w:val="0031600C"/>
    <w:rsid w:val="0031605A"/>
    <w:rsid w:val="003161D0"/>
    <w:rsid w:val="0031629A"/>
    <w:rsid w:val="003166FC"/>
    <w:rsid w:val="0031676C"/>
    <w:rsid w:val="00316B24"/>
    <w:rsid w:val="0031737A"/>
    <w:rsid w:val="00320722"/>
    <w:rsid w:val="00320C74"/>
    <w:rsid w:val="00321264"/>
    <w:rsid w:val="003212E7"/>
    <w:rsid w:val="003214B7"/>
    <w:rsid w:val="003215F3"/>
    <w:rsid w:val="00321B31"/>
    <w:rsid w:val="00321F49"/>
    <w:rsid w:val="00322058"/>
    <w:rsid w:val="00322350"/>
    <w:rsid w:val="00322A8D"/>
    <w:rsid w:val="00322ACA"/>
    <w:rsid w:val="00322E6D"/>
    <w:rsid w:val="00322F70"/>
    <w:rsid w:val="003236E0"/>
    <w:rsid w:val="003236F2"/>
    <w:rsid w:val="0032393B"/>
    <w:rsid w:val="00323A67"/>
    <w:rsid w:val="00323CF3"/>
    <w:rsid w:val="00324177"/>
    <w:rsid w:val="00324516"/>
    <w:rsid w:val="00324B57"/>
    <w:rsid w:val="00324BBE"/>
    <w:rsid w:val="00324C46"/>
    <w:rsid w:val="00325C26"/>
    <w:rsid w:val="0032684E"/>
    <w:rsid w:val="00326FCE"/>
    <w:rsid w:val="003271A7"/>
    <w:rsid w:val="00327244"/>
    <w:rsid w:val="00327A3B"/>
    <w:rsid w:val="00327A96"/>
    <w:rsid w:val="00327C3F"/>
    <w:rsid w:val="00330021"/>
    <w:rsid w:val="00330266"/>
    <w:rsid w:val="00330300"/>
    <w:rsid w:val="003308F2"/>
    <w:rsid w:val="00330F22"/>
    <w:rsid w:val="00331402"/>
    <w:rsid w:val="00331DA6"/>
    <w:rsid w:val="00332647"/>
    <w:rsid w:val="0033271E"/>
    <w:rsid w:val="0033277D"/>
    <w:rsid w:val="00332781"/>
    <w:rsid w:val="00332BBB"/>
    <w:rsid w:val="00333131"/>
    <w:rsid w:val="00333145"/>
    <w:rsid w:val="003331C5"/>
    <w:rsid w:val="0033330E"/>
    <w:rsid w:val="0033392C"/>
    <w:rsid w:val="00334375"/>
    <w:rsid w:val="00334558"/>
    <w:rsid w:val="003348F4"/>
    <w:rsid w:val="003353E7"/>
    <w:rsid w:val="00335546"/>
    <w:rsid w:val="003355C3"/>
    <w:rsid w:val="00335DBA"/>
    <w:rsid w:val="00335E48"/>
    <w:rsid w:val="00336038"/>
    <w:rsid w:val="00336934"/>
    <w:rsid w:val="00336974"/>
    <w:rsid w:val="00336AFC"/>
    <w:rsid w:val="003402F1"/>
    <w:rsid w:val="003402FF"/>
    <w:rsid w:val="003405E1"/>
    <w:rsid w:val="0034088E"/>
    <w:rsid w:val="00340990"/>
    <w:rsid w:val="00340B17"/>
    <w:rsid w:val="00340C76"/>
    <w:rsid w:val="00341B81"/>
    <w:rsid w:val="00341CD2"/>
    <w:rsid w:val="00341E8C"/>
    <w:rsid w:val="003421CE"/>
    <w:rsid w:val="00342588"/>
    <w:rsid w:val="003425FE"/>
    <w:rsid w:val="003428BC"/>
    <w:rsid w:val="00342DF9"/>
    <w:rsid w:val="00342EB3"/>
    <w:rsid w:val="00343227"/>
    <w:rsid w:val="003433C6"/>
    <w:rsid w:val="0034359D"/>
    <w:rsid w:val="003436DD"/>
    <w:rsid w:val="00343773"/>
    <w:rsid w:val="00343AA7"/>
    <w:rsid w:val="00343E41"/>
    <w:rsid w:val="00344C5D"/>
    <w:rsid w:val="00344FBD"/>
    <w:rsid w:val="003459BF"/>
    <w:rsid w:val="00346190"/>
    <w:rsid w:val="003461A1"/>
    <w:rsid w:val="003468B6"/>
    <w:rsid w:val="00347105"/>
    <w:rsid w:val="003472D7"/>
    <w:rsid w:val="00347401"/>
    <w:rsid w:val="00347928"/>
    <w:rsid w:val="00347BBC"/>
    <w:rsid w:val="00347BE5"/>
    <w:rsid w:val="00347F01"/>
    <w:rsid w:val="0035051B"/>
    <w:rsid w:val="0035067B"/>
    <w:rsid w:val="00350F59"/>
    <w:rsid w:val="00351199"/>
    <w:rsid w:val="00351307"/>
    <w:rsid w:val="003519F2"/>
    <w:rsid w:val="00352287"/>
    <w:rsid w:val="00352393"/>
    <w:rsid w:val="00352539"/>
    <w:rsid w:val="00352900"/>
    <w:rsid w:val="00352994"/>
    <w:rsid w:val="00352CA9"/>
    <w:rsid w:val="00353455"/>
    <w:rsid w:val="003537B8"/>
    <w:rsid w:val="00353906"/>
    <w:rsid w:val="0035476E"/>
    <w:rsid w:val="0035497B"/>
    <w:rsid w:val="00354B4F"/>
    <w:rsid w:val="00354F32"/>
    <w:rsid w:val="00355582"/>
    <w:rsid w:val="0035565A"/>
    <w:rsid w:val="00355727"/>
    <w:rsid w:val="00355FA3"/>
    <w:rsid w:val="003563E1"/>
    <w:rsid w:val="003577AB"/>
    <w:rsid w:val="0035780B"/>
    <w:rsid w:val="0035782E"/>
    <w:rsid w:val="00357D2F"/>
    <w:rsid w:val="00360728"/>
    <w:rsid w:val="00360745"/>
    <w:rsid w:val="00360A0C"/>
    <w:rsid w:val="0036104C"/>
    <w:rsid w:val="00361212"/>
    <w:rsid w:val="003617F5"/>
    <w:rsid w:val="003628F9"/>
    <w:rsid w:val="00363F8E"/>
    <w:rsid w:val="00364470"/>
    <w:rsid w:val="00364548"/>
    <w:rsid w:val="003648DB"/>
    <w:rsid w:val="003649C7"/>
    <w:rsid w:val="00365899"/>
    <w:rsid w:val="00365BB7"/>
    <w:rsid w:val="00365D44"/>
    <w:rsid w:val="00366020"/>
    <w:rsid w:val="00366217"/>
    <w:rsid w:val="00366618"/>
    <w:rsid w:val="00366A49"/>
    <w:rsid w:val="003678ED"/>
    <w:rsid w:val="00367C4F"/>
    <w:rsid w:val="00367CBE"/>
    <w:rsid w:val="003709B0"/>
    <w:rsid w:val="00370B5E"/>
    <w:rsid w:val="00370C93"/>
    <w:rsid w:val="00371323"/>
    <w:rsid w:val="00371448"/>
    <w:rsid w:val="0037158D"/>
    <w:rsid w:val="003715B6"/>
    <w:rsid w:val="00371931"/>
    <w:rsid w:val="00371C35"/>
    <w:rsid w:val="00371D9F"/>
    <w:rsid w:val="00371EAC"/>
    <w:rsid w:val="0037253C"/>
    <w:rsid w:val="003729F6"/>
    <w:rsid w:val="00372F8A"/>
    <w:rsid w:val="00373754"/>
    <w:rsid w:val="0037387B"/>
    <w:rsid w:val="003738C5"/>
    <w:rsid w:val="00374349"/>
    <w:rsid w:val="00374A72"/>
    <w:rsid w:val="0037555B"/>
    <w:rsid w:val="003763BA"/>
    <w:rsid w:val="0037678B"/>
    <w:rsid w:val="00376C3B"/>
    <w:rsid w:val="00376E2D"/>
    <w:rsid w:val="00377704"/>
    <w:rsid w:val="00377AEA"/>
    <w:rsid w:val="00377C8F"/>
    <w:rsid w:val="003809CA"/>
    <w:rsid w:val="00380D94"/>
    <w:rsid w:val="003812E6"/>
    <w:rsid w:val="00381763"/>
    <w:rsid w:val="00381EDF"/>
    <w:rsid w:val="00381F19"/>
    <w:rsid w:val="00382568"/>
    <w:rsid w:val="0038323C"/>
    <w:rsid w:val="003835AB"/>
    <w:rsid w:val="00383981"/>
    <w:rsid w:val="003839DF"/>
    <w:rsid w:val="00383F23"/>
    <w:rsid w:val="003846CE"/>
    <w:rsid w:val="00385819"/>
    <w:rsid w:val="003859D4"/>
    <w:rsid w:val="00386482"/>
    <w:rsid w:val="00386BA9"/>
    <w:rsid w:val="00386C1B"/>
    <w:rsid w:val="00387462"/>
    <w:rsid w:val="00387698"/>
    <w:rsid w:val="0038793B"/>
    <w:rsid w:val="00387AEF"/>
    <w:rsid w:val="00387B48"/>
    <w:rsid w:val="00387E8D"/>
    <w:rsid w:val="003905A8"/>
    <w:rsid w:val="003908AA"/>
    <w:rsid w:val="00390AA5"/>
    <w:rsid w:val="00391629"/>
    <w:rsid w:val="003917AD"/>
    <w:rsid w:val="00391A05"/>
    <w:rsid w:val="003925D4"/>
    <w:rsid w:val="00392EDF"/>
    <w:rsid w:val="003930F2"/>
    <w:rsid w:val="00393213"/>
    <w:rsid w:val="0039368C"/>
    <w:rsid w:val="003938A9"/>
    <w:rsid w:val="00393A4C"/>
    <w:rsid w:val="00393A60"/>
    <w:rsid w:val="00394089"/>
    <w:rsid w:val="003943DF"/>
    <w:rsid w:val="003947AF"/>
    <w:rsid w:val="003947CF"/>
    <w:rsid w:val="00394858"/>
    <w:rsid w:val="00394B21"/>
    <w:rsid w:val="00395364"/>
    <w:rsid w:val="003959AB"/>
    <w:rsid w:val="0039651E"/>
    <w:rsid w:val="00396FAD"/>
    <w:rsid w:val="0039703B"/>
    <w:rsid w:val="00397175"/>
    <w:rsid w:val="00397234"/>
    <w:rsid w:val="0039753B"/>
    <w:rsid w:val="003976CA"/>
    <w:rsid w:val="0039775F"/>
    <w:rsid w:val="00397974"/>
    <w:rsid w:val="003A0150"/>
    <w:rsid w:val="003A035B"/>
    <w:rsid w:val="003A0B98"/>
    <w:rsid w:val="003A0FAF"/>
    <w:rsid w:val="003A1130"/>
    <w:rsid w:val="003A1600"/>
    <w:rsid w:val="003A17A7"/>
    <w:rsid w:val="003A1BD9"/>
    <w:rsid w:val="003A23EC"/>
    <w:rsid w:val="003A25C2"/>
    <w:rsid w:val="003A26CC"/>
    <w:rsid w:val="003A2A3E"/>
    <w:rsid w:val="003A2BF3"/>
    <w:rsid w:val="003A34C5"/>
    <w:rsid w:val="003A3897"/>
    <w:rsid w:val="003A3985"/>
    <w:rsid w:val="003A3E0E"/>
    <w:rsid w:val="003A3F59"/>
    <w:rsid w:val="003A436A"/>
    <w:rsid w:val="003A521B"/>
    <w:rsid w:val="003A528A"/>
    <w:rsid w:val="003A53B0"/>
    <w:rsid w:val="003A5998"/>
    <w:rsid w:val="003A62B0"/>
    <w:rsid w:val="003A6566"/>
    <w:rsid w:val="003A7014"/>
    <w:rsid w:val="003A79AA"/>
    <w:rsid w:val="003B0651"/>
    <w:rsid w:val="003B085E"/>
    <w:rsid w:val="003B0C6A"/>
    <w:rsid w:val="003B0EC3"/>
    <w:rsid w:val="003B12E6"/>
    <w:rsid w:val="003B1A40"/>
    <w:rsid w:val="003B1BDE"/>
    <w:rsid w:val="003B1DA8"/>
    <w:rsid w:val="003B1DEF"/>
    <w:rsid w:val="003B1E25"/>
    <w:rsid w:val="003B1F0B"/>
    <w:rsid w:val="003B211E"/>
    <w:rsid w:val="003B251C"/>
    <w:rsid w:val="003B265D"/>
    <w:rsid w:val="003B2EF6"/>
    <w:rsid w:val="003B34D9"/>
    <w:rsid w:val="003B3622"/>
    <w:rsid w:val="003B3992"/>
    <w:rsid w:val="003B4118"/>
    <w:rsid w:val="003B45BF"/>
    <w:rsid w:val="003B4D7F"/>
    <w:rsid w:val="003B534D"/>
    <w:rsid w:val="003B5F20"/>
    <w:rsid w:val="003B60A7"/>
    <w:rsid w:val="003B6261"/>
    <w:rsid w:val="003B6799"/>
    <w:rsid w:val="003B6A83"/>
    <w:rsid w:val="003B73D3"/>
    <w:rsid w:val="003B76F5"/>
    <w:rsid w:val="003B7927"/>
    <w:rsid w:val="003B7A61"/>
    <w:rsid w:val="003B7A9F"/>
    <w:rsid w:val="003B7F07"/>
    <w:rsid w:val="003C10FB"/>
    <w:rsid w:val="003C14D2"/>
    <w:rsid w:val="003C1793"/>
    <w:rsid w:val="003C2013"/>
    <w:rsid w:val="003C2158"/>
    <w:rsid w:val="003C26DE"/>
    <w:rsid w:val="003C27CE"/>
    <w:rsid w:val="003C296F"/>
    <w:rsid w:val="003C2EF0"/>
    <w:rsid w:val="003C3155"/>
    <w:rsid w:val="003C3176"/>
    <w:rsid w:val="003C3468"/>
    <w:rsid w:val="003C375F"/>
    <w:rsid w:val="003C3C21"/>
    <w:rsid w:val="003C3C83"/>
    <w:rsid w:val="003C3E24"/>
    <w:rsid w:val="003C427E"/>
    <w:rsid w:val="003C5AFB"/>
    <w:rsid w:val="003C67E9"/>
    <w:rsid w:val="003C6FCD"/>
    <w:rsid w:val="003C79DA"/>
    <w:rsid w:val="003D0071"/>
    <w:rsid w:val="003D0130"/>
    <w:rsid w:val="003D0558"/>
    <w:rsid w:val="003D0921"/>
    <w:rsid w:val="003D09E5"/>
    <w:rsid w:val="003D0E6A"/>
    <w:rsid w:val="003D158F"/>
    <w:rsid w:val="003D1B7F"/>
    <w:rsid w:val="003D1EF8"/>
    <w:rsid w:val="003D200E"/>
    <w:rsid w:val="003D21FE"/>
    <w:rsid w:val="003D304D"/>
    <w:rsid w:val="003D320D"/>
    <w:rsid w:val="003D3636"/>
    <w:rsid w:val="003D3638"/>
    <w:rsid w:val="003D3772"/>
    <w:rsid w:val="003D5E16"/>
    <w:rsid w:val="003D62C3"/>
    <w:rsid w:val="003D6C69"/>
    <w:rsid w:val="003D6F08"/>
    <w:rsid w:val="003D7038"/>
    <w:rsid w:val="003D75D4"/>
    <w:rsid w:val="003D7AFC"/>
    <w:rsid w:val="003D7DFA"/>
    <w:rsid w:val="003D7EBE"/>
    <w:rsid w:val="003E0953"/>
    <w:rsid w:val="003E095C"/>
    <w:rsid w:val="003E0A7A"/>
    <w:rsid w:val="003E173D"/>
    <w:rsid w:val="003E178C"/>
    <w:rsid w:val="003E1EE7"/>
    <w:rsid w:val="003E1F57"/>
    <w:rsid w:val="003E2563"/>
    <w:rsid w:val="003E2694"/>
    <w:rsid w:val="003E288C"/>
    <w:rsid w:val="003E3926"/>
    <w:rsid w:val="003E3D92"/>
    <w:rsid w:val="003E438A"/>
    <w:rsid w:val="003E47A9"/>
    <w:rsid w:val="003E4BE5"/>
    <w:rsid w:val="003E4D91"/>
    <w:rsid w:val="003E50EC"/>
    <w:rsid w:val="003E58AF"/>
    <w:rsid w:val="003E595A"/>
    <w:rsid w:val="003E5E45"/>
    <w:rsid w:val="003E62AF"/>
    <w:rsid w:val="003E6820"/>
    <w:rsid w:val="003E6B47"/>
    <w:rsid w:val="003E6C04"/>
    <w:rsid w:val="003E6EF5"/>
    <w:rsid w:val="003E719E"/>
    <w:rsid w:val="003E7332"/>
    <w:rsid w:val="003E7712"/>
    <w:rsid w:val="003F04AA"/>
    <w:rsid w:val="003F12D4"/>
    <w:rsid w:val="003F1990"/>
    <w:rsid w:val="003F2D20"/>
    <w:rsid w:val="003F301A"/>
    <w:rsid w:val="003F32F7"/>
    <w:rsid w:val="003F3564"/>
    <w:rsid w:val="003F393B"/>
    <w:rsid w:val="003F3AC3"/>
    <w:rsid w:val="003F489E"/>
    <w:rsid w:val="003F4B3E"/>
    <w:rsid w:val="003F4CB4"/>
    <w:rsid w:val="003F4DBF"/>
    <w:rsid w:val="003F5F43"/>
    <w:rsid w:val="003F6031"/>
    <w:rsid w:val="003F6410"/>
    <w:rsid w:val="003F657F"/>
    <w:rsid w:val="003F6C45"/>
    <w:rsid w:val="003F6DE4"/>
    <w:rsid w:val="003F7601"/>
    <w:rsid w:val="0040019B"/>
    <w:rsid w:val="00400377"/>
    <w:rsid w:val="00400491"/>
    <w:rsid w:val="004007BB"/>
    <w:rsid w:val="00400CFD"/>
    <w:rsid w:val="00400F72"/>
    <w:rsid w:val="004013BC"/>
    <w:rsid w:val="00402B62"/>
    <w:rsid w:val="00402D20"/>
    <w:rsid w:val="0040311E"/>
    <w:rsid w:val="00403B06"/>
    <w:rsid w:val="00403B58"/>
    <w:rsid w:val="00404517"/>
    <w:rsid w:val="00404BBB"/>
    <w:rsid w:val="00405862"/>
    <w:rsid w:val="00405982"/>
    <w:rsid w:val="00405DE5"/>
    <w:rsid w:val="00405F16"/>
    <w:rsid w:val="004061CE"/>
    <w:rsid w:val="004067DC"/>
    <w:rsid w:val="00406872"/>
    <w:rsid w:val="004072EF"/>
    <w:rsid w:val="004075DA"/>
    <w:rsid w:val="004077E3"/>
    <w:rsid w:val="00407923"/>
    <w:rsid w:val="0040792B"/>
    <w:rsid w:val="00407D9B"/>
    <w:rsid w:val="00407DF6"/>
    <w:rsid w:val="00410671"/>
    <w:rsid w:val="00410B8E"/>
    <w:rsid w:val="00411A8C"/>
    <w:rsid w:val="00411E86"/>
    <w:rsid w:val="00411EBD"/>
    <w:rsid w:val="00412522"/>
    <w:rsid w:val="004125A1"/>
    <w:rsid w:val="00412A51"/>
    <w:rsid w:val="00412A9B"/>
    <w:rsid w:val="00412B08"/>
    <w:rsid w:val="00413062"/>
    <w:rsid w:val="0041312C"/>
    <w:rsid w:val="0041338B"/>
    <w:rsid w:val="00413A3A"/>
    <w:rsid w:val="0041464D"/>
    <w:rsid w:val="00414C53"/>
    <w:rsid w:val="00415279"/>
    <w:rsid w:val="0041530D"/>
    <w:rsid w:val="004154CD"/>
    <w:rsid w:val="00415785"/>
    <w:rsid w:val="00415E4B"/>
    <w:rsid w:val="00416059"/>
    <w:rsid w:val="00416299"/>
    <w:rsid w:val="004164A1"/>
    <w:rsid w:val="00416A36"/>
    <w:rsid w:val="00420DBD"/>
    <w:rsid w:val="00421119"/>
    <w:rsid w:val="0042120F"/>
    <w:rsid w:val="004219A0"/>
    <w:rsid w:val="00421AE6"/>
    <w:rsid w:val="00422678"/>
    <w:rsid w:val="00422942"/>
    <w:rsid w:val="00422B55"/>
    <w:rsid w:val="004230BD"/>
    <w:rsid w:val="0042393D"/>
    <w:rsid w:val="00423C00"/>
    <w:rsid w:val="0042409B"/>
    <w:rsid w:val="00424B63"/>
    <w:rsid w:val="00424EE1"/>
    <w:rsid w:val="00425AE2"/>
    <w:rsid w:val="004260BB"/>
    <w:rsid w:val="004265AA"/>
    <w:rsid w:val="004268CB"/>
    <w:rsid w:val="004269BA"/>
    <w:rsid w:val="00427205"/>
    <w:rsid w:val="004274EE"/>
    <w:rsid w:val="00427C27"/>
    <w:rsid w:val="00427CCC"/>
    <w:rsid w:val="004300CB"/>
    <w:rsid w:val="00430453"/>
    <w:rsid w:val="0043079F"/>
    <w:rsid w:val="00430BCC"/>
    <w:rsid w:val="0043295B"/>
    <w:rsid w:val="0043367B"/>
    <w:rsid w:val="004336E9"/>
    <w:rsid w:val="00433981"/>
    <w:rsid w:val="00433AAE"/>
    <w:rsid w:val="00434C95"/>
    <w:rsid w:val="0043510A"/>
    <w:rsid w:val="0043628A"/>
    <w:rsid w:val="0043646E"/>
    <w:rsid w:val="004371D7"/>
    <w:rsid w:val="00437437"/>
    <w:rsid w:val="0043750A"/>
    <w:rsid w:val="004378BC"/>
    <w:rsid w:val="00437DAA"/>
    <w:rsid w:val="0044013B"/>
    <w:rsid w:val="0044064D"/>
    <w:rsid w:val="00440C17"/>
    <w:rsid w:val="00440E91"/>
    <w:rsid w:val="00441A68"/>
    <w:rsid w:val="00441CC5"/>
    <w:rsid w:val="00441E0E"/>
    <w:rsid w:val="00442985"/>
    <w:rsid w:val="00442EFE"/>
    <w:rsid w:val="004433C6"/>
    <w:rsid w:val="0044349D"/>
    <w:rsid w:val="00443D48"/>
    <w:rsid w:val="00444056"/>
    <w:rsid w:val="004440B5"/>
    <w:rsid w:val="0044457E"/>
    <w:rsid w:val="00444C2D"/>
    <w:rsid w:val="00444F5C"/>
    <w:rsid w:val="0044610F"/>
    <w:rsid w:val="00446316"/>
    <w:rsid w:val="00446833"/>
    <w:rsid w:val="00450CA7"/>
    <w:rsid w:val="00450E29"/>
    <w:rsid w:val="00451082"/>
    <w:rsid w:val="00451C48"/>
    <w:rsid w:val="0045351A"/>
    <w:rsid w:val="004537B4"/>
    <w:rsid w:val="004539A1"/>
    <w:rsid w:val="004544BC"/>
    <w:rsid w:val="004546C3"/>
    <w:rsid w:val="00454A40"/>
    <w:rsid w:val="004551D5"/>
    <w:rsid w:val="004557F0"/>
    <w:rsid w:val="004564BE"/>
    <w:rsid w:val="00456D24"/>
    <w:rsid w:val="0045729F"/>
    <w:rsid w:val="004573F7"/>
    <w:rsid w:val="004574E2"/>
    <w:rsid w:val="00457A81"/>
    <w:rsid w:val="00457AAB"/>
    <w:rsid w:val="004601B2"/>
    <w:rsid w:val="0046032F"/>
    <w:rsid w:val="00460485"/>
    <w:rsid w:val="00460519"/>
    <w:rsid w:val="0046065B"/>
    <w:rsid w:val="00460FD9"/>
    <w:rsid w:val="004610EC"/>
    <w:rsid w:val="00461268"/>
    <w:rsid w:val="00461327"/>
    <w:rsid w:val="004614CA"/>
    <w:rsid w:val="004621F8"/>
    <w:rsid w:val="004622A5"/>
    <w:rsid w:val="00462646"/>
    <w:rsid w:val="004626EB"/>
    <w:rsid w:val="00462C08"/>
    <w:rsid w:val="00462C40"/>
    <w:rsid w:val="0046338F"/>
    <w:rsid w:val="00463ECF"/>
    <w:rsid w:val="004640A5"/>
    <w:rsid w:val="0046428D"/>
    <w:rsid w:val="0046450E"/>
    <w:rsid w:val="00464B63"/>
    <w:rsid w:val="00464E17"/>
    <w:rsid w:val="00464E39"/>
    <w:rsid w:val="00465D3D"/>
    <w:rsid w:val="00466050"/>
    <w:rsid w:val="0046613A"/>
    <w:rsid w:val="004669A1"/>
    <w:rsid w:val="00466BD6"/>
    <w:rsid w:val="00466D26"/>
    <w:rsid w:val="00466E9C"/>
    <w:rsid w:val="00467186"/>
    <w:rsid w:val="0046733B"/>
    <w:rsid w:val="004673C3"/>
    <w:rsid w:val="004674A5"/>
    <w:rsid w:val="0046761A"/>
    <w:rsid w:val="00467837"/>
    <w:rsid w:val="00467A99"/>
    <w:rsid w:val="00467E8D"/>
    <w:rsid w:val="00467EFF"/>
    <w:rsid w:val="00470052"/>
    <w:rsid w:val="0047022F"/>
    <w:rsid w:val="00470832"/>
    <w:rsid w:val="0047134A"/>
    <w:rsid w:val="0047195B"/>
    <w:rsid w:val="00471E03"/>
    <w:rsid w:val="004722CE"/>
    <w:rsid w:val="004723E6"/>
    <w:rsid w:val="00472A05"/>
    <w:rsid w:val="00472D1F"/>
    <w:rsid w:val="004731B6"/>
    <w:rsid w:val="00473274"/>
    <w:rsid w:val="00473A5B"/>
    <w:rsid w:val="004741C3"/>
    <w:rsid w:val="00475940"/>
    <w:rsid w:val="00475B54"/>
    <w:rsid w:val="004761A7"/>
    <w:rsid w:val="00476301"/>
    <w:rsid w:val="004769CE"/>
    <w:rsid w:val="00476CCF"/>
    <w:rsid w:val="00476D01"/>
    <w:rsid w:val="00476F39"/>
    <w:rsid w:val="00476F98"/>
    <w:rsid w:val="00477321"/>
    <w:rsid w:val="00477499"/>
    <w:rsid w:val="00477781"/>
    <w:rsid w:val="00477962"/>
    <w:rsid w:val="00477A08"/>
    <w:rsid w:val="00477FA4"/>
    <w:rsid w:val="0048043A"/>
    <w:rsid w:val="00480B52"/>
    <w:rsid w:val="0048202B"/>
    <w:rsid w:val="0048212A"/>
    <w:rsid w:val="00482349"/>
    <w:rsid w:val="0048290A"/>
    <w:rsid w:val="00482D1C"/>
    <w:rsid w:val="00482EC7"/>
    <w:rsid w:val="0048302C"/>
    <w:rsid w:val="0048306C"/>
    <w:rsid w:val="004830DE"/>
    <w:rsid w:val="00483383"/>
    <w:rsid w:val="00483441"/>
    <w:rsid w:val="00483EA9"/>
    <w:rsid w:val="00484659"/>
    <w:rsid w:val="004846A8"/>
    <w:rsid w:val="0048474B"/>
    <w:rsid w:val="004847D9"/>
    <w:rsid w:val="00484AD7"/>
    <w:rsid w:val="00484F1C"/>
    <w:rsid w:val="004853FA"/>
    <w:rsid w:val="00485A2F"/>
    <w:rsid w:val="00485B68"/>
    <w:rsid w:val="00485D1E"/>
    <w:rsid w:val="00486159"/>
    <w:rsid w:val="0048640C"/>
    <w:rsid w:val="004867EE"/>
    <w:rsid w:val="00486F75"/>
    <w:rsid w:val="00487036"/>
    <w:rsid w:val="00487243"/>
    <w:rsid w:val="004873A7"/>
    <w:rsid w:val="0048765A"/>
    <w:rsid w:val="0048797C"/>
    <w:rsid w:val="00487EE1"/>
    <w:rsid w:val="00490467"/>
    <w:rsid w:val="0049184C"/>
    <w:rsid w:val="00491A12"/>
    <w:rsid w:val="0049217C"/>
    <w:rsid w:val="004924E6"/>
    <w:rsid w:val="004925DF"/>
    <w:rsid w:val="004929CB"/>
    <w:rsid w:val="004930B3"/>
    <w:rsid w:val="00493223"/>
    <w:rsid w:val="0049327D"/>
    <w:rsid w:val="004935F7"/>
    <w:rsid w:val="00493D53"/>
    <w:rsid w:val="00494B73"/>
    <w:rsid w:val="00495005"/>
    <w:rsid w:val="00496102"/>
    <w:rsid w:val="004969C7"/>
    <w:rsid w:val="00496D13"/>
    <w:rsid w:val="00497CE6"/>
    <w:rsid w:val="00497F1E"/>
    <w:rsid w:val="004A01D3"/>
    <w:rsid w:val="004A051B"/>
    <w:rsid w:val="004A1197"/>
    <w:rsid w:val="004A1855"/>
    <w:rsid w:val="004A1A16"/>
    <w:rsid w:val="004A2197"/>
    <w:rsid w:val="004A2589"/>
    <w:rsid w:val="004A2804"/>
    <w:rsid w:val="004A29B2"/>
    <w:rsid w:val="004A29B3"/>
    <w:rsid w:val="004A2F68"/>
    <w:rsid w:val="004A31DF"/>
    <w:rsid w:val="004A36C6"/>
    <w:rsid w:val="004A3D9E"/>
    <w:rsid w:val="004A4E31"/>
    <w:rsid w:val="004A5E2D"/>
    <w:rsid w:val="004A5E42"/>
    <w:rsid w:val="004A628A"/>
    <w:rsid w:val="004A6564"/>
    <w:rsid w:val="004A6976"/>
    <w:rsid w:val="004A73A7"/>
    <w:rsid w:val="004B0151"/>
    <w:rsid w:val="004B056E"/>
    <w:rsid w:val="004B0B81"/>
    <w:rsid w:val="004B1670"/>
    <w:rsid w:val="004B16A3"/>
    <w:rsid w:val="004B2234"/>
    <w:rsid w:val="004B265B"/>
    <w:rsid w:val="004B297F"/>
    <w:rsid w:val="004B2A86"/>
    <w:rsid w:val="004B2CEA"/>
    <w:rsid w:val="004B317F"/>
    <w:rsid w:val="004B3509"/>
    <w:rsid w:val="004B3C3E"/>
    <w:rsid w:val="004B4166"/>
    <w:rsid w:val="004B426B"/>
    <w:rsid w:val="004B430E"/>
    <w:rsid w:val="004B4D11"/>
    <w:rsid w:val="004B4E7C"/>
    <w:rsid w:val="004B4ECD"/>
    <w:rsid w:val="004B548C"/>
    <w:rsid w:val="004B54EA"/>
    <w:rsid w:val="004B5787"/>
    <w:rsid w:val="004B6062"/>
    <w:rsid w:val="004B6238"/>
    <w:rsid w:val="004B6510"/>
    <w:rsid w:val="004B6A79"/>
    <w:rsid w:val="004B6D08"/>
    <w:rsid w:val="004B6DD2"/>
    <w:rsid w:val="004B7126"/>
    <w:rsid w:val="004B76A9"/>
    <w:rsid w:val="004C01BF"/>
    <w:rsid w:val="004C06EF"/>
    <w:rsid w:val="004C0A77"/>
    <w:rsid w:val="004C0E18"/>
    <w:rsid w:val="004C14C0"/>
    <w:rsid w:val="004C1D53"/>
    <w:rsid w:val="004C20B8"/>
    <w:rsid w:val="004C2935"/>
    <w:rsid w:val="004C2B94"/>
    <w:rsid w:val="004C33E8"/>
    <w:rsid w:val="004C3E56"/>
    <w:rsid w:val="004C42B9"/>
    <w:rsid w:val="004C46C5"/>
    <w:rsid w:val="004C4911"/>
    <w:rsid w:val="004C4B9F"/>
    <w:rsid w:val="004C588A"/>
    <w:rsid w:val="004C5DEB"/>
    <w:rsid w:val="004C64AB"/>
    <w:rsid w:val="004C64F9"/>
    <w:rsid w:val="004C660B"/>
    <w:rsid w:val="004C6666"/>
    <w:rsid w:val="004C70BD"/>
    <w:rsid w:val="004C7A14"/>
    <w:rsid w:val="004C7B9E"/>
    <w:rsid w:val="004C7E97"/>
    <w:rsid w:val="004D0675"/>
    <w:rsid w:val="004D07BA"/>
    <w:rsid w:val="004D0BB3"/>
    <w:rsid w:val="004D0CE2"/>
    <w:rsid w:val="004D1330"/>
    <w:rsid w:val="004D1B0D"/>
    <w:rsid w:val="004D29F0"/>
    <w:rsid w:val="004D2A84"/>
    <w:rsid w:val="004D32F6"/>
    <w:rsid w:val="004D33E4"/>
    <w:rsid w:val="004D3AFB"/>
    <w:rsid w:val="004D3F44"/>
    <w:rsid w:val="004D3FC2"/>
    <w:rsid w:val="004D456C"/>
    <w:rsid w:val="004D485F"/>
    <w:rsid w:val="004D4DCC"/>
    <w:rsid w:val="004D4FC2"/>
    <w:rsid w:val="004D55D2"/>
    <w:rsid w:val="004D594D"/>
    <w:rsid w:val="004D59A0"/>
    <w:rsid w:val="004D6A7D"/>
    <w:rsid w:val="004D6C99"/>
    <w:rsid w:val="004D734E"/>
    <w:rsid w:val="004D741D"/>
    <w:rsid w:val="004D783B"/>
    <w:rsid w:val="004E0223"/>
    <w:rsid w:val="004E0242"/>
    <w:rsid w:val="004E0A75"/>
    <w:rsid w:val="004E0B3F"/>
    <w:rsid w:val="004E0D1D"/>
    <w:rsid w:val="004E14B8"/>
    <w:rsid w:val="004E1DB4"/>
    <w:rsid w:val="004E1E35"/>
    <w:rsid w:val="004E2110"/>
    <w:rsid w:val="004E254A"/>
    <w:rsid w:val="004E2722"/>
    <w:rsid w:val="004E3213"/>
    <w:rsid w:val="004E3255"/>
    <w:rsid w:val="004E3338"/>
    <w:rsid w:val="004E388D"/>
    <w:rsid w:val="004E3B7A"/>
    <w:rsid w:val="004E3CEB"/>
    <w:rsid w:val="004E4659"/>
    <w:rsid w:val="004E4B03"/>
    <w:rsid w:val="004E4E17"/>
    <w:rsid w:val="004E5872"/>
    <w:rsid w:val="004E5D63"/>
    <w:rsid w:val="004E6617"/>
    <w:rsid w:val="004E693B"/>
    <w:rsid w:val="004E6D77"/>
    <w:rsid w:val="004E6ED3"/>
    <w:rsid w:val="004E7459"/>
    <w:rsid w:val="004E7D14"/>
    <w:rsid w:val="004F0192"/>
    <w:rsid w:val="004F01A7"/>
    <w:rsid w:val="004F0383"/>
    <w:rsid w:val="004F03E9"/>
    <w:rsid w:val="004F0B8F"/>
    <w:rsid w:val="004F1C2F"/>
    <w:rsid w:val="004F1E8F"/>
    <w:rsid w:val="004F1EC7"/>
    <w:rsid w:val="004F2066"/>
    <w:rsid w:val="004F242D"/>
    <w:rsid w:val="004F2855"/>
    <w:rsid w:val="004F32EA"/>
    <w:rsid w:val="004F429F"/>
    <w:rsid w:val="004F42D6"/>
    <w:rsid w:val="004F444F"/>
    <w:rsid w:val="004F4466"/>
    <w:rsid w:val="004F4562"/>
    <w:rsid w:val="004F49C2"/>
    <w:rsid w:val="004F4C9C"/>
    <w:rsid w:val="004F5EC1"/>
    <w:rsid w:val="004F6015"/>
    <w:rsid w:val="004F62FD"/>
    <w:rsid w:val="004F6332"/>
    <w:rsid w:val="004F636C"/>
    <w:rsid w:val="004F67A2"/>
    <w:rsid w:val="004F68B0"/>
    <w:rsid w:val="004F7BDE"/>
    <w:rsid w:val="0050034B"/>
    <w:rsid w:val="00500990"/>
    <w:rsid w:val="00503191"/>
    <w:rsid w:val="0050326D"/>
    <w:rsid w:val="00503418"/>
    <w:rsid w:val="005035DD"/>
    <w:rsid w:val="00503E32"/>
    <w:rsid w:val="005047CB"/>
    <w:rsid w:val="005047F1"/>
    <w:rsid w:val="00504B40"/>
    <w:rsid w:val="00505225"/>
    <w:rsid w:val="00505D84"/>
    <w:rsid w:val="0050601B"/>
    <w:rsid w:val="00506108"/>
    <w:rsid w:val="005062AD"/>
    <w:rsid w:val="00506391"/>
    <w:rsid w:val="0050667D"/>
    <w:rsid w:val="005068F5"/>
    <w:rsid w:val="00506BB4"/>
    <w:rsid w:val="00506C38"/>
    <w:rsid w:val="00506C3E"/>
    <w:rsid w:val="00506E46"/>
    <w:rsid w:val="0050702C"/>
    <w:rsid w:val="005101F9"/>
    <w:rsid w:val="005105DB"/>
    <w:rsid w:val="00510683"/>
    <w:rsid w:val="00510876"/>
    <w:rsid w:val="00510AAD"/>
    <w:rsid w:val="0051130C"/>
    <w:rsid w:val="00511429"/>
    <w:rsid w:val="005119D0"/>
    <w:rsid w:val="00512111"/>
    <w:rsid w:val="005124E1"/>
    <w:rsid w:val="005129C7"/>
    <w:rsid w:val="005132AC"/>
    <w:rsid w:val="005139AB"/>
    <w:rsid w:val="005139B9"/>
    <w:rsid w:val="005143FD"/>
    <w:rsid w:val="00514697"/>
    <w:rsid w:val="00514F81"/>
    <w:rsid w:val="005151D7"/>
    <w:rsid w:val="00515684"/>
    <w:rsid w:val="0051582F"/>
    <w:rsid w:val="00515CFA"/>
    <w:rsid w:val="0051655C"/>
    <w:rsid w:val="005166BA"/>
    <w:rsid w:val="00516D97"/>
    <w:rsid w:val="00517513"/>
    <w:rsid w:val="00517731"/>
    <w:rsid w:val="00517788"/>
    <w:rsid w:val="0051797B"/>
    <w:rsid w:val="005179F5"/>
    <w:rsid w:val="00517AFB"/>
    <w:rsid w:val="005207FB"/>
    <w:rsid w:val="00521139"/>
    <w:rsid w:val="00521725"/>
    <w:rsid w:val="0052175E"/>
    <w:rsid w:val="005226B6"/>
    <w:rsid w:val="005227F9"/>
    <w:rsid w:val="00522AD0"/>
    <w:rsid w:val="00522B23"/>
    <w:rsid w:val="00522BFC"/>
    <w:rsid w:val="00522CA9"/>
    <w:rsid w:val="00522E09"/>
    <w:rsid w:val="00522EFA"/>
    <w:rsid w:val="005233E4"/>
    <w:rsid w:val="00523E8E"/>
    <w:rsid w:val="00524908"/>
    <w:rsid w:val="00524C72"/>
    <w:rsid w:val="00524EB3"/>
    <w:rsid w:val="00525088"/>
    <w:rsid w:val="005250E1"/>
    <w:rsid w:val="005258A2"/>
    <w:rsid w:val="00525972"/>
    <w:rsid w:val="00525D2D"/>
    <w:rsid w:val="00526991"/>
    <w:rsid w:val="00526FBE"/>
    <w:rsid w:val="00527322"/>
    <w:rsid w:val="00527605"/>
    <w:rsid w:val="00527DD2"/>
    <w:rsid w:val="005304A4"/>
    <w:rsid w:val="00530B7B"/>
    <w:rsid w:val="00530C74"/>
    <w:rsid w:val="0053128D"/>
    <w:rsid w:val="005313FE"/>
    <w:rsid w:val="00531429"/>
    <w:rsid w:val="0053157E"/>
    <w:rsid w:val="00531671"/>
    <w:rsid w:val="00531D3A"/>
    <w:rsid w:val="00531E7F"/>
    <w:rsid w:val="005320F9"/>
    <w:rsid w:val="0053263B"/>
    <w:rsid w:val="0053263D"/>
    <w:rsid w:val="00532BA0"/>
    <w:rsid w:val="00532C2E"/>
    <w:rsid w:val="00533102"/>
    <w:rsid w:val="005337F3"/>
    <w:rsid w:val="00533C10"/>
    <w:rsid w:val="00534056"/>
    <w:rsid w:val="0053447F"/>
    <w:rsid w:val="00534C4A"/>
    <w:rsid w:val="00535625"/>
    <w:rsid w:val="00535754"/>
    <w:rsid w:val="00535D54"/>
    <w:rsid w:val="00535F5D"/>
    <w:rsid w:val="00536582"/>
    <w:rsid w:val="005365A8"/>
    <w:rsid w:val="00536855"/>
    <w:rsid w:val="00536A50"/>
    <w:rsid w:val="00536D53"/>
    <w:rsid w:val="00536EB7"/>
    <w:rsid w:val="005370DC"/>
    <w:rsid w:val="005376E4"/>
    <w:rsid w:val="00537A67"/>
    <w:rsid w:val="00537CE9"/>
    <w:rsid w:val="0054035C"/>
    <w:rsid w:val="00540720"/>
    <w:rsid w:val="0054094E"/>
    <w:rsid w:val="00540AD1"/>
    <w:rsid w:val="00542227"/>
    <w:rsid w:val="005426C3"/>
    <w:rsid w:val="00542C0F"/>
    <w:rsid w:val="00542D06"/>
    <w:rsid w:val="00542E4E"/>
    <w:rsid w:val="00542F59"/>
    <w:rsid w:val="00543A31"/>
    <w:rsid w:val="00543AE9"/>
    <w:rsid w:val="00543E2F"/>
    <w:rsid w:val="005442DF"/>
    <w:rsid w:val="00544747"/>
    <w:rsid w:val="00545029"/>
    <w:rsid w:val="00545620"/>
    <w:rsid w:val="00545AD8"/>
    <w:rsid w:val="00545D8E"/>
    <w:rsid w:val="0054612E"/>
    <w:rsid w:val="00546465"/>
    <w:rsid w:val="00546855"/>
    <w:rsid w:val="005469E6"/>
    <w:rsid w:val="00546E3A"/>
    <w:rsid w:val="005474B0"/>
    <w:rsid w:val="005478D2"/>
    <w:rsid w:val="00547A54"/>
    <w:rsid w:val="00547F6E"/>
    <w:rsid w:val="005506A3"/>
    <w:rsid w:val="005508AA"/>
    <w:rsid w:val="005509AE"/>
    <w:rsid w:val="00550C30"/>
    <w:rsid w:val="00551575"/>
    <w:rsid w:val="00551A99"/>
    <w:rsid w:val="00551B34"/>
    <w:rsid w:val="00551D50"/>
    <w:rsid w:val="00551F88"/>
    <w:rsid w:val="005525C4"/>
    <w:rsid w:val="00552759"/>
    <w:rsid w:val="0055280A"/>
    <w:rsid w:val="00552915"/>
    <w:rsid w:val="0055299B"/>
    <w:rsid w:val="0055321E"/>
    <w:rsid w:val="005536C2"/>
    <w:rsid w:val="00553C0D"/>
    <w:rsid w:val="00553E04"/>
    <w:rsid w:val="00554195"/>
    <w:rsid w:val="00554BEF"/>
    <w:rsid w:val="00555085"/>
    <w:rsid w:val="00555428"/>
    <w:rsid w:val="005554E9"/>
    <w:rsid w:val="0055654B"/>
    <w:rsid w:val="005566D6"/>
    <w:rsid w:val="00556839"/>
    <w:rsid w:val="00556ECF"/>
    <w:rsid w:val="005572EF"/>
    <w:rsid w:val="0055771E"/>
    <w:rsid w:val="00557F04"/>
    <w:rsid w:val="00560DE1"/>
    <w:rsid w:val="00560EB2"/>
    <w:rsid w:val="00561A9B"/>
    <w:rsid w:val="00562138"/>
    <w:rsid w:val="005622AF"/>
    <w:rsid w:val="00562571"/>
    <w:rsid w:val="00562BF6"/>
    <w:rsid w:val="00562E87"/>
    <w:rsid w:val="00562F6F"/>
    <w:rsid w:val="005630AA"/>
    <w:rsid w:val="005638C1"/>
    <w:rsid w:val="00563A1C"/>
    <w:rsid w:val="005648FF"/>
    <w:rsid w:val="005651F6"/>
    <w:rsid w:val="0056540C"/>
    <w:rsid w:val="00566A41"/>
    <w:rsid w:val="00566DB5"/>
    <w:rsid w:val="0056720E"/>
    <w:rsid w:val="00567607"/>
    <w:rsid w:val="00567BA4"/>
    <w:rsid w:val="00567ED0"/>
    <w:rsid w:val="00567F82"/>
    <w:rsid w:val="005701D9"/>
    <w:rsid w:val="00570538"/>
    <w:rsid w:val="00570A2C"/>
    <w:rsid w:val="00570AD7"/>
    <w:rsid w:val="00571012"/>
    <w:rsid w:val="00571319"/>
    <w:rsid w:val="005719E7"/>
    <w:rsid w:val="0057206E"/>
    <w:rsid w:val="0057232C"/>
    <w:rsid w:val="00572B7E"/>
    <w:rsid w:val="00572BFE"/>
    <w:rsid w:val="00572D65"/>
    <w:rsid w:val="005734F0"/>
    <w:rsid w:val="0057369A"/>
    <w:rsid w:val="00573985"/>
    <w:rsid w:val="00573D75"/>
    <w:rsid w:val="00573E5C"/>
    <w:rsid w:val="00574050"/>
    <w:rsid w:val="0057449D"/>
    <w:rsid w:val="005749A3"/>
    <w:rsid w:val="00574D99"/>
    <w:rsid w:val="00575514"/>
    <w:rsid w:val="005755AD"/>
    <w:rsid w:val="00575D8C"/>
    <w:rsid w:val="00576318"/>
    <w:rsid w:val="00576546"/>
    <w:rsid w:val="005765A5"/>
    <w:rsid w:val="00576830"/>
    <w:rsid w:val="00577101"/>
    <w:rsid w:val="00577123"/>
    <w:rsid w:val="00577189"/>
    <w:rsid w:val="005775EE"/>
    <w:rsid w:val="0057761F"/>
    <w:rsid w:val="005778F3"/>
    <w:rsid w:val="005779E6"/>
    <w:rsid w:val="00577C5B"/>
    <w:rsid w:val="005808E8"/>
    <w:rsid w:val="00581542"/>
    <w:rsid w:val="00581671"/>
    <w:rsid w:val="0058206D"/>
    <w:rsid w:val="0058288A"/>
    <w:rsid w:val="00582D17"/>
    <w:rsid w:val="00582F6E"/>
    <w:rsid w:val="005833C2"/>
    <w:rsid w:val="00583B0A"/>
    <w:rsid w:val="005859A4"/>
    <w:rsid w:val="00585A18"/>
    <w:rsid w:val="00585D00"/>
    <w:rsid w:val="00586039"/>
    <w:rsid w:val="00586E5E"/>
    <w:rsid w:val="0058714C"/>
    <w:rsid w:val="005876FA"/>
    <w:rsid w:val="00591383"/>
    <w:rsid w:val="005913F7"/>
    <w:rsid w:val="00591521"/>
    <w:rsid w:val="00591578"/>
    <w:rsid w:val="00591658"/>
    <w:rsid w:val="00591768"/>
    <w:rsid w:val="00591E51"/>
    <w:rsid w:val="005921FE"/>
    <w:rsid w:val="00592286"/>
    <w:rsid w:val="00592369"/>
    <w:rsid w:val="00592A5F"/>
    <w:rsid w:val="00592B76"/>
    <w:rsid w:val="00592C2A"/>
    <w:rsid w:val="00592CDB"/>
    <w:rsid w:val="00592D8A"/>
    <w:rsid w:val="0059370F"/>
    <w:rsid w:val="00593977"/>
    <w:rsid w:val="005942A7"/>
    <w:rsid w:val="00594A5A"/>
    <w:rsid w:val="00594B39"/>
    <w:rsid w:val="00594D16"/>
    <w:rsid w:val="00595057"/>
    <w:rsid w:val="005952EA"/>
    <w:rsid w:val="00595513"/>
    <w:rsid w:val="00595852"/>
    <w:rsid w:val="00595A38"/>
    <w:rsid w:val="00595D50"/>
    <w:rsid w:val="00595F6D"/>
    <w:rsid w:val="00596235"/>
    <w:rsid w:val="005964B7"/>
    <w:rsid w:val="005973F1"/>
    <w:rsid w:val="00597544"/>
    <w:rsid w:val="00597852"/>
    <w:rsid w:val="0059792A"/>
    <w:rsid w:val="00597984"/>
    <w:rsid w:val="00597EA2"/>
    <w:rsid w:val="005A05EF"/>
    <w:rsid w:val="005A068F"/>
    <w:rsid w:val="005A0691"/>
    <w:rsid w:val="005A176F"/>
    <w:rsid w:val="005A17EA"/>
    <w:rsid w:val="005A2481"/>
    <w:rsid w:val="005A26D9"/>
    <w:rsid w:val="005A27E4"/>
    <w:rsid w:val="005A286A"/>
    <w:rsid w:val="005A2AA4"/>
    <w:rsid w:val="005A2D7F"/>
    <w:rsid w:val="005A38A1"/>
    <w:rsid w:val="005A44C3"/>
    <w:rsid w:val="005A4503"/>
    <w:rsid w:val="005A5211"/>
    <w:rsid w:val="005A5555"/>
    <w:rsid w:val="005A55C0"/>
    <w:rsid w:val="005A6096"/>
    <w:rsid w:val="005A6AC5"/>
    <w:rsid w:val="005A6C10"/>
    <w:rsid w:val="005A6F15"/>
    <w:rsid w:val="005A737B"/>
    <w:rsid w:val="005A74ED"/>
    <w:rsid w:val="005A7C48"/>
    <w:rsid w:val="005B0296"/>
    <w:rsid w:val="005B0E69"/>
    <w:rsid w:val="005B12CD"/>
    <w:rsid w:val="005B1A92"/>
    <w:rsid w:val="005B1B30"/>
    <w:rsid w:val="005B2805"/>
    <w:rsid w:val="005B2859"/>
    <w:rsid w:val="005B2EA2"/>
    <w:rsid w:val="005B3282"/>
    <w:rsid w:val="005B3546"/>
    <w:rsid w:val="005B35AA"/>
    <w:rsid w:val="005B3675"/>
    <w:rsid w:val="005B36AC"/>
    <w:rsid w:val="005B3E02"/>
    <w:rsid w:val="005B41B8"/>
    <w:rsid w:val="005B4B27"/>
    <w:rsid w:val="005B4BE9"/>
    <w:rsid w:val="005B5036"/>
    <w:rsid w:val="005B52D5"/>
    <w:rsid w:val="005B57B6"/>
    <w:rsid w:val="005B591D"/>
    <w:rsid w:val="005B5ADE"/>
    <w:rsid w:val="005B5C55"/>
    <w:rsid w:val="005B5DC4"/>
    <w:rsid w:val="005B682C"/>
    <w:rsid w:val="005B6A11"/>
    <w:rsid w:val="005B7163"/>
    <w:rsid w:val="005B7306"/>
    <w:rsid w:val="005B7602"/>
    <w:rsid w:val="005B79E9"/>
    <w:rsid w:val="005B7DDB"/>
    <w:rsid w:val="005B7F53"/>
    <w:rsid w:val="005C00DE"/>
    <w:rsid w:val="005C0CF3"/>
    <w:rsid w:val="005C147E"/>
    <w:rsid w:val="005C15FE"/>
    <w:rsid w:val="005C1810"/>
    <w:rsid w:val="005C1C3F"/>
    <w:rsid w:val="005C1E9F"/>
    <w:rsid w:val="005C22D3"/>
    <w:rsid w:val="005C23A4"/>
    <w:rsid w:val="005C2C71"/>
    <w:rsid w:val="005C2DB6"/>
    <w:rsid w:val="005C2F2F"/>
    <w:rsid w:val="005C2F40"/>
    <w:rsid w:val="005C33FE"/>
    <w:rsid w:val="005C3AD0"/>
    <w:rsid w:val="005C3D13"/>
    <w:rsid w:val="005C3DE2"/>
    <w:rsid w:val="005C477A"/>
    <w:rsid w:val="005C47DE"/>
    <w:rsid w:val="005C48F5"/>
    <w:rsid w:val="005C4933"/>
    <w:rsid w:val="005C4B8B"/>
    <w:rsid w:val="005C4DE5"/>
    <w:rsid w:val="005C50A6"/>
    <w:rsid w:val="005C50FE"/>
    <w:rsid w:val="005C52AC"/>
    <w:rsid w:val="005C532D"/>
    <w:rsid w:val="005C7131"/>
    <w:rsid w:val="005C7726"/>
    <w:rsid w:val="005C7E2F"/>
    <w:rsid w:val="005D00E9"/>
    <w:rsid w:val="005D0275"/>
    <w:rsid w:val="005D0D2D"/>
    <w:rsid w:val="005D117B"/>
    <w:rsid w:val="005D1596"/>
    <w:rsid w:val="005D1782"/>
    <w:rsid w:val="005D17B9"/>
    <w:rsid w:val="005D1E03"/>
    <w:rsid w:val="005D20D0"/>
    <w:rsid w:val="005D27C0"/>
    <w:rsid w:val="005D2BE4"/>
    <w:rsid w:val="005D306F"/>
    <w:rsid w:val="005D3801"/>
    <w:rsid w:val="005D3984"/>
    <w:rsid w:val="005D409F"/>
    <w:rsid w:val="005D502C"/>
    <w:rsid w:val="005D5636"/>
    <w:rsid w:val="005D5BB7"/>
    <w:rsid w:val="005D5CC3"/>
    <w:rsid w:val="005D5D49"/>
    <w:rsid w:val="005D6019"/>
    <w:rsid w:val="005D6D7E"/>
    <w:rsid w:val="005D6F67"/>
    <w:rsid w:val="005D6FE9"/>
    <w:rsid w:val="005D72E8"/>
    <w:rsid w:val="005D7896"/>
    <w:rsid w:val="005D7902"/>
    <w:rsid w:val="005E06BD"/>
    <w:rsid w:val="005E098F"/>
    <w:rsid w:val="005E0BC0"/>
    <w:rsid w:val="005E0CCE"/>
    <w:rsid w:val="005E0D7D"/>
    <w:rsid w:val="005E1841"/>
    <w:rsid w:val="005E1A2B"/>
    <w:rsid w:val="005E1FF7"/>
    <w:rsid w:val="005E2653"/>
    <w:rsid w:val="005E2A08"/>
    <w:rsid w:val="005E2F1A"/>
    <w:rsid w:val="005E304B"/>
    <w:rsid w:val="005E34B0"/>
    <w:rsid w:val="005E35FB"/>
    <w:rsid w:val="005E365E"/>
    <w:rsid w:val="005E3909"/>
    <w:rsid w:val="005E42E3"/>
    <w:rsid w:val="005E449E"/>
    <w:rsid w:val="005E4528"/>
    <w:rsid w:val="005E49E4"/>
    <w:rsid w:val="005E4B45"/>
    <w:rsid w:val="005E4E72"/>
    <w:rsid w:val="005E70A5"/>
    <w:rsid w:val="005E7B4E"/>
    <w:rsid w:val="005F00DE"/>
    <w:rsid w:val="005F04FA"/>
    <w:rsid w:val="005F066A"/>
    <w:rsid w:val="005F2236"/>
    <w:rsid w:val="005F2260"/>
    <w:rsid w:val="005F24E0"/>
    <w:rsid w:val="005F2671"/>
    <w:rsid w:val="005F29C5"/>
    <w:rsid w:val="005F2A4E"/>
    <w:rsid w:val="005F2E76"/>
    <w:rsid w:val="005F3220"/>
    <w:rsid w:val="005F3443"/>
    <w:rsid w:val="005F45AF"/>
    <w:rsid w:val="005F4C69"/>
    <w:rsid w:val="005F4F3C"/>
    <w:rsid w:val="005F504C"/>
    <w:rsid w:val="005F51D3"/>
    <w:rsid w:val="005F5693"/>
    <w:rsid w:val="005F5AAD"/>
    <w:rsid w:val="005F615D"/>
    <w:rsid w:val="005F644A"/>
    <w:rsid w:val="005F6728"/>
    <w:rsid w:val="005F6B3F"/>
    <w:rsid w:val="005F6B88"/>
    <w:rsid w:val="005F6BF9"/>
    <w:rsid w:val="005F76C0"/>
    <w:rsid w:val="005F7DF0"/>
    <w:rsid w:val="00600213"/>
    <w:rsid w:val="00600BDB"/>
    <w:rsid w:val="00601539"/>
    <w:rsid w:val="006018AA"/>
    <w:rsid w:val="00601BF3"/>
    <w:rsid w:val="00601C3A"/>
    <w:rsid w:val="00602059"/>
    <w:rsid w:val="00602283"/>
    <w:rsid w:val="00602F91"/>
    <w:rsid w:val="00603AA1"/>
    <w:rsid w:val="00603E9C"/>
    <w:rsid w:val="00603F4E"/>
    <w:rsid w:val="006040A7"/>
    <w:rsid w:val="00604687"/>
    <w:rsid w:val="0060484A"/>
    <w:rsid w:val="00605A01"/>
    <w:rsid w:val="00606C10"/>
    <w:rsid w:val="0060745B"/>
    <w:rsid w:val="00607593"/>
    <w:rsid w:val="0061012C"/>
    <w:rsid w:val="00610C46"/>
    <w:rsid w:val="00610F08"/>
    <w:rsid w:val="006115A3"/>
    <w:rsid w:val="00611729"/>
    <w:rsid w:val="00611AD5"/>
    <w:rsid w:val="00611B39"/>
    <w:rsid w:val="00611C13"/>
    <w:rsid w:val="00612C40"/>
    <w:rsid w:val="00612FBE"/>
    <w:rsid w:val="006139D4"/>
    <w:rsid w:val="00614446"/>
    <w:rsid w:val="00614D59"/>
    <w:rsid w:val="00614FE8"/>
    <w:rsid w:val="00615024"/>
    <w:rsid w:val="0061580D"/>
    <w:rsid w:val="00615A74"/>
    <w:rsid w:val="00615EFD"/>
    <w:rsid w:val="00616B7F"/>
    <w:rsid w:val="00616D1F"/>
    <w:rsid w:val="00616D71"/>
    <w:rsid w:val="00617041"/>
    <w:rsid w:val="00617644"/>
    <w:rsid w:val="00617769"/>
    <w:rsid w:val="006177A2"/>
    <w:rsid w:val="00617BA9"/>
    <w:rsid w:val="0062026C"/>
    <w:rsid w:val="006202C4"/>
    <w:rsid w:val="00620364"/>
    <w:rsid w:val="0062059D"/>
    <w:rsid w:val="00620994"/>
    <w:rsid w:val="00622604"/>
    <w:rsid w:val="006227DD"/>
    <w:rsid w:val="00622F82"/>
    <w:rsid w:val="0062336D"/>
    <w:rsid w:val="006239E4"/>
    <w:rsid w:val="00623DA3"/>
    <w:rsid w:val="00623F17"/>
    <w:rsid w:val="00623F4C"/>
    <w:rsid w:val="00624199"/>
    <w:rsid w:val="006245DC"/>
    <w:rsid w:val="00625230"/>
    <w:rsid w:val="0062536F"/>
    <w:rsid w:val="00625492"/>
    <w:rsid w:val="00625A21"/>
    <w:rsid w:val="0062605B"/>
    <w:rsid w:val="0062623D"/>
    <w:rsid w:val="00626344"/>
    <w:rsid w:val="00626355"/>
    <w:rsid w:val="006270C7"/>
    <w:rsid w:val="0062749F"/>
    <w:rsid w:val="006275F5"/>
    <w:rsid w:val="0062793F"/>
    <w:rsid w:val="006279E3"/>
    <w:rsid w:val="00630012"/>
    <w:rsid w:val="006300DE"/>
    <w:rsid w:val="006306F2"/>
    <w:rsid w:val="00630E5A"/>
    <w:rsid w:val="00630F45"/>
    <w:rsid w:val="0063109E"/>
    <w:rsid w:val="0063286A"/>
    <w:rsid w:val="00632E65"/>
    <w:rsid w:val="00632EFF"/>
    <w:rsid w:val="006330CE"/>
    <w:rsid w:val="0063331F"/>
    <w:rsid w:val="00633867"/>
    <w:rsid w:val="006338CA"/>
    <w:rsid w:val="00633E40"/>
    <w:rsid w:val="00633E65"/>
    <w:rsid w:val="006342FF"/>
    <w:rsid w:val="006344E8"/>
    <w:rsid w:val="0063456E"/>
    <w:rsid w:val="006348E3"/>
    <w:rsid w:val="00634D3E"/>
    <w:rsid w:val="00634E51"/>
    <w:rsid w:val="0063539D"/>
    <w:rsid w:val="006353EC"/>
    <w:rsid w:val="006366CF"/>
    <w:rsid w:val="006368BF"/>
    <w:rsid w:val="00636AAA"/>
    <w:rsid w:val="00636B6B"/>
    <w:rsid w:val="00636CB0"/>
    <w:rsid w:val="00636F97"/>
    <w:rsid w:val="00637310"/>
    <w:rsid w:val="00637572"/>
    <w:rsid w:val="0063766D"/>
    <w:rsid w:val="00637673"/>
    <w:rsid w:val="00637DDD"/>
    <w:rsid w:val="00637F03"/>
    <w:rsid w:val="006408E8"/>
    <w:rsid w:val="006409BD"/>
    <w:rsid w:val="00640E08"/>
    <w:rsid w:val="00640FF1"/>
    <w:rsid w:val="00641156"/>
    <w:rsid w:val="00641B60"/>
    <w:rsid w:val="0064266E"/>
    <w:rsid w:val="006428AB"/>
    <w:rsid w:val="00643008"/>
    <w:rsid w:val="00643809"/>
    <w:rsid w:val="00643C58"/>
    <w:rsid w:val="00644558"/>
    <w:rsid w:val="00644768"/>
    <w:rsid w:val="00644847"/>
    <w:rsid w:val="00644BF3"/>
    <w:rsid w:val="006454A0"/>
    <w:rsid w:val="006461AC"/>
    <w:rsid w:val="006462B7"/>
    <w:rsid w:val="006462C0"/>
    <w:rsid w:val="00646435"/>
    <w:rsid w:val="00646966"/>
    <w:rsid w:val="00646B49"/>
    <w:rsid w:val="006470CB"/>
    <w:rsid w:val="00647756"/>
    <w:rsid w:val="00647CA5"/>
    <w:rsid w:val="00650286"/>
    <w:rsid w:val="006507D6"/>
    <w:rsid w:val="00650822"/>
    <w:rsid w:val="0065103A"/>
    <w:rsid w:val="006511F1"/>
    <w:rsid w:val="00651487"/>
    <w:rsid w:val="0065282D"/>
    <w:rsid w:val="00652C4A"/>
    <w:rsid w:val="00652E8D"/>
    <w:rsid w:val="006535BE"/>
    <w:rsid w:val="00653B20"/>
    <w:rsid w:val="00654944"/>
    <w:rsid w:val="00654964"/>
    <w:rsid w:val="0065506E"/>
    <w:rsid w:val="00655168"/>
    <w:rsid w:val="006552D8"/>
    <w:rsid w:val="0065572F"/>
    <w:rsid w:val="00655928"/>
    <w:rsid w:val="00656219"/>
    <w:rsid w:val="00657055"/>
    <w:rsid w:val="006572E7"/>
    <w:rsid w:val="00657663"/>
    <w:rsid w:val="00657B4E"/>
    <w:rsid w:val="0066143C"/>
    <w:rsid w:val="00661900"/>
    <w:rsid w:val="0066191E"/>
    <w:rsid w:val="00661AAF"/>
    <w:rsid w:val="00662BEB"/>
    <w:rsid w:val="00663955"/>
    <w:rsid w:val="00663F92"/>
    <w:rsid w:val="006641B3"/>
    <w:rsid w:val="006641DC"/>
    <w:rsid w:val="006645ED"/>
    <w:rsid w:val="006650E3"/>
    <w:rsid w:val="00665105"/>
    <w:rsid w:val="00665197"/>
    <w:rsid w:val="006654B0"/>
    <w:rsid w:val="0066568F"/>
    <w:rsid w:val="00665D3E"/>
    <w:rsid w:val="0066618F"/>
    <w:rsid w:val="006667BB"/>
    <w:rsid w:val="006668DE"/>
    <w:rsid w:val="006669ED"/>
    <w:rsid w:val="00666A07"/>
    <w:rsid w:val="00667060"/>
    <w:rsid w:val="0066755E"/>
    <w:rsid w:val="00667672"/>
    <w:rsid w:val="006676BF"/>
    <w:rsid w:val="00670205"/>
    <w:rsid w:val="0067040A"/>
    <w:rsid w:val="00670795"/>
    <w:rsid w:val="00670F1F"/>
    <w:rsid w:val="00671170"/>
    <w:rsid w:val="00671A1F"/>
    <w:rsid w:val="00671D24"/>
    <w:rsid w:val="00672293"/>
    <w:rsid w:val="00672346"/>
    <w:rsid w:val="00672368"/>
    <w:rsid w:val="00673D54"/>
    <w:rsid w:val="00673EB3"/>
    <w:rsid w:val="006743A3"/>
    <w:rsid w:val="00675105"/>
    <w:rsid w:val="0067525D"/>
    <w:rsid w:val="00675C04"/>
    <w:rsid w:val="00675C6E"/>
    <w:rsid w:val="006766BA"/>
    <w:rsid w:val="00676AE5"/>
    <w:rsid w:val="00676EDF"/>
    <w:rsid w:val="0067795B"/>
    <w:rsid w:val="00677B69"/>
    <w:rsid w:val="00677BA6"/>
    <w:rsid w:val="00677E60"/>
    <w:rsid w:val="0068001E"/>
    <w:rsid w:val="00680DBD"/>
    <w:rsid w:val="006810AB"/>
    <w:rsid w:val="00681808"/>
    <w:rsid w:val="0068188E"/>
    <w:rsid w:val="00681E07"/>
    <w:rsid w:val="00681E39"/>
    <w:rsid w:val="00682864"/>
    <w:rsid w:val="006828FA"/>
    <w:rsid w:val="006831FB"/>
    <w:rsid w:val="00683320"/>
    <w:rsid w:val="0068377F"/>
    <w:rsid w:val="00683A74"/>
    <w:rsid w:val="00683AEB"/>
    <w:rsid w:val="00683CD7"/>
    <w:rsid w:val="00683E93"/>
    <w:rsid w:val="00683FA7"/>
    <w:rsid w:val="0068432B"/>
    <w:rsid w:val="006844F6"/>
    <w:rsid w:val="006845B4"/>
    <w:rsid w:val="00684E25"/>
    <w:rsid w:val="0068500C"/>
    <w:rsid w:val="00685287"/>
    <w:rsid w:val="00685DDA"/>
    <w:rsid w:val="00686418"/>
    <w:rsid w:val="00686C68"/>
    <w:rsid w:val="006870A3"/>
    <w:rsid w:val="006875BD"/>
    <w:rsid w:val="00687852"/>
    <w:rsid w:val="00687CD8"/>
    <w:rsid w:val="00690440"/>
    <w:rsid w:val="00690508"/>
    <w:rsid w:val="0069088E"/>
    <w:rsid w:val="00690D0F"/>
    <w:rsid w:val="00690F90"/>
    <w:rsid w:val="00691402"/>
    <w:rsid w:val="00691B7F"/>
    <w:rsid w:val="00691FEB"/>
    <w:rsid w:val="00692849"/>
    <w:rsid w:val="00692DC8"/>
    <w:rsid w:val="006934DC"/>
    <w:rsid w:val="006936A6"/>
    <w:rsid w:val="0069418D"/>
    <w:rsid w:val="00694492"/>
    <w:rsid w:val="006950D2"/>
    <w:rsid w:val="006958A4"/>
    <w:rsid w:val="00695920"/>
    <w:rsid w:val="006959FD"/>
    <w:rsid w:val="006967C8"/>
    <w:rsid w:val="006968D1"/>
    <w:rsid w:val="006970A0"/>
    <w:rsid w:val="00697628"/>
    <w:rsid w:val="00697CB2"/>
    <w:rsid w:val="006A0020"/>
    <w:rsid w:val="006A0727"/>
    <w:rsid w:val="006A093E"/>
    <w:rsid w:val="006A0D25"/>
    <w:rsid w:val="006A0D68"/>
    <w:rsid w:val="006A0EDA"/>
    <w:rsid w:val="006A1420"/>
    <w:rsid w:val="006A1C3F"/>
    <w:rsid w:val="006A2469"/>
    <w:rsid w:val="006A24A0"/>
    <w:rsid w:val="006A2827"/>
    <w:rsid w:val="006A2C2E"/>
    <w:rsid w:val="006A33AA"/>
    <w:rsid w:val="006A40E4"/>
    <w:rsid w:val="006A4531"/>
    <w:rsid w:val="006A4D4D"/>
    <w:rsid w:val="006A4F9C"/>
    <w:rsid w:val="006A5806"/>
    <w:rsid w:val="006A67BD"/>
    <w:rsid w:val="006A6FE5"/>
    <w:rsid w:val="006A74BD"/>
    <w:rsid w:val="006A7588"/>
    <w:rsid w:val="006B0991"/>
    <w:rsid w:val="006B0EFA"/>
    <w:rsid w:val="006B0F0D"/>
    <w:rsid w:val="006B1587"/>
    <w:rsid w:val="006B1CEB"/>
    <w:rsid w:val="006B1D20"/>
    <w:rsid w:val="006B2011"/>
    <w:rsid w:val="006B2AB8"/>
    <w:rsid w:val="006B2AC2"/>
    <w:rsid w:val="006B2C89"/>
    <w:rsid w:val="006B2D23"/>
    <w:rsid w:val="006B2E2F"/>
    <w:rsid w:val="006B311C"/>
    <w:rsid w:val="006B333E"/>
    <w:rsid w:val="006B37B8"/>
    <w:rsid w:val="006B38A8"/>
    <w:rsid w:val="006B39FB"/>
    <w:rsid w:val="006B3E41"/>
    <w:rsid w:val="006B46B5"/>
    <w:rsid w:val="006B48D3"/>
    <w:rsid w:val="006B4F91"/>
    <w:rsid w:val="006B51C1"/>
    <w:rsid w:val="006B533D"/>
    <w:rsid w:val="006B5598"/>
    <w:rsid w:val="006B6A21"/>
    <w:rsid w:val="006B7472"/>
    <w:rsid w:val="006B74A7"/>
    <w:rsid w:val="006B74DC"/>
    <w:rsid w:val="006B7619"/>
    <w:rsid w:val="006B77F7"/>
    <w:rsid w:val="006B7943"/>
    <w:rsid w:val="006B7ED6"/>
    <w:rsid w:val="006C0AEF"/>
    <w:rsid w:val="006C0D30"/>
    <w:rsid w:val="006C1086"/>
    <w:rsid w:val="006C1447"/>
    <w:rsid w:val="006C1AB6"/>
    <w:rsid w:val="006C27C6"/>
    <w:rsid w:val="006C28B6"/>
    <w:rsid w:val="006C2ACF"/>
    <w:rsid w:val="006C324E"/>
    <w:rsid w:val="006C3387"/>
    <w:rsid w:val="006C3496"/>
    <w:rsid w:val="006C3584"/>
    <w:rsid w:val="006C4249"/>
    <w:rsid w:val="006C4592"/>
    <w:rsid w:val="006C46B6"/>
    <w:rsid w:val="006C48BA"/>
    <w:rsid w:val="006C490B"/>
    <w:rsid w:val="006C4C9A"/>
    <w:rsid w:val="006C5155"/>
    <w:rsid w:val="006C5846"/>
    <w:rsid w:val="006C5A35"/>
    <w:rsid w:val="006C5C1B"/>
    <w:rsid w:val="006C60E5"/>
    <w:rsid w:val="006C6B4A"/>
    <w:rsid w:val="006C6F0E"/>
    <w:rsid w:val="006C70F8"/>
    <w:rsid w:val="006C7489"/>
    <w:rsid w:val="006C75C0"/>
    <w:rsid w:val="006C75FF"/>
    <w:rsid w:val="006C7834"/>
    <w:rsid w:val="006C7873"/>
    <w:rsid w:val="006C7FC3"/>
    <w:rsid w:val="006D03F1"/>
    <w:rsid w:val="006D0CDD"/>
    <w:rsid w:val="006D10F4"/>
    <w:rsid w:val="006D1C31"/>
    <w:rsid w:val="006D1DB6"/>
    <w:rsid w:val="006D1E75"/>
    <w:rsid w:val="006D1EA6"/>
    <w:rsid w:val="006D2177"/>
    <w:rsid w:val="006D33EB"/>
    <w:rsid w:val="006D349E"/>
    <w:rsid w:val="006D3A28"/>
    <w:rsid w:val="006D466B"/>
    <w:rsid w:val="006D5700"/>
    <w:rsid w:val="006D58A0"/>
    <w:rsid w:val="006D5D14"/>
    <w:rsid w:val="006D6742"/>
    <w:rsid w:val="006D6A56"/>
    <w:rsid w:val="006D6E79"/>
    <w:rsid w:val="006D6EEF"/>
    <w:rsid w:val="006D702C"/>
    <w:rsid w:val="006D7526"/>
    <w:rsid w:val="006D7575"/>
    <w:rsid w:val="006D7C2A"/>
    <w:rsid w:val="006E0884"/>
    <w:rsid w:val="006E0F37"/>
    <w:rsid w:val="006E0FD0"/>
    <w:rsid w:val="006E1825"/>
    <w:rsid w:val="006E3531"/>
    <w:rsid w:val="006E3A95"/>
    <w:rsid w:val="006E3CF2"/>
    <w:rsid w:val="006E3D94"/>
    <w:rsid w:val="006E4094"/>
    <w:rsid w:val="006E47D5"/>
    <w:rsid w:val="006E4B38"/>
    <w:rsid w:val="006E4FAE"/>
    <w:rsid w:val="006E519B"/>
    <w:rsid w:val="006E577F"/>
    <w:rsid w:val="006E59C4"/>
    <w:rsid w:val="006E5A7C"/>
    <w:rsid w:val="006E5AA8"/>
    <w:rsid w:val="006E6009"/>
    <w:rsid w:val="006E6F51"/>
    <w:rsid w:val="006E75EF"/>
    <w:rsid w:val="006E79D5"/>
    <w:rsid w:val="006F00AF"/>
    <w:rsid w:val="006F00F4"/>
    <w:rsid w:val="006F0739"/>
    <w:rsid w:val="006F08DA"/>
    <w:rsid w:val="006F1050"/>
    <w:rsid w:val="006F1743"/>
    <w:rsid w:val="006F188F"/>
    <w:rsid w:val="006F1E87"/>
    <w:rsid w:val="006F1FC6"/>
    <w:rsid w:val="006F2204"/>
    <w:rsid w:val="006F2339"/>
    <w:rsid w:val="006F24CA"/>
    <w:rsid w:val="006F2669"/>
    <w:rsid w:val="006F2A61"/>
    <w:rsid w:val="006F2CBE"/>
    <w:rsid w:val="006F3021"/>
    <w:rsid w:val="006F362E"/>
    <w:rsid w:val="006F3781"/>
    <w:rsid w:val="006F3B13"/>
    <w:rsid w:val="006F3D09"/>
    <w:rsid w:val="006F3E14"/>
    <w:rsid w:val="006F4D0A"/>
    <w:rsid w:val="006F4D0D"/>
    <w:rsid w:val="006F50D4"/>
    <w:rsid w:val="006F5443"/>
    <w:rsid w:val="006F55BD"/>
    <w:rsid w:val="006F5926"/>
    <w:rsid w:val="006F5DF7"/>
    <w:rsid w:val="006F61C3"/>
    <w:rsid w:val="006F6489"/>
    <w:rsid w:val="006F690B"/>
    <w:rsid w:val="006F6C23"/>
    <w:rsid w:val="006F7845"/>
    <w:rsid w:val="006F7B86"/>
    <w:rsid w:val="006F7BC7"/>
    <w:rsid w:val="006F7F84"/>
    <w:rsid w:val="007001D5"/>
    <w:rsid w:val="00700C49"/>
    <w:rsid w:val="007013C3"/>
    <w:rsid w:val="00701783"/>
    <w:rsid w:val="00701DD2"/>
    <w:rsid w:val="0070284D"/>
    <w:rsid w:val="00702938"/>
    <w:rsid w:val="00702F1E"/>
    <w:rsid w:val="00702F38"/>
    <w:rsid w:val="00703089"/>
    <w:rsid w:val="007035F3"/>
    <w:rsid w:val="00703974"/>
    <w:rsid w:val="00703B06"/>
    <w:rsid w:val="00703E35"/>
    <w:rsid w:val="00704742"/>
    <w:rsid w:val="007048B5"/>
    <w:rsid w:val="00704C54"/>
    <w:rsid w:val="00704DBE"/>
    <w:rsid w:val="0070512A"/>
    <w:rsid w:val="007054B3"/>
    <w:rsid w:val="00705B4B"/>
    <w:rsid w:val="00706AC3"/>
    <w:rsid w:val="00706C8F"/>
    <w:rsid w:val="00706EE5"/>
    <w:rsid w:val="00706F09"/>
    <w:rsid w:val="007070B2"/>
    <w:rsid w:val="00707781"/>
    <w:rsid w:val="007077C5"/>
    <w:rsid w:val="00707CC2"/>
    <w:rsid w:val="00707F84"/>
    <w:rsid w:val="00710C17"/>
    <w:rsid w:val="00710E3E"/>
    <w:rsid w:val="0071177A"/>
    <w:rsid w:val="00711B92"/>
    <w:rsid w:val="00711F91"/>
    <w:rsid w:val="00712967"/>
    <w:rsid w:val="00712EA0"/>
    <w:rsid w:val="00712FA7"/>
    <w:rsid w:val="007132D3"/>
    <w:rsid w:val="00713609"/>
    <w:rsid w:val="0071415C"/>
    <w:rsid w:val="00714686"/>
    <w:rsid w:val="007146CE"/>
    <w:rsid w:val="0071471F"/>
    <w:rsid w:val="00714865"/>
    <w:rsid w:val="00714E19"/>
    <w:rsid w:val="00715050"/>
    <w:rsid w:val="007155CF"/>
    <w:rsid w:val="00715A31"/>
    <w:rsid w:val="00715C40"/>
    <w:rsid w:val="00715D51"/>
    <w:rsid w:val="0071615B"/>
    <w:rsid w:val="00716D70"/>
    <w:rsid w:val="00717113"/>
    <w:rsid w:val="00717AC9"/>
    <w:rsid w:val="00717B73"/>
    <w:rsid w:val="0072053A"/>
    <w:rsid w:val="0072084C"/>
    <w:rsid w:val="00720F26"/>
    <w:rsid w:val="00720F95"/>
    <w:rsid w:val="00720FDD"/>
    <w:rsid w:val="007211DA"/>
    <w:rsid w:val="007211E8"/>
    <w:rsid w:val="00721ACE"/>
    <w:rsid w:val="00721D2B"/>
    <w:rsid w:val="00721DE8"/>
    <w:rsid w:val="007223C2"/>
    <w:rsid w:val="0072272C"/>
    <w:rsid w:val="00722998"/>
    <w:rsid w:val="00722A20"/>
    <w:rsid w:val="007232A5"/>
    <w:rsid w:val="007239E0"/>
    <w:rsid w:val="0072479C"/>
    <w:rsid w:val="00724FA7"/>
    <w:rsid w:val="0072513C"/>
    <w:rsid w:val="007254C6"/>
    <w:rsid w:val="00725783"/>
    <w:rsid w:val="00725E2E"/>
    <w:rsid w:val="007262F0"/>
    <w:rsid w:val="0072645E"/>
    <w:rsid w:val="007266A0"/>
    <w:rsid w:val="007269B3"/>
    <w:rsid w:val="007277F8"/>
    <w:rsid w:val="00727ECC"/>
    <w:rsid w:val="00727FD8"/>
    <w:rsid w:val="0073003E"/>
    <w:rsid w:val="00730601"/>
    <w:rsid w:val="007307A0"/>
    <w:rsid w:val="00730D41"/>
    <w:rsid w:val="00731E6C"/>
    <w:rsid w:val="00732072"/>
    <w:rsid w:val="00732181"/>
    <w:rsid w:val="007323A6"/>
    <w:rsid w:val="00732A07"/>
    <w:rsid w:val="007337EA"/>
    <w:rsid w:val="007337F9"/>
    <w:rsid w:val="00733D16"/>
    <w:rsid w:val="00733D34"/>
    <w:rsid w:val="00733DBB"/>
    <w:rsid w:val="00734073"/>
    <w:rsid w:val="007340FF"/>
    <w:rsid w:val="00734361"/>
    <w:rsid w:val="00734388"/>
    <w:rsid w:val="007345F4"/>
    <w:rsid w:val="00735C1C"/>
    <w:rsid w:val="007362E3"/>
    <w:rsid w:val="007365D6"/>
    <w:rsid w:val="00736CDF"/>
    <w:rsid w:val="00736EDD"/>
    <w:rsid w:val="0073726B"/>
    <w:rsid w:val="007372C2"/>
    <w:rsid w:val="00737B55"/>
    <w:rsid w:val="0074001E"/>
    <w:rsid w:val="007400ED"/>
    <w:rsid w:val="0074112C"/>
    <w:rsid w:val="00741480"/>
    <w:rsid w:val="00741866"/>
    <w:rsid w:val="00741D26"/>
    <w:rsid w:val="00741D40"/>
    <w:rsid w:val="0074208D"/>
    <w:rsid w:val="007421E8"/>
    <w:rsid w:val="0074233D"/>
    <w:rsid w:val="00742889"/>
    <w:rsid w:val="00742895"/>
    <w:rsid w:val="007435F0"/>
    <w:rsid w:val="00743E96"/>
    <w:rsid w:val="00744029"/>
    <w:rsid w:val="007440DF"/>
    <w:rsid w:val="00744329"/>
    <w:rsid w:val="007443B4"/>
    <w:rsid w:val="00744F72"/>
    <w:rsid w:val="007458DC"/>
    <w:rsid w:val="00745A27"/>
    <w:rsid w:val="0074650A"/>
    <w:rsid w:val="0074660F"/>
    <w:rsid w:val="00746785"/>
    <w:rsid w:val="00746958"/>
    <w:rsid w:val="00747417"/>
    <w:rsid w:val="0074748F"/>
    <w:rsid w:val="00747630"/>
    <w:rsid w:val="007476B9"/>
    <w:rsid w:val="00747A66"/>
    <w:rsid w:val="00747CD7"/>
    <w:rsid w:val="00750154"/>
    <w:rsid w:val="00750FE0"/>
    <w:rsid w:val="00751868"/>
    <w:rsid w:val="00751B16"/>
    <w:rsid w:val="0075278F"/>
    <w:rsid w:val="00753890"/>
    <w:rsid w:val="00753A8E"/>
    <w:rsid w:val="00753B90"/>
    <w:rsid w:val="00753BFA"/>
    <w:rsid w:val="00754142"/>
    <w:rsid w:val="00754335"/>
    <w:rsid w:val="00754671"/>
    <w:rsid w:val="0075484F"/>
    <w:rsid w:val="0075590B"/>
    <w:rsid w:val="00755C38"/>
    <w:rsid w:val="00755DE8"/>
    <w:rsid w:val="0075606C"/>
    <w:rsid w:val="007560CC"/>
    <w:rsid w:val="00756278"/>
    <w:rsid w:val="007566BB"/>
    <w:rsid w:val="0075674F"/>
    <w:rsid w:val="00756E93"/>
    <w:rsid w:val="00756F1C"/>
    <w:rsid w:val="00757A80"/>
    <w:rsid w:val="007604BC"/>
    <w:rsid w:val="00760895"/>
    <w:rsid w:val="00760AFB"/>
    <w:rsid w:val="00760EE2"/>
    <w:rsid w:val="0076192B"/>
    <w:rsid w:val="00761A45"/>
    <w:rsid w:val="00762335"/>
    <w:rsid w:val="0076283A"/>
    <w:rsid w:val="00762CCA"/>
    <w:rsid w:val="00762E8E"/>
    <w:rsid w:val="00763B3D"/>
    <w:rsid w:val="00763BFD"/>
    <w:rsid w:val="00763DF7"/>
    <w:rsid w:val="00764A66"/>
    <w:rsid w:val="00765092"/>
    <w:rsid w:val="00765238"/>
    <w:rsid w:val="00765D40"/>
    <w:rsid w:val="007667C7"/>
    <w:rsid w:val="00766BA7"/>
    <w:rsid w:val="00766CA4"/>
    <w:rsid w:val="00766CCF"/>
    <w:rsid w:val="00766F41"/>
    <w:rsid w:val="007671EE"/>
    <w:rsid w:val="00767340"/>
    <w:rsid w:val="007677DA"/>
    <w:rsid w:val="00770249"/>
    <w:rsid w:val="00770486"/>
    <w:rsid w:val="0077106A"/>
    <w:rsid w:val="00771699"/>
    <w:rsid w:val="007716CF"/>
    <w:rsid w:val="00772161"/>
    <w:rsid w:val="007724E6"/>
    <w:rsid w:val="0077286D"/>
    <w:rsid w:val="007730E5"/>
    <w:rsid w:val="007736D7"/>
    <w:rsid w:val="00773F77"/>
    <w:rsid w:val="00774281"/>
    <w:rsid w:val="007743B0"/>
    <w:rsid w:val="007755F8"/>
    <w:rsid w:val="00775C01"/>
    <w:rsid w:val="007762F6"/>
    <w:rsid w:val="00776737"/>
    <w:rsid w:val="00776BAC"/>
    <w:rsid w:val="00776BE8"/>
    <w:rsid w:val="00777C7F"/>
    <w:rsid w:val="00780288"/>
    <w:rsid w:val="00780760"/>
    <w:rsid w:val="00780A48"/>
    <w:rsid w:val="00780C2B"/>
    <w:rsid w:val="00780DD7"/>
    <w:rsid w:val="00781112"/>
    <w:rsid w:val="00781277"/>
    <w:rsid w:val="00781CB8"/>
    <w:rsid w:val="00781DC1"/>
    <w:rsid w:val="00781F4B"/>
    <w:rsid w:val="007823A8"/>
    <w:rsid w:val="00782818"/>
    <w:rsid w:val="007829C5"/>
    <w:rsid w:val="007833E9"/>
    <w:rsid w:val="00783EFD"/>
    <w:rsid w:val="007844B9"/>
    <w:rsid w:val="0078453C"/>
    <w:rsid w:val="00784625"/>
    <w:rsid w:val="00784774"/>
    <w:rsid w:val="0078492A"/>
    <w:rsid w:val="007851A4"/>
    <w:rsid w:val="00785732"/>
    <w:rsid w:val="0078595D"/>
    <w:rsid w:val="00785B6E"/>
    <w:rsid w:val="00785B71"/>
    <w:rsid w:val="00785E62"/>
    <w:rsid w:val="00785FF5"/>
    <w:rsid w:val="00786012"/>
    <w:rsid w:val="00786095"/>
    <w:rsid w:val="007861B8"/>
    <w:rsid w:val="00786C53"/>
    <w:rsid w:val="00786C90"/>
    <w:rsid w:val="007873A4"/>
    <w:rsid w:val="007873DF"/>
    <w:rsid w:val="00787772"/>
    <w:rsid w:val="00787C53"/>
    <w:rsid w:val="00787FC0"/>
    <w:rsid w:val="0079037D"/>
    <w:rsid w:val="0079043D"/>
    <w:rsid w:val="00790719"/>
    <w:rsid w:val="0079153B"/>
    <w:rsid w:val="00791AA4"/>
    <w:rsid w:val="00792108"/>
    <w:rsid w:val="00792176"/>
    <w:rsid w:val="00792625"/>
    <w:rsid w:val="00792959"/>
    <w:rsid w:val="00792DFE"/>
    <w:rsid w:val="00793831"/>
    <w:rsid w:val="00793B73"/>
    <w:rsid w:val="00793BAE"/>
    <w:rsid w:val="00793D5B"/>
    <w:rsid w:val="007943BF"/>
    <w:rsid w:val="007944CC"/>
    <w:rsid w:val="00794F2B"/>
    <w:rsid w:val="00795136"/>
    <w:rsid w:val="00795838"/>
    <w:rsid w:val="007959ED"/>
    <w:rsid w:val="007969AA"/>
    <w:rsid w:val="00797054"/>
    <w:rsid w:val="00797169"/>
    <w:rsid w:val="00797380"/>
    <w:rsid w:val="0079764A"/>
    <w:rsid w:val="0079791B"/>
    <w:rsid w:val="00797BC9"/>
    <w:rsid w:val="00797C1E"/>
    <w:rsid w:val="00797D7F"/>
    <w:rsid w:val="007A093C"/>
    <w:rsid w:val="007A0E6C"/>
    <w:rsid w:val="007A0EA2"/>
    <w:rsid w:val="007A115F"/>
    <w:rsid w:val="007A1371"/>
    <w:rsid w:val="007A1E65"/>
    <w:rsid w:val="007A21AD"/>
    <w:rsid w:val="007A2247"/>
    <w:rsid w:val="007A23C9"/>
    <w:rsid w:val="007A2479"/>
    <w:rsid w:val="007A2551"/>
    <w:rsid w:val="007A4A59"/>
    <w:rsid w:val="007A53F3"/>
    <w:rsid w:val="007A6823"/>
    <w:rsid w:val="007A6989"/>
    <w:rsid w:val="007A73D1"/>
    <w:rsid w:val="007A75F8"/>
    <w:rsid w:val="007A7829"/>
    <w:rsid w:val="007B027E"/>
    <w:rsid w:val="007B02F5"/>
    <w:rsid w:val="007B08B4"/>
    <w:rsid w:val="007B0A90"/>
    <w:rsid w:val="007B106B"/>
    <w:rsid w:val="007B1133"/>
    <w:rsid w:val="007B1493"/>
    <w:rsid w:val="007B1F0B"/>
    <w:rsid w:val="007B25B4"/>
    <w:rsid w:val="007B2C6A"/>
    <w:rsid w:val="007B317A"/>
    <w:rsid w:val="007B3A87"/>
    <w:rsid w:val="007B3E2A"/>
    <w:rsid w:val="007B3F96"/>
    <w:rsid w:val="007B4042"/>
    <w:rsid w:val="007B433F"/>
    <w:rsid w:val="007B4484"/>
    <w:rsid w:val="007B4AF3"/>
    <w:rsid w:val="007B4D44"/>
    <w:rsid w:val="007B4DF3"/>
    <w:rsid w:val="007B4E55"/>
    <w:rsid w:val="007B4EC4"/>
    <w:rsid w:val="007B4FB5"/>
    <w:rsid w:val="007B50D5"/>
    <w:rsid w:val="007B556E"/>
    <w:rsid w:val="007B573D"/>
    <w:rsid w:val="007B5914"/>
    <w:rsid w:val="007B5C7E"/>
    <w:rsid w:val="007B6523"/>
    <w:rsid w:val="007B6551"/>
    <w:rsid w:val="007B6CC1"/>
    <w:rsid w:val="007B6F75"/>
    <w:rsid w:val="007B6FED"/>
    <w:rsid w:val="007B6FFF"/>
    <w:rsid w:val="007B7543"/>
    <w:rsid w:val="007B79E2"/>
    <w:rsid w:val="007C0B63"/>
    <w:rsid w:val="007C11F7"/>
    <w:rsid w:val="007C1C54"/>
    <w:rsid w:val="007C1E7F"/>
    <w:rsid w:val="007C2290"/>
    <w:rsid w:val="007C2447"/>
    <w:rsid w:val="007C2A95"/>
    <w:rsid w:val="007C2D2F"/>
    <w:rsid w:val="007C2F1E"/>
    <w:rsid w:val="007C340C"/>
    <w:rsid w:val="007C344B"/>
    <w:rsid w:val="007C577E"/>
    <w:rsid w:val="007C5A00"/>
    <w:rsid w:val="007C5E18"/>
    <w:rsid w:val="007C6241"/>
    <w:rsid w:val="007C68BD"/>
    <w:rsid w:val="007C6983"/>
    <w:rsid w:val="007C6B95"/>
    <w:rsid w:val="007C6C85"/>
    <w:rsid w:val="007C76B6"/>
    <w:rsid w:val="007C76EB"/>
    <w:rsid w:val="007C7733"/>
    <w:rsid w:val="007D0307"/>
    <w:rsid w:val="007D0900"/>
    <w:rsid w:val="007D0C05"/>
    <w:rsid w:val="007D0F06"/>
    <w:rsid w:val="007D219A"/>
    <w:rsid w:val="007D229C"/>
    <w:rsid w:val="007D2591"/>
    <w:rsid w:val="007D274F"/>
    <w:rsid w:val="007D27B0"/>
    <w:rsid w:val="007D3010"/>
    <w:rsid w:val="007D3188"/>
    <w:rsid w:val="007D33A3"/>
    <w:rsid w:val="007D34D9"/>
    <w:rsid w:val="007D351F"/>
    <w:rsid w:val="007D373B"/>
    <w:rsid w:val="007D3A2C"/>
    <w:rsid w:val="007D3D83"/>
    <w:rsid w:val="007D3FEF"/>
    <w:rsid w:val="007D4691"/>
    <w:rsid w:val="007D4CCD"/>
    <w:rsid w:val="007D52F8"/>
    <w:rsid w:val="007D5762"/>
    <w:rsid w:val="007E02E8"/>
    <w:rsid w:val="007E05DD"/>
    <w:rsid w:val="007E0618"/>
    <w:rsid w:val="007E0689"/>
    <w:rsid w:val="007E0BF8"/>
    <w:rsid w:val="007E12E8"/>
    <w:rsid w:val="007E150D"/>
    <w:rsid w:val="007E1650"/>
    <w:rsid w:val="007E1B64"/>
    <w:rsid w:val="007E1BBB"/>
    <w:rsid w:val="007E262C"/>
    <w:rsid w:val="007E265A"/>
    <w:rsid w:val="007E3052"/>
    <w:rsid w:val="007E353D"/>
    <w:rsid w:val="007E4679"/>
    <w:rsid w:val="007E486A"/>
    <w:rsid w:val="007E4F58"/>
    <w:rsid w:val="007E5101"/>
    <w:rsid w:val="007E62B1"/>
    <w:rsid w:val="007E62ED"/>
    <w:rsid w:val="007E680E"/>
    <w:rsid w:val="007E6CF7"/>
    <w:rsid w:val="007E6F0A"/>
    <w:rsid w:val="007E71CE"/>
    <w:rsid w:val="007E7993"/>
    <w:rsid w:val="007E7C66"/>
    <w:rsid w:val="007E7E7A"/>
    <w:rsid w:val="007E7F21"/>
    <w:rsid w:val="007F04DD"/>
    <w:rsid w:val="007F06B8"/>
    <w:rsid w:val="007F0B73"/>
    <w:rsid w:val="007F0CDB"/>
    <w:rsid w:val="007F1074"/>
    <w:rsid w:val="007F13D0"/>
    <w:rsid w:val="007F14A5"/>
    <w:rsid w:val="007F1553"/>
    <w:rsid w:val="007F1B5B"/>
    <w:rsid w:val="007F2141"/>
    <w:rsid w:val="007F2984"/>
    <w:rsid w:val="007F2A49"/>
    <w:rsid w:val="007F2B1C"/>
    <w:rsid w:val="007F2D24"/>
    <w:rsid w:val="007F2EB1"/>
    <w:rsid w:val="007F2FBE"/>
    <w:rsid w:val="007F3851"/>
    <w:rsid w:val="007F3ACD"/>
    <w:rsid w:val="007F45C5"/>
    <w:rsid w:val="007F538F"/>
    <w:rsid w:val="007F5DAC"/>
    <w:rsid w:val="007F5E02"/>
    <w:rsid w:val="007F62AE"/>
    <w:rsid w:val="007F6922"/>
    <w:rsid w:val="007F70FA"/>
    <w:rsid w:val="007F71C9"/>
    <w:rsid w:val="007F7634"/>
    <w:rsid w:val="007F7CAC"/>
    <w:rsid w:val="007F7E8D"/>
    <w:rsid w:val="007F7EAB"/>
    <w:rsid w:val="008000DF"/>
    <w:rsid w:val="008010C5"/>
    <w:rsid w:val="00801369"/>
    <w:rsid w:val="0080157A"/>
    <w:rsid w:val="008015A8"/>
    <w:rsid w:val="00801603"/>
    <w:rsid w:val="008017E9"/>
    <w:rsid w:val="00801AC0"/>
    <w:rsid w:val="00801CF0"/>
    <w:rsid w:val="00801D13"/>
    <w:rsid w:val="008021F1"/>
    <w:rsid w:val="00802266"/>
    <w:rsid w:val="00802327"/>
    <w:rsid w:val="00802655"/>
    <w:rsid w:val="00802AAF"/>
    <w:rsid w:val="00802DCD"/>
    <w:rsid w:val="008032D7"/>
    <w:rsid w:val="00803961"/>
    <w:rsid w:val="00803ABC"/>
    <w:rsid w:val="00803C9F"/>
    <w:rsid w:val="00803CD8"/>
    <w:rsid w:val="00804333"/>
    <w:rsid w:val="00804343"/>
    <w:rsid w:val="008047E8"/>
    <w:rsid w:val="00804F10"/>
    <w:rsid w:val="0080513B"/>
    <w:rsid w:val="0080586A"/>
    <w:rsid w:val="008067C1"/>
    <w:rsid w:val="00806860"/>
    <w:rsid w:val="00806C7B"/>
    <w:rsid w:val="00807627"/>
    <w:rsid w:val="00810306"/>
    <w:rsid w:val="008103D4"/>
    <w:rsid w:val="008104FB"/>
    <w:rsid w:val="00810C07"/>
    <w:rsid w:val="00811217"/>
    <w:rsid w:val="0081167C"/>
    <w:rsid w:val="00811CCA"/>
    <w:rsid w:val="00811DB3"/>
    <w:rsid w:val="00812007"/>
    <w:rsid w:val="008122B2"/>
    <w:rsid w:val="008129B2"/>
    <w:rsid w:val="00812D9C"/>
    <w:rsid w:val="00813072"/>
    <w:rsid w:val="00813264"/>
    <w:rsid w:val="00813A2C"/>
    <w:rsid w:val="0081431D"/>
    <w:rsid w:val="008143B4"/>
    <w:rsid w:val="0081459C"/>
    <w:rsid w:val="0081477D"/>
    <w:rsid w:val="0081500C"/>
    <w:rsid w:val="008154AA"/>
    <w:rsid w:val="008157FD"/>
    <w:rsid w:val="00816192"/>
    <w:rsid w:val="0081667A"/>
    <w:rsid w:val="008166C7"/>
    <w:rsid w:val="008167B7"/>
    <w:rsid w:val="0081683D"/>
    <w:rsid w:val="00816C3B"/>
    <w:rsid w:val="00817744"/>
    <w:rsid w:val="00820524"/>
    <w:rsid w:val="00820D7A"/>
    <w:rsid w:val="00820E2F"/>
    <w:rsid w:val="00820F7E"/>
    <w:rsid w:val="0082177C"/>
    <w:rsid w:val="008218A2"/>
    <w:rsid w:val="0082194B"/>
    <w:rsid w:val="0082195A"/>
    <w:rsid w:val="008220AC"/>
    <w:rsid w:val="008226B0"/>
    <w:rsid w:val="00822A82"/>
    <w:rsid w:val="0082315F"/>
    <w:rsid w:val="00823568"/>
    <w:rsid w:val="0082397E"/>
    <w:rsid w:val="008247C5"/>
    <w:rsid w:val="00824DD9"/>
    <w:rsid w:val="0082547D"/>
    <w:rsid w:val="00825AC1"/>
    <w:rsid w:val="00825C2B"/>
    <w:rsid w:val="00825F2B"/>
    <w:rsid w:val="00826174"/>
    <w:rsid w:val="0082654E"/>
    <w:rsid w:val="008268F0"/>
    <w:rsid w:val="008269F8"/>
    <w:rsid w:val="00826A21"/>
    <w:rsid w:val="00827270"/>
    <w:rsid w:val="00827322"/>
    <w:rsid w:val="00827BC9"/>
    <w:rsid w:val="008301E5"/>
    <w:rsid w:val="00830299"/>
    <w:rsid w:val="00831028"/>
    <w:rsid w:val="00831594"/>
    <w:rsid w:val="008318AC"/>
    <w:rsid w:val="00831B2B"/>
    <w:rsid w:val="00831C0C"/>
    <w:rsid w:val="008325EF"/>
    <w:rsid w:val="008327BF"/>
    <w:rsid w:val="008327F6"/>
    <w:rsid w:val="00832B66"/>
    <w:rsid w:val="008332DA"/>
    <w:rsid w:val="008332EE"/>
    <w:rsid w:val="008334F3"/>
    <w:rsid w:val="00833D88"/>
    <w:rsid w:val="00833E66"/>
    <w:rsid w:val="00834152"/>
    <w:rsid w:val="008342D1"/>
    <w:rsid w:val="008342FD"/>
    <w:rsid w:val="00834AF0"/>
    <w:rsid w:val="00834EC7"/>
    <w:rsid w:val="0083500D"/>
    <w:rsid w:val="00835022"/>
    <w:rsid w:val="00835BBB"/>
    <w:rsid w:val="00836301"/>
    <w:rsid w:val="008375FB"/>
    <w:rsid w:val="00837BB4"/>
    <w:rsid w:val="00837C40"/>
    <w:rsid w:val="00837CCA"/>
    <w:rsid w:val="00841451"/>
    <w:rsid w:val="008416CA"/>
    <w:rsid w:val="008416D4"/>
    <w:rsid w:val="008418E2"/>
    <w:rsid w:val="00841F59"/>
    <w:rsid w:val="00842018"/>
    <w:rsid w:val="0084215E"/>
    <w:rsid w:val="00842641"/>
    <w:rsid w:val="0084289B"/>
    <w:rsid w:val="008429B6"/>
    <w:rsid w:val="00842BDF"/>
    <w:rsid w:val="00842FDA"/>
    <w:rsid w:val="008432B9"/>
    <w:rsid w:val="008435EC"/>
    <w:rsid w:val="00843789"/>
    <w:rsid w:val="008438B6"/>
    <w:rsid w:val="00843BBB"/>
    <w:rsid w:val="00843DA6"/>
    <w:rsid w:val="00844365"/>
    <w:rsid w:val="00844B6B"/>
    <w:rsid w:val="00844DBD"/>
    <w:rsid w:val="00844F03"/>
    <w:rsid w:val="0084533F"/>
    <w:rsid w:val="00845495"/>
    <w:rsid w:val="008457EB"/>
    <w:rsid w:val="00845F98"/>
    <w:rsid w:val="00845FEE"/>
    <w:rsid w:val="0084675D"/>
    <w:rsid w:val="00846BDC"/>
    <w:rsid w:val="00846CC2"/>
    <w:rsid w:val="008471EB"/>
    <w:rsid w:val="008479BB"/>
    <w:rsid w:val="00847A08"/>
    <w:rsid w:val="00847A9E"/>
    <w:rsid w:val="00847B55"/>
    <w:rsid w:val="00847F70"/>
    <w:rsid w:val="008504AA"/>
    <w:rsid w:val="0085066F"/>
    <w:rsid w:val="008508B5"/>
    <w:rsid w:val="00850F57"/>
    <w:rsid w:val="00850FF6"/>
    <w:rsid w:val="0085110C"/>
    <w:rsid w:val="00851AA5"/>
    <w:rsid w:val="00851C92"/>
    <w:rsid w:val="00851D04"/>
    <w:rsid w:val="00851DE0"/>
    <w:rsid w:val="00852071"/>
    <w:rsid w:val="00852280"/>
    <w:rsid w:val="0085229B"/>
    <w:rsid w:val="008525B5"/>
    <w:rsid w:val="00852680"/>
    <w:rsid w:val="00852985"/>
    <w:rsid w:val="00852B62"/>
    <w:rsid w:val="00852D16"/>
    <w:rsid w:val="0085342F"/>
    <w:rsid w:val="008535E9"/>
    <w:rsid w:val="00853CF1"/>
    <w:rsid w:val="00854303"/>
    <w:rsid w:val="0085442C"/>
    <w:rsid w:val="008545EE"/>
    <w:rsid w:val="00854640"/>
    <w:rsid w:val="00854B33"/>
    <w:rsid w:val="00854C96"/>
    <w:rsid w:val="0085526D"/>
    <w:rsid w:val="00855706"/>
    <w:rsid w:val="008568CC"/>
    <w:rsid w:val="008568D3"/>
    <w:rsid w:val="00856D09"/>
    <w:rsid w:val="00856D33"/>
    <w:rsid w:val="00857845"/>
    <w:rsid w:val="00857CC3"/>
    <w:rsid w:val="00860016"/>
    <w:rsid w:val="008603DF"/>
    <w:rsid w:val="008606B3"/>
    <w:rsid w:val="00860737"/>
    <w:rsid w:val="00860756"/>
    <w:rsid w:val="00860B82"/>
    <w:rsid w:val="00860D96"/>
    <w:rsid w:val="00860F24"/>
    <w:rsid w:val="00860FD6"/>
    <w:rsid w:val="00861A61"/>
    <w:rsid w:val="00861D77"/>
    <w:rsid w:val="00862223"/>
    <w:rsid w:val="0086247F"/>
    <w:rsid w:val="008624A3"/>
    <w:rsid w:val="008625C2"/>
    <w:rsid w:val="008628AF"/>
    <w:rsid w:val="008629C6"/>
    <w:rsid w:val="00862BDD"/>
    <w:rsid w:val="00862E5D"/>
    <w:rsid w:val="00863411"/>
    <w:rsid w:val="00864385"/>
    <w:rsid w:val="008652A5"/>
    <w:rsid w:val="00865344"/>
    <w:rsid w:val="008656D3"/>
    <w:rsid w:val="00865787"/>
    <w:rsid w:val="0086579B"/>
    <w:rsid w:val="0086581E"/>
    <w:rsid w:val="00865ACE"/>
    <w:rsid w:val="00865D31"/>
    <w:rsid w:val="00865E1D"/>
    <w:rsid w:val="008660EE"/>
    <w:rsid w:val="0086632C"/>
    <w:rsid w:val="0086653F"/>
    <w:rsid w:val="00866DA4"/>
    <w:rsid w:val="00866F49"/>
    <w:rsid w:val="008671DB"/>
    <w:rsid w:val="008671FC"/>
    <w:rsid w:val="008673F0"/>
    <w:rsid w:val="00867612"/>
    <w:rsid w:val="00867CEB"/>
    <w:rsid w:val="00867FFA"/>
    <w:rsid w:val="00870218"/>
    <w:rsid w:val="0087087C"/>
    <w:rsid w:val="0087098D"/>
    <w:rsid w:val="00871C7A"/>
    <w:rsid w:val="00872234"/>
    <w:rsid w:val="00872C36"/>
    <w:rsid w:val="00872F2D"/>
    <w:rsid w:val="00873431"/>
    <w:rsid w:val="0087350B"/>
    <w:rsid w:val="0087355D"/>
    <w:rsid w:val="00873E0E"/>
    <w:rsid w:val="008746D0"/>
    <w:rsid w:val="00874A48"/>
    <w:rsid w:val="008753FF"/>
    <w:rsid w:val="008761B1"/>
    <w:rsid w:val="00876243"/>
    <w:rsid w:val="0087624D"/>
    <w:rsid w:val="00876527"/>
    <w:rsid w:val="00876A0E"/>
    <w:rsid w:val="00876DD9"/>
    <w:rsid w:val="00876EA8"/>
    <w:rsid w:val="0087755A"/>
    <w:rsid w:val="0087768C"/>
    <w:rsid w:val="008779E9"/>
    <w:rsid w:val="00877B84"/>
    <w:rsid w:val="00880111"/>
    <w:rsid w:val="0088069F"/>
    <w:rsid w:val="00880D36"/>
    <w:rsid w:val="008810B3"/>
    <w:rsid w:val="008815A0"/>
    <w:rsid w:val="008815E0"/>
    <w:rsid w:val="00881DDF"/>
    <w:rsid w:val="00881E7D"/>
    <w:rsid w:val="0088248D"/>
    <w:rsid w:val="00882B64"/>
    <w:rsid w:val="00882F95"/>
    <w:rsid w:val="008838D6"/>
    <w:rsid w:val="008839DF"/>
    <w:rsid w:val="00883F51"/>
    <w:rsid w:val="0088405E"/>
    <w:rsid w:val="0088449C"/>
    <w:rsid w:val="00884D3F"/>
    <w:rsid w:val="00885E97"/>
    <w:rsid w:val="00885F5D"/>
    <w:rsid w:val="008861E2"/>
    <w:rsid w:val="00886399"/>
    <w:rsid w:val="00886888"/>
    <w:rsid w:val="00886DF3"/>
    <w:rsid w:val="00886E83"/>
    <w:rsid w:val="00886EB0"/>
    <w:rsid w:val="00886F42"/>
    <w:rsid w:val="008906E8"/>
    <w:rsid w:val="00890702"/>
    <w:rsid w:val="00890AEE"/>
    <w:rsid w:val="00890C5C"/>
    <w:rsid w:val="00890D5E"/>
    <w:rsid w:val="00891061"/>
    <w:rsid w:val="0089115A"/>
    <w:rsid w:val="008912D5"/>
    <w:rsid w:val="008913BB"/>
    <w:rsid w:val="008917F7"/>
    <w:rsid w:val="008917FC"/>
    <w:rsid w:val="00892FA1"/>
    <w:rsid w:val="00892FF0"/>
    <w:rsid w:val="00893511"/>
    <w:rsid w:val="00893806"/>
    <w:rsid w:val="00893AD1"/>
    <w:rsid w:val="00893D4A"/>
    <w:rsid w:val="008946A3"/>
    <w:rsid w:val="0089489B"/>
    <w:rsid w:val="00894EEC"/>
    <w:rsid w:val="00894FAF"/>
    <w:rsid w:val="008958A4"/>
    <w:rsid w:val="0089597A"/>
    <w:rsid w:val="008959C9"/>
    <w:rsid w:val="00895B8B"/>
    <w:rsid w:val="00895CEA"/>
    <w:rsid w:val="00896123"/>
    <w:rsid w:val="00896729"/>
    <w:rsid w:val="00896F33"/>
    <w:rsid w:val="00897228"/>
    <w:rsid w:val="00897359"/>
    <w:rsid w:val="0089758A"/>
    <w:rsid w:val="00897A59"/>
    <w:rsid w:val="00897A9E"/>
    <w:rsid w:val="00897DB3"/>
    <w:rsid w:val="00897E7F"/>
    <w:rsid w:val="008A0013"/>
    <w:rsid w:val="008A00BF"/>
    <w:rsid w:val="008A024F"/>
    <w:rsid w:val="008A112A"/>
    <w:rsid w:val="008A1E2D"/>
    <w:rsid w:val="008A23AD"/>
    <w:rsid w:val="008A24AA"/>
    <w:rsid w:val="008A259B"/>
    <w:rsid w:val="008A2786"/>
    <w:rsid w:val="008A2C4E"/>
    <w:rsid w:val="008A2F58"/>
    <w:rsid w:val="008A3120"/>
    <w:rsid w:val="008A3238"/>
    <w:rsid w:val="008A32FF"/>
    <w:rsid w:val="008A341B"/>
    <w:rsid w:val="008A3567"/>
    <w:rsid w:val="008A3721"/>
    <w:rsid w:val="008A3996"/>
    <w:rsid w:val="008A3E59"/>
    <w:rsid w:val="008A44C2"/>
    <w:rsid w:val="008A4A7D"/>
    <w:rsid w:val="008A4CDA"/>
    <w:rsid w:val="008A5343"/>
    <w:rsid w:val="008A58B9"/>
    <w:rsid w:val="008A59AD"/>
    <w:rsid w:val="008A6033"/>
    <w:rsid w:val="008A6AE0"/>
    <w:rsid w:val="008A6CB4"/>
    <w:rsid w:val="008A6D74"/>
    <w:rsid w:val="008A761D"/>
    <w:rsid w:val="008A7BCE"/>
    <w:rsid w:val="008B0293"/>
    <w:rsid w:val="008B085F"/>
    <w:rsid w:val="008B0B45"/>
    <w:rsid w:val="008B0DBB"/>
    <w:rsid w:val="008B116B"/>
    <w:rsid w:val="008B13EA"/>
    <w:rsid w:val="008B1403"/>
    <w:rsid w:val="008B14E4"/>
    <w:rsid w:val="008B1597"/>
    <w:rsid w:val="008B1881"/>
    <w:rsid w:val="008B1D1A"/>
    <w:rsid w:val="008B1FFA"/>
    <w:rsid w:val="008B2189"/>
    <w:rsid w:val="008B22CB"/>
    <w:rsid w:val="008B24A4"/>
    <w:rsid w:val="008B2C96"/>
    <w:rsid w:val="008B2DFC"/>
    <w:rsid w:val="008B35B1"/>
    <w:rsid w:val="008B4141"/>
    <w:rsid w:val="008B4182"/>
    <w:rsid w:val="008B46A1"/>
    <w:rsid w:val="008B4F14"/>
    <w:rsid w:val="008B5277"/>
    <w:rsid w:val="008B5903"/>
    <w:rsid w:val="008B5AA6"/>
    <w:rsid w:val="008B5AE0"/>
    <w:rsid w:val="008B5DD4"/>
    <w:rsid w:val="008B6739"/>
    <w:rsid w:val="008B6844"/>
    <w:rsid w:val="008B6CEF"/>
    <w:rsid w:val="008B6DC7"/>
    <w:rsid w:val="008B7971"/>
    <w:rsid w:val="008B7C5C"/>
    <w:rsid w:val="008B7FCD"/>
    <w:rsid w:val="008C0549"/>
    <w:rsid w:val="008C1ACC"/>
    <w:rsid w:val="008C1C73"/>
    <w:rsid w:val="008C1EF1"/>
    <w:rsid w:val="008C1FAE"/>
    <w:rsid w:val="008C2172"/>
    <w:rsid w:val="008C295E"/>
    <w:rsid w:val="008C3084"/>
    <w:rsid w:val="008C3299"/>
    <w:rsid w:val="008C34A4"/>
    <w:rsid w:val="008C3517"/>
    <w:rsid w:val="008C38DD"/>
    <w:rsid w:val="008C3A1C"/>
    <w:rsid w:val="008C4399"/>
    <w:rsid w:val="008C4417"/>
    <w:rsid w:val="008C4B52"/>
    <w:rsid w:val="008C5453"/>
    <w:rsid w:val="008C5EAD"/>
    <w:rsid w:val="008C5F4C"/>
    <w:rsid w:val="008C6181"/>
    <w:rsid w:val="008C6C1C"/>
    <w:rsid w:val="008C6DEF"/>
    <w:rsid w:val="008C7124"/>
    <w:rsid w:val="008C727B"/>
    <w:rsid w:val="008C75CD"/>
    <w:rsid w:val="008C7CB3"/>
    <w:rsid w:val="008D0084"/>
    <w:rsid w:val="008D04E5"/>
    <w:rsid w:val="008D05B4"/>
    <w:rsid w:val="008D0796"/>
    <w:rsid w:val="008D0F04"/>
    <w:rsid w:val="008D1278"/>
    <w:rsid w:val="008D15C1"/>
    <w:rsid w:val="008D223D"/>
    <w:rsid w:val="008D2358"/>
    <w:rsid w:val="008D244A"/>
    <w:rsid w:val="008D27A4"/>
    <w:rsid w:val="008D2818"/>
    <w:rsid w:val="008D29BD"/>
    <w:rsid w:val="008D314E"/>
    <w:rsid w:val="008D34C4"/>
    <w:rsid w:val="008D350D"/>
    <w:rsid w:val="008D3966"/>
    <w:rsid w:val="008D3B07"/>
    <w:rsid w:val="008D45A6"/>
    <w:rsid w:val="008D4F05"/>
    <w:rsid w:val="008D4F10"/>
    <w:rsid w:val="008D501E"/>
    <w:rsid w:val="008D5832"/>
    <w:rsid w:val="008D58AA"/>
    <w:rsid w:val="008D6061"/>
    <w:rsid w:val="008D6442"/>
    <w:rsid w:val="008D6E22"/>
    <w:rsid w:val="008D6F74"/>
    <w:rsid w:val="008D705B"/>
    <w:rsid w:val="008D74EC"/>
    <w:rsid w:val="008D7C27"/>
    <w:rsid w:val="008D7FCB"/>
    <w:rsid w:val="008E01F4"/>
    <w:rsid w:val="008E0615"/>
    <w:rsid w:val="008E0694"/>
    <w:rsid w:val="008E0AD8"/>
    <w:rsid w:val="008E0D17"/>
    <w:rsid w:val="008E1E55"/>
    <w:rsid w:val="008E20E0"/>
    <w:rsid w:val="008E2685"/>
    <w:rsid w:val="008E2868"/>
    <w:rsid w:val="008E2BA9"/>
    <w:rsid w:val="008E34AA"/>
    <w:rsid w:val="008E38D9"/>
    <w:rsid w:val="008E3AB4"/>
    <w:rsid w:val="008E4DE1"/>
    <w:rsid w:val="008E4E70"/>
    <w:rsid w:val="008E5163"/>
    <w:rsid w:val="008E51F2"/>
    <w:rsid w:val="008E54C1"/>
    <w:rsid w:val="008E551D"/>
    <w:rsid w:val="008E565F"/>
    <w:rsid w:val="008E5745"/>
    <w:rsid w:val="008E5F89"/>
    <w:rsid w:val="008E622D"/>
    <w:rsid w:val="008E6306"/>
    <w:rsid w:val="008E63E1"/>
    <w:rsid w:val="008E64A5"/>
    <w:rsid w:val="008E6513"/>
    <w:rsid w:val="008E7D64"/>
    <w:rsid w:val="008F0938"/>
    <w:rsid w:val="008F1320"/>
    <w:rsid w:val="008F14A5"/>
    <w:rsid w:val="008F28A9"/>
    <w:rsid w:val="008F29AB"/>
    <w:rsid w:val="008F2CA6"/>
    <w:rsid w:val="008F2E52"/>
    <w:rsid w:val="008F2F1D"/>
    <w:rsid w:val="008F34C6"/>
    <w:rsid w:val="008F3897"/>
    <w:rsid w:val="008F3A21"/>
    <w:rsid w:val="008F3E22"/>
    <w:rsid w:val="008F467D"/>
    <w:rsid w:val="008F4744"/>
    <w:rsid w:val="008F4C99"/>
    <w:rsid w:val="008F5229"/>
    <w:rsid w:val="008F5BEF"/>
    <w:rsid w:val="008F6843"/>
    <w:rsid w:val="008F68CF"/>
    <w:rsid w:val="008F6C77"/>
    <w:rsid w:val="008F6EEB"/>
    <w:rsid w:val="008F7AE8"/>
    <w:rsid w:val="00900414"/>
    <w:rsid w:val="00900756"/>
    <w:rsid w:val="0090101F"/>
    <w:rsid w:val="00901322"/>
    <w:rsid w:val="00901440"/>
    <w:rsid w:val="009017A9"/>
    <w:rsid w:val="009019D8"/>
    <w:rsid w:val="00902656"/>
    <w:rsid w:val="00902717"/>
    <w:rsid w:val="00902915"/>
    <w:rsid w:val="00902FDE"/>
    <w:rsid w:val="009031AF"/>
    <w:rsid w:val="009032CD"/>
    <w:rsid w:val="009032E9"/>
    <w:rsid w:val="00903396"/>
    <w:rsid w:val="00903EA1"/>
    <w:rsid w:val="00904612"/>
    <w:rsid w:val="009047DC"/>
    <w:rsid w:val="0090496B"/>
    <w:rsid w:val="009049F7"/>
    <w:rsid w:val="00904D50"/>
    <w:rsid w:val="00904EE2"/>
    <w:rsid w:val="009050B0"/>
    <w:rsid w:val="00905469"/>
    <w:rsid w:val="00905A39"/>
    <w:rsid w:val="0090669D"/>
    <w:rsid w:val="0090742B"/>
    <w:rsid w:val="00907A23"/>
    <w:rsid w:val="00907D7D"/>
    <w:rsid w:val="00907F45"/>
    <w:rsid w:val="0091015D"/>
    <w:rsid w:val="0091065F"/>
    <w:rsid w:val="009106B4"/>
    <w:rsid w:val="00910A3D"/>
    <w:rsid w:val="00910B54"/>
    <w:rsid w:val="00910B73"/>
    <w:rsid w:val="00910BD5"/>
    <w:rsid w:val="0091113B"/>
    <w:rsid w:val="0091212A"/>
    <w:rsid w:val="00912148"/>
    <w:rsid w:val="00912415"/>
    <w:rsid w:val="00912774"/>
    <w:rsid w:val="009129E8"/>
    <w:rsid w:val="00912FE0"/>
    <w:rsid w:val="0091314D"/>
    <w:rsid w:val="009135ED"/>
    <w:rsid w:val="00913748"/>
    <w:rsid w:val="009139BB"/>
    <w:rsid w:val="00913E3C"/>
    <w:rsid w:val="00914013"/>
    <w:rsid w:val="009149A3"/>
    <w:rsid w:val="00915698"/>
    <w:rsid w:val="00915B11"/>
    <w:rsid w:val="00916372"/>
    <w:rsid w:val="0091687A"/>
    <w:rsid w:val="0091729A"/>
    <w:rsid w:val="00917826"/>
    <w:rsid w:val="00917913"/>
    <w:rsid w:val="00917A26"/>
    <w:rsid w:val="00917A7D"/>
    <w:rsid w:val="00917C4A"/>
    <w:rsid w:val="00917E93"/>
    <w:rsid w:val="00920477"/>
    <w:rsid w:val="0092053F"/>
    <w:rsid w:val="00920F06"/>
    <w:rsid w:val="0092112C"/>
    <w:rsid w:val="0092188C"/>
    <w:rsid w:val="00922136"/>
    <w:rsid w:val="00922472"/>
    <w:rsid w:val="0092248E"/>
    <w:rsid w:val="00922B2C"/>
    <w:rsid w:val="00922BB0"/>
    <w:rsid w:val="00922C38"/>
    <w:rsid w:val="00922E91"/>
    <w:rsid w:val="009237DB"/>
    <w:rsid w:val="00923891"/>
    <w:rsid w:val="00923BCC"/>
    <w:rsid w:val="0092412C"/>
    <w:rsid w:val="009249F9"/>
    <w:rsid w:val="00924CF7"/>
    <w:rsid w:val="00924E41"/>
    <w:rsid w:val="009250FD"/>
    <w:rsid w:val="0092547A"/>
    <w:rsid w:val="00925B9F"/>
    <w:rsid w:val="00925F78"/>
    <w:rsid w:val="009263C6"/>
    <w:rsid w:val="00926518"/>
    <w:rsid w:val="00926820"/>
    <w:rsid w:val="00926A54"/>
    <w:rsid w:val="00926C5F"/>
    <w:rsid w:val="00926F44"/>
    <w:rsid w:val="009275EC"/>
    <w:rsid w:val="0092770A"/>
    <w:rsid w:val="00927DCD"/>
    <w:rsid w:val="0093044F"/>
    <w:rsid w:val="0093080E"/>
    <w:rsid w:val="00930A85"/>
    <w:rsid w:val="00930ABD"/>
    <w:rsid w:val="00930CE4"/>
    <w:rsid w:val="0093160C"/>
    <w:rsid w:val="009316C0"/>
    <w:rsid w:val="009317AC"/>
    <w:rsid w:val="00931DCD"/>
    <w:rsid w:val="00931E44"/>
    <w:rsid w:val="009322EF"/>
    <w:rsid w:val="00932947"/>
    <w:rsid w:val="00932B9C"/>
    <w:rsid w:val="00932D18"/>
    <w:rsid w:val="00932DD8"/>
    <w:rsid w:val="00932EB2"/>
    <w:rsid w:val="00932F8A"/>
    <w:rsid w:val="0093355E"/>
    <w:rsid w:val="00934462"/>
    <w:rsid w:val="009347B0"/>
    <w:rsid w:val="00934860"/>
    <w:rsid w:val="00934ADF"/>
    <w:rsid w:val="00934B10"/>
    <w:rsid w:val="00935218"/>
    <w:rsid w:val="009354E8"/>
    <w:rsid w:val="00935FCD"/>
    <w:rsid w:val="0093638E"/>
    <w:rsid w:val="0093664F"/>
    <w:rsid w:val="00936A66"/>
    <w:rsid w:val="00936ECE"/>
    <w:rsid w:val="0093729E"/>
    <w:rsid w:val="009376B2"/>
    <w:rsid w:val="00937880"/>
    <w:rsid w:val="00937BEB"/>
    <w:rsid w:val="00937C5B"/>
    <w:rsid w:val="00937E2C"/>
    <w:rsid w:val="00940111"/>
    <w:rsid w:val="009401A9"/>
    <w:rsid w:val="0094072C"/>
    <w:rsid w:val="00940AAA"/>
    <w:rsid w:val="00940C01"/>
    <w:rsid w:val="00940CD5"/>
    <w:rsid w:val="0094114A"/>
    <w:rsid w:val="00941B66"/>
    <w:rsid w:val="00942392"/>
    <w:rsid w:val="00942524"/>
    <w:rsid w:val="00942AA6"/>
    <w:rsid w:val="0094304F"/>
    <w:rsid w:val="00943466"/>
    <w:rsid w:val="00943C77"/>
    <w:rsid w:val="00943E1D"/>
    <w:rsid w:val="00943FA3"/>
    <w:rsid w:val="0094400A"/>
    <w:rsid w:val="00944465"/>
    <w:rsid w:val="00944479"/>
    <w:rsid w:val="009447C3"/>
    <w:rsid w:val="00945059"/>
    <w:rsid w:val="009450E8"/>
    <w:rsid w:val="0094606D"/>
    <w:rsid w:val="0094611E"/>
    <w:rsid w:val="00947B8C"/>
    <w:rsid w:val="009501AE"/>
    <w:rsid w:val="009501BB"/>
    <w:rsid w:val="009505BA"/>
    <w:rsid w:val="0095074E"/>
    <w:rsid w:val="00950A9F"/>
    <w:rsid w:val="00950F88"/>
    <w:rsid w:val="009511A1"/>
    <w:rsid w:val="00951A04"/>
    <w:rsid w:val="00951C06"/>
    <w:rsid w:val="00951EA3"/>
    <w:rsid w:val="009522F6"/>
    <w:rsid w:val="00953040"/>
    <w:rsid w:val="00953864"/>
    <w:rsid w:val="00953BF0"/>
    <w:rsid w:val="00953E2B"/>
    <w:rsid w:val="009540DD"/>
    <w:rsid w:val="0095418E"/>
    <w:rsid w:val="009543E8"/>
    <w:rsid w:val="0095519B"/>
    <w:rsid w:val="00955B2B"/>
    <w:rsid w:val="009561C0"/>
    <w:rsid w:val="009569E7"/>
    <w:rsid w:val="00956E0A"/>
    <w:rsid w:val="00957317"/>
    <w:rsid w:val="009576AF"/>
    <w:rsid w:val="009578A6"/>
    <w:rsid w:val="00957C7F"/>
    <w:rsid w:val="00957D83"/>
    <w:rsid w:val="00960035"/>
    <w:rsid w:val="009602CB"/>
    <w:rsid w:val="00960BAD"/>
    <w:rsid w:val="00960D01"/>
    <w:rsid w:val="00960E07"/>
    <w:rsid w:val="009611B8"/>
    <w:rsid w:val="00961D8A"/>
    <w:rsid w:val="00961E9B"/>
    <w:rsid w:val="00961EE3"/>
    <w:rsid w:val="00961FF6"/>
    <w:rsid w:val="0096203E"/>
    <w:rsid w:val="00962CDC"/>
    <w:rsid w:val="00962F09"/>
    <w:rsid w:val="009633CD"/>
    <w:rsid w:val="0096409E"/>
    <w:rsid w:val="00964169"/>
    <w:rsid w:val="00964188"/>
    <w:rsid w:val="009645AE"/>
    <w:rsid w:val="00965353"/>
    <w:rsid w:val="00965DF4"/>
    <w:rsid w:val="00965E5E"/>
    <w:rsid w:val="00965F52"/>
    <w:rsid w:val="009662FC"/>
    <w:rsid w:val="00966337"/>
    <w:rsid w:val="009663BF"/>
    <w:rsid w:val="0096653F"/>
    <w:rsid w:val="00966F63"/>
    <w:rsid w:val="00966F83"/>
    <w:rsid w:val="00967152"/>
    <w:rsid w:val="0096728B"/>
    <w:rsid w:val="00967614"/>
    <w:rsid w:val="0096765A"/>
    <w:rsid w:val="009676B9"/>
    <w:rsid w:val="0096771C"/>
    <w:rsid w:val="0096787F"/>
    <w:rsid w:val="00967ABA"/>
    <w:rsid w:val="0097022C"/>
    <w:rsid w:val="009702B0"/>
    <w:rsid w:val="0097065A"/>
    <w:rsid w:val="009709EF"/>
    <w:rsid w:val="0097111D"/>
    <w:rsid w:val="0097154A"/>
    <w:rsid w:val="00971F83"/>
    <w:rsid w:val="009724CE"/>
    <w:rsid w:val="0097287D"/>
    <w:rsid w:val="00972A23"/>
    <w:rsid w:val="0097331A"/>
    <w:rsid w:val="00973755"/>
    <w:rsid w:val="00973CCC"/>
    <w:rsid w:val="00973ED1"/>
    <w:rsid w:val="0097402A"/>
    <w:rsid w:val="009741BE"/>
    <w:rsid w:val="0097444B"/>
    <w:rsid w:val="0097519E"/>
    <w:rsid w:val="00975374"/>
    <w:rsid w:val="009753DD"/>
    <w:rsid w:val="0097592D"/>
    <w:rsid w:val="00975933"/>
    <w:rsid w:val="00975BD3"/>
    <w:rsid w:val="00975EAB"/>
    <w:rsid w:val="00975F21"/>
    <w:rsid w:val="0097617E"/>
    <w:rsid w:val="0097652C"/>
    <w:rsid w:val="00976B65"/>
    <w:rsid w:val="0097757E"/>
    <w:rsid w:val="00977614"/>
    <w:rsid w:val="009777C4"/>
    <w:rsid w:val="009778E3"/>
    <w:rsid w:val="0098004F"/>
    <w:rsid w:val="00980307"/>
    <w:rsid w:val="00980836"/>
    <w:rsid w:val="00981325"/>
    <w:rsid w:val="00981748"/>
    <w:rsid w:val="009819D2"/>
    <w:rsid w:val="00981AE9"/>
    <w:rsid w:val="00981E4C"/>
    <w:rsid w:val="0098216F"/>
    <w:rsid w:val="009821D3"/>
    <w:rsid w:val="00982331"/>
    <w:rsid w:val="00982C36"/>
    <w:rsid w:val="00983824"/>
    <w:rsid w:val="009841E3"/>
    <w:rsid w:val="00984437"/>
    <w:rsid w:val="0098454B"/>
    <w:rsid w:val="009846C3"/>
    <w:rsid w:val="009847AE"/>
    <w:rsid w:val="00984EC1"/>
    <w:rsid w:val="00984F54"/>
    <w:rsid w:val="009851E4"/>
    <w:rsid w:val="00985469"/>
    <w:rsid w:val="00985479"/>
    <w:rsid w:val="00985668"/>
    <w:rsid w:val="009859E7"/>
    <w:rsid w:val="00985A98"/>
    <w:rsid w:val="00985FBB"/>
    <w:rsid w:val="009863B8"/>
    <w:rsid w:val="00986435"/>
    <w:rsid w:val="009866FB"/>
    <w:rsid w:val="00986730"/>
    <w:rsid w:val="0098674E"/>
    <w:rsid w:val="00987081"/>
    <w:rsid w:val="00987365"/>
    <w:rsid w:val="009873EA"/>
    <w:rsid w:val="009879F4"/>
    <w:rsid w:val="00987BDF"/>
    <w:rsid w:val="00987D5A"/>
    <w:rsid w:val="00987D9E"/>
    <w:rsid w:val="00990165"/>
    <w:rsid w:val="009905E6"/>
    <w:rsid w:val="00990609"/>
    <w:rsid w:val="00990841"/>
    <w:rsid w:val="00990ADB"/>
    <w:rsid w:val="00990ECE"/>
    <w:rsid w:val="0099113D"/>
    <w:rsid w:val="00991A10"/>
    <w:rsid w:val="00991B1D"/>
    <w:rsid w:val="00991C7F"/>
    <w:rsid w:val="00991E1A"/>
    <w:rsid w:val="00992489"/>
    <w:rsid w:val="00992575"/>
    <w:rsid w:val="00993002"/>
    <w:rsid w:val="00993A62"/>
    <w:rsid w:val="00993BA3"/>
    <w:rsid w:val="0099440A"/>
    <w:rsid w:val="00994719"/>
    <w:rsid w:val="00995BEB"/>
    <w:rsid w:val="00995C86"/>
    <w:rsid w:val="00995C92"/>
    <w:rsid w:val="00996C82"/>
    <w:rsid w:val="00997646"/>
    <w:rsid w:val="00997728"/>
    <w:rsid w:val="00997922"/>
    <w:rsid w:val="00997CE6"/>
    <w:rsid w:val="00997CFA"/>
    <w:rsid w:val="009A01C8"/>
    <w:rsid w:val="009A0771"/>
    <w:rsid w:val="009A0AB5"/>
    <w:rsid w:val="009A0C5C"/>
    <w:rsid w:val="009A0E6F"/>
    <w:rsid w:val="009A1A97"/>
    <w:rsid w:val="009A1F50"/>
    <w:rsid w:val="009A22E4"/>
    <w:rsid w:val="009A2662"/>
    <w:rsid w:val="009A2922"/>
    <w:rsid w:val="009A3056"/>
    <w:rsid w:val="009A3985"/>
    <w:rsid w:val="009A3CB7"/>
    <w:rsid w:val="009A4AB7"/>
    <w:rsid w:val="009A5AE8"/>
    <w:rsid w:val="009A5B44"/>
    <w:rsid w:val="009A5C09"/>
    <w:rsid w:val="009A5C23"/>
    <w:rsid w:val="009A5C2F"/>
    <w:rsid w:val="009A606F"/>
    <w:rsid w:val="009A62E5"/>
    <w:rsid w:val="009A6B1B"/>
    <w:rsid w:val="009A6EE8"/>
    <w:rsid w:val="009A6FAF"/>
    <w:rsid w:val="009A76C5"/>
    <w:rsid w:val="009A7E16"/>
    <w:rsid w:val="009B00CD"/>
    <w:rsid w:val="009B11AC"/>
    <w:rsid w:val="009B147B"/>
    <w:rsid w:val="009B18C3"/>
    <w:rsid w:val="009B18DE"/>
    <w:rsid w:val="009B2D01"/>
    <w:rsid w:val="009B2F3B"/>
    <w:rsid w:val="009B3DD5"/>
    <w:rsid w:val="009B3DE5"/>
    <w:rsid w:val="009B42E8"/>
    <w:rsid w:val="009B4401"/>
    <w:rsid w:val="009B4649"/>
    <w:rsid w:val="009B4677"/>
    <w:rsid w:val="009B4D39"/>
    <w:rsid w:val="009B4FC2"/>
    <w:rsid w:val="009B5339"/>
    <w:rsid w:val="009B54AB"/>
    <w:rsid w:val="009B5ECA"/>
    <w:rsid w:val="009B66C4"/>
    <w:rsid w:val="009B6709"/>
    <w:rsid w:val="009B673C"/>
    <w:rsid w:val="009B69DB"/>
    <w:rsid w:val="009B6BB1"/>
    <w:rsid w:val="009B6E6E"/>
    <w:rsid w:val="009B7C76"/>
    <w:rsid w:val="009C04A7"/>
    <w:rsid w:val="009C0845"/>
    <w:rsid w:val="009C087B"/>
    <w:rsid w:val="009C13A2"/>
    <w:rsid w:val="009C141D"/>
    <w:rsid w:val="009C297B"/>
    <w:rsid w:val="009C2CF6"/>
    <w:rsid w:val="009C30D3"/>
    <w:rsid w:val="009C368C"/>
    <w:rsid w:val="009C3824"/>
    <w:rsid w:val="009C409F"/>
    <w:rsid w:val="009C49D8"/>
    <w:rsid w:val="009C505F"/>
    <w:rsid w:val="009C57A6"/>
    <w:rsid w:val="009C59DA"/>
    <w:rsid w:val="009C5EA3"/>
    <w:rsid w:val="009C6520"/>
    <w:rsid w:val="009C6CD9"/>
    <w:rsid w:val="009C6E3D"/>
    <w:rsid w:val="009C713C"/>
    <w:rsid w:val="009C7C11"/>
    <w:rsid w:val="009C7CB6"/>
    <w:rsid w:val="009C7F51"/>
    <w:rsid w:val="009D0329"/>
    <w:rsid w:val="009D0666"/>
    <w:rsid w:val="009D0774"/>
    <w:rsid w:val="009D1896"/>
    <w:rsid w:val="009D1BFF"/>
    <w:rsid w:val="009D1CD7"/>
    <w:rsid w:val="009D23F4"/>
    <w:rsid w:val="009D2820"/>
    <w:rsid w:val="009D2862"/>
    <w:rsid w:val="009D2BE0"/>
    <w:rsid w:val="009D3401"/>
    <w:rsid w:val="009D4042"/>
    <w:rsid w:val="009D41F4"/>
    <w:rsid w:val="009D423C"/>
    <w:rsid w:val="009D42EB"/>
    <w:rsid w:val="009D484B"/>
    <w:rsid w:val="009D4C13"/>
    <w:rsid w:val="009D51DC"/>
    <w:rsid w:val="009D534F"/>
    <w:rsid w:val="009D57E5"/>
    <w:rsid w:val="009D5FFA"/>
    <w:rsid w:val="009D6229"/>
    <w:rsid w:val="009D7411"/>
    <w:rsid w:val="009D7469"/>
    <w:rsid w:val="009D7489"/>
    <w:rsid w:val="009D77CF"/>
    <w:rsid w:val="009E0506"/>
    <w:rsid w:val="009E2A7B"/>
    <w:rsid w:val="009E309C"/>
    <w:rsid w:val="009E36AA"/>
    <w:rsid w:val="009E38C0"/>
    <w:rsid w:val="009E4115"/>
    <w:rsid w:val="009E449B"/>
    <w:rsid w:val="009E44BA"/>
    <w:rsid w:val="009E47BE"/>
    <w:rsid w:val="009E4DDF"/>
    <w:rsid w:val="009E4F1B"/>
    <w:rsid w:val="009E510E"/>
    <w:rsid w:val="009E5D5D"/>
    <w:rsid w:val="009E6485"/>
    <w:rsid w:val="009E747F"/>
    <w:rsid w:val="009E74A3"/>
    <w:rsid w:val="009E7C13"/>
    <w:rsid w:val="009E7E77"/>
    <w:rsid w:val="009F0607"/>
    <w:rsid w:val="009F09A0"/>
    <w:rsid w:val="009F1047"/>
    <w:rsid w:val="009F11D7"/>
    <w:rsid w:val="009F1427"/>
    <w:rsid w:val="009F2037"/>
    <w:rsid w:val="009F22FF"/>
    <w:rsid w:val="009F241C"/>
    <w:rsid w:val="009F275E"/>
    <w:rsid w:val="009F2A16"/>
    <w:rsid w:val="009F3288"/>
    <w:rsid w:val="009F3783"/>
    <w:rsid w:val="009F39F1"/>
    <w:rsid w:val="009F3FC5"/>
    <w:rsid w:val="009F40CE"/>
    <w:rsid w:val="009F4E07"/>
    <w:rsid w:val="009F5F47"/>
    <w:rsid w:val="009F6377"/>
    <w:rsid w:val="009F6D30"/>
    <w:rsid w:val="009F7044"/>
    <w:rsid w:val="009F7184"/>
    <w:rsid w:val="009F720D"/>
    <w:rsid w:val="009F7B90"/>
    <w:rsid w:val="00A00731"/>
    <w:rsid w:val="00A00800"/>
    <w:rsid w:val="00A00A1B"/>
    <w:rsid w:val="00A00ACD"/>
    <w:rsid w:val="00A00FD0"/>
    <w:rsid w:val="00A011A4"/>
    <w:rsid w:val="00A018E2"/>
    <w:rsid w:val="00A01BF5"/>
    <w:rsid w:val="00A020EB"/>
    <w:rsid w:val="00A0261B"/>
    <w:rsid w:val="00A02982"/>
    <w:rsid w:val="00A02B9C"/>
    <w:rsid w:val="00A043A8"/>
    <w:rsid w:val="00A0440A"/>
    <w:rsid w:val="00A04607"/>
    <w:rsid w:val="00A049EF"/>
    <w:rsid w:val="00A04AEA"/>
    <w:rsid w:val="00A05327"/>
    <w:rsid w:val="00A05447"/>
    <w:rsid w:val="00A05B14"/>
    <w:rsid w:val="00A06050"/>
    <w:rsid w:val="00A06EC8"/>
    <w:rsid w:val="00A070AB"/>
    <w:rsid w:val="00A0714D"/>
    <w:rsid w:val="00A075CC"/>
    <w:rsid w:val="00A07C30"/>
    <w:rsid w:val="00A10143"/>
    <w:rsid w:val="00A101BC"/>
    <w:rsid w:val="00A10268"/>
    <w:rsid w:val="00A10529"/>
    <w:rsid w:val="00A10639"/>
    <w:rsid w:val="00A10674"/>
    <w:rsid w:val="00A10907"/>
    <w:rsid w:val="00A10A1C"/>
    <w:rsid w:val="00A11995"/>
    <w:rsid w:val="00A11BB9"/>
    <w:rsid w:val="00A12920"/>
    <w:rsid w:val="00A12989"/>
    <w:rsid w:val="00A12A6A"/>
    <w:rsid w:val="00A134CC"/>
    <w:rsid w:val="00A13B86"/>
    <w:rsid w:val="00A1449B"/>
    <w:rsid w:val="00A14891"/>
    <w:rsid w:val="00A14F81"/>
    <w:rsid w:val="00A156B6"/>
    <w:rsid w:val="00A156F1"/>
    <w:rsid w:val="00A15A12"/>
    <w:rsid w:val="00A163B6"/>
    <w:rsid w:val="00A1692E"/>
    <w:rsid w:val="00A16B49"/>
    <w:rsid w:val="00A174BB"/>
    <w:rsid w:val="00A175C0"/>
    <w:rsid w:val="00A17DE4"/>
    <w:rsid w:val="00A17FB6"/>
    <w:rsid w:val="00A20056"/>
    <w:rsid w:val="00A204A1"/>
    <w:rsid w:val="00A2053E"/>
    <w:rsid w:val="00A20A16"/>
    <w:rsid w:val="00A20F69"/>
    <w:rsid w:val="00A214D3"/>
    <w:rsid w:val="00A21606"/>
    <w:rsid w:val="00A21819"/>
    <w:rsid w:val="00A21A27"/>
    <w:rsid w:val="00A21B7A"/>
    <w:rsid w:val="00A22686"/>
    <w:rsid w:val="00A22C0F"/>
    <w:rsid w:val="00A22F12"/>
    <w:rsid w:val="00A22F27"/>
    <w:rsid w:val="00A23691"/>
    <w:rsid w:val="00A23CB6"/>
    <w:rsid w:val="00A240C6"/>
    <w:rsid w:val="00A2428E"/>
    <w:rsid w:val="00A24418"/>
    <w:rsid w:val="00A24766"/>
    <w:rsid w:val="00A24ABC"/>
    <w:rsid w:val="00A24E04"/>
    <w:rsid w:val="00A25713"/>
    <w:rsid w:val="00A25825"/>
    <w:rsid w:val="00A258E3"/>
    <w:rsid w:val="00A259A7"/>
    <w:rsid w:val="00A25ACD"/>
    <w:rsid w:val="00A25D85"/>
    <w:rsid w:val="00A266A6"/>
    <w:rsid w:val="00A26CDB"/>
    <w:rsid w:val="00A26FED"/>
    <w:rsid w:val="00A2779D"/>
    <w:rsid w:val="00A27B6D"/>
    <w:rsid w:val="00A30947"/>
    <w:rsid w:val="00A30D0F"/>
    <w:rsid w:val="00A30D59"/>
    <w:rsid w:val="00A310E7"/>
    <w:rsid w:val="00A3110A"/>
    <w:rsid w:val="00A311F9"/>
    <w:rsid w:val="00A31B59"/>
    <w:rsid w:val="00A31F5E"/>
    <w:rsid w:val="00A32253"/>
    <w:rsid w:val="00A325CF"/>
    <w:rsid w:val="00A32657"/>
    <w:rsid w:val="00A32A68"/>
    <w:rsid w:val="00A32FF7"/>
    <w:rsid w:val="00A33540"/>
    <w:rsid w:val="00A33602"/>
    <w:rsid w:val="00A33E0B"/>
    <w:rsid w:val="00A34014"/>
    <w:rsid w:val="00A341B7"/>
    <w:rsid w:val="00A345BB"/>
    <w:rsid w:val="00A3478D"/>
    <w:rsid w:val="00A3497C"/>
    <w:rsid w:val="00A34DA6"/>
    <w:rsid w:val="00A34DE5"/>
    <w:rsid w:val="00A34E61"/>
    <w:rsid w:val="00A35134"/>
    <w:rsid w:val="00A35236"/>
    <w:rsid w:val="00A356FF"/>
    <w:rsid w:val="00A35C45"/>
    <w:rsid w:val="00A36DF6"/>
    <w:rsid w:val="00A37809"/>
    <w:rsid w:val="00A37AC1"/>
    <w:rsid w:val="00A37C94"/>
    <w:rsid w:val="00A37CEB"/>
    <w:rsid w:val="00A40523"/>
    <w:rsid w:val="00A4054C"/>
    <w:rsid w:val="00A40569"/>
    <w:rsid w:val="00A40B5F"/>
    <w:rsid w:val="00A40CED"/>
    <w:rsid w:val="00A41592"/>
    <w:rsid w:val="00A4171C"/>
    <w:rsid w:val="00A41904"/>
    <w:rsid w:val="00A41A67"/>
    <w:rsid w:val="00A41B8C"/>
    <w:rsid w:val="00A41E41"/>
    <w:rsid w:val="00A42328"/>
    <w:rsid w:val="00A43741"/>
    <w:rsid w:val="00A4392E"/>
    <w:rsid w:val="00A4396D"/>
    <w:rsid w:val="00A4434C"/>
    <w:rsid w:val="00A44457"/>
    <w:rsid w:val="00A4454B"/>
    <w:rsid w:val="00A44AC1"/>
    <w:rsid w:val="00A44FA8"/>
    <w:rsid w:val="00A457DD"/>
    <w:rsid w:val="00A45BEF"/>
    <w:rsid w:val="00A46350"/>
    <w:rsid w:val="00A46577"/>
    <w:rsid w:val="00A46629"/>
    <w:rsid w:val="00A467B3"/>
    <w:rsid w:val="00A46B49"/>
    <w:rsid w:val="00A473F2"/>
    <w:rsid w:val="00A47415"/>
    <w:rsid w:val="00A47B9B"/>
    <w:rsid w:val="00A505A9"/>
    <w:rsid w:val="00A50895"/>
    <w:rsid w:val="00A50EF7"/>
    <w:rsid w:val="00A51219"/>
    <w:rsid w:val="00A517C6"/>
    <w:rsid w:val="00A52342"/>
    <w:rsid w:val="00A525B4"/>
    <w:rsid w:val="00A52DDB"/>
    <w:rsid w:val="00A52E32"/>
    <w:rsid w:val="00A537C1"/>
    <w:rsid w:val="00A53A6D"/>
    <w:rsid w:val="00A53AD4"/>
    <w:rsid w:val="00A54666"/>
    <w:rsid w:val="00A548AD"/>
    <w:rsid w:val="00A54CC6"/>
    <w:rsid w:val="00A54F7A"/>
    <w:rsid w:val="00A55557"/>
    <w:rsid w:val="00A55ED6"/>
    <w:rsid w:val="00A55F0F"/>
    <w:rsid w:val="00A562A2"/>
    <w:rsid w:val="00A564D6"/>
    <w:rsid w:val="00A56A11"/>
    <w:rsid w:val="00A56B9F"/>
    <w:rsid w:val="00A575AE"/>
    <w:rsid w:val="00A57676"/>
    <w:rsid w:val="00A57677"/>
    <w:rsid w:val="00A57702"/>
    <w:rsid w:val="00A57D4E"/>
    <w:rsid w:val="00A57F34"/>
    <w:rsid w:val="00A603C5"/>
    <w:rsid w:val="00A60442"/>
    <w:rsid w:val="00A607F3"/>
    <w:rsid w:val="00A60F6F"/>
    <w:rsid w:val="00A60F78"/>
    <w:rsid w:val="00A615DA"/>
    <w:rsid w:val="00A61D71"/>
    <w:rsid w:val="00A62036"/>
    <w:rsid w:val="00A62A21"/>
    <w:rsid w:val="00A62FA1"/>
    <w:rsid w:val="00A63372"/>
    <w:rsid w:val="00A63685"/>
    <w:rsid w:val="00A6391F"/>
    <w:rsid w:val="00A63AD5"/>
    <w:rsid w:val="00A640CC"/>
    <w:rsid w:val="00A643C3"/>
    <w:rsid w:val="00A64CC8"/>
    <w:rsid w:val="00A65045"/>
    <w:rsid w:val="00A65266"/>
    <w:rsid w:val="00A65274"/>
    <w:rsid w:val="00A654BD"/>
    <w:rsid w:val="00A65CE8"/>
    <w:rsid w:val="00A66068"/>
    <w:rsid w:val="00A665CE"/>
    <w:rsid w:val="00A66D73"/>
    <w:rsid w:val="00A66E1A"/>
    <w:rsid w:val="00A66EEA"/>
    <w:rsid w:val="00A672A0"/>
    <w:rsid w:val="00A701D8"/>
    <w:rsid w:val="00A702DD"/>
    <w:rsid w:val="00A7053C"/>
    <w:rsid w:val="00A71829"/>
    <w:rsid w:val="00A71F28"/>
    <w:rsid w:val="00A72A31"/>
    <w:rsid w:val="00A72E60"/>
    <w:rsid w:val="00A72E7F"/>
    <w:rsid w:val="00A7350B"/>
    <w:rsid w:val="00A73704"/>
    <w:rsid w:val="00A7377E"/>
    <w:rsid w:val="00A73A0E"/>
    <w:rsid w:val="00A73E04"/>
    <w:rsid w:val="00A73E82"/>
    <w:rsid w:val="00A7431A"/>
    <w:rsid w:val="00A74467"/>
    <w:rsid w:val="00A7489D"/>
    <w:rsid w:val="00A74F3B"/>
    <w:rsid w:val="00A74F6C"/>
    <w:rsid w:val="00A75020"/>
    <w:rsid w:val="00A76960"/>
    <w:rsid w:val="00A76C5D"/>
    <w:rsid w:val="00A77953"/>
    <w:rsid w:val="00A80094"/>
    <w:rsid w:val="00A804BB"/>
    <w:rsid w:val="00A807CC"/>
    <w:rsid w:val="00A80EE5"/>
    <w:rsid w:val="00A81CDE"/>
    <w:rsid w:val="00A81CE8"/>
    <w:rsid w:val="00A81D2C"/>
    <w:rsid w:val="00A81FC6"/>
    <w:rsid w:val="00A831B0"/>
    <w:rsid w:val="00A83233"/>
    <w:rsid w:val="00A837C2"/>
    <w:rsid w:val="00A838D7"/>
    <w:rsid w:val="00A83A12"/>
    <w:rsid w:val="00A83AB7"/>
    <w:rsid w:val="00A84712"/>
    <w:rsid w:val="00A84943"/>
    <w:rsid w:val="00A84BDD"/>
    <w:rsid w:val="00A84F3F"/>
    <w:rsid w:val="00A850BE"/>
    <w:rsid w:val="00A85209"/>
    <w:rsid w:val="00A85A36"/>
    <w:rsid w:val="00A86CBB"/>
    <w:rsid w:val="00A8700E"/>
    <w:rsid w:val="00A87168"/>
    <w:rsid w:val="00A8786A"/>
    <w:rsid w:val="00A87886"/>
    <w:rsid w:val="00A87CA3"/>
    <w:rsid w:val="00A87ECB"/>
    <w:rsid w:val="00A9022D"/>
    <w:rsid w:val="00A902DF"/>
    <w:rsid w:val="00A90499"/>
    <w:rsid w:val="00A90F3A"/>
    <w:rsid w:val="00A9146A"/>
    <w:rsid w:val="00A91FA5"/>
    <w:rsid w:val="00A92258"/>
    <w:rsid w:val="00A92574"/>
    <w:rsid w:val="00A92BA7"/>
    <w:rsid w:val="00A92C33"/>
    <w:rsid w:val="00A92EBB"/>
    <w:rsid w:val="00A9339E"/>
    <w:rsid w:val="00A93504"/>
    <w:rsid w:val="00A93D64"/>
    <w:rsid w:val="00A94652"/>
    <w:rsid w:val="00A946CF"/>
    <w:rsid w:val="00A946D4"/>
    <w:rsid w:val="00A9489A"/>
    <w:rsid w:val="00A948C2"/>
    <w:rsid w:val="00A94A5B"/>
    <w:rsid w:val="00A94D7F"/>
    <w:rsid w:val="00A94DF8"/>
    <w:rsid w:val="00A94EA6"/>
    <w:rsid w:val="00A95257"/>
    <w:rsid w:val="00A95832"/>
    <w:rsid w:val="00A95EFD"/>
    <w:rsid w:val="00A96435"/>
    <w:rsid w:val="00A967F3"/>
    <w:rsid w:val="00A969BA"/>
    <w:rsid w:val="00A96F85"/>
    <w:rsid w:val="00A9799E"/>
    <w:rsid w:val="00A97FDE"/>
    <w:rsid w:val="00AA0689"/>
    <w:rsid w:val="00AA07FA"/>
    <w:rsid w:val="00AA08D3"/>
    <w:rsid w:val="00AA13FE"/>
    <w:rsid w:val="00AA18E4"/>
    <w:rsid w:val="00AA1B8D"/>
    <w:rsid w:val="00AA2171"/>
    <w:rsid w:val="00AA29C6"/>
    <w:rsid w:val="00AA2FF2"/>
    <w:rsid w:val="00AA3955"/>
    <w:rsid w:val="00AA3B6C"/>
    <w:rsid w:val="00AA3E9A"/>
    <w:rsid w:val="00AA444C"/>
    <w:rsid w:val="00AA46AF"/>
    <w:rsid w:val="00AA4AA7"/>
    <w:rsid w:val="00AA4B5D"/>
    <w:rsid w:val="00AA5729"/>
    <w:rsid w:val="00AA6942"/>
    <w:rsid w:val="00AA6CA0"/>
    <w:rsid w:val="00AA737C"/>
    <w:rsid w:val="00AA746A"/>
    <w:rsid w:val="00AA7CB8"/>
    <w:rsid w:val="00AA7E88"/>
    <w:rsid w:val="00AB10CC"/>
    <w:rsid w:val="00AB151E"/>
    <w:rsid w:val="00AB1A4A"/>
    <w:rsid w:val="00AB255D"/>
    <w:rsid w:val="00AB26E0"/>
    <w:rsid w:val="00AB285F"/>
    <w:rsid w:val="00AB2B6B"/>
    <w:rsid w:val="00AB2DA8"/>
    <w:rsid w:val="00AB30AB"/>
    <w:rsid w:val="00AB3B09"/>
    <w:rsid w:val="00AB3B58"/>
    <w:rsid w:val="00AB3C14"/>
    <w:rsid w:val="00AB3F7E"/>
    <w:rsid w:val="00AB487F"/>
    <w:rsid w:val="00AB49E3"/>
    <w:rsid w:val="00AB4AC0"/>
    <w:rsid w:val="00AB4B31"/>
    <w:rsid w:val="00AB4B90"/>
    <w:rsid w:val="00AB5B17"/>
    <w:rsid w:val="00AB5B73"/>
    <w:rsid w:val="00AB5C2F"/>
    <w:rsid w:val="00AB6141"/>
    <w:rsid w:val="00AB61F3"/>
    <w:rsid w:val="00AB6A73"/>
    <w:rsid w:val="00AB6AB5"/>
    <w:rsid w:val="00AB796F"/>
    <w:rsid w:val="00AB79D2"/>
    <w:rsid w:val="00AC0708"/>
    <w:rsid w:val="00AC0FBC"/>
    <w:rsid w:val="00AC1596"/>
    <w:rsid w:val="00AC1A41"/>
    <w:rsid w:val="00AC1EAB"/>
    <w:rsid w:val="00AC1FF7"/>
    <w:rsid w:val="00AC256D"/>
    <w:rsid w:val="00AC2892"/>
    <w:rsid w:val="00AC2B3E"/>
    <w:rsid w:val="00AC2CC0"/>
    <w:rsid w:val="00AC35BC"/>
    <w:rsid w:val="00AC3C76"/>
    <w:rsid w:val="00AC484A"/>
    <w:rsid w:val="00AC49C1"/>
    <w:rsid w:val="00AC4C87"/>
    <w:rsid w:val="00AC51AC"/>
    <w:rsid w:val="00AC5246"/>
    <w:rsid w:val="00AC5298"/>
    <w:rsid w:val="00AC60D4"/>
    <w:rsid w:val="00AC620A"/>
    <w:rsid w:val="00AC76D1"/>
    <w:rsid w:val="00AC7ABF"/>
    <w:rsid w:val="00AD03F0"/>
    <w:rsid w:val="00AD06CE"/>
    <w:rsid w:val="00AD0D35"/>
    <w:rsid w:val="00AD144C"/>
    <w:rsid w:val="00AD1986"/>
    <w:rsid w:val="00AD1D7E"/>
    <w:rsid w:val="00AD1E31"/>
    <w:rsid w:val="00AD1EA4"/>
    <w:rsid w:val="00AD20A6"/>
    <w:rsid w:val="00AD2B5B"/>
    <w:rsid w:val="00AD2D8E"/>
    <w:rsid w:val="00AD2E0E"/>
    <w:rsid w:val="00AD3DC4"/>
    <w:rsid w:val="00AD4025"/>
    <w:rsid w:val="00AD4216"/>
    <w:rsid w:val="00AD4F66"/>
    <w:rsid w:val="00AD55B9"/>
    <w:rsid w:val="00AD577F"/>
    <w:rsid w:val="00AD5A65"/>
    <w:rsid w:val="00AD5D61"/>
    <w:rsid w:val="00AD5EA7"/>
    <w:rsid w:val="00AD626B"/>
    <w:rsid w:val="00AD703F"/>
    <w:rsid w:val="00AD7377"/>
    <w:rsid w:val="00AD7405"/>
    <w:rsid w:val="00AE0DB6"/>
    <w:rsid w:val="00AE0F21"/>
    <w:rsid w:val="00AE0F65"/>
    <w:rsid w:val="00AE1EED"/>
    <w:rsid w:val="00AE22A4"/>
    <w:rsid w:val="00AE2381"/>
    <w:rsid w:val="00AE28C2"/>
    <w:rsid w:val="00AE2AEB"/>
    <w:rsid w:val="00AE3716"/>
    <w:rsid w:val="00AE3A79"/>
    <w:rsid w:val="00AE3DA6"/>
    <w:rsid w:val="00AE3DE3"/>
    <w:rsid w:val="00AE3FCC"/>
    <w:rsid w:val="00AE4115"/>
    <w:rsid w:val="00AE411A"/>
    <w:rsid w:val="00AE41F5"/>
    <w:rsid w:val="00AE4564"/>
    <w:rsid w:val="00AE4A57"/>
    <w:rsid w:val="00AE4A86"/>
    <w:rsid w:val="00AE5493"/>
    <w:rsid w:val="00AE551E"/>
    <w:rsid w:val="00AE58C8"/>
    <w:rsid w:val="00AE5BA5"/>
    <w:rsid w:val="00AE5C90"/>
    <w:rsid w:val="00AE662C"/>
    <w:rsid w:val="00AE68CA"/>
    <w:rsid w:val="00AE6B3C"/>
    <w:rsid w:val="00AE7542"/>
    <w:rsid w:val="00AE7D04"/>
    <w:rsid w:val="00AE7E51"/>
    <w:rsid w:val="00AF0350"/>
    <w:rsid w:val="00AF0EBD"/>
    <w:rsid w:val="00AF0F1D"/>
    <w:rsid w:val="00AF1112"/>
    <w:rsid w:val="00AF18FE"/>
    <w:rsid w:val="00AF1D67"/>
    <w:rsid w:val="00AF2AC5"/>
    <w:rsid w:val="00AF3238"/>
    <w:rsid w:val="00AF393D"/>
    <w:rsid w:val="00AF3AE1"/>
    <w:rsid w:val="00AF4021"/>
    <w:rsid w:val="00AF4033"/>
    <w:rsid w:val="00AF469C"/>
    <w:rsid w:val="00AF4AC9"/>
    <w:rsid w:val="00AF4C00"/>
    <w:rsid w:val="00AF4F29"/>
    <w:rsid w:val="00AF5625"/>
    <w:rsid w:val="00AF5D5B"/>
    <w:rsid w:val="00AF5DFE"/>
    <w:rsid w:val="00AF6046"/>
    <w:rsid w:val="00AF630E"/>
    <w:rsid w:val="00AF6612"/>
    <w:rsid w:val="00AF6701"/>
    <w:rsid w:val="00AF6783"/>
    <w:rsid w:val="00B007C3"/>
    <w:rsid w:val="00B00C28"/>
    <w:rsid w:val="00B01253"/>
    <w:rsid w:val="00B014FF"/>
    <w:rsid w:val="00B015AC"/>
    <w:rsid w:val="00B01BF4"/>
    <w:rsid w:val="00B01D33"/>
    <w:rsid w:val="00B0219F"/>
    <w:rsid w:val="00B0258E"/>
    <w:rsid w:val="00B02F69"/>
    <w:rsid w:val="00B02FA3"/>
    <w:rsid w:val="00B03A44"/>
    <w:rsid w:val="00B041EC"/>
    <w:rsid w:val="00B042A5"/>
    <w:rsid w:val="00B04384"/>
    <w:rsid w:val="00B051C4"/>
    <w:rsid w:val="00B05705"/>
    <w:rsid w:val="00B058C0"/>
    <w:rsid w:val="00B06E43"/>
    <w:rsid w:val="00B078E8"/>
    <w:rsid w:val="00B07C69"/>
    <w:rsid w:val="00B07D99"/>
    <w:rsid w:val="00B106A4"/>
    <w:rsid w:val="00B10E60"/>
    <w:rsid w:val="00B10F5A"/>
    <w:rsid w:val="00B11175"/>
    <w:rsid w:val="00B1140B"/>
    <w:rsid w:val="00B11AB1"/>
    <w:rsid w:val="00B11B64"/>
    <w:rsid w:val="00B11BF8"/>
    <w:rsid w:val="00B11C3F"/>
    <w:rsid w:val="00B11C97"/>
    <w:rsid w:val="00B11E93"/>
    <w:rsid w:val="00B11FA5"/>
    <w:rsid w:val="00B124BF"/>
    <w:rsid w:val="00B12791"/>
    <w:rsid w:val="00B13393"/>
    <w:rsid w:val="00B133ED"/>
    <w:rsid w:val="00B13469"/>
    <w:rsid w:val="00B13A39"/>
    <w:rsid w:val="00B13AED"/>
    <w:rsid w:val="00B13F83"/>
    <w:rsid w:val="00B143D6"/>
    <w:rsid w:val="00B14B56"/>
    <w:rsid w:val="00B14C39"/>
    <w:rsid w:val="00B1524D"/>
    <w:rsid w:val="00B1589A"/>
    <w:rsid w:val="00B15956"/>
    <w:rsid w:val="00B15E83"/>
    <w:rsid w:val="00B165E2"/>
    <w:rsid w:val="00B16800"/>
    <w:rsid w:val="00B16CB0"/>
    <w:rsid w:val="00B16EB5"/>
    <w:rsid w:val="00B170A0"/>
    <w:rsid w:val="00B17148"/>
    <w:rsid w:val="00B17BE5"/>
    <w:rsid w:val="00B207B7"/>
    <w:rsid w:val="00B20C31"/>
    <w:rsid w:val="00B20D50"/>
    <w:rsid w:val="00B2129C"/>
    <w:rsid w:val="00B218E5"/>
    <w:rsid w:val="00B219C7"/>
    <w:rsid w:val="00B21AA4"/>
    <w:rsid w:val="00B227F3"/>
    <w:rsid w:val="00B2295A"/>
    <w:rsid w:val="00B22CDB"/>
    <w:rsid w:val="00B22D5A"/>
    <w:rsid w:val="00B22E40"/>
    <w:rsid w:val="00B22FB0"/>
    <w:rsid w:val="00B23156"/>
    <w:rsid w:val="00B2316F"/>
    <w:rsid w:val="00B2370E"/>
    <w:rsid w:val="00B23ABD"/>
    <w:rsid w:val="00B23B3E"/>
    <w:rsid w:val="00B23B68"/>
    <w:rsid w:val="00B23FF9"/>
    <w:rsid w:val="00B2405C"/>
    <w:rsid w:val="00B248FB"/>
    <w:rsid w:val="00B24B8B"/>
    <w:rsid w:val="00B25192"/>
    <w:rsid w:val="00B25589"/>
    <w:rsid w:val="00B2572C"/>
    <w:rsid w:val="00B25AD2"/>
    <w:rsid w:val="00B268A2"/>
    <w:rsid w:val="00B269B3"/>
    <w:rsid w:val="00B269F8"/>
    <w:rsid w:val="00B26EFF"/>
    <w:rsid w:val="00B271B4"/>
    <w:rsid w:val="00B2789A"/>
    <w:rsid w:val="00B27F73"/>
    <w:rsid w:val="00B30963"/>
    <w:rsid w:val="00B30A99"/>
    <w:rsid w:val="00B30AE1"/>
    <w:rsid w:val="00B30C4C"/>
    <w:rsid w:val="00B31621"/>
    <w:rsid w:val="00B316A1"/>
    <w:rsid w:val="00B31805"/>
    <w:rsid w:val="00B31A62"/>
    <w:rsid w:val="00B31B87"/>
    <w:rsid w:val="00B31F11"/>
    <w:rsid w:val="00B321FA"/>
    <w:rsid w:val="00B332D1"/>
    <w:rsid w:val="00B33B04"/>
    <w:rsid w:val="00B33B7C"/>
    <w:rsid w:val="00B33C07"/>
    <w:rsid w:val="00B33E4D"/>
    <w:rsid w:val="00B33EF1"/>
    <w:rsid w:val="00B34020"/>
    <w:rsid w:val="00B340CF"/>
    <w:rsid w:val="00B345EA"/>
    <w:rsid w:val="00B34939"/>
    <w:rsid w:val="00B354B2"/>
    <w:rsid w:val="00B35A65"/>
    <w:rsid w:val="00B35BAE"/>
    <w:rsid w:val="00B36122"/>
    <w:rsid w:val="00B36358"/>
    <w:rsid w:val="00B367B2"/>
    <w:rsid w:val="00B368CF"/>
    <w:rsid w:val="00B36FC8"/>
    <w:rsid w:val="00B3739F"/>
    <w:rsid w:val="00B373BF"/>
    <w:rsid w:val="00B37494"/>
    <w:rsid w:val="00B37539"/>
    <w:rsid w:val="00B379A0"/>
    <w:rsid w:val="00B37E31"/>
    <w:rsid w:val="00B37EA7"/>
    <w:rsid w:val="00B40302"/>
    <w:rsid w:val="00B40307"/>
    <w:rsid w:val="00B4065E"/>
    <w:rsid w:val="00B40981"/>
    <w:rsid w:val="00B409C7"/>
    <w:rsid w:val="00B410A9"/>
    <w:rsid w:val="00B414C2"/>
    <w:rsid w:val="00B4174D"/>
    <w:rsid w:val="00B41A43"/>
    <w:rsid w:val="00B42D76"/>
    <w:rsid w:val="00B431EB"/>
    <w:rsid w:val="00B432C9"/>
    <w:rsid w:val="00B433DD"/>
    <w:rsid w:val="00B43AF3"/>
    <w:rsid w:val="00B43BDF"/>
    <w:rsid w:val="00B44C63"/>
    <w:rsid w:val="00B4516C"/>
    <w:rsid w:val="00B45A3C"/>
    <w:rsid w:val="00B4601E"/>
    <w:rsid w:val="00B46B56"/>
    <w:rsid w:val="00B46BBD"/>
    <w:rsid w:val="00B46D2D"/>
    <w:rsid w:val="00B471F9"/>
    <w:rsid w:val="00B476E0"/>
    <w:rsid w:val="00B47BF2"/>
    <w:rsid w:val="00B47F64"/>
    <w:rsid w:val="00B50992"/>
    <w:rsid w:val="00B50DD7"/>
    <w:rsid w:val="00B51142"/>
    <w:rsid w:val="00B51173"/>
    <w:rsid w:val="00B51849"/>
    <w:rsid w:val="00B51E08"/>
    <w:rsid w:val="00B526E6"/>
    <w:rsid w:val="00B52958"/>
    <w:rsid w:val="00B52993"/>
    <w:rsid w:val="00B52B86"/>
    <w:rsid w:val="00B52D18"/>
    <w:rsid w:val="00B53204"/>
    <w:rsid w:val="00B53649"/>
    <w:rsid w:val="00B53680"/>
    <w:rsid w:val="00B53BB5"/>
    <w:rsid w:val="00B53CAD"/>
    <w:rsid w:val="00B53D90"/>
    <w:rsid w:val="00B543BF"/>
    <w:rsid w:val="00B545DD"/>
    <w:rsid w:val="00B54727"/>
    <w:rsid w:val="00B55050"/>
    <w:rsid w:val="00B557AA"/>
    <w:rsid w:val="00B5649B"/>
    <w:rsid w:val="00B56B58"/>
    <w:rsid w:val="00B56BC3"/>
    <w:rsid w:val="00B56BC9"/>
    <w:rsid w:val="00B56E2C"/>
    <w:rsid w:val="00B56EEF"/>
    <w:rsid w:val="00B571BD"/>
    <w:rsid w:val="00B572E8"/>
    <w:rsid w:val="00B575EA"/>
    <w:rsid w:val="00B577FC"/>
    <w:rsid w:val="00B57EDB"/>
    <w:rsid w:val="00B60770"/>
    <w:rsid w:val="00B60CBE"/>
    <w:rsid w:val="00B614D7"/>
    <w:rsid w:val="00B61508"/>
    <w:rsid w:val="00B61C8B"/>
    <w:rsid w:val="00B61E59"/>
    <w:rsid w:val="00B628F3"/>
    <w:rsid w:val="00B63E81"/>
    <w:rsid w:val="00B640DF"/>
    <w:rsid w:val="00B6414F"/>
    <w:rsid w:val="00B643E6"/>
    <w:rsid w:val="00B6443F"/>
    <w:rsid w:val="00B6469C"/>
    <w:rsid w:val="00B6486C"/>
    <w:rsid w:val="00B648B7"/>
    <w:rsid w:val="00B65324"/>
    <w:rsid w:val="00B65642"/>
    <w:rsid w:val="00B65C17"/>
    <w:rsid w:val="00B65FC5"/>
    <w:rsid w:val="00B66202"/>
    <w:rsid w:val="00B662A8"/>
    <w:rsid w:val="00B663C8"/>
    <w:rsid w:val="00B66F90"/>
    <w:rsid w:val="00B6736F"/>
    <w:rsid w:val="00B6737E"/>
    <w:rsid w:val="00B674D9"/>
    <w:rsid w:val="00B67963"/>
    <w:rsid w:val="00B67E6E"/>
    <w:rsid w:val="00B7189C"/>
    <w:rsid w:val="00B7196C"/>
    <w:rsid w:val="00B71BBB"/>
    <w:rsid w:val="00B72033"/>
    <w:rsid w:val="00B722F8"/>
    <w:rsid w:val="00B724DA"/>
    <w:rsid w:val="00B729F5"/>
    <w:rsid w:val="00B72CAD"/>
    <w:rsid w:val="00B72DF7"/>
    <w:rsid w:val="00B731E0"/>
    <w:rsid w:val="00B73838"/>
    <w:rsid w:val="00B7398D"/>
    <w:rsid w:val="00B73A44"/>
    <w:rsid w:val="00B74734"/>
    <w:rsid w:val="00B747A7"/>
    <w:rsid w:val="00B747F4"/>
    <w:rsid w:val="00B74831"/>
    <w:rsid w:val="00B74D1A"/>
    <w:rsid w:val="00B756E7"/>
    <w:rsid w:val="00B75C96"/>
    <w:rsid w:val="00B76640"/>
    <w:rsid w:val="00B772A1"/>
    <w:rsid w:val="00B7797F"/>
    <w:rsid w:val="00B77B72"/>
    <w:rsid w:val="00B77DFC"/>
    <w:rsid w:val="00B80BB7"/>
    <w:rsid w:val="00B80D75"/>
    <w:rsid w:val="00B80E8D"/>
    <w:rsid w:val="00B80ECE"/>
    <w:rsid w:val="00B80F06"/>
    <w:rsid w:val="00B8118D"/>
    <w:rsid w:val="00B816FA"/>
    <w:rsid w:val="00B816FC"/>
    <w:rsid w:val="00B818BC"/>
    <w:rsid w:val="00B82071"/>
    <w:rsid w:val="00B837BE"/>
    <w:rsid w:val="00B84A18"/>
    <w:rsid w:val="00B8557F"/>
    <w:rsid w:val="00B85977"/>
    <w:rsid w:val="00B85EC8"/>
    <w:rsid w:val="00B86882"/>
    <w:rsid w:val="00B86C91"/>
    <w:rsid w:val="00B86DFA"/>
    <w:rsid w:val="00B87267"/>
    <w:rsid w:val="00B873E4"/>
    <w:rsid w:val="00B87DD0"/>
    <w:rsid w:val="00B90D00"/>
    <w:rsid w:val="00B91324"/>
    <w:rsid w:val="00B91957"/>
    <w:rsid w:val="00B91BF3"/>
    <w:rsid w:val="00B91F11"/>
    <w:rsid w:val="00B92236"/>
    <w:rsid w:val="00B92996"/>
    <w:rsid w:val="00B930E3"/>
    <w:rsid w:val="00B933F8"/>
    <w:rsid w:val="00B934F0"/>
    <w:rsid w:val="00B936B3"/>
    <w:rsid w:val="00B9396E"/>
    <w:rsid w:val="00B93C51"/>
    <w:rsid w:val="00B93D5A"/>
    <w:rsid w:val="00B93E3E"/>
    <w:rsid w:val="00B951CA"/>
    <w:rsid w:val="00B962D7"/>
    <w:rsid w:val="00B96C6A"/>
    <w:rsid w:val="00B96DFC"/>
    <w:rsid w:val="00B9738E"/>
    <w:rsid w:val="00B97C4A"/>
    <w:rsid w:val="00BA01EC"/>
    <w:rsid w:val="00BA0AF6"/>
    <w:rsid w:val="00BA0DE8"/>
    <w:rsid w:val="00BA13CA"/>
    <w:rsid w:val="00BA173D"/>
    <w:rsid w:val="00BA1D60"/>
    <w:rsid w:val="00BA1F09"/>
    <w:rsid w:val="00BA2650"/>
    <w:rsid w:val="00BA26D3"/>
    <w:rsid w:val="00BA287F"/>
    <w:rsid w:val="00BA2975"/>
    <w:rsid w:val="00BA2F53"/>
    <w:rsid w:val="00BA39B5"/>
    <w:rsid w:val="00BA4390"/>
    <w:rsid w:val="00BA4619"/>
    <w:rsid w:val="00BA486D"/>
    <w:rsid w:val="00BA5763"/>
    <w:rsid w:val="00BA5B17"/>
    <w:rsid w:val="00BA5DD9"/>
    <w:rsid w:val="00BA62A5"/>
    <w:rsid w:val="00BA6C87"/>
    <w:rsid w:val="00BA710A"/>
    <w:rsid w:val="00BA7538"/>
    <w:rsid w:val="00BA7556"/>
    <w:rsid w:val="00BA766E"/>
    <w:rsid w:val="00BA7789"/>
    <w:rsid w:val="00BA7CBE"/>
    <w:rsid w:val="00BA7EEB"/>
    <w:rsid w:val="00BA7F8F"/>
    <w:rsid w:val="00BB05CA"/>
    <w:rsid w:val="00BB0798"/>
    <w:rsid w:val="00BB079D"/>
    <w:rsid w:val="00BB0930"/>
    <w:rsid w:val="00BB0ACF"/>
    <w:rsid w:val="00BB10E1"/>
    <w:rsid w:val="00BB1349"/>
    <w:rsid w:val="00BB135B"/>
    <w:rsid w:val="00BB140D"/>
    <w:rsid w:val="00BB1425"/>
    <w:rsid w:val="00BB1675"/>
    <w:rsid w:val="00BB2208"/>
    <w:rsid w:val="00BB2EE5"/>
    <w:rsid w:val="00BB2F5D"/>
    <w:rsid w:val="00BB3173"/>
    <w:rsid w:val="00BB31E0"/>
    <w:rsid w:val="00BB3CDA"/>
    <w:rsid w:val="00BB510A"/>
    <w:rsid w:val="00BB5243"/>
    <w:rsid w:val="00BB58EE"/>
    <w:rsid w:val="00BB5D24"/>
    <w:rsid w:val="00BB6424"/>
    <w:rsid w:val="00BB64B7"/>
    <w:rsid w:val="00BB65D9"/>
    <w:rsid w:val="00BB6D92"/>
    <w:rsid w:val="00BB6ED6"/>
    <w:rsid w:val="00BB70B9"/>
    <w:rsid w:val="00BB7D87"/>
    <w:rsid w:val="00BC036E"/>
    <w:rsid w:val="00BC06B9"/>
    <w:rsid w:val="00BC0AD0"/>
    <w:rsid w:val="00BC0E35"/>
    <w:rsid w:val="00BC14B2"/>
    <w:rsid w:val="00BC1BB0"/>
    <w:rsid w:val="00BC1CE6"/>
    <w:rsid w:val="00BC1E9E"/>
    <w:rsid w:val="00BC2409"/>
    <w:rsid w:val="00BC24C9"/>
    <w:rsid w:val="00BC29F2"/>
    <w:rsid w:val="00BC380B"/>
    <w:rsid w:val="00BC39F4"/>
    <w:rsid w:val="00BC3D45"/>
    <w:rsid w:val="00BC3E66"/>
    <w:rsid w:val="00BC3E92"/>
    <w:rsid w:val="00BC4021"/>
    <w:rsid w:val="00BC4066"/>
    <w:rsid w:val="00BC450E"/>
    <w:rsid w:val="00BC4D85"/>
    <w:rsid w:val="00BC5054"/>
    <w:rsid w:val="00BC531B"/>
    <w:rsid w:val="00BC548B"/>
    <w:rsid w:val="00BC582E"/>
    <w:rsid w:val="00BC604C"/>
    <w:rsid w:val="00BC6C96"/>
    <w:rsid w:val="00BC71C9"/>
    <w:rsid w:val="00BC7A4E"/>
    <w:rsid w:val="00BD0769"/>
    <w:rsid w:val="00BD0887"/>
    <w:rsid w:val="00BD0AB1"/>
    <w:rsid w:val="00BD10EC"/>
    <w:rsid w:val="00BD214B"/>
    <w:rsid w:val="00BD21AB"/>
    <w:rsid w:val="00BD2639"/>
    <w:rsid w:val="00BD27C9"/>
    <w:rsid w:val="00BD378A"/>
    <w:rsid w:val="00BD43D6"/>
    <w:rsid w:val="00BD4538"/>
    <w:rsid w:val="00BD4965"/>
    <w:rsid w:val="00BD4B75"/>
    <w:rsid w:val="00BD5521"/>
    <w:rsid w:val="00BD5A84"/>
    <w:rsid w:val="00BD68FF"/>
    <w:rsid w:val="00BD7056"/>
    <w:rsid w:val="00BD71D7"/>
    <w:rsid w:val="00BD7214"/>
    <w:rsid w:val="00BD7B25"/>
    <w:rsid w:val="00BD7DCB"/>
    <w:rsid w:val="00BE0354"/>
    <w:rsid w:val="00BE052B"/>
    <w:rsid w:val="00BE0A0D"/>
    <w:rsid w:val="00BE112F"/>
    <w:rsid w:val="00BE186B"/>
    <w:rsid w:val="00BE1890"/>
    <w:rsid w:val="00BE18DF"/>
    <w:rsid w:val="00BE1AD8"/>
    <w:rsid w:val="00BE1AFA"/>
    <w:rsid w:val="00BE1CD7"/>
    <w:rsid w:val="00BE1D8E"/>
    <w:rsid w:val="00BE27ED"/>
    <w:rsid w:val="00BE2DEA"/>
    <w:rsid w:val="00BE2F1B"/>
    <w:rsid w:val="00BE37DD"/>
    <w:rsid w:val="00BE387A"/>
    <w:rsid w:val="00BE3FDB"/>
    <w:rsid w:val="00BE47E1"/>
    <w:rsid w:val="00BE4D41"/>
    <w:rsid w:val="00BE4FAB"/>
    <w:rsid w:val="00BE55B0"/>
    <w:rsid w:val="00BE5604"/>
    <w:rsid w:val="00BE5633"/>
    <w:rsid w:val="00BE65CE"/>
    <w:rsid w:val="00BE690B"/>
    <w:rsid w:val="00BE71E3"/>
    <w:rsid w:val="00BE7226"/>
    <w:rsid w:val="00BE739E"/>
    <w:rsid w:val="00BE743B"/>
    <w:rsid w:val="00BE76E4"/>
    <w:rsid w:val="00BE7D09"/>
    <w:rsid w:val="00BE7D4F"/>
    <w:rsid w:val="00BF0A88"/>
    <w:rsid w:val="00BF0E47"/>
    <w:rsid w:val="00BF146E"/>
    <w:rsid w:val="00BF1962"/>
    <w:rsid w:val="00BF1B58"/>
    <w:rsid w:val="00BF1BE1"/>
    <w:rsid w:val="00BF2143"/>
    <w:rsid w:val="00BF2496"/>
    <w:rsid w:val="00BF3311"/>
    <w:rsid w:val="00BF3739"/>
    <w:rsid w:val="00BF42AF"/>
    <w:rsid w:val="00BF44B0"/>
    <w:rsid w:val="00BF45A5"/>
    <w:rsid w:val="00BF4C4E"/>
    <w:rsid w:val="00BF4DDC"/>
    <w:rsid w:val="00BF4ED6"/>
    <w:rsid w:val="00BF4F01"/>
    <w:rsid w:val="00BF527A"/>
    <w:rsid w:val="00BF5578"/>
    <w:rsid w:val="00BF568A"/>
    <w:rsid w:val="00BF5B5A"/>
    <w:rsid w:val="00BF6988"/>
    <w:rsid w:val="00BF6A3C"/>
    <w:rsid w:val="00BF6FCD"/>
    <w:rsid w:val="00BF70BC"/>
    <w:rsid w:val="00BF7587"/>
    <w:rsid w:val="00BF7800"/>
    <w:rsid w:val="00BF78AE"/>
    <w:rsid w:val="00BF7D15"/>
    <w:rsid w:val="00C00002"/>
    <w:rsid w:val="00C002CE"/>
    <w:rsid w:val="00C0049C"/>
    <w:rsid w:val="00C00972"/>
    <w:rsid w:val="00C00CC1"/>
    <w:rsid w:val="00C01DFC"/>
    <w:rsid w:val="00C01F56"/>
    <w:rsid w:val="00C023E3"/>
    <w:rsid w:val="00C027CF"/>
    <w:rsid w:val="00C02ADC"/>
    <w:rsid w:val="00C02EA8"/>
    <w:rsid w:val="00C02F48"/>
    <w:rsid w:val="00C02FBA"/>
    <w:rsid w:val="00C034FA"/>
    <w:rsid w:val="00C03877"/>
    <w:rsid w:val="00C038A1"/>
    <w:rsid w:val="00C03A74"/>
    <w:rsid w:val="00C03B25"/>
    <w:rsid w:val="00C03B69"/>
    <w:rsid w:val="00C03DFD"/>
    <w:rsid w:val="00C04493"/>
    <w:rsid w:val="00C048AD"/>
    <w:rsid w:val="00C04D3F"/>
    <w:rsid w:val="00C04E3E"/>
    <w:rsid w:val="00C0501C"/>
    <w:rsid w:val="00C055FB"/>
    <w:rsid w:val="00C057CC"/>
    <w:rsid w:val="00C0584B"/>
    <w:rsid w:val="00C059EE"/>
    <w:rsid w:val="00C05A3B"/>
    <w:rsid w:val="00C06025"/>
    <w:rsid w:val="00C0608C"/>
    <w:rsid w:val="00C0630D"/>
    <w:rsid w:val="00C06333"/>
    <w:rsid w:val="00C063D7"/>
    <w:rsid w:val="00C0687D"/>
    <w:rsid w:val="00C06A1A"/>
    <w:rsid w:val="00C06FDD"/>
    <w:rsid w:val="00C07DF9"/>
    <w:rsid w:val="00C103CB"/>
    <w:rsid w:val="00C10621"/>
    <w:rsid w:val="00C1091A"/>
    <w:rsid w:val="00C10C3D"/>
    <w:rsid w:val="00C11047"/>
    <w:rsid w:val="00C11390"/>
    <w:rsid w:val="00C11815"/>
    <w:rsid w:val="00C11A34"/>
    <w:rsid w:val="00C11AEB"/>
    <w:rsid w:val="00C11F12"/>
    <w:rsid w:val="00C1213F"/>
    <w:rsid w:val="00C125EC"/>
    <w:rsid w:val="00C12872"/>
    <w:rsid w:val="00C12951"/>
    <w:rsid w:val="00C12BE3"/>
    <w:rsid w:val="00C136F1"/>
    <w:rsid w:val="00C13F79"/>
    <w:rsid w:val="00C14129"/>
    <w:rsid w:val="00C146F2"/>
    <w:rsid w:val="00C14DFB"/>
    <w:rsid w:val="00C14FBF"/>
    <w:rsid w:val="00C152D0"/>
    <w:rsid w:val="00C15838"/>
    <w:rsid w:val="00C15C5A"/>
    <w:rsid w:val="00C15F6A"/>
    <w:rsid w:val="00C1640F"/>
    <w:rsid w:val="00C16CC2"/>
    <w:rsid w:val="00C16D04"/>
    <w:rsid w:val="00C16E75"/>
    <w:rsid w:val="00C17185"/>
    <w:rsid w:val="00C177A7"/>
    <w:rsid w:val="00C17D64"/>
    <w:rsid w:val="00C20242"/>
    <w:rsid w:val="00C204F0"/>
    <w:rsid w:val="00C2078F"/>
    <w:rsid w:val="00C207CF"/>
    <w:rsid w:val="00C2097E"/>
    <w:rsid w:val="00C20B4C"/>
    <w:rsid w:val="00C212AE"/>
    <w:rsid w:val="00C213B1"/>
    <w:rsid w:val="00C214F1"/>
    <w:rsid w:val="00C21B13"/>
    <w:rsid w:val="00C21E89"/>
    <w:rsid w:val="00C221EE"/>
    <w:rsid w:val="00C221FA"/>
    <w:rsid w:val="00C22916"/>
    <w:rsid w:val="00C22DA9"/>
    <w:rsid w:val="00C236C0"/>
    <w:rsid w:val="00C23822"/>
    <w:rsid w:val="00C23D34"/>
    <w:rsid w:val="00C23E0D"/>
    <w:rsid w:val="00C24B00"/>
    <w:rsid w:val="00C24CD0"/>
    <w:rsid w:val="00C2538E"/>
    <w:rsid w:val="00C2552C"/>
    <w:rsid w:val="00C2555B"/>
    <w:rsid w:val="00C256E6"/>
    <w:rsid w:val="00C25FE7"/>
    <w:rsid w:val="00C2681F"/>
    <w:rsid w:val="00C2687C"/>
    <w:rsid w:val="00C2695A"/>
    <w:rsid w:val="00C269CE"/>
    <w:rsid w:val="00C26CFB"/>
    <w:rsid w:val="00C26FBD"/>
    <w:rsid w:val="00C2736D"/>
    <w:rsid w:val="00C27772"/>
    <w:rsid w:val="00C277BD"/>
    <w:rsid w:val="00C304C3"/>
    <w:rsid w:val="00C30745"/>
    <w:rsid w:val="00C30E76"/>
    <w:rsid w:val="00C30FA6"/>
    <w:rsid w:val="00C315F7"/>
    <w:rsid w:val="00C31718"/>
    <w:rsid w:val="00C31987"/>
    <w:rsid w:val="00C31FC0"/>
    <w:rsid w:val="00C32220"/>
    <w:rsid w:val="00C328A1"/>
    <w:rsid w:val="00C32A65"/>
    <w:rsid w:val="00C32E05"/>
    <w:rsid w:val="00C33159"/>
    <w:rsid w:val="00C3317C"/>
    <w:rsid w:val="00C33512"/>
    <w:rsid w:val="00C33F05"/>
    <w:rsid w:val="00C343D9"/>
    <w:rsid w:val="00C34489"/>
    <w:rsid w:val="00C350D7"/>
    <w:rsid w:val="00C35C92"/>
    <w:rsid w:val="00C35D8F"/>
    <w:rsid w:val="00C35E79"/>
    <w:rsid w:val="00C35EDE"/>
    <w:rsid w:val="00C36845"/>
    <w:rsid w:val="00C36CD2"/>
    <w:rsid w:val="00C370C3"/>
    <w:rsid w:val="00C371C4"/>
    <w:rsid w:val="00C37691"/>
    <w:rsid w:val="00C37768"/>
    <w:rsid w:val="00C37777"/>
    <w:rsid w:val="00C37CE8"/>
    <w:rsid w:val="00C400F1"/>
    <w:rsid w:val="00C403BB"/>
    <w:rsid w:val="00C408F3"/>
    <w:rsid w:val="00C40C18"/>
    <w:rsid w:val="00C40C23"/>
    <w:rsid w:val="00C40C30"/>
    <w:rsid w:val="00C41747"/>
    <w:rsid w:val="00C4201D"/>
    <w:rsid w:val="00C42669"/>
    <w:rsid w:val="00C426F8"/>
    <w:rsid w:val="00C4286C"/>
    <w:rsid w:val="00C429D9"/>
    <w:rsid w:val="00C42D69"/>
    <w:rsid w:val="00C4304F"/>
    <w:rsid w:val="00C4375F"/>
    <w:rsid w:val="00C43969"/>
    <w:rsid w:val="00C439A8"/>
    <w:rsid w:val="00C43A24"/>
    <w:rsid w:val="00C43D5F"/>
    <w:rsid w:val="00C43FA6"/>
    <w:rsid w:val="00C43FDD"/>
    <w:rsid w:val="00C443B7"/>
    <w:rsid w:val="00C44C83"/>
    <w:rsid w:val="00C44D8F"/>
    <w:rsid w:val="00C4556A"/>
    <w:rsid w:val="00C46320"/>
    <w:rsid w:val="00C463D0"/>
    <w:rsid w:val="00C465B7"/>
    <w:rsid w:val="00C467E5"/>
    <w:rsid w:val="00C47534"/>
    <w:rsid w:val="00C4775A"/>
    <w:rsid w:val="00C4781E"/>
    <w:rsid w:val="00C479AA"/>
    <w:rsid w:val="00C47C4F"/>
    <w:rsid w:val="00C50752"/>
    <w:rsid w:val="00C50958"/>
    <w:rsid w:val="00C51068"/>
    <w:rsid w:val="00C511B3"/>
    <w:rsid w:val="00C51637"/>
    <w:rsid w:val="00C51861"/>
    <w:rsid w:val="00C51939"/>
    <w:rsid w:val="00C51A88"/>
    <w:rsid w:val="00C51C0D"/>
    <w:rsid w:val="00C51E89"/>
    <w:rsid w:val="00C51EFE"/>
    <w:rsid w:val="00C522F9"/>
    <w:rsid w:val="00C5259E"/>
    <w:rsid w:val="00C525D8"/>
    <w:rsid w:val="00C52DD6"/>
    <w:rsid w:val="00C53302"/>
    <w:rsid w:val="00C53628"/>
    <w:rsid w:val="00C538F6"/>
    <w:rsid w:val="00C53FBA"/>
    <w:rsid w:val="00C53FD0"/>
    <w:rsid w:val="00C54FF6"/>
    <w:rsid w:val="00C5515B"/>
    <w:rsid w:val="00C55559"/>
    <w:rsid w:val="00C558C1"/>
    <w:rsid w:val="00C55AA6"/>
    <w:rsid w:val="00C55C8F"/>
    <w:rsid w:val="00C55DC3"/>
    <w:rsid w:val="00C56812"/>
    <w:rsid w:val="00C57011"/>
    <w:rsid w:val="00C5729C"/>
    <w:rsid w:val="00C57943"/>
    <w:rsid w:val="00C57961"/>
    <w:rsid w:val="00C57A20"/>
    <w:rsid w:val="00C57BE4"/>
    <w:rsid w:val="00C57D2B"/>
    <w:rsid w:val="00C60BD4"/>
    <w:rsid w:val="00C60D9B"/>
    <w:rsid w:val="00C61014"/>
    <w:rsid w:val="00C6170C"/>
    <w:rsid w:val="00C6179B"/>
    <w:rsid w:val="00C61B25"/>
    <w:rsid w:val="00C61E66"/>
    <w:rsid w:val="00C61E71"/>
    <w:rsid w:val="00C62269"/>
    <w:rsid w:val="00C6248C"/>
    <w:rsid w:val="00C624F7"/>
    <w:rsid w:val="00C62909"/>
    <w:rsid w:val="00C6296C"/>
    <w:rsid w:val="00C6306E"/>
    <w:rsid w:val="00C6338D"/>
    <w:rsid w:val="00C635BB"/>
    <w:rsid w:val="00C6368F"/>
    <w:rsid w:val="00C63882"/>
    <w:rsid w:val="00C63BD0"/>
    <w:rsid w:val="00C649EE"/>
    <w:rsid w:val="00C64D86"/>
    <w:rsid w:val="00C65700"/>
    <w:rsid w:val="00C65A9B"/>
    <w:rsid w:val="00C663C1"/>
    <w:rsid w:val="00C667DE"/>
    <w:rsid w:val="00C66859"/>
    <w:rsid w:val="00C66B4C"/>
    <w:rsid w:val="00C66C76"/>
    <w:rsid w:val="00C66DD3"/>
    <w:rsid w:val="00C66F86"/>
    <w:rsid w:val="00C6734F"/>
    <w:rsid w:val="00C67390"/>
    <w:rsid w:val="00C6796E"/>
    <w:rsid w:val="00C67D9E"/>
    <w:rsid w:val="00C67EC3"/>
    <w:rsid w:val="00C70191"/>
    <w:rsid w:val="00C70460"/>
    <w:rsid w:val="00C7053D"/>
    <w:rsid w:val="00C71146"/>
    <w:rsid w:val="00C71376"/>
    <w:rsid w:val="00C716A6"/>
    <w:rsid w:val="00C71C6B"/>
    <w:rsid w:val="00C72801"/>
    <w:rsid w:val="00C72D44"/>
    <w:rsid w:val="00C72DA4"/>
    <w:rsid w:val="00C730F9"/>
    <w:rsid w:val="00C732E5"/>
    <w:rsid w:val="00C737AC"/>
    <w:rsid w:val="00C73809"/>
    <w:rsid w:val="00C738ED"/>
    <w:rsid w:val="00C744D8"/>
    <w:rsid w:val="00C74761"/>
    <w:rsid w:val="00C747C1"/>
    <w:rsid w:val="00C749AE"/>
    <w:rsid w:val="00C74E85"/>
    <w:rsid w:val="00C7506D"/>
    <w:rsid w:val="00C75AE6"/>
    <w:rsid w:val="00C75BF7"/>
    <w:rsid w:val="00C7641B"/>
    <w:rsid w:val="00C76C22"/>
    <w:rsid w:val="00C77232"/>
    <w:rsid w:val="00C7762C"/>
    <w:rsid w:val="00C77660"/>
    <w:rsid w:val="00C77A4B"/>
    <w:rsid w:val="00C80000"/>
    <w:rsid w:val="00C8018E"/>
    <w:rsid w:val="00C8019E"/>
    <w:rsid w:val="00C802A4"/>
    <w:rsid w:val="00C80862"/>
    <w:rsid w:val="00C80C99"/>
    <w:rsid w:val="00C81091"/>
    <w:rsid w:val="00C81726"/>
    <w:rsid w:val="00C81BE9"/>
    <w:rsid w:val="00C82184"/>
    <w:rsid w:val="00C82287"/>
    <w:rsid w:val="00C82489"/>
    <w:rsid w:val="00C82B19"/>
    <w:rsid w:val="00C82C69"/>
    <w:rsid w:val="00C83853"/>
    <w:rsid w:val="00C83B52"/>
    <w:rsid w:val="00C83FCB"/>
    <w:rsid w:val="00C840A1"/>
    <w:rsid w:val="00C844E3"/>
    <w:rsid w:val="00C844EA"/>
    <w:rsid w:val="00C85061"/>
    <w:rsid w:val="00C854C3"/>
    <w:rsid w:val="00C8568D"/>
    <w:rsid w:val="00C859F1"/>
    <w:rsid w:val="00C85C3A"/>
    <w:rsid w:val="00C866EA"/>
    <w:rsid w:val="00C86C5F"/>
    <w:rsid w:val="00C879B3"/>
    <w:rsid w:val="00C87D9A"/>
    <w:rsid w:val="00C902E0"/>
    <w:rsid w:val="00C909E8"/>
    <w:rsid w:val="00C90A12"/>
    <w:rsid w:val="00C914C8"/>
    <w:rsid w:val="00C9150F"/>
    <w:rsid w:val="00C9216D"/>
    <w:rsid w:val="00C926DF"/>
    <w:rsid w:val="00C92F0E"/>
    <w:rsid w:val="00C9311A"/>
    <w:rsid w:val="00C935AB"/>
    <w:rsid w:val="00C93A70"/>
    <w:rsid w:val="00C93AE4"/>
    <w:rsid w:val="00C941EE"/>
    <w:rsid w:val="00C94892"/>
    <w:rsid w:val="00C94A7C"/>
    <w:rsid w:val="00C952D1"/>
    <w:rsid w:val="00C95595"/>
    <w:rsid w:val="00C95A36"/>
    <w:rsid w:val="00C95AC1"/>
    <w:rsid w:val="00C95B2A"/>
    <w:rsid w:val="00C97036"/>
    <w:rsid w:val="00C973BA"/>
    <w:rsid w:val="00C97B38"/>
    <w:rsid w:val="00C97ED5"/>
    <w:rsid w:val="00CA0056"/>
    <w:rsid w:val="00CA04CC"/>
    <w:rsid w:val="00CA0599"/>
    <w:rsid w:val="00CA0A47"/>
    <w:rsid w:val="00CA1333"/>
    <w:rsid w:val="00CA18A2"/>
    <w:rsid w:val="00CA1DCB"/>
    <w:rsid w:val="00CA1E51"/>
    <w:rsid w:val="00CA25E2"/>
    <w:rsid w:val="00CA268C"/>
    <w:rsid w:val="00CA33DC"/>
    <w:rsid w:val="00CA49B2"/>
    <w:rsid w:val="00CA528B"/>
    <w:rsid w:val="00CA5298"/>
    <w:rsid w:val="00CA5E2B"/>
    <w:rsid w:val="00CA6460"/>
    <w:rsid w:val="00CA65BF"/>
    <w:rsid w:val="00CA69BF"/>
    <w:rsid w:val="00CA6AA2"/>
    <w:rsid w:val="00CA6E93"/>
    <w:rsid w:val="00CA7855"/>
    <w:rsid w:val="00CA7A07"/>
    <w:rsid w:val="00CA7E6C"/>
    <w:rsid w:val="00CB05B1"/>
    <w:rsid w:val="00CB0E1B"/>
    <w:rsid w:val="00CB0EAA"/>
    <w:rsid w:val="00CB1012"/>
    <w:rsid w:val="00CB1183"/>
    <w:rsid w:val="00CB148C"/>
    <w:rsid w:val="00CB14B3"/>
    <w:rsid w:val="00CB1550"/>
    <w:rsid w:val="00CB1626"/>
    <w:rsid w:val="00CB1D08"/>
    <w:rsid w:val="00CB1EB9"/>
    <w:rsid w:val="00CB25F1"/>
    <w:rsid w:val="00CB2634"/>
    <w:rsid w:val="00CB2739"/>
    <w:rsid w:val="00CB3B64"/>
    <w:rsid w:val="00CB3BBD"/>
    <w:rsid w:val="00CB40B2"/>
    <w:rsid w:val="00CB4192"/>
    <w:rsid w:val="00CB41A9"/>
    <w:rsid w:val="00CB453C"/>
    <w:rsid w:val="00CB4DA8"/>
    <w:rsid w:val="00CB54DB"/>
    <w:rsid w:val="00CB582D"/>
    <w:rsid w:val="00CB6027"/>
    <w:rsid w:val="00CB6A63"/>
    <w:rsid w:val="00CB6E42"/>
    <w:rsid w:val="00CB6E49"/>
    <w:rsid w:val="00CC025C"/>
    <w:rsid w:val="00CC0A26"/>
    <w:rsid w:val="00CC135F"/>
    <w:rsid w:val="00CC1B4C"/>
    <w:rsid w:val="00CC1E0F"/>
    <w:rsid w:val="00CC24FA"/>
    <w:rsid w:val="00CC26E8"/>
    <w:rsid w:val="00CC282F"/>
    <w:rsid w:val="00CC33E1"/>
    <w:rsid w:val="00CC3899"/>
    <w:rsid w:val="00CC3D03"/>
    <w:rsid w:val="00CC41FD"/>
    <w:rsid w:val="00CC51CA"/>
    <w:rsid w:val="00CC565C"/>
    <w:rsid w:val="00CC5770"/>
    <w:rsid w:val="00CC6374"/>
    <w:rsid w:val="00CC6697"/>
    <w:rsid w:val="00CC6C60"/>
    <w:rsid w:val="00CC754C"/>
    <w:rsid w:val="00CC7BD1"/>
    <w:rsid w:val="00CC7C53"/>
    <w:rsid w:val="00CD07EA"/>
    <w:rsid w:val="00CD1020"/>
    <w:rsid w:val="00CD1C47"/>
    <w:rsid w:val="00CD2274"/>
    <w:rsid w:val="00CD227E"/>
    <w:rsid w:val="00CD2283"/>
    <w:rsid w:val="00CD28FF"/>
    <w:rsid w:val="00CD301A"/>
    <w:rsid w:val="00CD34D3"/>
    <w:rsid w:val="00CD3CDC"/>
    <w:rsid w:val="00CD3DCB"/>
    <w:rsid w:val="00CD49B9"/>
    <w:rsid w:val="00CD4DEC"/>
    <w:rsid w:val="00CD4F24"/>
    <w:rsid w:val="00CD4F7C"/>
    <w:rsid w:val="00CD6330"/>
    <w:rsid w:val="00CD6760"/>
    <w:rsid w:val="00CD7A03"/>
    <w:rsid w:val="00CE1D33"/>
    <w:rsid w:val="00CE22EF"/>
    <w:rsid w:val="00CE24A4"/>
    <w:rsid w:val="00CE2E32"/>
    <w:rsid w:val="00CE31D2"/>
    <w:rsid w:val="00CE33DC"/>
    <w:rsid w:val="00CE39DE"/>
    <w:rsid w:val="00CE42D1"/>
    <w:rsid w:val="00CE4428"/>
    <w:rsid w:val="00CE4833"/>
    <w:rsid w:val="00CE5044"/>
    <w:rsid w:val="00CE51C0"/>
    <w:rsid w:val="00CE58A6"/>
    <w:rsid w:val="00CE592D"/>
    <w:rsid w:val="00CE5C93"/>
    <w:rsid w:val="00CE67B6"/>
    <w:rsid w:val="00CE6D68"/>
    <w:rsid w:val="00CE733B"/>
    <w:rsid w:val="00CE7CCF"/>
    <w:rsid w:val="00CE7EBD"/>
    <w:rsid w:val="00CF00A2"/>
    <w:rsid w:val="00CF0463"/>
    <w:rsid w:val="00CF08A8"/>
    <w:rsid w:val="00CF0F66"/>
    <w:rsid w:val="00CF1097"/>
    <w:rsid w:val="00CF1331"/>
    <w:rsid w:val="00CF157D"/>
    <w:rsid w:val="00CF2364"/>
    <w:rsid w:val="00CF2660"/>
    <w:rsid w:val="00CF31E1"/>
    <w:rsid w:val="00CF3879"/>
    <w:rsid w:val="00CF3F4A"/>
    <w:rsid w:val="00CF43A4"/>
    <w:rsid w:val="00CF4AF8"/>
    <w:rsid w:val="00CF4E9C"/>
    <w:rsid w:val="00CF4FF3"/>
    <w:rsid w:val="00CF4FFD"/>
    <w:rsid w:val="00CF5218"/>
    <w:rsid w:val="00CF5911"/>
    <w:rsid w:val="00CF5B1B"/>
    <w:rsid w:val="00CF5E95"/>
    <w:rsid w:val="00CF601A"/>
    <w:rsid w:val="00CF61ED"/>
    <w:rsid w:val="00CF6263"/>
    <w:rsid w:val="00CF70F3"/>
    <w:rsid w:val="00CF72C8"/>
    <w:rsid w:val="00CF7716"/>
    <w:rsid w:val="00CF7815"/>
    <w:rsid w:val="00CF7AB8"/>
    <w:rsid w:val="00CF7D51"/>
    <w:rsid w:val="00D0000D"/>
    <w:rsid w:val="00D01052"/>
    <w:rsid w:val="00D018AA"/>
    <w:rsid w:val="00D01B14"/>
    <w:rsid w:val="00D01F21"/>
    <w:rsid w:val="00D02299"/>
    <w:rsid w:val="00D02370"/>
    <w:rsid w:val="00D02462"/>
    <w:rsid w:val="00D0318B"/>
    <w:rsid w:val="00D03B9F"/>
    <w:rsid w:val="00D04354"/>
    <w:rsid w:val="00D04594"/>
    <w:rsid w:val="00D0474D"/>
    <w:rsid w:val="00D04EAC"/>
    <w:rsid w:val="00D05608"/>
    <w:rsid w:val="00D05E7C"/>
    <w:rsid w:val="00D05EDA"/>
    <w:rsid w:val="00D05F65"/>
    <w:rsid w:val="00D0609F"/>
    <w:rsid w:val="00D06A47"/>
    <w:rsid w:val="00D06B6C"/>
    <w:rsid w:val="00D0703D"/>
    <w:rsid w:val="00D07794"/>
    <w:rsid w:val="00D07B04"/>
    <w:rsid w:val="00D07EF6"/>
    <w:rsid w:val="00D102D1"/>
    <w:rsid w:val="00D10312"/>
    <w:rsid w:val="00D1035A"/>
    <w:rsid w:val="00D107D3"/>
    <w:rsid w:val="00D10AFB"/>
    <w:rsid w:val="00D10B6F"/>
    <w:rsid w:val="00D10CD6"/>
    <w:rsid w:val="00D11D46"/>
    <w:rsid w:val="00D11DFA"/>
    <w:rsid w:val="00D125F7"/>
    <w:rsid w:val="00D12C19"/>
    <w:rsid w:val="00D12F06"/>
    <w:rsid w:val="00D130E3"/>
    <w:rsid w:val="00D13588"/>
    <w:rsid w:val="00D13711"/>
    <w:rsid w:val="00D13A0C"/>
    <w:rsid w:val="00D13C85"/>
    <w:rsid w:val="00D13F3D"/>
    <w:rsid w:val="00D14FEE"/>
    <w:rsid w:val="00D164B2"/>
    <w:rsid w:val="00D167F4"/>
    <w:rsid w:val="00D168F4"/>
    <w:rsid w:val="00D16D35"/>
    <w:rsid w:val="00D170E0"/>
    <w:rsid w:val="00D17257"/>
    <w:rsid w:val="00D172BA"/>
    <w:rsid w:val="00D179CB"/>
    <w:rsid w:val="00D17B7D"/>
    <w:rsid w:val="00D17DFF"/>
    <w:rsid w:val="00D20536"/>
    <w:rsid w:val="00D20AA3"/>
    <w:rsid w:val="00D20C8A"/>
    <w:rsid w:val="00D216BE"/>
    <w:rsid w:val="00D21E02"/>
    <w:rsid w:val="00D226BB"/>
    <w:rsid w:val="00D227ED"/>
    <w:rsid w:val="00D22A26"/>
    <w:rsid w:val="00D22EFE"/>
    <w:rsid w:val="00D234C4"/>
    <w:rsid w:val="00D23A8B"/>
    <w:rsid w:val="00D23FEC"/>
    <w:rsid w:val="00D24427"/>
    <w:rsid w:val="00D24C72"/>
    <w:rsid w:val="00D25012"/>
    <w:rsid w:val="00D26235"/>
    <w:rsid w:val="00D26C68"/>
    <w:rsid w:val="00D26D82"/>
    <w:rsid w:val="00D27058"/>
    <w:rsid w:val="00D27654"/>
    <w:rsid w:val="00D27C49"/>
    <w:rsid w:val="00D27C95"/>
    <w:rsid w:val="00D3092A"/>
    <w:rsid w:val="00D31311"/>
    <w:rsid w:val="00D313C9"/>
    <w:rsid w:val="00D316DF"/>
    <w:rsid w:val="00D31B32"/>
    <w:rsid w:val="00D32286"/>
    <w:rsid w:val="00D325B3"/>
    <w:rsid w:val="00D325CF"/>
    <w:rsid w:val="00D328F1"/>
    <w:rsid w:val="00D32B4A"/>
    <w:rsid w:val="00D33234"/>
    <w:rsid w:val="00D33ECF"/>
    <w:rsid w:val="00D33FA4"/>
    <w:rsid w:val="00D33FD9"/>
    <w:rsid w:val="00D34413"/>
    <w:rsid w:val="00D34552"/>
    <w:rsid w:val="00D34946"/>
    <w:rsid w:val="00D34969"/>
    <w:rsid w:val="00D34E1B"/>
    <w:rsid w:val="00D34E57"/>
    <w:rsid w:val="00D35149"/>
    <w:rsid w:val="00D356ED"/>
    <w:rsid w:val="00D35752"/>
    <w:rsid w:val="00D35994"/>
    <w:rsid w:val="00D35A9B"/>
    <w:rsid w:val="00D35AA3"/>
    <w:rsid w:val="00D35E93"/>
    <w:rsid w:val="00D35F42"/>
    <w:rsid w:val="00D35FCF"/>
    <w:rsid w:val="00D35FD9"/>
    <w:rsid w:val="00D35FED"/>
    <w:rsid w:val="00D3631C"/>
    <w:rsid w:val="00D36390"/>
    <w:rsid w:val="00D36711"/>
    <w:rsid w:val="00D36ABE"/>
    <w:rsid w:val="00D3707F"/>
    <w:rsid w:val="00D373E6"/>
    <w:rsid w:val="00D37612"/>
    <w:rsid w:val="00D4001F"/>
    <w:rsid w:val="00D40039"/>
    <w:rsid w:val="00D401BC"/>
    <w:rsid w:val="00D40355"/>
    <w:rsid w:val="00D40508"/>
    <w:rsid w:val="00D40634"/>
    <w:rsid w:val="00D40666"/>
    <w:rsid w:val="00D408B4"/>
    <w:rsid w:val="00D40F05"/>
    <w:rsid w:val="00D410CB"/>
    <w:rsid w:val="00D4159C"/>
    <w:rsid w:val="00D4184F"/>
    <w:rsid w:val="00D41D7C"/>
    <w:rsid w:val="00D420A9"/>
    <w:rsid w:val="00D42B3B"/>
    <w:rsid w:val="00D42EE0"/>
    <w:rsid w:val="00D43F20"/>
    <w:rsid w:val="00D43F30"/>
    <w:rsid w:val="00D446FF"/>
    <w:rsid w:val="00D449D0"/>
    <w:rsid w:val="00D4503C"/>
    <w:rsid w:val="00D454F9"/>
    <w:rsid w:val="00D45870"/>
    <w:rsid w:val="00D45CC4"/>
    <w:rsid w:val="00D45E90"/>
    <w:rsid w:val="00D46425"/>
    <w:rsid w:val="00D46BD4"/>
    <w:rsid w:val="00D46DB3"/>
    <w:rsid w:val="00D46E2B"/>
    <w:rsid w:val="00D470DD"/>
    <w:rsid w:val="00D47944"/>
    <w:rsid w:val="00D50580"/>
    <w:rsid w:val="00D50827"/>
    <w:rsid w:val="00D509D9"/>
    <w:rsid w:val="00D5127E"/>
    <w:rsid w:val="00D5186D"/>
    <w:rsid w:val="00D522A0"/>
    <w:rsid w:val="00D5243F"/>
    <w:rsid w:val="00D525B8"/>
    <w:rsid w:val="00D52724"/>
    <w:rsid w:val="00D5340C"/>
    <w:rsid w:val="00D53AB2"/>
    <w:rsid w:val="00D53D7E"/>
    <w:rsid w:val="00D54091"/>
    <w:rsid w:val="00D54841"/>
    <w:rsid w:val="00D54BB6"/>
    <w:rsid w:val="00D54C0B"/>
    <w:rsid w:val="00D54F43"/>
    <w:rsid w:val="00D5523A"/>
    <w:rsid w:val="00D555DB"/>
    <w:rsid w:val="00D556F5"/>
    <w:rsid w:val="00D5570A"/>
    <w:rsid w:val="00D55FF9"/>
    <w:rsid w:val="00D560F1"/>
    <w:rsid w:val="00D56A6A"/>
    <w:rsid w:val="00D5749B"/>
    <w:rsid w:val="00D574AF"/>
    <w:rsid w:val="00D6008F"/>
    <w:rsid w:val="00D604E1"/>
    <w:rsid w:val="00D60BCE"/>
    <w:rsid w:val="00D614A0"/>
    <w:rsid w:val="00D617AF"/>
    <w:rsid w:val="00D61B08"/>
    <w:rsid w:val="00D62A59"/>
    <w:rsid w:val="00D62B27"/>
    <w:rsid w:val="00D62B70"/>
    <w:rsid w:val="00D62CE1"/>
    <w:rsid w:val="00D62F29"/>
    <w:rsid w:val="00D63412"/>
    <w:rsid w:val="00D637DA"/>
    <w:rsid w:val="00D6389C"/>
    <w:rsid w:val="00D63B33"/>
    <w:rsid w:val="00D63CDD"/>
    <w:rsid w:val="00D6439C"/>
    <w:rsid w:val="00D647E1"/>
    <w:rsid w:val="00D64AAF"/>
    <w:rsid w:val="00D661FD"/>
    <w:rsid w:val="00D665D3"/>
    <w:rsid w:val="00D66C28"/>
    <w:rsid w:val="00D66CBB"/>
    <w:rsid w:val="00D67550"/>
    <w:rsid w:val="00D6771A"/>
    <w:rsid w:val="00D70B5D"/>
    <w:rsid w:val="00D70E85"/>
    <w:rsid w:val="00D7112C"/>
    <w:rsid w:val="00D7139E"/>
    <w:rsid w:val="00D71516"/>
    <w:rsid w:val="00D71CCA"/>
    <w:rsid w:val="00D7232B"/>
    <w:rsid w:val="00D724D3"/>
    <w:rsid w:val="00D731E5"/>
    <w:rsid w:val="00D73B5B"/>
    <w:rsid w:val="00D73E68"/>
    <w:rsid w:val="00D74EA5"/>
    <w:rsid w:val="00D74F17"/>
    <w:rsid w:val="00D75333"/>
    <w:rsid w:val="00D755C2"/>
    <w:rsid w:val="00D757AC"/>
    <w:rsid w:val="00D759D5"/>
    <w:rsid w:val="00D76320"/>
    <w:rsid w:val="00D764D4"/>
    <w:rsid w:val="00D76532"/>
    <w:rsid w:val="00D765D5"/>
    <w:rsid w:val="00D76791"/>
    <w:rsid w:val="00D76B50"/>
    <w:rsid w:val="00D76D46"/>
    <w:rsid w:val="00D77071"/>
    <w:rsid w:val="00D7731F"/>
    <w:rsid w:val="00D77606"/>
    <w:rsid w:val="00D77771"/>
    <w:rsid w:val="00D77A8B"/>
    <w:rsid w:val="00D77BA1"/>
    <w:rsid w:val="00D77F89"/>
    <w:rsid w:val="00D8051A"/>
    <w:rsid w:val="00D80DC5"/>
    <w:rsid w:val="00D80EDD"/>
    <w:rsid w:val="00D80FF8"/>
    <w:rsid w:val="00D81708"/>
    <w:rsid w:val="00D8174B"/>
    <w:rsid w:val="00D81C01"/>
    <w:rsid w:val="00D81D48"/>
    <w:rsid w:val="00D81E13"/>
    <w:rsid w:val="00D82064"/>
    <w:rsid w:val="00D8343F"/>
    <w:rsid w:val="00D837A9"/>
    <w:rsid w:val="00D844B7"/>
    <w:rsid w:val="00D845E7"/>
    <w:rsid w:val="00D8475A"/>
    <w:rsid w:val="00D849B9"/>
    <w:rsid w:val="00D84A1B"/>
    <w:rsid w:val="00D84B95"/>
    <w:rsid w:val="00D84CF4"/>
    <w:rsid w:val="00D8566E"/>
    <w:rsid w:val="00D860B8"/>
    <w:rsid w:val="00D864F0"/>
    <w:rsid w:val="00D867AB"/>
    <w:rsid w:val="00D86AB8"/>
    <w:rsid w:val="00D86B96"/>
    <w:rsid w:val="00D86F5F"/>
    <w:rsid w:val="00D8731E"/>
    <w:rsid w:val="00D878B3"/>
    <w:rsid w:val="00D900E5"/>
    <w:rsid w:val="00D909B2"/>
    <w:rsid w:val="00D90C29"/>
    <w:rsid w:val="00D90DB1"/>
    <w:rsid w:val="00D914E7"/>
    <w:rsid w:val="00D91B41"/>
    <w:rsid w:val="00D92340"/>
    <w:rsid w:val="00D9257D"/>
    <w:rsid w:val="00D92952"/>
    <w:rsid w:val="00D92AA9"/>
    <w:rsid w:val="00D93626"/>
    <w:rsid w:val="00D93A24"/>
    <w:rsid w:val="00D94574"/>
    <w:rsid w:val="00D946DB"/>
    <w:rsid w:val="00D94805"/>
    <w:rsid w:val="00D94C4D"/>
    <w:rsid w:val="00D95160"/>
    <w:rsid w:val="00D95240"/>
    <w:rsid w:val="00D956BC"/>
    <w:rsid w:val="00D96282"/>
    <w:rsid w:val="00D96781"/>
    <w:rsid w:val="00D97874"/>
    <w:rsid w:val="00D97931"/>
    <w:rsid w:val="00D979AE"/>
    <w:rsid w:val="00DA0B11"/>
    <w:rsid w:val="00DA1229"/>
    <w:rsid w:val="00DA1B84"/>
    <w:rsid w:val="00DA2445"/>
    <w:rsid w:val="00DA254C"/>
    <w:rsid w:val="00DA2E7A"/>
    <w:rsid w:val="00DA3127"/>
    <w:rsid w:val="00DA3860"/>
    <w:rsid w:val="00DA38E9"/>
    <w:rsid w:val="00DA393F"/>
    <w:rsid w:val="00DA3DE7"/>
    <w:rsid w:val="00DA41BE"/>
    <w:rsid w:val="00DA42B9"/>
    <w:rsid w:val="00DA52EE"/>
    <w:rsid w:val="00DA5E70"/>
    <w:rsid w:val="00DA6252"/>
    <w:rsid w:val="00DA6F41"/>
    <w:rsid w:val="00DA72A8"/>
    <w:rsid w:val="00DA7763"/>
    <w:rsid w:val="00DB0065"/>
    <w:rsid w:val="00DB00A2"/>
    <w:rsid w:val="00DB04D7"/>
    <w:rsid w:val="00DB09D3"/>
    <w:rsid w:val="00DB10F4"/>
    <w:rsid w:val="00DB158F"/>
    <w:rsid w:val="00DB1858"/>
    <w:rsid w:val="00DB1A2F"/>
    <w:rsid w:val="00DB1B36"/>
    <w:rsid w:val="00DB1F1F"/>
    <w:rsid w:val="00DB1F80"/>
    <w:rsid w:val="00DB2405"/>
    <w:rsid w:val="00DB27DF"/>
    <w:rsid w:val="00DB287B"/>
    <w:rsid w:val="00DB2B9F"/>
    <w:rsid w:val="00DB2EEF"/>
    <w:rsid w:val="00DB34D5"/>
    <w:rsid w:val="00DB3659"/>
    <w:rsid w:val="00DB3A2F"/>
    <w:rsid w:val="00DB3AD1"/>
    <w:rsid w:val="00DB4EB2"/>
    <w:rsid w:val="00DB4FA3"/>
    <w:rsid w:val="00DB5745"/>
    <w:rsid w:val="00DB5A79"/>
    <w:rsid w:val="00DB5AFA"/>
    <w:rsid w:val="00DB6067"/>
    <w:rsid w:val="00DB63DB"/>
    <w:rsid w:val="00DB6CFD"/>
    <w:rsid w:val="00DB6D3C"/>
    <w:rsid w:val="00DB75EB"/>
    <w:rsid w:val="00DB7784"/>
    <w:rsid w:val="00DC06C1"/>
    <w:rsid w:val="00DC08EF"/>
    <w:rsid w:val="00DC095E"/>
    <w:rsid w:val="00DC0F6B"/>
    <w:rsid w:val="00DC0FD3"/>
    <w:rsid w:val="00DC1307"/>
    <w:rsid w:val="00DC190C"/>
    <w:rsid w:val="00DC1912"/>
    <w:rsid w:val="00DC1ADD"/>
    <w:rsid w:val="00DC20A5"/>
    <w:rsid w:val="00DC21CA"/>
    <w:rsid w:val="00DC3C20"/>
    <w:rsid w:val="00DC3CD7"/>
    <w:rsid w:val="00DC3F64"/>
    <w:rsid w:val="00DC4138"/>
    <w:rsid w:val="00DC4244"/>
    <w:rsid w:val="00DC43BD"/>
    <w:rsid w:val="00DC4AC6"/>
    <w:rsid w:val="00DC4BC5"/>
    <w:rsid w:val="00DC4D53"/>
    <w:rsid w:val="00DC4E77"/>
    <w:rsid w:val="00DC5153"/>
    <w:rsid w:val="00DC5289"/>
    <w:rsid w:val="00DC52E1"/>
    <w:rsid w:val="00DC56BF"/>
    <w:rsid w:val="00DC5D15"/>
    <w:rsid w:val="00DC5D93"/>
    <w:rsid w:val="00DC61FF"/>
    <w:rsid w:val="00DC6213"/>
    <w:rsid w:val="00DC636A"/>
    <w:rsid w:val="00DC66BB"/>
    <w:rsid w:val="00DC6963"/>
    <w:rsid w:val="00DC6FCD"/>
    <w:rsid w:val="00DC7497"/>
    <w:rsid w:val="00DC7CE8"/>
    <w:rsid w:val="00DC7EA2"/>
    <w:rsid w:val="00DD0748"/>
    <w:rsid w:val="00DD0A68"/>
    <w:rsid w:val="00DD0DCD"/>
    <w:rsid w:val="00DD1545"/>
    <w:rsid w:val="00DD1848"/>
    <w:rsid w:val="00DD1AFE"/>
    <w:rsid w:val="00DD2727"/>
    <w:rsid w:val="00DD27BB"/>
    <w:rsid w:val="00DD2BE3"/>
    <w:rsid w:val="00DD2FCF"/>
    <w:rsid w:val="00DD326E"/>
    <w:rsid w:val="00DD3314"/>
    <w:rsid w:val="00DD34E2"/>
    <w:rsid w:val="00DD388D"/>
    <w:rsid w:val="00DD3BAE"/>
    <w:rsid w:val="00DD3F2C"/>
    <w:rsid w:val="00DD45DE"/>
    <w:rsid w:val="00DD4881"/>
    <w:rsid w:val="00DD5099"/>
    <w:rsid w:val="00DD52E0"/>
    <w:rsid w:val="00DD53EA"/>
    <w:rsid w:val="00DD5E3C"/>
    <w:rsid w:val="00DD61C2"/>
    <w:rsid w:val="00DD66A7"/>
    <w:rsid w:val="00DD66E7"/>
    <w:rsid w:val="00DD6987"/>
    <w:rsid w:val="00DD6C14"/>
    <w:rsid w:val="00DD7025"/>
    <w:rsid w:val="00DD7316"/>
    <w:rsid w:val="00DD7912"/>
    <w:rsid w:val="00DE0B77"/>
    <w:rsid w:val="00DE101E"/>
    <w:rsid w:val="00DE2298"/>
    <w:rsid w:val="00DE2319"/>
    <w:rsid w:val="00DE24FC"/>
    <w:rsid w:val="00DE2596"/>
    <w:rsid w:val="00DE2DA9"/>
    <w:rsid w:val="00DE35EC"/>
    <w:rsid w:val="00DE3F6D"/>
    <w:rsid w:val="00DE4110"/>
    <w:rsid w:val="00DE472F"/>
    <w:rsid w:val="00DE4AA5"/>
    <w:rsid w:val="00DE4AAF"/>
    <w:rsid w:val="00DE5124"/>
    <w:rsid w:val="00DE57B0"/>
    <w:rsid w:val="00DE5BB7"/>
    <w:rsid w:val="00DE6DD3"/>
    <w:rsid w:val="00DE7A3E"/>
    <w:rsid w:val="00DE7E3E"/>
    <w:rsid w:val="00DF0A04"/>
    <w:rsid w:val="00DF1446"/>
    <w:rsid w:val="00DF1452"/>
    <w:rsid w:val="00DF1854"/>
    <w:rsid w:val="00DF1F5F"/>
    <w:rsid w:val="00DF2235"/>
    <w:rsid w:val="00DF2701"/>
    <w:rsid w:val="00DF3ABE"/>
    <w:rsid w:val="00DF404D"/>
    <w:rsid w:val="00DF40AC"/>
    <w:rsid w:val="00DF41E3"/>
    <w:rsid w:val="00DF4BD3"/>
    <w:rsid w:val="00DF5263"/>
    <w:rsid w:val="00DF5E9F"/>
    <w:rsid w:val="00DF5FB5"/>
    <w:rsid w:val="00DF6535"/>
    <w:rsid w:val="00DF6786"/>
    <w:rsid w:val="00DF67F6"/>
    <w:rsid w:val="00DF6878"/>
    <w:rsid w:val="00DF68B8"/>
    <w:rsid w:val="00DF6A1D"/>
    <w:rsid w:val="00DF6AC7"/>
    <w:rsid w:val="00DF6EC6"/>
    <w:rsid w:val="00DF7F76"/>
    <w:rsid w:val="00E00083"/>
    <w:rsid w:val="00E003A0"/>
    <w:rsid w:val="00E003AA"/>
    <w:rsid w:val="00E00761"/>
    <w:rsid w:val="00E00779"/>
    <w:rsid w:val="00E00AFE"/>
    <w:rsid w:val="00E00BDA"/>
    <w:rsid w:val="00E00E0C"/>
    <w:rsid w:val="00E013A0"/>
    <w:rsid w:val="00E013AB"/>
    <w:rsid w:val="00E01466"/>
    <w:rsid w:val="00E015C8"/>
    <w:rsid w:val="00E01762"/>
    <w:rsid w:val="00E0192E"/>
    <w:rsid w:val="00E01938"/>
    <w:rsid w:val="00E01C57"/>
    <w:rsid w:val="00E0241E"/>
    <w:rsid w:val="00E02985"/>
    <w:rsid w:val="00E02EFD"/>
    <w:rsid w:val="00E039DD"/>
    <w:rsid w:val="00E03BCB"/>
    <w:rsid w:val="00E03F86"/>
    <w:rsid w:val="00E0471A"/>
    <w:rsid w:val="00E04A18"/>
    <w:rsid w:val="00E04BF8"/>
    <w:rsid w:val="00E04E81"/>
    <w:rsid w:val="00E04F2B"/>
    <w:rsid w:val="00E05300"/>
    <w:rsid w:val="00E05C66"/>
    <w:rsid w:val="00E05D7E"/>
    <w:rsid w:val="00E05E8F"/>
    <w:rsid w:val="00E05F82"/>
    <w:rsid w:val="00E05FA2"/>
    <w:rsid w:val="00E06677"/>
    <w:rsid w:val="00E066FE"/>
    <w:rsid w:val="00E06B9E"/>
    <w:rsid w:val="00E07412"/>
    <w:rsid w:val="00E0762A"/>
    <w:rsid w:val="00E07760"/>
    <w:rsid w:val="00E0793A"/>
    <w:rsid w:val="00E07F21"/>
    <w:rsid w:val="00E10502"/>
    <w:rsid w:val="00E1059F"/>
    <w:rsid w:val="00E10A23"/>
    <w:rsid w:val="00E10D0B"/>
    <w:rsid w:val="00E11420"/>
    <w:rsid w:val="00E1183B"/>
    <w:rsid w:val="00E11AC0"/>
    <w:rsid w:val="00E11D2B"/>
    <w:rsid w:val="00E12AB2"/>
    <w:rsid w:val="00E130C3"/>
    <w:rsid w:val="00E1344D"/>
    <w:rsid w:val="00E136D2"/>
    <w:rsid w:val="00E13776"/>
    <w:rsid w:val="00E1407D"/>
    <w:rsid w:val="00E14713"/>
    <w:rsid w:val="00E15500"/>
    <w:rsid w:val="00E15AF4"/>
    <w:rsid w:val="00E169D3"/>
    <w:rsid w:val="00E17F4D"/>
    <w:rsid w:val="00E2019A"/>
    <w:rsid w:val="00E217D3"/>
    <w:rsid w:val="00E21BD9"/>
    <w:rsid w:val="00E22162"/>
    <w:rsid w:val="00E22365"/>
    <w:rsid w:val="00E22428"/>
    <w:rsid w:val="00E225A5"/>
    <w:rsid w:val="00E22E7B"/>
    <w:rsid w:val="00E2392B"/>
    <w:rsid w:val="00E23DE6"/>
    <w:rsid w:val="00E23E9D"/>
    <w:rsid w:val="00E23FCA"/>
    <w:rsid w:val="00E24537"/>
    <w:rsid w:val="00E24FDE"/>
    <w:rsid w:val="00E2504E"/>
    <w:rsid w:val="00E250B4"/>
    <w:rsid w:val="00E25326"/>
    <w:rsid w:val="00E254D8"/>
    <w:rsid w:val="00E25749"/>
    <w:rsid w:val="00E25963"/>
    <w:rsid w:val="00E25EC8"/>
    <w:rsid w:val="00E269AA"/>
    <w:rsid w:val="00E26C16"/>
    <w:rsid w:val="00E271CB"/>
    <w:rsid w:val="00E2724B"/>
    <w:rsid w:val="00E30607"/>
    <w:rsid w:val="00E30851"/>
    <w:rsid w:val="00E30BF0"/>
    <w:rsid w:val="00E31BCD"/>
    <w:rsid w:val="00E31C73"/>
    <w:rsid w:val="00E31ED6"/>
    <w:rsid w:val="00E327DD"/>
    <w:rsid w:val="00E3375B"/>
    <w:rsid w:val="00E33CCB"/>
    <w:rsid w:val="00E34669"/>
    <w:rsid w:val="00E3524F"/>
    <w:rsid w:val="00E35C45"/>
    <w:rsid w:val="00E35C9D"/>
    <w:rsid w:val="00E35DF7"/>
    <w:rsid w:val="00E36A30"/>
    <w:rsid w:val="00E36C52"/>
    <w:rsid w:val="00E36E75"/>
    <w:rsid w:val="00E3720A"/>
    <w:rsid w:val="00E3739B"/>
    <w:rsid w:val="00E37602"/>
    <w:rsid w:val="00E376BD"/>
    <w:rsid w:val="00E37C2D"/>
    <w:rsid w:val="00E37DD8"/>
    <w:rsid w:val="00E37E68"/>
    <w:rsid w:val="00E400BA"/>
    <w:rsid w:val="00E401D6"/>
    <w:rsid w:val="00E407F2"/>
    <w:rsid w:val="00E40D1A"/>
    <w:rsid w:val="00E40F6A"/>
    <w:rsid w:val="00E41709"/>
    <w:rsid w:val="00E42121"/>
    <w:rsid w:val="00E42513"/>
    <w:rsid w:val="00E426E9"/>
    <w:rsid w:val="00E42E06"/>
    <w:rsid w:val="00E43012"/>
    <w:rsid w:val="00E436F1"/>
    <w:rsid w:val="00E43F4D"/>
    <w:rsid w:val="00E44110"/>
    <w:rsid w:val="00E44623"/>
    <w:rsid w:val="00E44CA0"/>
    <w:rsid w:val="00E44EFD"/>
    <w:rsid w:val="00E44FEB"/>
    <w:rsid w:val="00E450C4"/>
    <w:rsid w:val="00E452B0"/>
    <w:rsid w:val="00E45710"/>
    <w:rsid w:val="00E4586E"/>
    <w:rsid w:val="00E4641C"/>
    <w:rsid w:val="00E46997"/>
    <w:rsid w:val="00E46C39"/>
    <w:rsid w:val="00E5026F"/>
    <w:rsid w:val="00E50857"/>
    <w:rsid w:val="00E50E94"/>
    <w:rsid w:val="00E50F4B"/>
    <w:rsid w:val="00E50F8B"/>
    <w:rsid w:val="00E513FE"/>
    <w:rsid w:val="00E51C43"/>
    <w:rsid w:val="00E5219A"/>
    <w:rsid w:val="00E522A8"/>
    <w:rsid w:val="00E525EE"/>
    <w:rsid w:val="00E52668"/>
    <w:rsid w:val="00E527DD"/>
    <w:rsid w:val="00E52A83"/>
    <w:rsid w:val="00E52AAE"/>
    <w:rsid w:val="00E52CA5"/>
    <w:rsid w:val="00E53016"/>
    <w:rsid w:val="00E53136"/>
    <w:rsid w:val="00E5364D"/>
    <w:rsid w:val="00E5379B"/>
    <w:rsid w:val="00E54128"/>
    <w:rsid w:val="00E541C7"/>
    <w:rsid w:val="00E54217"/>
    <w:rsid w:val="00E5433A"/>
    <w:rsid w:val="00E544FE"/>
    <w:rsid w:val="00E54680"/>
    <w:rsid w:val="00E5495E"/>
    <w:rsid w:val="00E549B3"/>
    <w:rsid w:val="00E549B4"/>
    <w:rsid w:val="00E549F0"/>
    <w:rsid w:val="00E54E00"/>
    <w:rsid w:val="00E55606"/>
    <w:rsid w:val="00E5564C"/>
    <w:rsid w:val="00E55910"/>
    <w:rsid w:val="00E55E4F"/>
    <w:rsid w:val="00E567AE"/>
    <w:rsid w:val="00E56C23"/>
    <w:rsid w:val="00E56DD3"/>
    <w:rsid w:val="00E57656"/>
    <w:rsid w:val="00E5782D"/>
    <w:rsid w:val="00E60A38"/>
    <w:rsid w:val="00E60FDD"/>
    <w:rsid w:val="00E610A6"/>
    <w:rsid w:val="00E61E00"/>
    <w:rsid w:val="00E62415"/>
    <w:rsid w:val="00E625BC"/>
    <w:rsid w:val="00E628A5"/>
    <w:rsid w:val="00E63D36"/>
    <w:rsid w:val="00E640C9"/>
    <w:rsid w:val="00E642FC"/>
    <w:rsid w:val="00E64F16"/>
    <w:rsid w:val="00E65F97"/>
    <w:rsid w:val="00E65FBB"/>
    <w:rsid w:val="00E6606F"/>
    <w:rsid w:val="00E6677D"/>
    <w:rsid w:val="00E66A48"/>
    <w:rsid w:val="00E67811"/>
    <w:rsid w:val="00E6798D"/>
    <w:rsid w:val="00E67D4D"/>
    <w:rsid w:val="00E70345"/>
    <w:rsid w:val="00E7191F"/>
    <w:rsid w:val="00E71DAD"/>
    <w:rsid w:val="00E71E15"/>
    <w:rsid w:val="00E72050"/>
    <w:rsid w:val="00E7216F"/>
    <w:rsid w:val="00E72287"/>
    <w:rsid w:val="00E722A8"/>
    <w:rsid w:val="00E723C3"/>
    <w:rsid w:val="00E728E4"/>
    <w:rsid w:val="00E7352A"/>
    <w:rsid w:val="00E739FC"/>
    <w:rsid w:val="00E73E86"/>
    <w:rsid w:val="00E74A69"/>
    <w:rsid w:val="00E74F6F"/>
    <w:rsid w:val="00E751ED"/>
    <w:rsid w:val="00E75A35"/>
    <w:rsid w:val="00E761BF"/>
    <w:rsid w:val="00E76296"/>
    <w:rsid w:val="00E76BFC"/>
    <w:rsid w:val="00E774F2"/>
    <w:rsid w:val="00E775E3"/>
    <w:rsid w:val="00E77ACD"/>
    <w:rsid w:val="00E77F21"/>
    <w:rsid w:val="00E80A6F"/>
    <w:rsid w:val="00E80E96"/>
    <w:rsid w:val="00E81227"/>
    <w:rsid w:val="00E8185C"/>
    <w:rsid w:val="00E821AD"/>
    <w:rsid w:val="00E82328"/>
    <w:rsid w:val="00E8265A"/>
    <w:rsid w:val="00E826BE"/>
    <w:rsid w:val="00E828E2"/>
    <w:rsid w:val="00E8305A"/>
    <w:rsid w:val="00E83118"/>
    <w:rsid w:val="00E8313E"/>
    <w:rsid w:val="00E833DE"/>
    <w:rsid w:val="00E8386A"/>
    <w:rsid w:val="00E83C67"/>
    <w:rsid w:val="00E83E1F"/>
    <w:rsid w:val="00E8423B"/>
    <w:rsid w:val="00E845C0"/>
    <w:rsid w:val="00E85976"/>
    <w:rsid w:val="00E85C09"/>
    <w:rsid w:val="00E85D6F"/>
    <w:rsid w:val="00E85F69"/>
    <w:rsid w:val="00E861EB"/>
    <w:rsid w:val="00E86448"/>
    <w:rsid w:val="00E86673"/>
    <w:rsid w:val="00E86818"/>
    <w:rsid w:val="00E86B8B"/>
    <w:rsid w:val="00E87A0A"/>
    <w:rsid w:val="00E87D33"/>
    <w:rsid w:val="00E87F6A"/>
    <w:rsid w:val="00E90205"/>
    <w:rsid w:val="00E904C0"/>
    <w:rsid w:val="00E906AF"/>
    <w:rsid w:val="00E906C7"/>
    <w:rsid w:val="00E9082E"/>
    <w:rsid w:val="00E918E7"/>
    <w:rsid w:val="00E91B49"/>
    <w:rsid w:val="00E91EC4"/>
    <w:rsid w:val="00E9231A"/>
    <w:rsid w:val="00E924C2"/>
    <w:rsid w:val="00E92D95"/>
    <w:rsid w:val="00E93523"/>
    <w:rsid w:val="00E935F1"/>
    <w:rsid w:val="00E93902"/>
    <w:rsid w:val="00E93F0E"/>
    <w:rsid w:val="00E94A58"/>
    <w:rsid w:val="00E94CA6"/>
    <w:rsid w:val="00E95174"/>
    <w:rsid w:val="00E953CC"/>
    <w:rsid w:val="00E95697"/>
    <w:rsid w:val="00E95A2A"/>
    <w:rsid w:val="00E95E91"/>
    <w:rsid w:val="00E95EA1"/>
    <w:rsid w:val="00E9649C"/>
    <w:rsid w:val="00E96B2F"/>
    <w:rsid w:val="00E97397"/>
    <w:rsid w:val="00E9796A"/>
    <w:rsid w:val="00E97CC6"/>
    <w:rsid w:val="00E97FAB"/>
    <w:rsid w:val="00EA044A"/>
    <w:rsid w:val="00EA05E9"/>
    <w:rsid w:val="00EA05F2"/>
    <w:rsid w:val="00EA0A0B"/>
    <w:rsid w:val="00EA0B43"/>
    <w:rsid w:val="00EA1CB4"/>
    <w:rsid w:val="00EA1DC0"/>
    <w:rsid w:val="00EA1E4C"/>
    <w:rsid w:val="00EA25B5"/>
    <w:rsid w:val="00EA263E"/>
    <w:rsid w:val="00EA2F2D"/>
    <w:rsid w:val="00EA327E"/>
    <w:rsid w:val="00EA32DF"/>
    <w:rsid w:val="00EA33B5"/>
    <w:rsid w:val="00EA3E47"/>
    <w:rsid w:val="00EA3E86"/>
    <w:rsid w:val="00EA4263"/>
    <w:rsid w:val="00EA44EA"/>
    <w:rsid w:val="00EA490D"/>
    <w:rsid w:val="00EA4EF3"/>
    <w:rsid w:val="00EA5266"/>
    <w:rsid w:val="00EA5B8F"/>
    <w:rsid w:val="00EA6977"/>
    <w:rsid w:val="00EA6CDA"/>
    <w:rsid w:val="00EA6FA8"/>
    <w:rsid w:val="00EA7037"/>
    <w:rsid w:val="00EA7094"/>
    <w:rsid w:val="00EA7AA4"/>
    <w:rsid w:val="00EA7BF2"/>
    <w:rsid w:val="00EA7FD3"/>
    <w:rsid w:val="00EB03B4"/>
    <w:rsid w:val="00EB0D14"/>
    <w:rsid w:val="00EB140F"/>
    <w:rsid w:val="00EB1948"/>
    <w:rsid w:val="00EB1A7F"/>
    <w:rsid w:val="00EB1BD7"/>
    <w:rsid w:val="00EB2566"/>
    <w:rsid w:val="00EB2BF4"/>
    <w:rsid w:val="00EB3453"/>
    <w:rsid w:val="00EB37BB"/>
    <w:rsid w:val="00EB38B9"/>
    <w:rsid w:val="00EB436C"/>
    <w:rsid w:val="00EB4630"/>
    <w:rsid w:val="00EB5287"/>
    <w:rsid w:val="00EB592F"/>
    <w:rsid w:val="00EB5998"/>
    <w:rsid w:val="00EB5A3F"/>
    <w:rsid w:val="00EB6043"/>
    <w:rsid w:val="00EB6076"/>
    <w:rsid w:val="00EB6423"/>
    <w:rsid w:val="00EB6685"/>
    <w:rsid w:val="00EB73D2"/>
    <w:rsid w:val="00EB765C"/>
    <w:rsid w:val="00EB773B"/>
    <w:rsid w:val="00EB7CDD"/>
    <w:rsid w:val="00EC04FC"/>
    <w:rsid w:val="00EC12DC"/>
    <w:rsid w:val="00EC186C"/>
    <w:rsid w:val="00EC1905"/>
    <w:rsid w:val="00EC26C4"/>
    <w:rsid w:val="00EC2878"/>
    <w:rsid w:val="00EC306F"/>
    <w:rsid w:val="00EC3088"/>
    <w:rsid w:val="00EC34BD"/>
    <w:rsid w:val="00EC354D"/>
    <w:rsid w:val="00EC35B4"/>
    <w:rsid w:val="00EC37CE"/>
    <w:rsid w:val="00EC392A"/>
    <w:rsid w:val="00EC3BA1"/>
    <w:rsid w:val="00EC445F"/>
    <w:rsid w:val="00EC44C8"/>
    <w:rsid w:val="00EC4A82"/>
    <w:rsid w:val="00EC5523"/>
    <w:rsid w:val="00EC5862"/>
    <w:rsid w:val="00EC5BD4"/>
    <w:rsid w:val="00EC60CC"/>
    <w:rsid w:val="00EC60D3"/>
    <w:rsid w:val="00EC61E4"/>
    <w:rsid w:val="00EC7465"/>
    <w:rsid w:val="00EC77F9"/>
    <w:rsid w:val="00ED0217"/>
    <w:rsid w:val="00ED0A76"/>
    <w:rsid w:val="00ED0EDB"/>
    <w:rsid w:val="00ED10B6"/>
    <w:rsid w:val="00ED12ED"/>
    <w:rsid w:val="00ED2312"/>
    <w:rsid w:val="00ED2AF5"/>
    <w:rsid w:val="00ED2EB5"/>
    <w:rsid w:val="00ED3396"/>
    <w:rsid w:val="00ED34B4"/>
    <w:rsid w:val="00ED3617"/>
    <w:rsid w:val="00ED3C4A"/>
    <w:rsid w:val="00ED42AB"/>
    <w:rsid w:val="00ED4797"/>
    <w:rsid w:val="00ED47EB"/>
    <w:rsid w:val="00ED48E9"/>
    <w:rsid w:val="00ED5658"/>
    <w:rsid w:val="00ED5661"/>
    <w:rsid w:val="00ED5FE9"/>
    <w:rsid w:val="00ED60BB"/>
    <w:rsid w:val="00ED6145"/>
    <w:rsid w:val="00ED62B3"/>
    <w:rsid w:val="00ED6514"/>
    <w:rsid w:val="00ED6718"/>
    <w:rsid w:val="00ED6E1E"/>
    <w:rsid w:val="00ED6E77"/>
    <w:rsid w:val="00ED7316"/>
    <w:rsid w:val="00ED75E5"/>
    <w:rsid w:val="00ED775B"/>
    <w:rsid w:val="00ED7861"/>
    <w:rsid w:val="00EE0D05"/>
    <w:rsid w:val="00EE12B8"/>
    <w:rsid w:val="00EE1AE2"/>
    <w:rsid w:val="00EE21B4"/>
    <w:rsid w:val="00EE323B"/>
    <w:rsid w:val="00EE363C"/>
    <w:rsid w:val="00EE414A"/>
    <w:rsid w:val="00EE42B0"/>
    <w:rsid w:val="00EE48AF"/>
    <w:rsid w:val="00EE5096"/>
    <w:rsid w:val="00EE5BBE"/>
    <w:rsid w:val="00EE61C4"/>
    <w:rsid w:val="00EE63D1"/>
    <w:rsid w:val="00EE69A6"/>
    <w:rsid w:val="00EE7265"/>
    <w:rsid w:val="00EE7A3D"/>
    <w:rsid w:val="00EE7C6E"/>
    <w:rsid w:val="00EE7E25"/>
    <w:rsid w:val="00EE7FC9"/>
    <w:rsid w:val="00EF0211"/>
    <w:rsid w:val="00EF02B4"/>
    <w:rsid w:val="00EF0A06"/>
    <w:rsid w:val="00EF0D9F"/>
    <w:rsid w:val="00EF10BE"/>
    <w:rsid w:val="00EF1371"/>
    <w:rsid w:val="00EF16CE"/>
    <w:rsid w:val="00EF1C2F"/>
    <w:rsid w:val="00EF1D15"/>
    <w:rsid w:val="00EF2049"/>
    <w:rsid w:val="00EF2299"/>
    <w:rsid w:val="00EF2A43"/>
    <w:rsid w:val="00EF2E86"/>
    <w:rsid w:val="00EF3549"/>
    <w:rsid w:val="00EF39AA"/>
    <w:rsid w:val="00EF3A0C"/>
    <w:rsid w:val="00EF3A5A"/>
    <w:rsid w:val="00EF3C5C"/>
    <w:rsid w:val="00EF4314"/>
    <w:rsid w:val="00EF43B2"/>
    <w:rsid w:val="00EF46CE"/>
    <w:rsid w:val="00EF4B16"/>
    <w:rsid w:val="00EF4B1B"/>
    <w:rsid w:val="00EF4D6F"/>
    <w:rsid w:val="00EF51BB"/>
    <w:rsid w:val="00EF5441"/>
    <w:rsid w:val="00EF589C"/>
    <w:rsid w:val="00EF5DAE"/>
    <w:rsid w:val="00EF5E38"/>
    <w:rsid w:val="00EF5FEC"/>
    <w:rsid w:val="00EF60D3"/>
    <w:rsid w:val="00EF6202"/>
    <w:rsid w:val="00EF642C"/>
    <w:rsid w:val="00EF6555"/>
    <w:rsid w:val="00EF66AB"/>
    <w:rsid w:val="00EF7096"/>
    <w:rsid w:val="00EF70EE"/>
    <w:rsid w:val="00EF73E0"/>
    <w:rsid w:val="00EF7C02"/>
    <w:rsid w:val="00F00387"/>
    <w:rsid w:val="00F00A3A"/>
    <w:rsid w:val="00F0199C"/>
    <w:rsid w:val="00F01B29"/>
    <w:rsid w:val="00F01F8D"/>
    <w:rsid w:val="00F01FA3"/>
    <w:rsid w:val="00F02146"/>
    <w:rsid w:val="00F0247B"/>
    <w:rsid w:val="00F02566"/>
    <w:rsid w:val="00F026F2"/>
    <w:rsid w:val="00F039EA"/>
    <w:rsid w:val="00F03A89"/>
    <w:rsid w:val="00F03ADE"/>
    <w:rsid w:val="00F03F19"/>
    <w:rsid w:val="00F041B1"/>
    <w:rsid w:val="00F04279"/>
    <w:rsid w:val="00F04865"/>
    <w:rsid w:val="00F048DA"/>
    <w:rsid w:val="00F04B11"/>
    <w:rsid w:val="00F04F6E"/>
    <w:rsid w:val="00F05271"/>
    <w:rsid w:val="00F052F9"/>
    <w:rsid w:val="00F053F6"/>
    <w:rsid w:val="00F0574E"/>
    <w:rsid w:val="00F064D2"/>
    <w:rsid w:val="00F067A0"/>
    <w:rsid w:val="00F06C39"/>
    <w:rsid w:val="00F07521"/>
    <w:rsid w:val="00F076B1"/>
    <w:rsid w:val="00F07A5F"/>
    <w:rsid w:val="00F07AFB"/>
    <w:rsid w:val="00F07CAF"/>
    <w:rsid w:val="00F10894"/>
    <w:rsid w:val="00F10D8C"/>
    <w:rsid w:val="00F11224"/>
    <w:rsid w:val="00F116CE"/>
    <w:rsid w:val="00F11DAA"/>
    <w:rsid w:val="00F124F3"/>
    <w:rsid w:val="00F1253F"/>
    <w:rsid w:val="00F1330A"/>
    <w:rsid w:val="00F133BA"/>
    <w:rsid w:val="00F136BD"/>
    <w:rsid w:val="00F13D21"/>
    <w:rsid w:val="00F14B1E"/>
    <w:rsid w:val="00F14C51"/>
    <w:rsid w:val="00F1525B"/>
    <w:rsid w:val="00F15A05"/>
    <w:rsid w:val="00F15AB5"/>
    <w:rsid w:val="00F15BF9"/>
    <w:rsid w:val="00F15EDE"/>
    <w:rsid w:val="00F16024"/>
    <w:rsid w:val="00F1626D"/>
    <w:rsid w:val="00F1638B"/>
    <w:rsid w:val="00F16615"/>
    <w:rsid w:val="00F16FC4"/>
    <w:rsid w:val="00F17052"/>
    <w:rsid w:val="00F17636"/>
    <w:rsid w:val="00F1764F"/>
    <w:rsid w:val="00F2037F"/>
    <w:rsid w:val="00F20D1A"/>
    <w:rsid w:val="00F20DF1"/>
    <w:rsid w:val="00F213AB"/>
    <w:rsid w:val="00F21593"/>
    <w:rsid w:val="00F223CF"/>
    <w:rsid w:val="00F2265A"/>
    <w:rsid w:val="00F22978"/>
    <w:rsid w:val="00F22B94"/>
    <w:rsid w:val="00F22E58"/>
    <w:rsid w:val="00F230C3"/>
    <w:rsid w:val="00F231D7"/>
    <w:rsid w:val="00F234B7"/>
    <w:rsid w:val="00F240ED"/>
    <w:rsid w:val="00F246F0"/>
    <w:rsid w:val="00F25192"/>
    <w:rsid w:val="00F25359"/>
    <w:rsid w:val="00F25783"/>
    <w:rsid w:val="00F259A5"/>
    <w:rsid w:val="00F25C2C"/>
    <w:rsid w:val="00F260BD"/>
    <w:rsid w:val="00F263EF"/>
    <w:rsid w:val="00F265C7"/>
    <w:rsid w:val="00F267D7"/>
    <w:rsid w:val="00F26B3C"/>
    <w:rsid w:val="00F273A9"/>
    <w:rsid w:val="00F27751"/>
    <w:rsid w:val="00F27B49"/>
    <w:rsid w:val="00F27D9B"/>
    <w:rsid w:val="00F27E85"/>
    <w:rsid w:val="00F27EA3"/>
    <w:rsid w:val="00F301ED"/>
    <w:rsid w:val="00F3042B"/>
    <w:rsid w:val="00F30767"/>
    <w:rsid w:val="00F30786"/>
    <w:rsid w:val="00F30CB8"/>
    <w:rsid w:val="00F30F8D"/>
    <w:rsid w:val="00F31565"/>
    <w:rsid w:val="00F315FD"/>
    <w:rsid w:val="00F317EE"/>
    <w:rsid w:val="00F3262E"/>
    <w:rsid w:val="00F326D2"/>
    <w:rsid w:val="00F329FF"/>
    <w:rsid w:val="00F32CFB"/>
    <w:rsid w:val="00F32EBB"/>
    <w:rsid w:val="00F33D04"/>
    <w:rsid w:val="00F34537"/>
    <w:rsid w:val="00F348A7"/>
    <w:rsid w:val="00F34EEC"/>
    <w:rsid w:val="00F35185"/>
    <w:rsid w:val="00F36396"/>
    <w:rsid w:val="00F366E9"/>
    <w:rsid w:val="00F36A43"/>
    <w:rsid w:val="00F36E24"/>
    <w:rsid w:val="00F371E0"/>
    <w:rsid w:val="00F3784A"/>
    <w:rsid w:val="00F402EC"/>
    <w:rsid w:val="00F403CE"/>
    <w:rsid w:val="00F40835"/>
    <w:rsid w:val="00F4097A"/>
    <w:rsid w:val="00F40E9D"/>
    <w:rsid w:val="00F41370"/>
    <w:rsid w:val="00F415BC"/>
    <w:rsid w:val="00F41707"/>
    <w:rsid w:val="00F41E93"/>
    <w:rsid w:val="00F42484"/>
    <w:rsid w:val="00F4276F"/>
    <w:rsid w:val="00F42AFB"/>
    <w:rsid w:val="00F435EE"/>
    <w:rsid w:val="00F43A7E"/>
    <w:rsid w:val="00F43D4E"/>
    <w:rsid w:val="00F43E01"/>
    <w:rsid w:val="00F43F42"/>
    <w:rsid w:val="00F4478D"/>
    <w:rsid w:val="00F44A88"/>
    <w:rsid w:val="00F4520B"/>
    <w:rsid w:val="00F455E3"/>
    <w:rsid w:val="00F45775"/>
    <w:rsid w:val="00F45838"/>
    <w:rsid w:val="00F461B4"/>
    <w:rsid w:val="00F4625A"/>
    <w:rsid w:val="00F4629E"/>
    <w:rsid w:val="00F4631B"/>
    <w:rsid w:val="00F463DB"/>
    <w:rsid w:val="00F469C5"/>
    <w:rsid w:val="00F4737A"/>
    <w:rsid w:val="00F47780"/>
    <w:rsid w:val="00F47A33"/>
    <w:rsid w:val="00F47F93"/>
    <w:rsid w:val="00F47FFE"/>
    <w:rsid w:val="00F50592"/>
    <w:rsid w:val="00F5071A"/>
    <w:rsid w:val="00F507D4"/>
    <w:rsid w:val="00F50C29"/>
    <w:rsid w:val="00F50E29"/>
    <w:rsid w:val="00F50E35"/>
    <w:rsid w:val="00F513AD"/>
    <w:rsid w:val="00F514D2"/>
    <w:rsid w:val="00F519CB"/>
    <w:rsid w:val="00F51DFA"/>
    <w:rsid w:val="00F51FF9"/>
    <w:rsid w:val="00F524A6"/>
    <w:rsid w:val="00F524C7"/>
    <w:rsid w:val="00F52943"/>
    <w:rsid w:val="00F52E86"/>
    <w:rsid w:val="00F53825"/>
    <w:rsid w:val="00F53CE9"/>
    <w:rsid w:val="00F541E9"/>
    <w:rsid w:val="00F545DB"/>
    <w:rsid w:val="00F547AA"/>
    <w:rsid w:val="00F5486B"/>
    <w:rsid w:val="00F549E1"/>
    <w:rsid w:val="00F54F7E"/>
    <w:rsid w:val="00F54FAF"/>
    <w:rsid w:val="00F55424"/>
    <w:rsid w:val="00F55477"/>
    <w:rsid w:val="00F55D02"/>
    <w:rsid w:val="00F55F2E"/>
    <w:rsid w:val="00F5661E"/>
    <w:rsid w:val="00F5728F"/>
    <w:rsid w:val="00F57424"/>
    <w:rsid w:val="00F57801"/>
    <w:rsid w:val="00F579D3"/>
    <w:rsid w:val="00F60A75"/>
    <w:rsid w:val="00F60CFF"/>
    <w:rsid w:val="00F60D72"/>
    <w:rsid w:val="00F61054"/>
    <w:rsid w:val="00F61996"/>
    <w:rsid w:val="00F62208"/>
    <w:rsid w:val="00F62238"/>
    <w:rsid w:val="00F62A1F"/>
    <w:rsid w:val="00F62AB6"/>
    <w:rsid w:val="00F62C68"/>
    <w:rsid w:val="00F63119"/>
    <w:rsid w:val="00F63720"/>
    <w:rsid w:val="00F63D5D"/>
    <w:rsid w:val="00F63F0A"/>
    <w:rsid w:val="00F6471D"/>
    <w:rsid w:val="00F647D1"/>
    <w:rsid w:val="00F64943"/>
    <w:rsid w:val="00F649BC"/>
    <w:rsid w:val="00F64E49"/>
    <w:rsid w:val="00F65693"/>
    <w:rsid w:val="00F657B2"/>
    <w:rsid w:val="00F65B35"/>
    <w:rsid w:val="00F662FF"/>
    <w:rsid w:val="00F668DE"/>
    <w:rsid w:val="00F66C7C"/>
    <w:rsid w:val="00F66C9E"/>
    <w:rsid w:val="00F67189"/>
    <w:rsid w:val="00F6740A"/>
    <w:rsid w:val="00F67439"/>
    <w:rsid w:val="00F67656"/>
    <w:rsid w:val="00F67731"/>
    <w:rsid w:val="00F67C20"/>
    <w:rsid w:val="00F701DB"/>
    <w:rsid w:val="00F707EF"/>
    <w:rsid w:val="00F70B92"/>
    <w:rsid w:val="00F70C76"/>
    <w:rsid w:val="00F70DA4"/>
    <w:rsid w:val="00F7139F"/>
    <w:rsid w:val="00F7140B"/>
    <w:rsid w:val="00F71D3F"/>
    <w:rsid w:val="00F71EB8"/>
    <w:rsid w:val="00F726DD"/>
    <w:rsid w:val="00F72A4E"/>
    <w:rsid w:val="00F731DD"/>
    <w:rsid w:val="00F73258"/>
    <w:rsid w:val="00F73369"/>
    <w:rsid w:val="00F73A85"/>
    <w:rsid w:val="00F73AA5"/>
    <w:rsid w:val="00F73B11"/>
    <w:rsid w:val="00F73B82"/>
    <w:rsid w:val="00F73F23"/>
    <w:rsid w:val="00F74830"/>
    <w:rsid w:val="00F74934"/>
    <w:rsid w:val="00F74C09"/>
    <w:rsid w:val="00F75642"/>
    <w:rsid w:val="00F7564B"/>
    <w:rsid w:val="00F75820"/>
    <w:rsid w:val="00F7593D"/>
    <w:rsid w:val="00F75977"/>
    <w:rsid w:val="00F75C2B"/>
    <w:rsid w:val="00F75C7F"/>
    <w:rsid w:val="00F75EA8"/>
    <w:rsid w:val="00F75EB2"/>
    <w:rsid w:val="00F75FB8"/>
    <w:rsid w:val="00F7601B"/>
    <w:rsid w:val="00F765FF"/>
    <w:rsid w:val="00F7683C"/>
    <w:rsid w:val="00F77166"/>
    <w:rsid w:val="00F7798B"/>
    <w:rsid w:val="00F77FFE"/>
    <w:rsid w:val="00F8054A"/>
    <w:rsid w:val="00F805BD"/>
    <w:rsid w:val="00F805EE"/>
    <w:rsid w:val="00F80751"/>
    <w:rsid w:val="00F819F6"/>
    <w:rsid w:val="00F81E7E"/>
    <w:rsid w:val="00F82170"/>
    <w:rsid w:val="00F82216"/>
    <w:rsid w:val="00F8228D"/>
    <w:rsid w:val="00F825B6"/>
    <w:rsid w:val="00F82735"/>
    <w:rsid w:val="00F82C2F"/>
    <w:rsid w:val="00F82D7F"/>
    <w:rsid w:val="00F82FFC"/>
    <w:rsid w:val="00F83AB6"/>
    <w:rsid w:val="00F83D77"/>
    <w:rsid w:val="00F84219"/>
    <w:rsid w:val="00F8498B"/>
    <w:rsid w:val="00F84DFB"/>
    <w:rsid w:val="00F851CA"/>
    <w:rsid w:val="00F85816"/>
    <w:rsid w:val="00F85B1F"/>
    <w:rsid w:val="00F85B79"/>
    <w:rsid w:val="00F85C90"/>
    <w:rsid w:val="00F86137"/>
    <w:rsid w:val="00F86295"/>
    <w:rsid w:val="00F862D5"/>
    <w:rsid w:val="00F862EA"/>
    <w:rsid w:val="00F863E0"/>
    <w:rsid w:val="00F869B6"/>
    <w:rsid w:val="00F87A50"/>
    <w:rsid w:val="00F87B8C"/>
    <w:rsid w:val="00F90155"/>
    <w:rsid w:val="00F918F7"/>
    <w:rsid w:val="00F91B1B"/>
    <w:rsid w:val="00F91BB5"/>
    <w:rsid w:val="00F91D51"/>
    <w:rsid w:val="00F91E4F"/>
    <w:rsid w:val="00F91FE9"/>
    <w:rsid w:val="00F92159"/>
    <w:rsid w:val="00F923EC"/>
    <w:rsid w:val="00F92476"/>
    <w:rsid w:val="00F92684"/>
    <w:rsid w:val="00F92801"/>
    <w:rsid w:val="00F92A26"/>
    <w:rsid w:val="00F93325"/>
    <w:rsid w:val="00F9360A"/>
    <w:rsid w:val="00F93EAD"/>
    <w:rsid w:val="00F93FAE"/>
    <w:rsid w:val="00F941CC"/>
    <w:rsid w:val="00F957DA"/>
    <w:rsid w:val="00F959B2"/>
    <w:rsid w:val="00F96A8B"/>
    <w:rsid w:val="00F96F59"/>
    <w:rsid w:val="00F970BF"/>
    <w:rsid w:val="00F9746A"/>
    <w:rsid w:val="00FA0114"/>
    <w:rsid w:val="00FA03C1"/>
    <w:rsid w:val="00FA0688"/>
    <w:rsid w:val="00FA070E"/>
    <w:rsid w:val="00FA09AD"/>
    <w:rsid w:val="00FA208E"/>
    <w:rsid w:val="00FA20A2"/>
    <w:rsid w:val="00FA2305"/>
    <w:rsid w:val="00FA23AA"/>
    <w:rsid w:val="00FA303A"/>
    <w:rsid w:val="00FA364C"/>
    <w:rsid w:val="00FA37C3"/>
    <w:rsid w:val="00FA3FBE"/>
    <w:rsid w:val="00FA3FCB"/>
    <w:rsid w:val="00FA425D"/>
    <w:rsid w:val="00FA4462"/>
    <w:rsid w:val="00FA4B06"/>
    <w:rsid w:val="00FA4B17"/>
    <w:rsid w:val="00FA58C5"/>
    <w:rsid w:val="00FA596C"/>
    <w:rsid w:val="00FA5F3F"/>
    <w:rsid w:val="00FA6274"/>
    <w:rsid w:val="00FA6320"/>
    <w:rsid w:val="00FA64A6"/>
    <w:rsid w:val="00FA6721"/>
    <w:rsid w:val="00FA6CA3"/>
    <w:rsid w:val="00FA7326"/>
    <w:rsid w:val="00FA7DB6"/>
    <w:rsid w:val="00FA7DEE"/>
    <w:rsid w:val="00FA7F2C"/>
    <w:rsid w:val="00FA7FE0"/>
    <w:rsid w:val="00FB02B8"/>
    <w:rsid w:val="00FB035D"/>
    <w:rsid w:val="00FB05EA"/>
    <w:rsid w:val="00FB0701"/>
    <w:rsid w:val="00FB0740"/>
    <w:rsid w:val="00FB0B69"/>
    <w:rsid w:val="00FB1532"/>
    <w:rsid w:val="00FB222F"/>
    <w:rsid w:val="00FB22C6"/>
    <w:rsid w:val="00FB2918"/>
    <w:rsid w:val="00FB2C82"/>
    <w:rsid w:val="00FB43F9"/>
    <w:rsid w:val="00FB46D3"/>
    <w:rsid w:val="00FB48C8"/>
    <w:rsid w:val="00FB4911"/>
    <w:rsid w:val="00FB5190"/>
    <w:rsid w:val="00FB59DA"/>
    <w:rsid w:val="00FB5A89"/>
    <w:rsid w:val="00FB5F7C"/>
    <w:rsid w:val="00FB60CB"/>
    <w:rsid w:val="00FB6671"/>
    <w:rsid w:val="00FB6EF6"/>
    <w:rsid w:val="00FB72CD"/>
    <w:rsid w:val="00FB7536"/>
    <w:rsid w:val="00FB7FE8"/>
    <w:rsid w:val="00FC00AC"/>
    <w:rsid w:val="00FC0225"/>
    <w:rsid w:val="00FC09A7"/>
    <w:rsid w:val="00FC0ACA"/>
    <w:rsid w:val="00FC0C63"/>
    <w:rsid w:val="00FC0C90"/>
    <w:rsid w:val="00FC0EDE"/>
    <w:rsid w:val="00FC1324"/>
    <w:rsid w:val="00FC1327"/>
    <w:rsid w:val="00FC19D2"/>
    <w:rsid w:val="00FC1E70"/>
    <w:rsid w:val="00FC1FF0"/>
    <w:rsid w:val="00FC20BB"/>
    <w:rsid w:val="00FC26DE"/>
    <w:rsid w:val="00FC27F3"/>
    <w:rsid w:val="00FC2A56"/>
    <w:rsid w:val="00FC2B0E"/>
    <w:rsid w:val="00FC2B57"/>
    <w:rsid w:val="00FC2BEB"/>
    <w:rsid w:val="00FC2E0F"/>
    <w:rsid w:val="00FC3697"/>
    <w:rsid w:val="00FC3771"/>
    <w:rsid w:val="00FC3C07"/>
    <w:rsid w:val="00FC3DEA"/>
    <w:rsid w:val="00FC41C5"/>
    <w:rsid w:val="00FC4405"/>
    <w:rsid w:val="00FC445B"/>
    <w:rsid w:val="00FC4604"/>
    <w:rsid w:val="00FC46B8"/>
    <w:rsid w:val="00FC48F6"/>
    <w:rsid w:val="00FC4DBC"/>
    <w:rsid w:val="00FC4DC6"/>
    <w:rsid w:val="00FC5189"/>
    <w:rsid w:val="00FC51AB"/>
    <w:rsid w:val="00FC5212"/>
    <w:rsid w:val="00FC57D0"/>
    <w:rsid w:val="00FC718E"/>
    <w:rsid w:val="00FD04F3"/>
    <w:rsid w:val="00FD09F8"/>
    <w:rsid w:val="00FD0D5D"/>
    <w:rsid w:val="00FD0DB5"/>
    <w:rsid w:val="00FD0DDC"/>
    <w:rsid w:val="00FD0F79"/>
    <w:rsid w:val="00FD1261"/>
    <w:rsid w:val="00FD17AD"/>
    <w:rsid w:val="00FD183A"/>
    <w:rsid w:val="00FD1915"/>
    <w:rsid w:val="00FD2606"/>
    <w:rsid w:val="00FD2694"/>
    <w:rsid w:val="00FD2830"/>
    <w:rsid w:val="00FD2B88"/>
    <w:rsid w:val="00FD2D8A"/>
    <w:rsid w:val="00FD2DC8"/>
    <w:rsid w:val="00FD337D"/>
    <w:rsid w:val="00FD3432"/>
    <w:rsid w:val="00FD3434"/>
    <w:rsid w:val="00FD3B42"/>
    <w:rsid w:val="00FD407F"/>
    <w:rsid w:val="00FD416F"/>
    <w:rsid w:val="00FD439B"/>
    <w:rsid w:val="00FD4669"/>
    <w:rsid w:val="00FD4C16"/>
    <w:rsid w:val="00FD511F"/>
    <w:rsid w:val="00FD57BC"/>
    <w:rsid w:val="00FD59FB"/>
    <w:rsid w:val="00FD5BD4"/>
    <w:rsid w:val="00FD62D4"/>
    <w:rsid w:val="00FD6BF4"/>
    <w:rsid w:val="00FD79AB"/>
    <w:rsid w:val="00FE069F"/>
    <w:rsid w:val="00FE0740"/>
    <w:rsid w:val="00FE16B2"/>
    <w:rsid w:val="00FE1B44"/>
    <w:rsid w:val="00FE213F"/>
    <w:rsid w:val="00FE23CB"/>
    <w:rsid w:val="00FE2D92"/>
    <w:rsid w:val="00FE3551"/>
    <w:rsid w:val="00FE364B"/>
    <w:rsid w:val="00FE367F"/>
    <w:rsid w:val="00FE50AF"/>
    <w:rsid w:val="00FE5AC5"/>
    <w:rsid w:val="00FE5B28"/>
    <w:rsid w:val="00FE60FA"/>
    <w:rsid w:val="00FE6D0B"/>
    <w:rsid w:val="00FE6E0C"/>
    <w:rsid w:val="00FE6E93"/>
    <w:rsid w:val="00FE743F"/>
    <w:rsid w:val="00FE7A11"/>
    <w:rsid w:val="00FF0719"/>
    <w:rsid w:val="00FF0888"/>
    <w:rsid w:val="00FF1398"/>
    <w:rsid w:val="00FF185C"/>
    <w:rsid w:val="00FF2056"/>
    <w:rsid w:val="00FF20F9"/>
    <w:rsid w:val="00FF252A"/>
    <w:rsid w:val="00FF2831"/>
    <w:rsid w:val="00FF29A6"/>
    <w:rsid w:val="00FF2C52"/>
    <w:rsid w:val="00FF3533"/>
    <w:rsid w:val="00FF3A35"/>
    <w:rsid w:val="00FF3DF1"/>
    <w:rsid w:val="00FF443B"/>
    <w:rsid w:val="00FF4FEA"/>
    <w:rsid w:val="00FF5116"/>
    <w:rsid w:val="00FF5403"/>
    <w:rsid w:val="00FF5AD8"/>
    <w:rsid w:val="00FF628C"/>
    <w:rsid w:val="00FF660B"/>
    <w:rsid w:val="00FF69FD"/>
    <w:rsid w:val="00FF6A0A"/>
    <w:rsid w:val="00FF70DA"/>
    <w:rsid w:val="00FF7B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4643198"/>
  <w15:chartTrackingRefBased/>
  <w15:docId w15:val="{5B65B2CB-B81A-47FC-A815-68B774BF6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toc 1" w:uiPriority="39"/>
    <w:lsdException w:name="toc 2" w:uiPriority="39"/>
    <w:lsdException w:name="caption" w:qFormat="1"/>
    <w:lsdException w:name="List Bullet" w:qFormat="1"/>
    <w:lsdException w:name="List Number" w:qFormat="1"/>
    <w:lsdException w:name="Title" w:qFormat="1"/>
    <w:lsdException w:name="Body Text" w:qFormat="1"/>
    <w:lsdException w:name="List Continue" w:qFormat="1"/>
    <w:lsdException w:name="Subtitle" w:qFormat="1"/>
    <w:lsdException w:name="Block Text"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428AB"/>
    <w:rPr>
      <w:rFonts w:ascii="Arial" w:hAnsi="Arial"/>
      <w:sz w:val="24"/>
      <w:szCs w:val="22"/>
      <w:lang w:eastAsia="en-GB"/>
    </w:rPr>
  </w:style>
  <w:style w:type="paragraph" w:styleId="Heading1">
    <w:name w:val="heading 1"/>
    <w:next w:val="BodyText"/>
    <w:qFormat/>
    <w:rsid w:val="00094301"/>
    <w:pPr>
      <w:keepNext/>
      <w:keepLines/>
      <w:spacing w:before="720" w:after="200"/>
      <w:outlineLvl w:val="0"/>
    </w:pPr>
    <w:rPr>
      <w:rFonts w:ascii="Arial" w:hAnsi="Arial" w:cs="Arial"/>
      <w:b/>
      <w:bCs/>
      <w:color w:val="005984"/>
      <w:kern w:val="32"/>
      <w:sz w:val="37"/>
      <w:szCs w:val="32"/>
      <w:lang w:eastAsia="en-GB"/>
    </w:rPr>
  </w:style>
  <w:style w:type="paragraph" w:styleId="Heading2">
    <w:name w:val="heading 2"/>
    <w:basedOn w:val="Heading1"/>
    <w:next w:val="BodyText"/>
    <w:qFormat/>
    <w:rsid w:val="00094301"/>
    <w:pPr>
      <w:spacing w:before="640"/>
      <w:outlineLvl w:val="1"/>
    </w:pPr>
    <w:rPr>
      <w:bCs w:val="0"/>
      <w:iCs/>
      <w:sz w:val="31"/>
      <w:szCs w:val="28"/>
    </w:rPr>
  </w:style>
  <w:style w:type="paragraph" w:styleId="Heading3">
    <w:name w:val="heading 3"/>
    <w:basedOn w:val="Heading2"/>
    <w:next w:val="BodyText"/>
    <w:qFormat/>
    <w:rsid w:val="008438B6"/>
    <w:pPr>
      <w:spacing w:before="520"/>
      <w:outlineLvl w:val="2"/>
    </w:pPr>
    <w:rPr>
      <w:bCs/>
      <w:sz w:val="26"/>
      <w:szCs w:val="26"/>
    </w:rPr>
  </w:style>
  <w:style w:type="paragraph" w:styleId="Heading4">
    <w:name w:val="heading 4"/>
    <w:basedOn w:val="Heading3"/>
    <w:next w:val="BodyText"/>
    <w:qFormat/>
    <w:rsid w:val="006845B4"/>
    <w:pPr>
      <w:spacing w:before="240" w:after="180"/>
      <w:outlineLvl w:val="3"/>
    </w:pPr>
    <w:rPr>
      <w:bCs w:val="0"/>
      <w:i/>
      <w:sz w:val="23"/>
      <w:szCs w:val="28"/>
    </w:rPr>
  </w:style>
  <w:style w:type="paragraph" w:styleId="Heading5">
    <w:name w:val="heading 5"/>
    <w:basedOn w:val="Heading4"/>
    <w:next w:val="BodyText"/>
    <w:rsid w:val="00335E48"/>
    <w:pPr>
      <w:spacing w:before="0"/>
      <w:outlineLvl w:val="4"/>
    </w:pPr>
    <w:rPr>
      <w:rFonts w:cs="Times New Roman"/>
      <w:b w:val="0"/>
      <w:kern w:val="0"/>
      <w:sz w:val="22"/>
      <w:szCs w:val="26"/>
    </w:rPr>
  </w:style>
  <w:style w:type="paragraph" w:styleId="Heading6">
    <w:name w:val="heading 6"/>
    <w:basedOn w:val="Heading5"/>
    <w:next w:val="BodyText"/>
    <w:rsid w:val="00FC0C63"/>
    <w:pPr>
      <w:spacing w:before="240" w:after="60"/>
      <w:outlineLvl w:val="5"/>
    </w:pPr>
    <w:rPr>
      <w:bCs/>
      <w:sz w:val="18"/>
    </w:rPr>
  </w:style>
  <w:style w:type="paragraph" w:styleId="Heading7">
    <w:name w:val="heading 7"/>
    <w:basedOn w:val="Heading6"/>
    <w:next w:val="BodyText"/>
    <w:rsid w:val="00FC0C63"/>
    <w:pPr>
      <w:outlineLvl w:val="6"/>
    </w:pPr>
    <w:rPr>
      <w:sz w:val="16"/>
      <w:szCs w:val="24"/>
    </w:rPr>
  </w:style>
  <w:style w:type="paragraph" w:styleId="Heading8">
    <w:name w:val="heading 8"/>
    <w:basedOn w:val="Heading7"/>
    <w:next w:val="BodyText"/>
    <w:rsid w:val="00FC0C63"/>
    <w:pPr>
      <w:outlineLvl w:val="7"/>
    </w:pPr>
    <w:rPr>
      <w:iCs w:val="0"/>
      <w:sz w:val="14"/>
    </w:rPr>
  </w:style>
  <w:style w:type="paragraph" w:styleId="Heading9">
    <w:name w:val="heading 9"/>
    <w:basedOn w:val="Normal"/>
    <w:next w:val="Normal"/>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506C3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Pr>
      <w:rFonts w:ascii="Arial" w:hAnsi="Arial"/>
      <w:sz w:val="24"/>
      <w:szCs w:val="22"/>
      <w:lang w:eastAsia="en-GB"/>
    </w:rPr>
  </w:style>
  <w:style w:type="paragraph" w:styleId="ListBullet">
    <w:name w:val="List Bullet"/>
    <w:basedOn w:val="BodyText"/>
    <w:qFormat/>
    <w:rsid w:val="00CB582D"/>
    <w:pPr>
      <w:numPr>
        <w:numId w:val="1"/>
      </w:numPr>
      <w:tabs>
        <w:tab w:val="clear" w:pos="567"/>
      </w:tabs>
    </w:pPr>
  </w:style>
  <w:style w:type="paragraph" w:styleId="ListBullet2">
    <w:name w:val="List Bullet 2"/>
    <w:basedOn w:val="ListBullet"/>
    <w:rsid w:val="00CB582D"/>
    <w:pPr>
      <w:numPr>
        <w:ilvl w:val="1"/>
      </w:numPr>
    </w:pPr>
  </w:style>
  <w:style w:type="paragraph" w:styleId="ListBullet3">
    <w:name w:val="List Bullet 3"/>
    <w:basedOn w:val="ListBullet2"/>
    <w:rsid w:val="00CB582D"/>
    <w:pPr>
      <w:numPr>
        <w:ilvl w:val="2"/>
      </w:numPr>
    </w:pPr>
  </w:style>
  <w:style w:type="paragraph" w:styleId="ListBullet4">
    <w:name w:val="List Bullet 4"/>
    <w:basedOn w:val="ListBullet3"/>
    <w:rsid w:val="00CB582D"/>
    <w:pPr>
      <w:numPr>
        <w:ilvl w:val="3"/>
      </w:numPr>
    </w:pPr>
  </w:style>
  <w:style w:type="paragraph" w:styleId="BodyText2">
    <w:name w:val="Body Text 2"/>
    <w:basedOn w:val="BodyText"/>
    <w:next w:val="BodyText"/>
    <w:semiHidden/>
    <w:rsid w:val="005973F1"/>
    <w:pPr>
      <w:ind w:left="284"/>
    </w:pPr>
  </w:style>
  <w:style w:type="paragraph" w:styleId="BodyText3">
    <w:name w:val="Body Text 3"/>
    <w:basedOn w:val="BodyText2"/>
    <w:next w:val="BodyText"/>
    <w:semiHidden/>
    <w:rsid w:val="00196F97"/>
    <w:pPr>
      <w:ind w:left="1134"/>
    </w:pPr>
    <w:rPr>
      <w:szCs w:val="16"/>
    </w:rPr>
  </w:style>
  <w:style w:type="paragraph" w:customStyle="1" w:styleId="Heading1-Pagebreakbefore">
    <w:name w:val="Heading 1-Pagebreak before"/>
    <w:basedOn w:val="Heading1"/>
    <w:next w:val="BodyText"/>
    <w:rsid w:val="005973F1"/>
    <w:pPr>
      <w:pageBreakBefore/>
      <w:spacing w:before="0"/>
    </w:pPr>
  </w:style>
  <w:style w:type="paragraph" w:styleId="ListContinue">
    <w:name w:val="List Continue"/>
    <w:basedOn w:val="BodyText"/>
    <w:qFormat/>
    <w:rsid w:val="00CC26E8"/>
    <w:pPr>
      <w:numPr>
        <w:numId w:val="8"/>
      </w:numPr>
    </w:pPr>
  </w:style>
  <w:style w:type="paragraph" w:styleId="ListContinue2">
    <w:name w:val="List Continue 2"/>
    <w:basedOn w:val="ListContinue"/>
    <w:rsid w:val="00CC26E8"/>
    <w:pPr>
      <w:numPr>
        <w:ilvl w:val="1"/>
      </w:numPr>
    </w:pPr>
  </w:style>
  <w:style w:type="paragraph" w:styleId="ListContinue3">
    <w:name w:val="List Continue 3"/>
    <w:basedOn w:val="ListContinue2"/>
    <w:rsid w:val="00CC26E8"/>
    <w:pPr>
      <w:numPr>
        <w:ilvl w:val="2"/>
      </w:numPr>
    </w:pPr>
  </w:style>
  <w:style w:type="paragraph" w:styleId="ListContinue4">
    <w:name w:val="List Continue 4"/>
    <w:basedOn w:val="ListContinue3"/>
    <w:rsid w:val="00CC26E8"/>
    <w:pPr>
      <w:numPr>
        <w:ilvl w:val="3"/>
      </w:numPr>
    </w:pPr>
  </w:style>
  <w:style w:type="paragraph" w:styleId="ListBullet5">
    <w:name w:val="List Bullet 5"/>
    <w:basedOn w:val="ListBullet4"/>
    <w:rsid w:val="00CB582D"/>
    <w:pPr>
      <w:numPr>
        <w:ilvl w:val="4"/>
      </w:numPr>
    </w:pPr>
  </w:style>
  <w:style w:type="paragraph" w:styleId="ListContinue5">
    <w:name w:val="List Continue 5"/>
    <w:basedOn w:val="Normal"/>
    <w:rsid w:val="00CC26E8"/>
    <w:pPr>
      <w:numPr>
        <w:ilvl w:val="4"/>
        <w:numId w:val="8"/>
      </w:numPr>
      <w:spacing w:after="120"/>
    </w:pPr>
  </w:style>
  <w:style w:type="paragraph" w:styleId="List">
    <w:name w:val="List"/>
    <w:basedOn w:val="Normal"/>
    <w:semiHidden/>
    <w:rsid w:val="00A35236"/>
    <w:pPr>
      <w:ind w:left="283" w:hanging="283"/>
    </w:pPr>
  </w:style>
  <w:style w:type="paragraph" w:styleId="List2">
    <w:name w:val="List 2"/>
    <w:basedOn w:val="Normal"/>
    <w:semiHidden/>
    <w:rsid w:val="00A35236"/>
    <w:pPr>
      <w:ind w:left="566" w:hanging="283"/>
    </w:pPr>
  </w:style>
  <w:style w:type="paragraph" w:styleId="List3">
    <w:name w:val="List 3"/>
    <w:basedOn w:val="Normal"/>
    <w:semiHidden/>
    <w:rsid w:val="00A35236"/>
    <w:pPr>
      <w:ind w:left="849" w:hanging="283"/>
    </w:pPr>
  </w:style>
  <w:style w:type="paragraph" w:styleId="List4">
    <w:name w:val="List 4"/>
    <w:basedOn w:val="Normal"/>
    <w:semiHidden/>
    <w:rsid w:val="00A35236"/>
    <w:pPr>
      <w:ind w:left="1132" w:hanging="283"/>
    </w:pPr>
  </w:style>
  <w:style w:type="paragraph" w:styleId="List5">
    <w:name w:val="List 5"/>
    <w:basedOn w:val="Normal"/>
    <w:semiHidden/>
    <w:rsid w:val="00A35236"/>
    <w:pPr>
      <w:ind w:left="1415" w:hanging="283"/>
    </w:pPr>
  </w:style>
  <w:style w:type="character" w:styleId="HTMLAcronym">
    <w:name w:val="HTML Acronym"/>
    <w:basedOn w:val="DefaultParagraphFont"/>
    <w:semiHidden/>
    <w:rsid w:val="00A35236"/>
  </w:style>
  <w:style w:type="paragraph" w:styleId="HTMLAddress">
    <w:name w:val="HTML Address"/>
    <w:basedOn w:val="Normal"/>
    <w:semiHidden/>
    <w:rsid w:val="00A35236"/>
    <w:rPr>
      <w:i/>
      <w:iCs/>
    </w:rPr>
  </w:style>
  <w:style w:type="character" w:styleId="HTMLCite">
    <w:name w:val="HTML Cite"/>
    <w:semiHidden/>
    <w:rsid w:val="00A35236"/>
    <w:rPr>
      <w:i/>
      <w:iCs/>
    </w:rPr>
  </w:style>
  <w:style w:type="character" w:styleId="HTMLCode">
    <w:name w:val="HTML Code"/>
    <w:semiHidden/>
    <w:rsid w:val="00A35236"/>
    <w:rPr>
      <w:rFonts w:ascii="Courier New" w:hAnsi="Courier New" w:cs="Courier New"/>
      <w:sz w:val="20"/>
      <w:szCs w:val="20"/>
    </w:rPr>
  </w:style>
  <w:style w:type="character" w:styleId="HTMLDefinition">
    <w:name w:val="HTML Definition"/>
    <w:semiHidden/>
    <w:rsid w:val="00A35236"/>
    <w:rPr>
      <w:i/>
      <w:iCs/>
    </w:rPr>
  </w:style>
  <w:style w:type="character" w:styleId="HTMLKeyboard">
    <w:name w:val="HTML Keyboard"/>
    <w:semiHidden/>
    <w:rsid w:val="00A35236"/>
    <w:rPr>
      <w:rFonts w:ascii="Courier New" w:hAnsi="Courier New" w:cs="Courier New"/>
      <w:sz w:val="20"/>
      <w:szCs w:val="20"/>
    </w:rPr>
  </w:style>
  <w:style w:type="paragraph" w:styleId="HTMLPreformatted">
    <w:name w:val="HTML Preformatted"/>
    <w:basedOn w:val="Normal"/>
    <w:semiHidden/>
    <w:rsid w:val="00A35236"/>
    <w:rPr>
      <w:rFonts w:ascii="Courier New" w:hAnsi="Courier New" w:cs="Courier New"/>
      <w:sz w:val="20"/>
      <w:szCs w:val="20"/>
    </w:rPr>
  </w:style>
  <w:style w:type="character" w:styleId="HTMLSample">
    <w:name w:val="HTML Sample"/>
    <w:semiHidden/>
    <w:rsid w:val="00A35236"/>
    <w:rPr>
      <w:rFonts w:ascii="Courier New" w:hAnsi="Courier New" w:cs="Courier New"/>
    </w:rPr>
  </w:style>
  <w:style w:type="character" w:styleId="HTMLTypewriter">
    <w:name w:val="HTML Typewriter"/>
    <w:semiHidden/>
    <w:rsid w:val="00A35236"/>
    <w:rPr>
      <w:rFonts w:ascii="Courier New" w:hAnsi="Courier New" w:cs="Courier New"/>
      <w:sz w:val="20"/>
      <w:szCs w:val="20"/>
    </w:rPr>
  </w:style>
  <w:style w:type="character" w:styleId="HTMLVariable">
    <w:name w:val="HTML Variable"/>
    <w:semiHidden/>
    <w:rsid w:val="00A35236"/>
    <w:rPr>
      <w:i/>
      <w:iCs/>
    </w:rPr>
  </w:style>
  <w:style w:type="paragraph" w:styleId="BlockText">
    <w:name w:val="Block Text"/>
    <w:basedOn w:val="BodyText"/>
    <w:qFormat/>
    <w:rsid w:val="006428AB"/>
    <w:pPr>
      <w:ind w:left="567" w:right="567"/>
    </w:pPr>
    <w:rPr>
      <w:sz w:val="22"/>
    </w:rPr>
  </w:style>
  <w:style w:type="paragraph" w:styleId="BodyTextFirstIndent">
    <w:name w:val="Body Text First Indent"/>
    <w:basedOn w:val="BodyText"/>
    <w:semiHidden/>
    <w:rsid w:val="00353455"/>
    <w:pPr>
      <w:spacing w:after="120"/>
      <w:ind w:firstLine="210"/>
    </w:pPr>
  </w:style>
  <w:style w:type="paragraph" w:styleId="BodyTextIndent">
    <w:name w:val="Body Text Indent"/>
    <w:basedOn w:val="Normal"/>
    <w:semiHidden/>
    <w:rsid w:val="00353455"/>
    <w:pPr>
      <w:spacing w:after="120"/>
      <w:ind w:left="283"/>
    </w:pPr>
  </w:style>
  <w:style w:type="paragraph" w:styleId="BodyTextFirstIndent2">
    <w:name w:val="Body Text First Indent 2"/>
    <w:basedOn w:val="BodyTextIndent"/>
    <w:semiHidden/>
    <w:rsid w:val="00353455"/>
    <w:pPr>
      <w:ind w:firstLine="210"/>
    </w:pPr>
  </w:style>
  <w:style w:type="paragraph" w:styleId="BodyTextIndent2">
    <w:name w:val="Body Text Indent 2"/>
    <w:basedOn w:val="Normal"/>
    <w:semiHidden/>
    <w:rsid w:val="00353455"/>
    <w:pPr>
      <w:spacing w:after="120" w:line="480" w:lineRule="auto"/>
      <w:ind w:left="283"/>
    </w:pPr>
  </w:style>
  <w:style w:type="paragraph" w:styleId="BodyTextIndent3">
    <w:name w:val="Body Text Indent 3"/>
    <w:basedOn w:val="Normal"/>
    <w:semiHidden/>
    <w:rsid w:val="00353455"/>
    <w:pPr>
      <w:spacing w:after="120"/>
      <w:ind w:left="283"/>
    </w:pPr>
    <w:rPr>
      <w:sz w:val="16"/>
      <w:szCs w:val="16"/>
    </w:rPr>
  </w:style>
  <w:style w:type="paragraph" w:styleId="EnvelopeAddress">
    <w:name w:val="envelope address"/>
    <w:basedOn w:val="Normal"/>
    <w:semiHidden/>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8861E2"/>
    <w:rPr>
      <w:rFonts w:cs="Arial"/>
      <w:sz w:val="20"/>
      <w:szCs w:val="20"/>
    </w:rPr>
  </w:style>
  <w:style w:type="character" w:styleId="LineNumber">
    <w:name w:val="line number"/>
    <w:basedOn w:val="DefaultParagraphFont"/>
    <w:semiHidden/>
    <w:rsid w:val="008861E2"/>
  </w:style>
  <w:style w:type="paragraph" w:styleId="MessageHeader">
    <w:name w:val="Message Header"/>
    <w:basedOn w:val="Normal"/>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semiHidden/>
    <w:rsid w:val="008861E2"/>
    <w:rPr>
      <w:rFonts w:ascii="Times New Roman" w:hAnsi="Times New Roman"/>
      <w:szCs w:val="24"/>
    </w:rPr>
  </w:style>
  <w:style w:type="paragraph" w:styleId="NormalIndent">
    <w:name w:val="Normal Indent"/>
    <w:basedOn w:val="Normal"/>
    <w:semiHidden/>
    <w:rsid w:val="008861E2"/>
    <w:pPr>
      <w:ind w:left="720"/>
    </w:pPr>
  </w:style>
  <w:style w:type="paragraph" w:styleId="NoteHeading">
    <w:name w:val="Note Heading"/>
    <w:basedOn w:val="Normal"/>
    <w:next w:val="Normal"/>
    <w:semiHidden/>
    <w:rsid w:val="008861E2"/>
  </w:style>
  <w:style w:type="table" w:styleId="Table3Deffects1">
    <w:name w:val="Table 3D effects 1"/>
    <w:basedOn w:val="TableNormal"/>
    <w:semiHidden/>
    <w:rsid w:val="008861E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861E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861E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rsid w:val="00CD07EA"/>
    <w:pPr>
      <w:numPr>
        <w:numId w:val="3"/>
      </w:numPr>
    </w:pPr>
  </w:style>
  <w:style w:type="numbering" w:styleId="ArticleSection">
    <w:name w:val="Outline List 3"/>
    <w:basedOn w:val="NoList"/>
    <w:semiHidden/>
    <w:rsid w:val="008861E2"/>
    <w:pPr>
      <w:numPr>
        <w:numId w:val="4"/>
      </w:numPr>
    </w:pPr>
  </w:style>
  <w:style w:type="paragraph" w:styleId="Closing">
    <w:name w:val="Closing"/>
    <w:basedOn w:val="Normal"/>
    <w:semiHidden/>
    <w:rsid w:val="008861E2"/>
    <w:pPr>
      <w:ind w:left="4252"/>
    </w:pPr>
  </w:style>
  <w:style w:type="paragraph" w:styleId="Date">
    <w:name w:val="Date"/>
    <w:basedOn w:val="Normal"/>
    <w:next w:val="Normal"/>
    <w:semiHidden/>
    <w:rsid w:val="008861E2"/>
  </w:style>
  <w:style w:type="paragraph" w:styleId="E-mailSignature">
    <w:name w:val="E-mail Signature"/>
    <w:basedOn w:val="Normal"/>
    <w:semiHidden/>
    <w:rsid w:val="008861E2"/>
  </w:style>
  <w:style w:type="paragraph" w:styleId="ListNumber5">
    <w:name w:val="List Number 5"/>
    <w:basedOn w:val="ListNumber4"/>
    <w:rsid w:val="00360728"/>
    <w:pPr>
      <w:numPr>
        <w:ilvl w:val="4"/>
      </w:numPr>
    </w:pPr>
  </w:style>
  <w:style w:type="paragraph" w:styleId="Salutation">
    <w:name w:val="Salutation"/>
    <w:basedOn w:val="Normal"/>
    <w:next w:val="Normal"/>
    <w:semiHidden/>
    <w:rsid w:val="008861E2"/>
  </w:style>
  <w:style w:type="paragraph" w:styleId="Signature">
    <w:name w:val="Signature"/>
    <w:basedOn w:val="Normal"/>
    <w:semiHidden/>
    <w:rsid w:val="008861E2"/>
    <w:pPr>
      <w:ind w:left="4252"/>
    </w:pPr>
  </w:style>
  <w:style w:type="table" w:styleId="TableWeb1">
    <w:name w:val="Table Web 1"/>
    <w:basedOn w:val="TableNormal"/>
    <w:semiHidden/>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
    <w:name w:val="List Number"/>
    <w:basedOn w:val="BodyText"/>
    <w:qFormat/>
    <w:rsid w:val="00360728"/>
    <w:pPr>
      <w:numPr>
        <w:numId w:val="2"/>
      </w:numPr>
    </w:pPr>
  </w:style>
  <w:style w:type="paragraph" w:styleId="ListNumber2">
    <w:name w:val="List Number 2"/>
    <w:basedOn w:val="ListNumber"/>
    <w:rsid w:val="00360728"/>
    <w:pPr>
      <w:numPr>
        <w:ilvl w:val="1"/>
      </w:numPr>
    </w:pPr>
  </w:style>
  <w:style w:type="paragraph" w:styleId="ListNumber3">
    <w:name w:val="List Number 3"/>
    <w:basedOn w:val="ListNumber2"/>
    <w:rsid w:val="00360728"/>
    <w:pPr>
      <w:numPr>
        <w:ilvl w:val="2"/>
      </w:numPr>
    </w:pPr>
  </w:style>
  <w:style w:type="paragraph" w:styleId="ListNumber4">
    <w:name w:val="List Number 4"/>
    <w:basedOn w:val="ListNumber3"/>
    <w:rsid w:val="00360728"/>
    <w:pPr>
      <w:numPr>
        <w:ilvl w:val="3"/>
      </w:numPr>
    </w:pPr>
  </w:style>
  <w:style w:type="numbering" w:styleId="111111">
    <w:name w:val="Outline List 2"/>
    <w:basedOn w:val="NoList"/>
    <w:semiHidden/>
    <w:rsid w:val="00AE3DA6"/>
    <w:pPr>
      <w:numPr>
        <w:numId w:val="5"/>
      </w:numPr>
    </w:pPr>
  </w:style>
  <w:style w:type="paragraph" w:styleId="Footer">
    <w:name w:val="footer"/>
    <w:basedOn w:val="Normal"/>
    <w:semiHidden/>
    <w:rsid w:val="00B82071"/>
    <w:pPr>
      <w:tabs>
        <w:tab w:val="center" w:pos="4153"/>
        <w:tab w:val="right" w:pos="8306"/>
      </w:tabs>
    </w:pPr>
  </w:style>
  <w:style w:type="paragraph" w:styleId="Header">
    <w:name w:val="header"/>
    <w:basedOn w:val="Normal"/>
    <w:semiHidden/>
    <w:rsid w:val="00B82071"/>
    <w:pPr>
      <w:tabs>
        <w:tab w:val="center" w:pos="4153"/>
        <w:tab w:val="right" w:pos="8306"/>
      </w:tabs>
    </w:pPr>
  </w:style>
  <w:style w:type="character" w:styleId="FootnoteReference">
    <w:name w:val="footnote reference"/>
    <w:rsid w:val="00336974"/>
    <w:rPr>
      <w:sz w:val="24"/>
      <w:vertAlign w:val="superscript"/>
    </w:rPr>
  </w:style>
  <w:style w:type="paragraph" w:styleId="FootnoteText">
    <w:name w:val="footnote text"/>
    <w:basedOn w:val="BodyText"/>
    <w:link w:val="FootnoteTextChar"/>
    <w:rsid w:val="00F136BD"/>
    <w:pPr>
      <w:tabs>
        <w:tab w:val="left" w:pos="284"/>
      </w:tabs>
      <w:spacing w:after="60"/>
      <w:ind w:left="284" w:hanging="284"/>
    </w:pPr>
    <w:rPr>
      <w:sz w:val="18"/>
      <w:szCs w:val="20"/>
    </w:rPr>
  </w:style>
  <w:style w:type="character" w:styleId="Emphasis">
    <w:name w:val="Emphasis"/>
    <w:qFormat/>
    <w:rsid w:val="00B04384"/>
    <w:rPr>
      <w:i/>
      <w:iCs/>
    </w:rPr>
  </w:style>
  <w:style w:type="character" w:styleId="Strong">
    <w:name w:val="Strong"/>
    <w:qFormat/>
    <w:rsid w:val="00B04384"/>
    <w:rPr>
      <w:b/>
      <w:bCs/>
    </w:rPr>
  </w:style>
  <w:style w:type="character" w:customStyle="1" w:styleId="Italic">
    <w:name w:val="Italic"/>
    <w:rsid w:val="00990ECE"/>
    <w:rPr>
      <w:i/>
      <w:iCs/>
    </w:rPr>
  </w:style>
  <w:style w:type="character" w:customStyle="1" w:styleId="Bold">
    <w:name w:val="Bold"/>
    <w:rsid w:val="006428AB"/>
    <w:rPr>
      <w:b/>
      <w:iCs/>
      <w:lang w:val="en-AU"/>
    </w:rPr>
  </w:style>
  <w:style w:type="character" w:styleId="FollowedHyperlink">
    <w:name w:val="FollowedHyperlink"/>
    <w:semiHidden/>
    <w:rsid w:val="00990ECE"/>
    <w:rPr>
      <w:color w:val="800080"/>
      <w:u w:val="single"/>
    </w:rPr>
  </w:style>
  <w:style w:type="character" w:styleId="Hyperlink">
    <w:name w:val="Hyperlink"/>
    <w:uiPriority w:val="99"/>
    <w:rsid w:val="00990ECE"/>
    <w:rPr>
      <w:color w:val="0000FF"/>
      <w:u w:val="single"/>
    </w:rPr>
  </w:style>
  <w:style w:type="paragraph" w:styleId="Title">
    <w:name w:val="Title"/>
    <w:qFormat/>
    <w:rsid w:val="00CB582D"/>
    <w:pPr>
      <w:spacing w:before="240" w:after="60"/>
      <w:jc w:val="center"/>
      <w:outlineLvl w:val="0"/>
    </w:pPr>
    <w:rPr>
      <w:rFonts w:ascii="Arial" w:hAnsi="Arial" w:cs="Arial"/>
      <w:b/>
      <w:bCs/>
      <w:color w:val="333333"/>
      <w:kern w:val="28"/>
      <w:sz w:val="40"/>
      <w:szCs w:val="32"/>
      <w:lang w:eastAsia="en-GB"/>
    </w:rPr>
  </w:style>
  <w:style w:type="paragraph" w:styleId="Subtitle">
    <w:name w:val="Subtitle"/>
    <w:basedOn w:val="Title"/>
    <w:qFormat/>
    <w:rsid w:val="002E40DF"/>
    <w:pPr>
      <w:spacing w:after="180"/>
      <w:outlineLvl w:val="1"/>
    </w:pPr>
    <w:rPr>
      <w:sz w:val="32"/>
      <w:szCs w:val="24"/>
    </w:rPr>
  </w:style>
  <w:style w:type="table" w:styleId="TableClassic2">
    <w:name w:val="Table Classic 2"/>
    <w:basedOn w:val="TableNormal"/>
    <w:semiHidden/>
    <w:rsid w:val="00797C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97C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97C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97C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97C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97C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4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tcMar>
        <w:left w:w="170" w:type="dxa"/>
        <w:right w:w="170" w:type="dxa"/>
      </w:tcMar>
    </w:tcPr>
  </w:style>
  <w:style w:type="table" w:styleId="TableGrid1">
    <w:name w:val="Table Grid 1"/>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97C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97C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97C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97C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97C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97C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97C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97C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97C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802327"/>
  </w:style>
  <w:style w:type="table" w:styleId="TableClassic1">
    <w:name w:val="Table Classic 1"/>
    <w:basedOn w:val="TableNormal"/>
    <w:semiHidden/>
    <w:rsid w:val="006C10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ing">
    <w:name w:val="Table heading"/>
    <w:rsid w:val="00D10B6F"/>
    <w:pPr>
      <w:spacing w:before="80" w:after="60"/>
    </w:pPr>
    <w:rPr>
      <w:rFonts w:ascii="Arial" w:hAnsi="Arial"/>
      <w:b/>
      <w:szCs w:val="22"/>
      <w:lang w:eastAsia="en-GB"/>
    </w:rPr>
  </w:style>
  <w:style w:type="paragraph" w:customStyle="1" w:styleId="TableBody">
    <w:name w:val="Table Body"/>
    <w:basedOn w:val="BodyText"/>
    <w:rsid w:val="00D10B6F"/>
    <w:pPr>
      <w:spacing w:before="60" w:after="60"/>
    </w:pPr>
    <w:rPr>
      <w:sz w:val="20"/>
    </w:rPr>
  </w:style>
  <w:style w:type="character" w:styleId="PageNumber">
    <w:name w:val="page number"/>
    <w:rsid w:val="006428AB"/>
    <w:rPr>
      <w:sz w:val="24"/>
      <w:lang w:val="en-AU"/>
    </w:rPr>
  </w:style>
  <w:style w:type="character" w:customStyle="1" w:styleId="BodyTextChar">
    <w:name w:val="Body Text Char"/>
    <w:link w:val="BodyText"/>
    <w:rsid w:val="00506C38"/>
    <w:rPr>
      <w:rFonts w:ascii="Arial" w:hAnsi="Arial"/>
      <w:sz w:val="24"/>
      <w:szCs w:val="22"/>
      <w:lang w:val="en-AU" w:eastAsia="en-GB" w:bidi="ar-SA"/>
    </w:rPr>
  </w:style>
  <w:style w:type="paragraph" w:customStyle="1" w:styleId="BlockText-ListBullet">
    <w:name w:val="Block Text - List Bullet"/>
    <w:basedOn w:val="BlockText"/>
    <w:rsid w:val="00CB582D"/>
    <w:pPr>
      <w:numPr>
        <w:numId w:val="7"/>
      </w:numPr>
      <w:spacing w:after="160"/>
    </w:pPr>
  </w:style>
  <w:style w:type="paragraph" w:customStyle="1" w:styleId="Table-ListBullet">
    <w:name w:val="Table - List Bullet"/>
    <w:basedOn w:val="TableBody"/>
    <w:rsid w:val="00EA6977"/>
    <w:pPr>
      <w:numPr>
        <w:numId w:val="6"/>
      </w:numPr>
    </w:pPr>
  </w:style>
  <w:style w:type="paragraph" w:styleId="PlainText">
    <w:name w:val="Plain Text"/>
    <w:basedOn w:val="Normal"/>
    <w:rsid w:val="006428AB"/>
    <w:rPr>
      <w:rFonts w:ascii="Courier New" w:hAnsi="Courier New" w:cs="Courier New"/>
      <w:sz w:val="20"/>
      <w:szCs w:val="20"/>
    </w:rPr>
  </w:style>
  <w:style w:type="table" w:customStyle="1" w:styleId="RecommendationsBox">
    <w:name w:val="Recommendations Box"/>
    <w:basedOn w:val="TableGrid"/>
    <w:rsid w:val="000164F8"/>
    <w:tblPr>
      <w:tblBorders>
        <w:top w:val="single" w:sz="4" w:space="0" w:color="005984"/>
        <w:left w:val="single" w:sz="4" w:space="0" w:color="005984"/>
        <w:bottom w:val="single" w:sz="4" w:space="0" w:color="005984"/>
        <w:right w:val="single" w:sz="4" w:space="0" w:color="005984"/>
        <w:insideH w:val="none" w:sz="0" w:space="0" w:color="auto"/>
        <w:insideV w:val="none" w:sz="0" w:space="0" w:color="auto"/>
      </w:tblBorders>
    </w:tblPr>
    <w:trPr>
      <w:cantSplit/>
    </w:trPr>
  </w:style>
  <w:style w:type="paragraph" w:customStyle="1" w:styleId="Recommendationsheading">
    <w:name w:val="Recommendations heading"/>
    <w:rsid w:val="00F82735"/>
    <w:pPr>
      <w:spacing w:before="120" w:after="180"/>
    </w:pPr>
    <w:rPr>
      <w:rFonts w:ascii="Arial" w:hAnsi="Arial"/>
      <w:b/>
      <w:color w:val="005984"/>
      <w:sz w:val="24"/>
      <w:szCs w:val="22"/>
      <w:lang w:eastAsia="en-GB"/>
    </w:rPr>
  </w:style>
  <w:style w:type="paragraph" w:styleId="TOC1">
    <w:name w:val="toc 1"/>
    <w:next w:val="BodyText"/>
    <w:autoRedefine/>
    <w:uiPriority w:val="39"/>
    <w:rsid w:val="00703089"/>
    <w:pPr>
      <w:tabs>
        <w:tab w:val="right" w:leader="dot" w:pos="8494"/>
      </w:tabs>
      <w:spacing w:before="180"/>
    </w:pPr>
    <w:rPr>
      <w:rFonts w:ascii="Arial" w:hAnsi="Arial"/>
      <w:b/>
      <w:sz w:val="24"/>
      <w:szCs w:val="22"/>
      <w:lang w:eastAsia="en-GB"/>
    </w:rPr>
  </w:style>
  <w:style w:type="paragraph" w:styleId="TOC2">
    <w:name w:val="toc 2"/>
    <w:basedOn w:val="TOC1"/>
    <w:next w:val="BodyText"/>
    <w:autoRedefine/>
    <w:uiPriority w:val="39"/>
    <w:rsid w:val="00422B55"/>
    <w:pPr>
      <w:spacing w:before="100"/>
      <w:ind w:left="567"/>
    </w:pPr>
    <w:rPr>
      <w:b w:val="0"/>
    </w:rPr>
  </w:style>
  <w:style w:type="paragraph" w:styleId="TOC3">
    <w:name w:val="toc 3"/>
    <w:basedOn w:val="TOC2"/>
    <w:next w:val="BodyText"/>
    <w:autoRedefine/>
    <w:rsid w:val="00F70B92"/>
    <w:pPr>
      <w:ind w:left="1134"/>
    </w:pPr>
  </w:style>
  <w:style w:type="paragraph" w:styleId="TOC4">
    <w:name w:val="toc 4"/>
    <w:basedOn w:val="TOC3"/>
    <w:next w:val="BodyText"/>
    <w:autoRedefine/>
    <w:rsid w:val="00F70B92"/>
    <w:pPr>
      <w:ind w:left="1701"/>
    </w:pPr>
  </w:style>
  <w:style w:type="paragraph" w:styleId="TOC5">
    <w:name w:val="toc 5"/>
    <w:basedOn w:val="TOC4"/>
    <w:next w:val="BodyText"/>
    <w:autoRedefine/>
    <w:rsid w:val="00F70B92"/>
    <w:pPr>
      <w:ind w:left="2268"/>
    </w:pPr>
  </w:style>
  <w:style w:type="paragraph" w:styleId="TOC6">
    <w:name w:val="toc 6"/>
    <w:basedOn w:val="TOC5"/>
    <w:next w:val="BodyText"/>
    <w:autoRedefine/>
    <w:semiHidden/>
    <w:rsid w:val="00F70B92"/>
    <w:pPr>
      <w:ind w:left="1200"/>
    </w:pPr>
  </w:style>
  <w:style w:type="paragraph" w:styleId="TOC7">
    <w:name w:val="toc 7"/>
    <w:basedOn w:val="TOC6"/>
    <w:next w:val="BodyText"/>
    <w:autoRedefine/>
    <w:semiHidden/>
    <w:rsid w:val="00F70B92"/>
    <w:pPr>
      <w:ind w:left="1440"/>
    </w:pPr>
  </w:style>
  <w:style w:type="paragraph" w:styleId="TOC8">
    <w:name w:val="toc 8"/>
    <w:basedOn w:val="TOC7"/>
    <w:next w:val="BodyText"/>
    <w:autoRedefine/>
    <w:semiHidden/>
    <w:rsid w:val="00F70B92"/>
    <w:pPr>
      <w:ind w:left="1680"/>
    </w:pPr>
  </w:style>
  <w:style w:type="paragraph" w:styleId="TOC9">
    <w:name w:val="toc 9"/>
    <w:basedOn w:val="TOC8"/>
    <w:next w:val="BodyText"/>
    <w:autoRedefine/>
    <w:semiHidden/>
    <w:rsid w:val="00F70B92"/>
    <w:pPr>
      <w:ind w:left="1920"/>
    </w:pPr>
  </w:style>
  <w:style w:type="paragraph" w:customStyle="1" w:styleId="AcronymsList">
    <w:name w:val="Acronyms List"/>
    <w:basedOn w:val="BodyText"/>
    <w:rsid w:val="00776BAC"/>
    <w:pPr>
      <w:tabs>
        <w:tab w:val="clear" w:pos="567"/>
        <w:tab w:val="clear" w:pos="1134"/>
        <w:tab w:val="clear" w:pos="1701"/>
      </w:tabs>
      <w:ind w:left="2268" w:hanging="2268"/>
    </w:pPr>
  </w:style>
  <w:style w:type="paragraph" w:customStyle="1" w:styleId="ListLetter">
    <w:name w:val="List Letter"/>
    <w:basedOn w:val="BodyText"/>
    <w:qFormat/>
    <w:rsid w:val="00360728"/>
    <w:pPr>
      <w:numPr>
        <w:numId w:val="9"/>
      </w:numPr>
    </w:pPr>
  </w:style>
  <w:style w:type="paragraph" w:customStyle="1" w:styleId="BlockText-ListBullet2">
    <w:name w:val="Block Text - List Bullet 2"/>
    <w:basedOn w:val="BlockText-ListBullet"/>
    <w:rsid w:val="00CB582D"/>
    <w:pPr>
      <w:numPr>
        <w:ilvl w:val="1"/>
      </w:numPr>
    </w:pPr>
  </w:style>
  <w:style w:type="paragraph" w:customStyle="1" w:styleId="BlockText-ListBullet3">
    <w:name w:val="Block Text - List Bullet 3"/>
    <w:basedOn w:val="BlockText-ListBullet2"/>
    <w:rsid w:val="00CB582D"/>
    <w:pPr>
      <w:numPr>
        <w:ilvl w:val="2"/>
      </w:numPr>
    </w:pPr>
  </w:style>
  <w:style w:type="paragraph" w:customStyle="1" w:styleId="BlockText-ListBullet4">
    <w:name w:val="Block Text - List Bullet 4"/>
    <w:basedOn w:val="BlockText-ListBullet3"/>
    <w:rsid w:val="00CB582D"/>
    <w:pPr>
      <w:numPr>
        <w:ilvl w:val="3"/>
      </w:numPr>
    </w:pPr>
  </w:style>
  <w:style w:type="paragraph" w:customStyle="1" w:styleId="BlockText-ListBullet5">
    <w:name w:val="Block Text - List Bullet 5"/>
    <w:basedOn w:val="BlockText-ListBullet4"/>
    <w:rsid w:val="00CB582D"/>
    <w:pPr>
      <w:numPr>
        <w:ilvl w:val="4"/>
      </w:numPr>
    </w:pPr>
  </w:style>
  <w:style w:type="paragraph" w:customStyle="1" w:styleId="ListLetter2">
    <w:name w:val="List Letter 2"/>
    <w:basedOn w:val="ListLetter"/>
    <w:rsid w:val="00360728"/>
    <w:pPr>
      <w:numPr>
        <w:ilvl w:val="1"/>
      </w:numPr>
    </w:pPr>
  </w:style>
  <w:style w:type="paragraph" w:customStyle="1" w:styleId="ListLetter3">
    <w:name w:val="List Letter 3"/>
    <w:basedOn w:val="ListLetter2"/>
    <w:rsid w:val="00360728"/>
    <w:pPr>
      <w:numPr>
        <w:ilvl w:val="2"/>
      </w:numPr>
    </w:pPr>
  </w:style>
  <w:style w:type="paragraph" w:customStyle="1" w:styleId="ListLetter4">
    <w:name w:val="List Letter 4"/>
    <w:basedOn w:val="ListLetter3"/>
    <w:rsid w:val="00360728"/>
    <w:pPr>
      <w:numPr>
        <w:ilvl w:val="3"/>
      </w:numPr>
    </w:pPr>
  </w:style>
  <w:style w:type="paragraph" w:customStyle="1" w:styleId="ListLetter5">
    <w:name w:val="List Letter 5"/>
    <w:basedOn w:val="ListLetter4"/>
    <w:rsid w:val="00360728"/>
    <w:pPr>
      <w:numPr>
        <w:ilvl w:val="4"/>
      </w:numPr>
    </w:pPr>
  </w:style>
  <w:style w:type="paragraph" w:customStyle="1" w:styleId="ListRoman">
    <w:name w:val="List Roman"/>
    <w:basedOn w:val="BodyText"/>
    <w:rsid w:val="00F36A43"/>
    <w:pPr>
      <w:numPr>
        <w:numId w:val="10"/>
      </w:numPr>
    </w:pPr>
  </w:style>
  <w:style w:type="paragraph" w:customStyle="1" w:styleId="ListRoman2">
    <w:name w:val="List Roman 2"/>
    <w:basedOn w:val="ListRoman"/>
    <w:rsid w:val="00F36A43"/>
    <w:pPr>
      <w:numPr>
        <w:ilvl w:val="1"/>
      </w:numPr>
    </w:pPr>
  </w:style>
  <w:style w:type="paragraph" w:customStyle="1" w:styleId="ListRoman3">
    <w:name w:val="List Roman 3"/>
    <w:basedOn w:val="ListRoman2"/>
    <w:rsid w:val="00F36A43"/>
    <w:pPr>
      <w:numPr>
        <w:ilvl w:val="2"/>
      </w:numPr>
    </w:pPr>
  </w:style>
  <w:style w:type="paragraph" w:customStyle="1" w:styleId="ListRoman4">
    <w:name w:val="List Roman 4"/>
    <w:basedOn w:val="ListRoman3"/>
    <w:rsid w:val="00F36A43"/>
    <w:pPr>
      <w:numPr>
        <w:ilvl w:val="3"/>
      </w:numPr>
    </w:pPr>
  </w:style>
  <w:style w:type="paragraph" w:customStyle="1" w:styleId="ListRoman5">
    <w:name w:val="List Roman 5"/>
    <w:basedOn w:val="ListRoman4"/>
    <w:rsid w:val="00F36A43"/>
    <w:pPr>
      <w:numPr>
        <w:ilvl w:val="4"/>
      </w:numPr>
    </w:pPr>
  </w:style>
  <w:style w:type="paragraph" w:customStyle="1" w:styleId="BlockText-ListNumber">
    <w:name w:val="Block Text - List Number"/>
    <w:basedOn w:val="BlockText"/>
    <w:rsid w:val="0042409B"/>
    <w:pPr>
      <w:numPr>
        <w:numId w:val="11"/>
      </w:numPr>
    </w:pPr>
  </w:style>
  <w:style w:type="paragraph" w:customStyle="1" w:styleId="BlockText-ListNumber2">
    <w:name w:val="Block Text - List Number 2"/>
    <w:basedOn w:val="BlockText-ListNumber"/>
    <w:rsid w:val="00CD7A03"/>
    <w:pPr>
      <w:numPr>
        <w:ilvl w:val="1"/>
      </w:numPr>
      <w:ind w:right="0"/>
    </w:pPr>
  </w:style>
  <w:style w:type="paragraph" w:customStyle="1" w:styleId="BlockText-ListNumber3">
    <w:name w:val="Block Text - List Number 3"/>
    <w:basedOn w:val="BlockText-ListNumber2"/>
    <w:rsid w:val="0042409B"/>
    <w:pPr>
      <w:numPr>
        <w:ilvl w:val="2"/>
      </w:numPr>
    </w:pPr>
  </w:style>
  <w:style w:type="paragraph" w:customStyle="1" w:styleId="BlockText-ListNumber4">
    <w:name w:val="Block Text - List Number 4"/>
    <w:basedOn w:val="BlockText-ListNumber3"/>
    <w:rsid w:val="0042409B"/>
    <w:pPr>
      <w:numPr>
        <w:ilvl w:val="3"/>
      </w:numPr>
    </w:pPr>
  </w:style>
  <w:style w:type="paragraph" w:customStyle="1" w:styleId="BlockText-ListNumber5">
    <w:name w:val="Block Text - List Number 5"/>
    <w:basedOn w:val="BlockText-ListNumber4"/>
    <w:rsid w:val="0042409B"/>
    <w:pPr>
      <w:numPr>
        <w:ilvl w:val="4"/>
      </w:numPr>
    </w:pPr>
  </w:style>
  <w:style w:type="paragraph" w:customStyle="1" w:styleId="BlockText-ListLetter">
    <w:name w:val="Block Text - List Letter"/>
    <w:basedOn w:val="BlockText"/>
    <w:rsid w:val="00274836"/>
    <w:pPr>
      <w:numPr>
        <w:numId w:val="12"/>
      </w:numPr>
    </w:pPr>
  </w:style>
  <w:style w:type="paragraph" w:customStyle="1" w:styleId="BlockText-ListLetter2">
    <w:name w:val="Block Text - List Letter 2"/>
    <w:basedOn w:val="BlockText-ListLetter"/>
    <w:rsid w:val="00CD7A03"/>
    <w:pPr>
      <w:numPr>
        <w:ilvl w:val="1"/>
      </w:numPr>
      <w:ind w:right="0"/>
    </w:pPr>
  </w:style>
  <w:style w:type="paragraph" w:customStyle="1" w:styleId="BlockText-ListLetter3">
    <w:name w:val="Block Text - List Letter 3"/>
    <w:basedOn w:val="BlockText-ListLetter2"/>
    <w:rsid w:val="00274836"/>
    <w:pPr>
      <w:numPr>
        <w:ilvl w:val="2"/>
      </w:numPr>
    </w:pPr>
  </w:style>
  <w:style w:type="paragraph" w:customStyle="1" w:styleId="BlockText-ListLetter4">
    <w:name w:val="Block Text - List Letter 4"/>
    <w:basedOn w:val="BlockText-ListLetter3"/>
    <w:rsid w:val="00274836"/>
    <w:pPr>
      <w:numPr>
        <w:ilvl w:val="3"/>
      </w:numPr>
    </w:pPr>
  </w:style>
  <w:style w:type="paragraph" w:customStyle="1" w:styleId="BlockText-ListLetter5">
    <w:name w:val="Block Text - List Letter 5"/>
    <w:basedOn w:val="BlockText-ListLetter4"/>
    <w:rsid w:val="00274836"/>
    <w:pPr>
      <w:numPr>
        <w:ilvl w:val="4"/>
      </w:numPr>
    </w:pPr>
  </w:style>
  <w:style w:type="paragraph" w:customStyle="1" w:styleId="BlockText-ListRoman">
    <w:name w:val="Block Text - List Roman"/>
    <w:basedOn w:val="BlockText"/>
    <w:rsid w:val="00806C7B"/>
    <w:pPr>
      <w:numPr>
        <w:numId w:val="13"/>
      </w:numPr>
    </w:pPr>
  </w:style>
  <w:style w:type="paragraph" w:customStyle="1" w:styleId="BlockText-ListRoman2">
    <w:name w:val="Block Text - List Roman 2"/>
    <w:basedOn w:val="BlockText-ListRoman"/>
    <w:rsid w:val="00CD7A03"/>
    <w:pPr>
      <w:numPr>
        <w:ilvl w:val="1"/>
      </w:numPr>
      <w:ind w:right="0"/>
    </w:pPr>
  </w:style>
  <w:style w:type="paragraph" w:customStyle="1" w:styleId="BlockText-ListRoman3">
    <w:name w:val="Block Text - List Roman 3"/>
    <w:basedOn w:val="BlockText-ListRoman2"/>
    <w:rsid w:val="00806C7B"/>
    <w:pPr>
      <w:numPr>
        <w:ilvl w:val="2"/>
      </w:numPr>
    </w:pPr>
  </w:style>
  <w:style w:type="paragraph" w:customStyle="1" w:styleId="BlockText-ListRoman4">
    <w:name w:val="Block Text - List Roman 4"/>
    <w:basedOn w:val="BlockText-ListRoman3"/>
    <w:rsid w:val="00806C7B"/>
    <w:pPr>
      <w:numPr>
        <w:ilvl w:val="3"/>
      </w:numPr>
    </w:pPr>
  </w:style>
  <w:style w:type="paragraph" w:customStyle="1" w:styleId="BlockText-ListRoman5">
    <w:name w:val="Block Text - List Roman 5"/>
    <w:basedOn w:val="BlockText-ListRoman4"/>
    <w:rsid w:val="00806C7B"/>
    <w:pPr>
      <w:numPr>
        <w:ilvl w:val="4"/>
      </w:numPr>
    </w:pPr>
  </w:style>
  <w:style w:type="paragraph" w:customStyle="1" w:styleId="Table-ListNumber">
    <w:name w:val="Table - List Number"/>
    <w:basedOn w:val="TableBody"/>
    <w:rsid w:val="005D1782"/>
    <w:pPr>
      <w:numPr>
        <w:numId w:val="14"/>
      </w:numPr>
    </w:pPr>
  </w:style>
  <w:style w:type="paragraph" w:customStyle="1" w:styleId="Table-ListLetter">
    <w:name w:val="Table - List Letter"/>
    <w:basedOn w:val="TableBody"/>
    <w:rsid w:val="005D1782"/>
    <w:pPr>
      <w:numPr>
        <w:numId w:val="15"/>
      </w:numPr>
    </w:pPr>
  </w:style>
  <w:style w:type="paragraph" w:customStyle="1" w:styleId="Table-ListBullet2">
    <w:name w:val="Table - List Bullet 2"/>
    <w:basedOn w:val="Table-ListBullet"/>
    <w:rsid w:val="00EA6977"/>
    <w:pPr>
      <w:numPr>
        <w:ilvl w:val="1"/>
      </w:numPr>
    </w:pPr>
  </w:style>
  <w:style w:type="paragraph" w:customStyle="1" w:styleId="Table-ListBullet3">
    <w:name w:val="Table - List Bullet 3"/>
    <w:basedOn w:val="Table-ListBullet2"/>
    <w:rsid w:val="00EA6977"/>
    <w:pPr>
      <w:numPr>
        <w:ilvl w:val="2"/>
      </w:numPr>
    </w:pPr>
  </w:style>
  <w:style w:type="paragraph" w:customStyle="1" w:styleId="Table-ListNumber2">
    <w:name w:val="Table - List Number 2"/>
    <w:basedOn w:val="Table-ListNumber"/>
    <w:rsid w:val="005D1782"/>
    <w:pPr>
      <w:numPr>
        <w:ilvl w:val="1"/>
      </w:numPr>
    </w:pPr>
  </w:style>
  <w:style w:type="paragraph" w:customStyle="1" w:styleId="Table-ListNumber3">
    <w:name w:val="Table - List Number 3"/>
    <w:basedOn w:val="Table-ListNumber2"/>
    <w:rsid w:val="005D1782"/>
    <w:pPr>
      <w:numPr>
        <w:ilvl w:val="2"/>
      </w:numPr>
    </w:pPr>
  </w:style>
  <w:style w:type="paragraph" w:customStyle="1" w:styleId="Table-ListLetter2">
    <w:name w:val="Table - List Letter 2"/>
    <w:basedOn w:val="Table-ListLetter"/>
    <w:rsid w:val="005D1782"/>
    <w:pPr>
      <w:numPr>
        <w:ilvl w:val="1"/>
      </w:numPr>
    </w:pPr>
  </w:style>
  <w:style w:type="paragraph" w:customStyle="1" w:styleId="Table-ListLetter3">
    <w:name w:val="Table - List Letter 3"/>
    <w:basedOn w:val="Table-ListLetter2"/>
    <w:rsid w:val="005D1782"/>
    <w:pPr>
      <w:numPr>
        <w:ilvl w:val="2"/>
      </w:numPr>
    </w:pPr>
  </w:style>
  <w:style w:type="paragraph" w:customStyle="1" w:styleId="Table-ListRoman">
    <w:name w:val="Table - List Roman"/>
    <w:basedOn w:val="TableBody"/>
    <w:rsid w:val="00CB6A63"/>
    <w:pPr>
      <w:numPr>
        <w:numId w:val="16"/>
      </w:numPr>
    </w:pPr>
  </w:style>
  <w:style w:type="paragraph" w:customStyle="1" w:styleId="Table-ListRoman2">
    <w:name w:val="Table - List Roman 2"/>
    <w:basedOn w:val="Table-ListRoman"/>
    <w:rsid w:val="00CB6A63"/>
    <w:pPr>
      <w:numPr>
        <w:ilvl w:val="1"/>
      </w:numPr>
    </w:pPr>
  </w:style>
  <w:style w:type="paragraph" w:customStyle="1" w:styleId="Table-ListRoman3">
    <w:name w:val="Table - List Roman 3"/>
    <w:basedOn w:val="Table-ListRoman2"/>
    <w:rsid w:val="00CB6A63"/>
    <w:pPr>
      <w:numPr>
        <w:ilvl w:val="2"/>
      </w:numPr>
    </w:pPr>
  </w:style>
  <w:style w:type="paragraph" w:customStyle="1" w:styleId="BlockText-ListContinue">
    <w:name w:val="Block Text - List Continue"/>
    <w:basedOn w:val="BlockText"/>
    <w:rsid w:val="00D76532"/>
    <w:pPr>
      <w:numPr>
        <w:numId w:val="23"/>
      </w:numPr>
    </w:pPr>
  </w:style>
  <w:style w:type="paragraph" w:customStyle="1" w:styleId="BlockText-ListContinue2">
    <w:name w:val="Block Text - List Continue 2"/>
    <w:basedOn w:val="BlockText-ListContinue"/>
    <w:rsid w:val="00D76532"/>
    <w:pPr>
      <w:numPr>
        <w:ilvl w:val="1"/>
      </w:numPr>
    </w:pPr>
  </w:style>
  <w:style w:type="paragraph" w:customStyle="1" w:styleId="BlockText-ListContinue3">
    <w:name w:val="Block Text - List Continue 3"/>
    <w:basedOn w:val="BlockText-ListContinue2"/>
    <w:rsid w:val="00D76532"/>
    <w:pPr>
      <w:numPr>
        <w:ilvl w:val="2"/>
      </w:numPr>
    </w:pPr>
  </w:style>
  <w:style w:type="paragraph" w:customStyle="1" w:styleId="BlockText-ListContinue4">
    <w:name w:val="Block Text - List Continue 4"/>
    <w:basedOn w:val="BlockText-ListContinue3"/>
    <w:rsid w:val="00D76532"/>
    <w:pPr>
      <w:numPr>
        <w:ilvl w:val="3"/>
      </w:numPr>
    </w:pPr>
  </w:style>
  <w:style w:type="paragraph" w:customStyle="1" w:styleId="BlockText-ListContinue5">
    <w:name w:val="Block Text - List Continue 5"/>
    <w:basedOn w:val="BlockText-ListContinue4"/>
    <w:rsid w:val="00D76532"/>
    <w:pPr>
      <w:numPr>
        <w:ilvl w:val="4"/>
      </w:numPr>
    </w:pPr>
  </w:style>
  <w:style w:type="paragraph" w:customStyle="1" w:styleId="Frontmatter">
    <w:name w:val="Frontmatter"/>
    <w:basedOn w:val="BodyText"/>
    <w:rsid w:val="0026498C"/>
    <w:pPr>
      <w:spacing w:after="120"/>
    </w:pPr>
    <w:rPr>
      <w:sz w:val="20"/>
    </w:rPr>
  </w:style>
  <w:style w:type="paragraph" w:customStyle="1" w:styleId="Titlepagetitle">
    <w:name w:val="Titlepage title"/>
    <w:rsid w:val="00F62238"/>
    <w:pPr>
      <w:spacing w:after="180" w:line="600" w:lineRule="exact"/>
      <w:jc w:val="center"/>
    </w:pPr>
    <w:rPr>
      <w:rFonts w:ascii="Arial" w:hAnsi="Arial" w:cs="Arial"/>
      <w:b/>
      <w:bCs/>
      <w:color w:val="333333"/>
      <w:kern w:val="28"/>
      <w:sz w:val="40"/>
      <w:szCs w:val="32"/>
      <w:lang w:eastAsia="en-GB"/>
    </w:rPr>
  </w:style>
  <w:style w:type="paragraph" w:customStyle="1" w:styleId="Titlepagesubtitle">
    <w:name w:val="Titlepage subtitle"/>
    <w:basedOn w:val="Titlepagetitle"/>
    <w:rsid w:val="0026498C"/>
    <w:pPr>
      <w:spacing w:before="320"/>
    </w:pPr>
    <w:rPr>
      <w:sz w:val="32"/>
    </w:rPr>
  </w:style>
  <w:style w:type="character" w:customStyle="1" w:styleId="Bolditalic">
    <w:name w:val="Bold italic"/>
    <w:rsid w:val="00ED2312"/>
    <w:rPr>
      <w:b/>
      <w:i/>
    </w:rPr>
  </w:style>
  <w:style w:type="paragraph" w:styleId="DocumentMap">
    <w:name w:val="Document Map"/>
    <w:basedOn w:val="Normal"/>
    <w:semiHidden/>
    <w:rsid w:val="00ED0217"/>
    <w:pPr>
      <w:shd w:val="clear" w:color="auto" w:fill="000080"/>
    </w:pPr>
    <w:rPr>
      <w:rFonts w:ascii="Tahoma" w:hAnsi="Tahoma" w:cs="Tahoma"/>
      <w:sz w:val="20"/>
      <w:szCs w:val="20"/>
    </w:rPr>
  </w:style>
  <w:style w:type="paragraph" w:customStyle="1" w:styleId="Wiki">
    <w:name w:val="Wiki"/>
    <w:basedOn w:val="BodyText"/>
    <w:semiHidden/>
    <w:rsid w:val="002973AB"/>
  </w:style>
  <w:style w:type="paragraph" w:styleId="Caption">
    <w:name w:val="caption"/>
    <w:basedOn w:val="BodyText"/>
    <w:next w:val="BodyText"/>
    <w:qFormat/>
    <w:rsid w:val="00D10B6F"/>
    <w:rPr>
      <w:b/>
      <w:bCs/>
      <w:sz w:val="20"/>
      <w:szCs w:val="20"/>
    </w:rPr>
  </w:style>
  <w:style w:type="paragraph" w:customStyle="1" w:styleId="Logo-Centred">
    <w:name w:val="Logo - Centred"/>
    <w:basedOn w:val="BodyText"/>
    <w:rsid w:val="00F62238"/>
    <w:pPr>
      <w:jc w:val="center"/>
    </w:pPr>
  </w:style>
  <w:style w:type="character" w:styleId="CommentReference">
    <w:name w:val="annotation reference"/>
    <w:semiHidden/>
    <w:rsid w:val="005913F7"/>
    <w:rPr>
      <w:sz w:val="16"/>
      <w:szCs w:val="16"/>
    </w:rPr>
  </w:style>
  <w:style w:type="paragraph" w:styleId="CommentText">
    <w:name w:val="annotation text"/>
    <w:basedOn w:val="Normal"/>
    <w:semiHidden/>
    <w:rsid w:val="005913F7"/>
    <w:rPr>
      <w:sz w:val="20"/>
      <w:szCs w:val="20"/>
    </w:rPr>
  </w:style>
  <w:style w:type="paragraph" w:styleId="BalloonText">
    <w:name w:val="Balloon Text"/>
    <w:basedOn w:val="Normal"/>
    <w:semiHidden/>
    <w:rsid w:val="005913F7"/>
    <w:rPr>
      <w:rFonts w:ascii="Tahoma" w:hAnsi="Tahoma" w:cs="Tahoma"/>
      <w:sz w:val="16"/>
      <w:szCs w:val="16"/>
    </w:rPr>
  </w:style>
  <w:style w:type="paragraph" w:styleId="CommentSubject">
    <w:name w:val="annotation subject"/>
    <w:basedOn w:val="CommentText"/>
    <w:next w:val="CommentText"/>
    <w:semiHidden/>
    <w:rsid w:val="00CB148C"/>
    <w:rPr>
      <w:b/>
      <w:bCs/>
    </w:rPr>
  </w:style>
  <w:style w:type="paragraph" w:customStyle="1" w:styleId="PseudoHeading1">
    <w:name w:val="Pseudo Heading 1"/>
    <w:rsid w:val="002A2F3E"/>
    <w:pPr>
      <w:pageBreakBefore/>
      <w:spacing w:after="360"/>
    </w:pPr>
    <w:rPr>
      <w:rFonts w:ascii="Arial" w:hAnsi="Arial" w:cs="Arial"/>
      <w:b/>
      <w:bCs/>
      <w:color w:val="005984"/>
      <w:kern w:val="32"/>
      <w:sz w:val="37"/>
      <w:szCs w:val="32"/>
      <w:lang w:eastAsia="en-GB"/>
    </w:rPr>
  </w:style>
  <w:style w:type="character" w:customStyle="1" w:styleId="FootnoteTextChar">
    <w:name w:val="Footnote Text Char"/>
    <w:basedOn w:val="DefaultParagraphFont"/>
    <w:link w:val="FootnoteText"/>
    <w:rsid w:val="005226B6"/>
    <w:rPr>
      <w:rFonts w:ascii="Arial" w:hAnsi="Arial"/>
      <w:sz w:val="18"/>
      <w:lang w:eastAsia="en-GB"/>
    </w:rPr>
  </w:style>
  <w:style w:type="character" w:styleId="UnresolvedMention">
    <w:name w:val="Unresolved Mention"/>
    <w:basedOn w:val="DefaultParagraphFont"/>
    <w:uiPriority w:val="99"/>
    <w:semiHidden/>
    <w:unhideWhenUsed/>
    <w:rsid w:val="00047A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3862253">
      <w:bodyDiv w:val="1"/>
      <w:marLeft w:val="0"/>
      <w:marRight w:val="0"/>
      <w:marTop w:val="0"/>
      <w:marBottom w:val="0"/>
      <w:divBdr>
        <w:top w:val="none" w:sz="0" w:space="0" w:color="auto"/>
        <w:left w:val="none" w:sz="0" w:space="0" w:color="auto"/>
        <w:bottom w:val="none" w:sz="0" w:space="0" w:color="auto"/>
        <w:right w:val="none" w:sz="0" w:space="0" w:color="auto"/>
      </w:divBdr>
    </w:div>
    <w:div w:id="157339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tcoss@actcoss.org.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mailto:geoff.buchanan@actcoss.org.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tcoss.org.au"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environment.act.gov.au/cc/act-climate-change-strategy" TargetMode="External"/><Relationship Id="rId13" Type="http://schemas.openxmlformats.org/officeDocument/2006/relationships/hyperlink" Target="https://www.aer.gov.au/networks-pipelines/determinations-access-arrangements/evoenergy-access-arrangement-2021-26/proposal" TargetMode="External"/><Relationship Id="rId18" Type="http://schemas.openxmlformats.org/officeDocument/2006/relationships/hyperlink" Target="https://www.aer.gov.au/system/files/AER%20-%20Draft%20decision%20-%20Evoenergy%20access%20arrangement%202021-26%20-%20Attachment%209%20-%20Reference%20tariff%20setting%20-%20November%202020_0.pdf" TargetMode="External"/><Relationship Id="rId3" Type="http://schemas.openxmlformats.org/officeDocument/2006/relationships/hyperlink" Target="https://www.actcoss.org.au/publications/advocacy-publications/submission-evoenergys-gas-network-2021-26-access-arrangement" TargetMode="External"/><Relationship Id="rId7" Type="http://schemas.openxmlformats.org/officeDocument/2006/relationships/hyperlink" Target="https://www.environment.act.gov.au/__data/assets/pdf_file/0007/1411567/act-sustainable-energy-policy-discussion-paper.pdf" TargetMode="External"/><Relationship Id="rId12" Type="http://schemas.openxmlformats.org/officeDocument/2006/relationships/hyperlink" Target="https://www.abs.gov.au/ausstats/abs@.nsf/Lookup/by%20Subject/4130.0~2017-18~Main%20Features~States%20and%20Territories~9" TargetMode="External"/><Relationship Id="rId17" Type="http://schemas.openxmlformats.org/officeDocument/2006/relationships/hyperlink" Target="https://www.evoenergy.com.au/gas-network-draft-plan" TargetMode="External"/><Relationship Id="rId2" Type="http://schemas.openxmlformats.org/officeDocument/2006/relationships/hyperlink" Target="https://www.actcoss.org.au/publications/advocacy-publications/submission-evoenergy-gas-network-2021-draft-plan" TargetMode="External"/><Relationship Id="rId16" Type="http://schemas.openxmlformats.org/officeDocument/2006/relationships/hyperlink" Target="https://www.aer.gov.au/system/files/CPRC%20-%20Exploring%20regulatory%20approaches%20to%20consumer%20vulnerability%20-%20A%20report%20for%20the%20AER%20-%20February%202020_0.pdf" TargetMode="External"/><Relationship Id="rId1" Type="http://schemas.openxmlformats.org/officeDocument/2006/relationships/hyperlink" Target="https://www.aer.gov.au/system/files/AER%20-%20Draft%20Decision%20-%20Evoenergy%20access%20arrangement%202021-26%20-%20Overview%20-%20November%202020_0.pdf" TargetMode="External"/><Relationship Id="rId6" Type="http://schemas.openxmlformats.org/officeDocument/2006/relationships/hyperlink" Target="https://www.legislation.act.gov.au/di/2018-215/default.asp" TargetMode="External"/><Relationship Id="rId11" Type="http://schemas.openxmlformats.org/officeDocument/2006/relationships/hyperlink" Target="https://www.aer.gov.au/networks-pipelines/determinations-access-arrangements/evoenergy-access-arrangement-2021-26/proposal" TargetMode="External"/><Relationship Id="rId5" Type="http://schemas.openxmlformats.org/officeDocument/2006/relationships/hyperlink" Target="https://www.legislation.act.gov.au/a/2010-41/" TargetMode="External"/><Relationship Id="rId15" Type="http://schemas.openxmlformats.org/officeDocument/2006/relationships/hyperlink" Target="https://www.aer.gov.au/system/files/Evoenergy%20-%20Communication%20Link%20-%20Attachment%204.1%20-%20Stranded%20asset%20risk%20deep%20dive%20report%20-%20January%202021.pdf" TargetMode="External"/><Relationship Id="rId10" Type="http://schemas.openxmlformats.org/officeDocument/2006/relationships/hyperlink" Target="https://apps.treasury.act.gov.au/budget/budget-2020-21" TargetMode="External"/><Relationship Id="rId4" Type="http://schemas.openxmlformats.org/officeDocument/2006/relationships/hyperlink" Target="https://www.actcoss.org.au/publications/advocacy-publications/report-gn21-energy-consumer-advocacy-workshop-outcomes" TargetMode="External"/><Relationship Id="rId9" Type="http://schemas.openxmlformats.org/officeDocument/2006/relationships/hyperlink" Target="https://www.cmtedd.act.gov.au/__data/assets/pdf_file/0003/1654077/Parliamentary-Agreement-for-the-10th-Legislative-Assembly.pdf" TargetMode="External"/><Relationship Id="rId14" Type="http://schemas.openxmlformats.org/officeDocument/2006/relationships/hyperlink" Target="https://www.aer.gov.au/system/files/Evoenergy%20-%20CIE%20-%20Attachment%208.1%20-%20Update%20to%20forecast%20demand%20report%20-%20January%202021_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anner\Downloads\TPL%20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2" ma:contentTypeDescription="Create a new document." ma:contentTypeScope="" ma:versionID="01a138b6a95218183de8ebe80020cf6b">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431662d7eb09e2a557c59d4761d66a95"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FC22B7-250C-44DE-AF10-0ADFC904FF8B}">
  <ds:schemaRefs>
    <ds:schemaRef ds:uri="http://purl.org/dc/elements/1.1/"/>
    <ds:schemaRef ds:uri="http://schemas.microsoft.com/office/2006/metadata/properties"/>
    <ds:schemaRef ds:uri="32918964-d11d-4bda-ba04-9b8184f6a17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741e4-cc31-428c-aca2-d2da616e4ed0"/>
    <ds:schemaRef ds:uri="http://www.w3.org/XML/1998/namespace"/>
    <ds:schemaRef ds:uri="http://purl.org/dc/dcmitype/"/>
  </ds:schemaRefs>
</ds:datastoreItem>
</file>

<file path=customXml/itemProps2.xml><?xml version="1.0" encoding="utf-8"?>
<ds:datastoreItem xmlns:ds="http://schemas.openxmlformats.org/officeDocument/2006/customXml" ds:itemID="{E2D79E94-DD7C-4FD0-8A3C-11D538060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F7D787-7C50-401B-8C95-80ECB471193E}">
  <ds:schemaRefs>
    <ds:schemaRef ds:uri="http://schemas.openxmlformats.org/officeDocument/2006/bibliography"/>
  </ds:schemaRefs>
</ds:datastoreItem>
</file>

<file path=customXml/itemProps4.xml><?xml version="1.0" encoding="utf-8"?>
<ds:datastoreItem xmlns:ds="http://schemas.openxmlformats.org/officeDocument/2006/customXml" ds:itemID="{4FC06235-2002-4A40-86E9-C8AE67EEB1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TPL Submission.dot</Template>
  <TotalTime>1191</TotalTime>
  <Pages>6</Pages>
  <Words>7339</Words>
  <Characters>41028</Characters>
  <Application>Microsoft Office Word</Application>
  <DocSecurity>0</DocSecurity>
  <Lines>954</Lines>
  <Paragraphs>452</Paragraphs>
  <ScaleCrop>false</ScaleCrop>
  <HeadingPairs>
    <vt:vector size="2" baseType="variant">
      <vt:variant>
        <vt:lpstr>Title</vt:lpstr>
      </vt:variant>
      <vt:variant>
        <vt:i4>1</vt:i4>
      </vt:variant>
    </vt:vector>
  </HeadingPairs>
  <TitlesOfParts>
    <vt:vector size="1" baseType="lpstr">
      <vt:lpstr>ACTCOSS submission: Evoenergy Gas Network 2021-26 Access Arrangement Revised Proposal and AER Draft Decision</vt:lpstr>
    </vt:vector>
  </TitlesOfParts>
  <Company>ACT Council of Social Service</Company>
  <LinksUpToDate>false</LinksUpToDate>
  <CharactersWithSpaces>47915</CharactersWithSpaces>
  <SharedDoc>false</SharedDoc>
  <HLinks>
    <vt:vector size="60" baseType="variant">
      <vt:variant>
        <vt:i4>1835056</vt:i4>
      </vt:variant>
      <vt:variant>
        <vt:i4>53</vt:i4>
      </vt:variant>
      <vt:variant>
        <vt:i4>0</vt:i4>
      </vt:variant>
      <vt:variant>
        <vt:i4>5</vt:i4>
      </vt:variant>
      <vt:variant>
        <vt:lpwstr/>
      </vt:variant>
      <vt:variant>
        <vt:lpwstr>_Toc324171091</vt:lpwstr>
      </vt:variant>
      <vt:variant>
        <vt:i4>1835056</vt:i4>
      </vt:variant>
      <vt:variant>
        <vt:i4>47</vt:i4>
      </vt:variant>
      <vt:variant>
        <vt:i4>0</vt:i4>
      </vt:variant>
      <vt:variant>
        <vt:i4>5</vt:i4>
      </vt:variant>
      <vt:variant>
        <vt:lpwstr/>
      </vt:variant>
      <vt:variant>
        <vt:lpwstr>_Toc324171090</vt:lpwstr>
      </vt:variant>
      <vt:variant>
        <vt:i4>1900592</vt:i4>
      </vt:variant>
      <vt:variant>
        <vt:i4>41</vt:i4>
      </vt:variant>
      <vt:variant>
        <vt:i4>0</vt:i4>
      </vt:variant>
      <vt:variant>
        <vt:i4>5</vt:i4>
      </vt:variant>
      <vt:variant>
        <vt:lpwstr/>
      </vt:variant>
      <vt:variant>
        <vt:lpwstr>_Toc324171089</vt:lpwstr>
      </vt:variant>
      <vt:variant>
        <vt:i4>1900592</vt:i4>
      </vt:variant>
      <vt:variant>
        <vt:i4>35</vt:i4>
      </vt:variant>
      <vt:variant>
        <vt:i4>0</vt:i4>
      </vt:variant>
      <vt:variant>
        <vt:i4>5</vt:i4>
      </vt:variant>
      <vt:variant>
        <vt:lpwstr/>
      </vt:variant>
      <vt:variant>
        <vt:lpwstr>_Toc324171088</vt:lpwstr>
      </vt:variant>
      <vt:variant>
        <vt:i4>1900592</vt:i4>
      </vt:variant>
      <vt:variant>
        <vt:i4>29</vt:i4>
      </vt:variant>
      <vt:variant>
        <vt:i4>0</vt:i4>
      </vt:variant>
      <vt:variant>
        <vt:i4>5</vt:i4>
      </vt:variant>
      <vt:variant>
        <vt:lpwstr/>
      </vt:variant>
      <vt:variant>
        <vt:lpwstr>_Toc324171087</vt:lpwstr>
      </vt:variant>
      <vt:variant>
        <vt:i4>1900592</vt:i4>
      </vt:variant>
      <vt:variant>
        <vt:i4>23</vt:i4>
      </vt:variant>
      <vt:variant>
        <vt:i4>0</vt:i4>
      </vt:variant>
      <vt:variant>
        <vt:i4>5</vt:i4>
      </vt:variant>
      <vt:variant>
        <vt:lpwstr/>
      </vt:variant>
      <vt:variant>
        <vt:lpwstr>_Toc324171086</vt:lpwstr>
      </vt:variant>
      <vt:variant>
        <vt:i4>6553636</vt:i4>
      </vt:variant>
      <vt:variant>
        <vt:i4>9</vt:i4>
      </vt:variant>
      <vt:variant>
        <vt:i4>0</vt:i4>
      </vt:variant>
      <vt:variant>
        <vt:i4>5</vt:i4>
      </vt:variant>
      <vt:variant>
        <vt:lpwstr>http://www.actcoss.org.au/</vt:lpwstr>
      </vt:variant>
      <vt:variant>
        <vt:lpwstr/>
      </vt:variant>
      <vt:variant>
        <vt:i4>721016</vt:i4>
      </vt:variant>
      <vt:variant>
        <vt:i4>6</vt:i4>
      </vt:variant>
      <vt:variant>
        <vt:i4>0</vt:i4>
      </vt:variant>
      <vt:variant>
        <vt:i4>5</vt:i4>
      </vt:variant>
      <vt:variant>
        <vt:lpwstr>mailto:actcoss@actcoss.org.au</vt:lpwstr>
      </vt:variant>
      <vt:variant>
        <vt:lpwstr/>
      </vt:variant>
      <vt:variant>
        <vt:i4>5832728</vt:i4>
      </vt:variant>
      <vt:variant>
        <vt:i4>0</vt:i4>
      </vt:variant>
      <vt:variant>
        <vt:i4>0</vt:i4>
      </vt:variant>
      <vt:variant>
        <vt:i4>5</vt:i4>
      </vt:variant>
      <vt:variant>
        <vt:lpwstr>http://staff.actcoss.org.au/wiki/doku.php</vt:lpwstr>
      </vt:variant>
      <vt:variant>
        <vt:lpwstr/>
      </vt:variant>
      <vt:variant>
        <vt:i4>5832728</vt:i4>
      </vt:variant>
      <vt:variant>
        <vt:i4>0</vt:i4>
      </vt:variant>
      <vt:variant>
        <vt:i4>0</vt:i4>
      </vt:variant>
      <vt:variant>
        <vt:i4>5</vt:i4>
      </vt:variant>
      <vt:variant>
        <vt:lpwstr>http://staff.actcoss.org.au/wiki/doku.php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ACTCOSS submission: Evoenergy Gas Network 2021-26 Access Arrangement Revised Proposal and AER Draft Decision</dc:title>
  <dc:subject/>
  <dc:creator>Geoff Buchanan</dc:creator>
  <cp:keywords/>
  <dc:description/>
  <cp:lastModifiedBy>Suzanne Richardson</cp:lastModifiedBy>
  <cp:revision>915</cp:revision>
  <cp:lastPrinted>2011-07-22T03:29:00Z</cp:lastPrinted>
  <dcterms:created xsi:type="dcterms:W3CDTF">2021-02-14T23:03:00Z</dcterms:created>
  <dcterms:modified xsi:type="dcterms:W3CDTF">2021-03-12T02:10:00Z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2010-02-07T13:00:00Z</vt:filetime>
  </property>
  <property fmtid="{D5CDD505-2E9C-101B-9397-08002B2CF9AE}" pid="3" name="ContentTypeId">
    <vt:lpwstr>0x010100A393A2617EF7DB41893826E3ECAAB324</vt:lpwstr>
  </property>
  <property fmtid="{D5CDD505-2E9C-101B-9397-08002B2CF9AE}" pid="4" name="AuthorIds_UIVersion_512">
    <vt:lpwstr>6</vt:lpwstr>
  </property>
  <property fmtid="{D5CDD505-2E9C-101B-9397-08002B2CF9AE}" pid="5" name="AuthorIds_UIVersion_2560">
    <vt:lpwstr>6</vt:lpwstr>
  </property>
  <property fmtid="{D5CDD505-2E9C-101B-9397-08002B2CF9AE}" pid="6" name="_MarkAsFinal">
    <vt:bool>true</vt:bool>
  </property>
</Properties>
</file>