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46F40E7E" w:rsidR="005F7E96" w:rsidRDefault="00900DEC" w:rsidP="00E06BEC">
      <w:r>
        <w:t>10</w:t>
      </w:r>
      <w:r w:rsidR="00F51019">
        <w:t xml:space="preserve"> August 2021</w:t>
      </w:r>
    </w:p>
    <w:p w14:paraId="7583D339" w14:textId="77777777" w:rsidR="009E2A23" w:rsidRDefault="009E2A23" w:rsidP="00E06BEC"/>
    <w:p w14:paraId="66EDCE44" w14:textId="0D91ABCC" w:rsidR="00EC2A44" w:rsidRDefault="00F51019" w:rsidP="00E06BEC">
      <w:bookmarkStart w:id="2" w:name="Text2"/>
      <w:bookmarkEnd w:id="0"/>
      <w:r>
        <w:t>Dr Ann</w:t>
      </w:r>
      <w:r w:rsidR="00887939">
        <w:t>ette Weier</w:t>
      </w:r>
    </w:p>
    <w:p w14:paraId="287876F2" w14:textId="414A6469" w:rsidR="00887939" w:rsidRDefault="00887939" w:rsidP="00E06BEC">
      <w:r>
        <w:t>Chief Executive Officer</w:t>
      </w:r>
    </w:p>
    <w:p w14:paraId="5DFADD9E" w14:textId="15AF13C7" w:rsidR="00887939" w:rsidRDefault="00887939" w:rsidP="00E06BEC">
      <w:r>
        <w:t>Independent Competition and Regulatory Commission</w:t>
      </w:r>
    </w:p>
    <w:p w14:paraId="7408A83B" w14:textId="77777777" w:rsidR="002E5A8C" w:rsidRDefault="002E5A8C" w:rsidP="002E5A8C">
      <w:bookmarkStart w:id="3" w:name="Text4"/>
      <w:bookmarkEnd w:id="2"/>
      <w:r>
        <w:t>PO Box 161</w:t>
      </w:r>
    </w:p>
    <w:p w14:paraId="66EDCE47" w14:textId="189D34E6" w:rsidR="00E0423E" w:rsidRPr="00AF5200" w:rsidRDefault="002E5A8C" w:rsidP="002E5A8C">
      <w:r>
        <w:t xml:space="preserve">Civic Square ACT </w:t>
      </w:r>
      <w:bookmarkEnd w:id="3"/>
      <w:r>
        <w:t>2608</w:t>
      </w:r>
    </w:p>
    <w:p w14:paraId="66EDCE48" w14:textId="77777777" w:rsidR="00E0423E" w:rsidRDefault="00E0423E" w:rsidP="00E06BEC"/>
    <w:p w14:paraId="66EDCE4A" w14:textId="6EA55D08" w:rsidR="00E0423E" w:rsidRDefault="00E0423E" w:rsidP="009C3637">
      <w:r>
        <w:t xml:space="preserve">Via email: </w:t>
      </w:r>
      <w:hyperlink r:id="rId14" w:history="1">
        <w:r w:rsidR="00470CB2" w:rsidRPr="00F3285D">
          <w:rPr>
            <w:rStyle w:val="Hyperlink"/>
          </w:rPr>
          <w:t>icrc@act.gov.au</w:t>
        </w:r>
      </w:hyperlink>
      <w:r w:rsidR="00470CB2">
        <w:t xml:space="preserve"> </w:t>
      </w:r>
    </w:p>
    <w:p w14:paraId="546C0F64" w14:textId="780BCDB7" w:rsidR="009C3637" w:rsidRDefault="009C3637" w:rsidP="0094755C">
      <w:pPr>
        <w:pStyle w:val="NoSpacing"/>
      </w:pPr>
    </w:p>
    <w:p w14:paraId="5AE0FA1F" w14:textId="77777777" w:rsidR="009C3637" w:rsidRDefault="009C3637" w:rsidP="0094755C">
      <w:pPr>
        <w:pStyle w:val="NoSpacing"/>
      </w:pPr>
    </w:p>
    <w:p w14:paraId="66EDCE4C" w14:textId="46C5774D" w:rsidR="00E0423E" w:rsidRDefault="00E0423E" w:rsidP="009C3637">
      <w:pPr>
        <w:pStyle w:val="BodyText"/>
      </w:pPr>
      <w:r w:rsidRPr="009C3637">
        <w:t>Dear</w:t>
      </w:r>
      <w:r>
        <w:t xml:space="preserve"> </w:t>
      </w:r>
      <w:r w:rsidR="00486528">
        <w:t>Dr Weier</w:t>
      </w:r>
    </w:p>
    <w:p w14:paraId="66EDCE4D" w14:textId="175170A5" w:rsidR="00E0423E" w:rsidRPr="00202876" w:rsidRDefault="00486528" w:rsidP="00202876">
      <w:pPr>
        <w:pStyle w:val="Subjectline"/>
      </w:pPr>
      <w:r>
        <w:t>Submission to Consultation Draft</w:t>
      </w:r>
      <w:r w:rsidR="00504FEA">
        <w:t>: ACT Retail Electricity (Transparency and Comparability) Code Guideline</w:t>
      </w:r>
    </w:p>
    <w:p w14:paraId="49A17910" w14:textId="5DA43349" w:rsidR="00E06BEC" w:rsidRDefault="00C93B7E" w:rsidP="00C12F9E">
      <w:pPr>
        <w:pStyle w:val="BodyText"/>
      </w:pPr>
      <w:r>
        <w:t>Thank you for inviting the ACT Council of Social Service (ACTCOSS) to provide our views and comm</w:t>
      </w:r>
      <w:r w:rsidR="00FA0E01">
        <w:t>e</w:t>
      </w:r>
      <w:r>
        <w:t xml:space="preserve">nts on the content and clarity of the </w:t>
      </w:r>
      <w:r w:rsidR="00FA0E01">
        <w:t>Independent Competition and Regulatory Commission’s (ICRC) consultation draft of the ACT Retail Electricity (Transparency and Comparability) Code Guideline.</w:t>
      </w:r>
    </w:p>
    <w:p w14:paraId="2A37F78E" w14:textId="77777777" w:rsidR="00E54D8B" w:rsidRDefault="00E54D8B" w:rsidP="00E54D8B">
      <w:pPr>
        <w:pStyle w:val="Heading1"/>
      </w:pPr>
      <w:r>
        <w:t>About ACTCOSS</w:t>
      </w:r>
    </w:p>
    <w:p w14:paraId="7F5055DA" w14:textId="4646088D" w:rsidR="00D42CF1" w:rsidRDefault="00E54D8B" w:rsidP="00E54D8B">
      <w:pPr>
        <w:pStyle w:val="BodyText"/>
      </w:pPr>
      <w:r>
        <w:t>ACTCOSS represents not-for-profit community organisations and advocates for social justice in the ACT. ACTCOSS leads the ACT Energised Consumers Project which is co-funded by Energy Consumers Australia (ECA) and the ACT Government. Through this project ACTCOSS advocates for residential, not-for-profit, and small business energy consumers in the ACT.</w:t>
      </w:r>
    </w:p>
    <w:p w14:paraId="293BB5EE" w14:textId="39EFD18A" w:rsidR="00CF61BF" w:rsidRDefault="00445A92" w:rsidP="00CF61BF">
      <w:pPr>
        <w:pStyle w:val="Heading1"/>
      </w:pPr>
      <w:r>
        <w:t>Background</w:t>
      </w:r>
    </w:p>
    <w:p w14:paraId="5383D50D" w14:textId="4B5934ED" w:rsidR="00CF61BF" w:rsidRDefault="00012E22" w:rsidP="00CF61BF">
      <w:pPr>
        <w:pStyle w:val="BodyText"/>
      </w:pPr>
      <w:r>
        <w:t xml:space="preserve">ACTCOSS </w:t>
      </w:r>
      <w:r w:rsidR="00F93656">
        <w:t>advocated for the introduction of</w:t>
      </w:r>
      <w:r>
        <w:t xml:space="preserve"> the ICRC’s </w:t>
      </w:r>
      <w:r w:rsidR="009B44C0">
        <w:t xml:space="preserve">ACT Retail Electricity (Transparency and Comparability) Code as an important measure to </w:t>
      </w:r>
      <w:r w:rsidR="00DB7026">
        <w:t xml:space="preserve">make it easier for small energy consumers in the ACT to identify </w:t>
      </w:r>
      <w:r w:rsidR="008337BD">
        <w:t xml:space="preserve">electricity offers that better suit their circumstances and </w:t>
      </w:r>
      <w:r w:rsidR="00445A92">
        <w:t xml:space="preserve">are likely to </w:t>
      </w:r>
      <w:r w:rsidR="008337BD">
        <w:t xml:space="preserve">reduce their electricity bills. </w:t>
      </w:r>
      <w:r w:rsidR="00E65B91">
        <w:t xml:space="preserve">We </w:t>
      </w:r>
      <w:r w:rsidR="00F93656">
        <w:t>support</w:t>
      </w:r>
      <w:r w:rsidR="00E65B91">
        <w:t xml:space="preserve"> the key components of the code</w:t>
      </w:r>
      <w:r w:rsidR="004D6421">
        <w:t>, namely that</w:t>
      </w:r>
      <w:r w:rsidR="00E65B91">
        <w:t>:</w:t>
      </w:r>
    </w:p>
    <w:p w14:paraId="17CE7240" w14:textId="259C0BDA" w:rsidR="004D6421" w:rsidRDefault="004D6421" w:rsidP="006425C0">
      <w:pPr>
        <w:pStyle w:val="ListBullet"/>
      </w:pPr>
      <w:r>
        <w:lastRenderedPageBreak/>
        <w:t>Electricity retailer</w:t>
      </w:r>
      <w:r w:rsidR="00F93656">
        <w:t>s’</w:t>
      </w:r>
      <w:r>
        <w:t xml:space="preserve"> prices are to be compared to a reference price</w:t>
      </w:r>
    </w:p>
    <w:p w14:paraId="688D6BD3" w14:textId="3B6FC0E1" w:rsidR="004D6421" w:rsidRDefault="00930EB0" w:rsidP="006425C0">
      <w:pPr>
        <w:pStyle w:val="ListBullet"/>
      </w:pPr>
      <w:r>
        <w:t xml:space="preserve">Electricity retailers are obliged to undertake better offer checks and </w:t>
      </w:r>
      <w:r w:rsidR="00D20ED7">
        <w:t>provide customers with a better offer message on bills</w:t>
      </w:r>
      <w:r w:rsidR="006425C0">
        <w:t xml:space="preserve"> or bill summaries</w:t>
      </w:r>
    </w:p>
    <w:p w14:paraId="4947448A" w14:textId="4321388F" w:rsidR="006425C0" w:rsidRDefault="006425C0" w:rsidP="006425C0">
      <w:pPr>
        <w:pStyle w:val="ListBullet"/>
      </w:pPr>
      <w:r>
        <w:t>Customers are entitled to clear advice from electricity retailers.</w:t>
      </w:r>
    </w:p>
    <w:p w14:paraId="6C838CAE" w14:textId="039F911A" w:rsidR="00644B0F" w:rsidRDefault="00644B0F" w:rsidP="002439B8">
      <w:pPr>
        <w:pStyle w:val="BodyText"/>
      </w:pPr>
      <w:r>
        <w:t xml:space="preserve">Electricity is a </w:t>
      </w:r>
      <w:r w:rsidR="00955109">
        <w:t>necessity</w:t>
      </w:r>
      <w:r w:rsidR="002567AB">
        <w:t xml:space="preserve"> not a luxury</w:t>
      </w:r>
      <w:r w:rsidR="00955109">
        <w:t>.</w:t>
      </w:r>
      <w:r w:rsidR="002439B8" w:rsidRPr="002439B8">
        <w:t xml:space="preserve"> Energy justice requires that low-income and vulnerable consumers have ready access to electricity at a fair price – they should not be forced to shop around for an essential service.</w:t>
      </w:r>
      <w:r w:rsidR="00955109">
        <w:t xml:space="preserve"> </w:t>
      </w:r>
      <w:r w:rsidR="009017AE">
        <w:t xml:space="preserve">The onus should be on </w:t>
      </w:r>
      <w:r w:rsidR="007C067C">
        <w:t>electricity retailers</w:t>
      </w:r>
      <w:r w:rsidR="00243BDD">
        <w:t xml:space="preserve"> </w:t>
      </w:r>
      <w:r w:rsidR="007C067C">
        <w:t xml:space="preserve">to </w:t>
      </w:r>
      <w:r w:rsidR="009017AE">
        <w:t xml:space="preserve">identify </w:t>
      </w:r>
      <w:r w:rsidR="00066096">
        <w:t>whether</w:t>
      </w:r>
      <w:r w:rsidR="009017AE">
        <w:t xml:space="preserve"> a customer would be better off on a different offer</w:t>
      </w:r>
      <w:r w:rsidR="00FB0E19">
        <w:t xml:space="preserve"> </w:t>
      </w:r>
      <w:r w:rsidR="00243BDD">
        <w:t>and to inform their customers accordingly</w:t>
      </w:r>
      <w:r w:rsidR="009017AE">
        <w:t xml:space="preserve">. If electricity retailers </w:t>
      </w:r>
      <w:r w:rsidR="00156C7A">
        <w:t xml:space="preserve">find this challenging </w:t>
      </w:r>
      <w:r w:rsidR="00066096">
        <w:t xml:space="preserve">or impossible </w:t>
      </w:r>
      <w:r w:rsidR="00156C7A">
        <w:t xml:space="preserve">to do, then we cannot reasonably expect </w:t>
      </w:r>
      <w:r w:rsidR="00243BDD">
        <w:t>most</w:t>
      </w:r>
      <w:r w:rsidR="00955D1A">
        <w:t xml:space="preserve"> </w:t>
      </w:r>
      <w:r w:rsidR="00156C7A">
        <w:t xml:space="preserve">customers to </w:t>
      </w:r>
      <w:r w:rsidR="00FB0E19">
        <w:t>do this themselves</w:t>
      </w:r>
      <w:r w:rsidR="00156C7A">
        <w:t>.</w:t>
      </w:r>
    </w:p>
    <w:p w14:paraId="1877C3EA" w14:textId="0524CF33" w:rsidR="009B7491" w:rsidRDefault="00A7472F" w:rsidP="002439B8">
      <w:pPr>
        <w:pStyle w:val="BodyText"/>
      </w:pPr>
      <w:r>
        <w:t xml:space="preserve">Requiring electricity retailers to compare their offers to a common reference price </w:t>
      </w:r>
      <w:r w:rsidR="005D18F6">
        <w:t xml:space="preserve">is </w:t>
      </w:r>
      <w:r w:rsidR="000E46D3">
        <w:t>critical to enabling customers to</w:t>
      </w:r>
      <w:r w:rsidR="00BF1FBB">
        <w:t xml:space="preserve"> more easily and</w:t>
      </w:r>
      <w:r w:rsidR="000E46D3">
        <w:t xml:space="preserve"> </w:t>
      </w:r>
      <w:r w:rsidR="00DA3254">
        <w:t xml:space="preserve">fairly </w:t>
      </w:r>
      <w:r w:rsidR="000E46D3">
        <w:t xml:space="preserve">engage with the market to try to </w:t>
      </w:r>
      <w:r w:rsidR="00DC0FFD">
        <w:t>access</w:t>
      </w:r>
      <w:r w:rsidR="000E46D3">
        <w:t xml:space="preserve"> more affordable electricity</w:t>
      </w:r>
      <w:r w:rsidR="00DA3254">
        <w:t>.</w:t>
      </w:r>
    </w:p>
    <w:p w14:paraId="702D78A2" w14:textId="4F6E0A28" w:rsidR="00420204" w:rsidRDefault="006927FE" w:rsidP="002439B8">
      <w:pPr>
        <w:pStyle w:val="BodyText"/>
      </w:pPr>
      <w:r>
        <w:t>The clear advice entitlement</w:t>
      </w:r>
      <w:r w:rsidR="00415988">
        <w:t xml:space="preserve"> represents an important </w:t>
      </w:r>
      <w:r w:rsidR="004F65BD">
        <w:t>piece</w:t>
      </w:r>
      <w:r w:rsidR="00415988">
        <w:t xml:space="preserve"> of </w:t>
      </w:r>
      <w:r w:rsidR="00415988" w:rsidRPr="00415988">
        <w:t>‘responsibility</w:t>
      </w:r>
      <w:r w:rsidR="004F65BD">
        <w:t>-</w:t>
      </w:r>
      <w:r w:rsidR="00415988" w:rsidRPr="00415988">
        <w:t>based regulation’ – requiring</w:t>
      </w:r>
      <w:r w:rsidR="0098183C">
        <w:t xml:space="preserve"> electricity</w:t>
      </w:r>
      <w:r w:rsidR="00415988" w:rsidRPr="00415988">
        <w:t xml:space="preserve"> retailers to take responsibility for helping customers navigate their way to the retailer’s most suitable energy plan</w:t>
      </w:r>
      <w:r w:rsidR="0098183C">
        <w:t>.</w:t>
      </w:r>
      <w:r w:rsidR="00D94776">
        <w:t xml:space="preserve"> </w:t>
      </w:r>
      <w:r w:rsidR="001E6EE3">
        <w:t xml:space="preserve">We value this </w:t>
      </w:r>
      <w:r w:rsidR="00D94776">
        <w:t>type of regulation</w:t>
      </w:r>
      <w:r w:rsidR="001E6EE3">
        <w:t xml:space="preserve"> which</w:t>
      </w:r>
      <w:r w:rsidR="00D94776">
        <w:t xml:space="preserve"> </w:t>
      </w:r>
      <w:r w:rsidR="00D94776" w:rsidRPr="00D94776">
        <w:t>put</w:t>
      </w:r>
      <w:r w:rsidR="00D94776">
        <w:t>s</w:t>
      </w:r>
      <w:r w:rsidR="00D94776" w:rsidRPr="00D94776">
        <w:t xml:space="preserve"> more power in electricity consumers hands</w:t>
      </w:r>
      <w:r w:rsidR="00D94776">
        <w:t xml:space="preserve"> </w:t>
      </w:r>
      <w:r w:rsidR="001E6EE3">
        <w:t>while</w:t>
      </w:r>
      <w:r w:rsidR="00D94776">
        <w:t xml:space="preserve"> placing</w:t>
      </w:r>
      <w:r w:rsidR="00D94776" w:rsidRPr="00D94776">
        <w:t xml:space="preserve"> more responsibility and accountability on retailers.</w:t>
      </w:r>
    </w:p>
    <w:p w14:paraId="6DAA1F27" w14:textId="2F0CBF1E" w:rsidR="006425C0" w:rsidRDefault="001975F1" w:rsidP="001975F1">
      <w:pPr>
        <w:pStyle w:val="Heading1"/>
      </w:pPr>
      <w:r>
        <w:t>Comments</w:t>
      </w:r>
    </w:p>
    <w:p w14:paraId="1C941B62" w14:textId="0CC9116E" w:rsidR="00731601" w:rsidRDefault="000538B8" w:rsidP="001E69E4">
      <w:pPr>
        <w:pStyle w:val="Heading2"/>
      </w:pPr>
      <w:r>
        <w:t>Better offer obligation</w:t>
      </w:r>
    </w:p>
    <w:p w14:paraId="4EC0DEA8" w14:textId="16CB2D0F" w:rsidR="0000084E" w:rsidRDefault="00ED0948" w:rsidP="000538B8">
      <w:pPr>
        <w:pStyle w:val="BodyText"/>
      </w:pPr>
      <w:r>
        <w:t>Our key recommendation in relation to the Guideline is that it should</w:t>
      </w:r>
      <w:r w:rsidR="005A708B">
        <w:t xml:space="preserve"> strongly</w:t>
      </w:r>
      <w:r>
        <w:t xml:space="preserve"> encourage</w:t>
      </w:r>
      <w:r w:rsidR="005A708B">
        <w:t xml:space="preserve"> electricity retailers to </w:t>
      </w:r>
      <w:r w:rsidR="002C4742">
        <w:t xml:space="preserve">implement better offer checks and better offer notifications </w:t>
      </w:r>
      <w:r w:rsidR="00944338">
        <w:t>where</w:t>
      </w:r>
      <w:r w:rsidR="00C60A2D">
        <w:t xml:space="preserve">ver </w:t>
      </w:r>
      <w:r w:rsidR="00944338">
        <w:t xml:space="preserve">feasible </w:t>
      </w:r>
      <w:r w:rsidR="00ED2AEF">
        <w:t xml:space="preserve">during the transitional period between 1 October 2021 and 1 </w:t>
      </w:r>
      <w:r w:rsidR="00FF55B2">
        <w:t xml:space="preserve">July 2022 (or a later date as decided by the ICRC). </w:t>
      </w:r>
      <w:r w:rsidR="00685D84">
        <w:t>The Guideline should</w:t>
      </w:r>
      <w:r w:rsidR="005538D5">
        <w:t xml:space="preserve"> otherwise</w:t>
      </w:r>
      <w:r w:rsidR="00685D84">
        <w:t xml:space="preserve"> </w:t>
      </w:r>
      <w:r w:rsidR="005538D5">
        <w:t xml:space="preserve">present no barrier to </w:t>
      </w:r>
      <w:r w:rsidR="00791B71">
        <w:t xml:space="preserve">electricity retailers introducing better offer checks and better offer notifications for </w:t>
      </w:r>
      <w:r w:rsidR="003B3C4D">
        <w:t xml:space="preserve">all or </w:t>
      </w:r>
      <w:r w:rsidR="00F25A76">
        <w:t xml:space="preserve">any </w:t>
      </w:r>
      <w:r w:rsidR="00791B71">
        <w:t xml:space="preserve">cohorts of </w:t>
      </w:r>
      <w:r w:rsidR="00F25A76">
        <w:t xml:space="preserve">residential and small business </w:t>
      </w:r>
      <w:r w:rsidR="00791B71">
        <w:t xml:space="preserve">customers </w:t>
      </w:r>
      <w:r w:rsidR="003B3C4D">
        <w:t xml:space="preserve">during the transitional </w:t>
      </w:r>
      <w:r w:rsidR="00834E4A">
        <w:t>period</w:t>
      </w:r>
      <w:r w:rsidR="0000084E">
        <w:t>.</w:t>
      </w:r>
    </w:p>
    <w:p w14:paraId="7DBB0148" w14:textId="082CECF2" w:rsidR="004A2DE7" w:rsidRPr="000538B8" w:rsidRDefault="0000084E" w:rsidP="000538B8">
      <w:pPr>
        <w:pStyle w:val="BodyText"/>
      </w:pPr>
      <w:r>
        <w:t xml:space="preserve">For example, </w:t>
      </w:r>
      <w:r w:rsidR="00E33084">
        <w:t xml:space="preserve">where a </w:t>
      </w:r>
      <w:r w:rsidR="00D733E7">
        <w:t>residential or small business customer</w:t>
      </w:r>
      <w:r w:rsidR="00241136">
        <w:t xml:space="preserve"> is</w:t>
      </w:r>
      <w:r w:rsidR="00D733E7">
        <w:t xml:space="preserve"> </w:t>
      </w:r>
      <w:r w:rsidR="00241136" w:rsidRPr="00241136">
        <w:t>on</w:t>
      </w:r>
      <w:r w:rsidR="00241136">
        <w:t xml:space="preserve"> a</w:t>
      </w:r>
      <w:r w:rsidR="00241136" w:rsidRPr="00241136">
        <w:t xml:space="preserve"> </w:t>
      </w:r>
      <w:r w:rsidR="00451E9A">
        <w:t xml:space="preserve">standing offer and would </w:t>
      </w:r>
      <w:r w:rsidR="00BE2798">
        <w:t xml:space="preserve">clearly </w:t>
      </w:r>
      <w:r w:rsidR="00451E9A">
        <w:t xml:space="preserve">be better off on </w:t>
      </w:r>
      <w:r w:rsidR="00E33084">
        <w:t>a</w:t>
      </w:r>
      <w:r w:rsidR="00451E9A">
        <w:t xml:space="preserve"> market offer</w:t>
      </w:r>
      <w:r w:rsidR="00A834BF">
        <w:t xml:space="preserve"> that is based on applying an unconditional discount to the standing offer tariff</w:t>
      </w:r>
      <w:r w:rsidR="00B43063">
        <w:t xml:space="preserve">, electricity retailers should be encouraged to </w:t>
      </w:r>
      <w:r w:rsidR="00FA0824">
        <w:t>advi</w:t>
      </w:r>
      <w:r w:rsidR="00BA197B">
        <w:t>s</w:t>
      </w:r>
      <w:r w:rsidR="00FA0824">
        <w:t>e their customers accordingly</w:t>
      </w:r>
      <w:r w:rsidR="00834E4A">
        <w:t>. In such instances, electricity retailers should be</w:t>
      </w:r>
      <w:r w:rsidR="00D91375">
        <w:t xml:space="preserve"> permitted and</w:t>
      </w:r>
      <w:r w:rsidR="00834E4A">
        <w:t xml:space="preserve"> encouraged to </w:t>
      </w:r>
      <w:r w:rsidR="001F474B">
        <w:t xml:space="preserve">use the </w:t>
      </w:r>
      <w:r w:rsidR="007769CD">
        <w:t>final better offer message (“We think you could save money on another plan”)</w:t>
      </w:r>
      <w:r w:rsidR="00FA0824">
        <w:t xml:space="preserve"> rather than using the transitional better offer message</w:t>
      </w:r>
      <w:r w:rsidR="007769CD">
        <w:t xml:space="preserve"> (</w:t>
      </w:r>
      <w:r w:rsidR="003850B9">
        <w:t>“Could you save money on another plan?”)</w:t>
      </w:r>
      <w:r w:rsidR="00C952B8">
        <w:t xml:space="preserve"> during the transitional period</w:t>
      </w:r>
      <w:r w:rsidR="00BA197B">
        <w:t>.</w:t>
      </w:r>
      <w:r w:rsidR="008240AF">
        <w:t xml:space="preserve"> </w:t>
      </w:r>
      <w:r w:rsidR="00FB3B3F">
        <w:t xml:space="preserve">This should also apply where </w:t>
      </w:r>
      <w:r w:rsidR="003850B9">
        <w:t>a</w:t>
      </w:r>
      <w:r w:rsidR="00FB3B3F">
        <w:t xml:space="preserve"> customer</w:t>
      </w:r>
      <w:r w:rsidR="009D7ED1">
        <w:t>’s existing</w:t>
      </w:r>
      <w:r w:rsidR="0062135C">
        <w:t xml:space="preserve"> market offer has been superseded by a new</w:t>
      </w:r>
      <w:r w:rsidR="009D7ED1">
        <w:t>, lower-priced</w:t>
      </w:r>
      <w:r w:rsidR="00C952B8">
        <w:t>/higher-discount</w:t>
      </w:r>
      <w:r w:rsidR="0062135C">
        <w:t xml:space="preserve"> market offer.</w:t>
      </w:r>
    </w:p>
    <w:p w14:paraId="249C286F" w14:textId="06EBBBE6" w:rsidR="00F61C46" w:rsidRDefault="00F61C46" w:rsidP="001E69E4">
      <w:pPr>
        <w:pStyle w:val="Heading2"/>
      </w:pPr>
      <w:r>
        <w:lastRenderedPageBreak/>
        <w:t>Types of customers covered</w:t>
      </w:r>
      <w:r w:rsidR="006B569B">
        <w:t xml:space="preserve"> by the reference price obligation</w:t>
      </w:r>
    </w:p>
    <w:p w14:paraId="2887A138" w14:textId="652FAE78" w:rsidR="00C669F6" w:rsidRDefault="0051542C" w:rsidP="00F61C46">
      <w:pPr>
        <w:pStyle w:val="BodyText"/>
      </w:pPr>
      <w:r>
        <w:t>We understand that t</w:t>
      </w:r>
      <w:r w:rsidR="007A1C4B">
        <w:t xml:space="preserve">he </w:t>
      </w:r>
      <w:r w:rsidR="0029435A" w:rsidRPr="00C669F6">
        <w:rPr>
          <w:i/>
          <w:iCs/>
        </w:rPr>
        <w:t>Utilities (Representative Consumption and Reference Price) Determination</w:t>
      </w:r>
      <w:r w:rsidRPr="00C669F6">
        <w:rPr>
          <w:i/>
          <w:iCs/>
        </w:rPr>
        <w:t xml:space="preserve"> 2021</w:t>
      </w:r>
      <w:r w:rsidR="00C669F6">
        <w:rPr>
          <w:i/>
          <w:iCs/>
        </w:rPr>
        <w:t>,</w:t>
      </w:r>
      <w:r>
        <w:t xml:space="preserve"> </w:t>
      </w:r>
      <w:r w:rsidR="00C669F6">
        <w:t>and subsequently the Code</w:t>
      </w:r>
      <w:r w:rsidR="007D16A5">
        <w:t xml:space="preserve"> and Guidelines</w:t>
      </w:r>
      <w:r w:rsidR="00C669F6">
        <w:t xml:space="preserve">, </w:t>
      </w:r>
      <w:r w:rsidR="00BA73D9">
        <w:t xml:space="preserve">applies to the following </w:t>
      </w:r>
      <w:r w:rsidR="00C669F6">
        <w:t>types of small customers:</w:t>
      </w:r>
    </w:p>
    <w:p w14:paraId="54E323AD" w14:textId="06E061A8" w:rsidR="009047AC" w:rsidRDefault="009047AC" w:rsidP="009047AC">
      <w:pPr>
        <w:pStyle w:val="ListBullet"/>
      </w:pPr>
      <w:r>
        <w:t>residential customers on flat tariffs or time-of-use tariffs and whose prices for the supply do not include a controlled load tariff</w:t>
      </w:r>
    </w:p>
    <w:p w14:paraId="28DC773F" w14:textId="02F1C127" w:rsidR="009047AC" w:rsidRDefault="009047AC" w:rsidP="009047AC">
      <w:pPr>
        <w:pStyle w:val="ListBullet"/>
      </w:pPr>
      <w:r>
        <w:t>residential customers with controlled load on flat tariffs or time-of-use tariffs and whose prices for the supply include a controlled load tariff</w:t>
      </w:r>
    </w:p>
    <w:p w14:paraId="5E57B552" w14:textId="5B2199BB" w:rsidR="00F61C46" w:rsidRDefault="009047AC" w:rsidP="009047AC">
      <w:pPr>
        <w:pStyle w:val="ListBullet"/>
      </w:pPr>
      <w:r>
        <w:t>small business customers on flat tariffs and whose prices for the supply do not include a controlled load tariff.</w:t>
      </w:r>
    </w:p>
    <w:p w14:paraId="331379DE" w14:textId="2AA82969" w:rsidR="009047AC" w:rsidRDefault="002C6734" w:rsidP="00B32134">
      <w:pPr>
        <w:pStyle w:val="BodyText"/>
      </w:pPr>
      <w:r>
        <w:t xml:space="preserve">While it may be outside the scope of the Guideline, ACTCOSS </w:t>
      </w:r>
      <w:r w:rsidR="001161B4">
        <w:t xml:space="preserve">recommends that the ICRC and/or ACT Government provide clarification as to why the </w:t>
      </w:r>
      <w:r w:rsidR="00B32134">
        <w:t>following types of customers are not covered:</w:t>
      </w:r>
    </w:p>
    <w:p w14:paraId="10496748" w14:textId="7AB354A9" w:rsidR="00B32134" w:rsidRDefault="00B622CA" w:rsidP="00B622CA">
      <w:pPr>
        <w:pStyle w:val="ListBullet"/>
      </w:pPr>
      <w:r>
        <w:t>r</w:t>
      </w:r>
      <w:r w:rsidR="00B32134">
        <w:t>esidential and small business customers on demand tariffs</w:t>
      </w:r>
    </w:p>
    <w:p w14:paraId="6E4A9CB8" w14:textId="0E754E4D" w:rsidR="00B32134" w:rsidRDefault="00B622CA" w:rsidP="00B622CA">
      <w:pPr>
        <w:pStyle w:val="ListBullet"/>
      </w:pPr>
      <w:r>
        <w:t>s</w:t>
      </w:r>
      <w:r w:rsidR="00B32134">
        <w:t xml:space="preserve">mall business customers </w:t>
      </w:r>
      <w:r w:rsidR="00C479A0">
        <w:t xml:space="preserve">on </w:t>
      </w:r>
      <w:r w:rsidR="00C479A0" w:rsidRPr="00C479A0">
        <w:t>time-of-use tariffs and whose prices for the supply do not include a controlled load tariff</w:t>
      </w:r>
    </w:p>
    <w:p w14:paraId="7B094AB3" w14:textId="5443C467" w:rsidR="00B622CA" w:rsidRDefault="00B622CA" w:rsidP="00B622CA">
      <w:pPr>
        <w:pStyle w:val="ListBullet"/>
      </w:pPr>
      <w:r>
        <w:t xml:space="preserve">small business customers </w:t>
      </w:r>
      <w:r w:rsidRPr="00B622CA">
        <w:t>with controlled load on flat tariffs or time-of-use tariffs and whose prices for the supply include a controlled load tariff</w:t>
      </w:r>
      <w:r w:rsidR="00A62FDE">
        <w:t>.</w:t>
      </w:r>
    </w:p>
    <w:p w14:paraId="46D28007" w14:textId="4AC97609" w:rsidR="00211088" w:rsidRDefault="00211088" w:rsidP="008C0E71">
      <w:pPr>
        <w:pStyle w:val="BodyText"/>
      </w:pPr>
      <w:r>
        <w:t xml:space="preserve">Our view is that the Code should, as far as is practicable, cover all </w:t>
      </w:r>
      <w:r w:rsidR="008C0E71">
        <w:t xml:space="preserve">residential and </w:t>
      </w:r>
      <w:r>
        <w:t>small</w:t>
      </w:r>
      <w:r w:rsidR="008C0E71">
        <w:t xml:space="preserve"> business</w:t>
      </w:r>
      <w:r>
        <w:t xml:space="preserve"> customer</w:t>
      </w:r>
      <w:r w:rsidR="008C0E71">
        <w:t>s.</w:t>
      </w:r>
    </w:p>
    <w:p w14:paraId="254E486F" w14:textId="132080E8" w:rsidR="00B32134" w:rsidRPr="00F61C46" w:rsidRDefault="00E47D48" w:rsidP="00DE2410">
      <w:pPr>
        <w:pStyle w:val="BodyText"/>
      </w:pPr>
      <w:r>
        <w:t xml:space="preserve">The exclusion of demand tariff customers is </w:t>
      </w:r>
      <w:r w:rsidR="00FE1360">
        <w:t>of</w:t>
      </w:r>
      <w:r w:rsidR="00FC36BC">
        <w:t xml:space="preserve"> particular </w:t>
      </w:r>
      <w:r w:rsidR="00073832">
        <w:t xml:space="preserve">concern </w:t>
      </w:r>
      <w:r w:rsidR="00FC36BC">
        <w:t>giv</w:t>
      </w:r>
      <w:r w:rsidR="00AE1923">
        <w:t>en the</w:t>
      </w:r>
      <w:r w:rsidR="00FC36BC">
        <w:t xml:space="preserve"> ICRC has previously </w:t>
      </w:r>
      <w:r w:rsidR="00FF6D60">
        <w:t>found that ‘</w:t>
      </w:r>
      <w:r w:rsidR="00FF6D60" w:rsidRPr="00FF6D60">
        <w:t xml:space="preserve">customers on </w:t>
      </w:r>
      <w:proofErr w:type="spellStart"/>
      <w:r w:rsidR="00FF6D60" w:rsidRPr="00FF6D60">
        <w:t>ActewAGL’s</w:t>
      </w:r>
      <w:proofErr w:type="spellEnd"/>
      <w:r w:rsidR="00FF6D60" w:rsidRPr="00FF6D60">
        <w:t xml:space="preserve"> demand tariff do not understand how the demand tariff works and are unaware that they can ask to change to a different tariff type</w:t>
      </w:r>
      <w:r w:rsidR="00F25DAE">
        <w:t>’.</w:t>
      </w:r>
      <w:r w:rsidR="00AE1923">
        <w:rPr>
          <w:rStyle w:val="FootnoteReference"/>
        </w:rPr>
        <w:footnoteReference w:id="2"/>
      </w:r>
      <w:r w:rsidR="00F93551">
        <w:t xml:space="preserve"> </w:t>
      </w:r>
      <w:r w:rsidR="005B0DD9">
        <w:t>Through our members</w:t>
      </w:r>
      <w:r w:rsidR="009A5805">
        <w:t xml:space="preserve"> delivering frontline community services</w:t>
      </w:r>
      <w:r w:rsidR="005B0DD9">
        <w:t>, ACTCOSS has</w:t>
      </w:r>
      <w:r w:rsidR="00F93551">
        <w:t xml:space="preserve"> heard </w:t>
      </w:r>
      <w:r w:rsidR="00DF4CEE">
        <w:t xml:space="preserve">of </w:t>
      </w:r>
      <w:r w:rsidR="007B6545">
        <w:t>concerns that</w:t>
      </w:r>
      <w:r w:rsidR="005B0DD9">
        <w:t xml:space="preserve"> low-income households have </w:t>
      </w:r>
      <w:r w:rsidR="00DF4CEE">
        <w:t>experienc</w:t>
      </w:r>
      <w:r w:rsidR="005B0DD9">
        <w:t xml:space="preserve">ed higher electricity bills </w:t>
      </w:r>
      <w:r w:rsidR="007B6545">
        <w:t xml:space="preserve">and/or bill shock </w:t>
      </w:r>
      <w:r w:rsidR="00DF4CEE">
        <w:t>due to being placed on a demand tariff</w:t>
      </w:r>
      <w:r w:rsidR="00DE2410">
        <w:t xml:space="preserve"> following transition to a smart meter.</w:t>
      </w:r>
    </w:p>
    <w:p w14:paraId="170CBA64" w14:textId="566CBD04" w:rsidR="001975F1" w:rsidRDefault="001E69E4" w:rsidP="001E69E4">
      <w:pPr>
        <w:pStyle w:val="Heading2"/>
      </w:pPr>
      <w:r>
        <w:t>Embedded networks</w:t>
      </w:r>
    </w:p>
    <w:p w14:paraId="30B8DAED" w14:textId="26F367E3" w:rsidR="00F7785F" w:rsidRDefault="005F4B7D" w:rsidP="001975F1">
      <w:pPr>
        <w:pStyle w:val="BodyText"/>
      </w:pPr>
      <w:r>
        <w:t>Section 2.2.2</w:t>
      </w:r>
      <w:r w:rsidR="00806931">
        <w:t xml:space="preserve"> of the Guideline notes that the Code applies wher</w:t>
      </w:r>
      <w:r w:rsidR="00182634">
        <w:t xml:space="preserve">e </w:t>
      </w:r>
      <w:r w:rsidR="00806931">
        <w:t>an embedded network is operated by a National</w:t>
      </w:r>
      <w:r w:rsidR="00182634">
        <w:t xml:space="preserve"> Energy Retail Law (NERL) retailer, but it does not apply where </w:t>
      </w:r>
      <w:r w:rsidR="00BF5335">
        <w:t>an embedded network is operated by an exempt retailer.</w:t>
      </w:r>
      <w:r w:rsidR="004924DE">
        <w:t xml:space="preserve"> </w:t>
      </w:r>
      <w:r w:rsidR="00411FC9">
        <w:t xml:space="preserve">Further, </w:t>
      </w:r>
      <w:r w:rsidR="00167CB6">
        <w:t xml:space="preserve">a NERL retailer can seek an exemption </w:t>
      </w:r>
      <w:r w:rsidR="008B60B1">
        <w:t xml:space="preserve">from the ICRC </w:t>
      </w:r>
      <w:r w:rsidR="00D43EAB">
        <w:t xml:space="preserve">in the application of the Code to </w:t>
      </w:r>
      <w:r w:rsidR="00D43EAB">
        <w:lastRenderedPageBreak/>
        <w:t xml:space="preserve">its embedded network customers </w:t>
      </w:r>
      <w:r w:rsidR="00860D3F">
        <w:t>where it considers the costs of implementing the Code could outweigh the benefit</w:t>
      </w:r>
      <w:r w:rsidR="005A0F49">
        <w:t xml:space="preserve">s to those customers. </w:t>
      </w:r>
    </w:p>
    <w:p w14:paraId="577B9223" w14:textId="3EB3879F" w:rsidR="001E69E4" w:rsidRDefault="004924DE" w:rsidP="001975F1">
      <w:pPr>
        <w:pStyle w:val="BodyText"/>
      </w:pPr>
      <w:r>
        <w:t xml:space="preserve">Section 3.2.3 of the Guideline notes that </w:t>
      </w:r>
      <w:r w:rsidR="005B56D1">
        <w:t>the ICRC has determined that the better offer obligation will not apply to embedded network customers.</w:t>
      </w:r>
    </w:p>
    <w:p w14:paraId="0866AA38" w14:textId="43F187B6" w:rsidR="00F7785F" w:rsidRDefault="00F7785F" w:rsidP="001975F1">
      <w:pPr>
        <w:pStyle w:val="BodyText"/>
      </w:pPr>
      <w:r>
        <w:t xml:space="preserve">Section </w:t>
      </w:r>
      <w:r w:rsidR="00F92663">
        <w:t xml:space="preserve">4.2.2 of the Guideline notes that </w:t>
      </w:r>
      <w:r w:rsidR="001B160D">
        <w:t>the ICRC has determined that the clear advice obligation will apply to embedded network customers</w:t>
      </w:r>
      <w:r w:rsidR="00CB65E0">
        <w:t>.</w:t>
      </w:r>
    </w:p>
    <w:p w14:paraId="32C90B22" w14:textId="4C80C26E" w:rsidR="00391174" w:rsidRDefault="00391174" w:rsidP="001975F1">
      <w:pPr>
        <w:pStyle w:val="BodyText"/>
      </w:pPr>
      <w:r>
        <w:t xml:space="preserve">As noted above, </w:t>
      </w:r>
      <w:r w:rsidR="0048205B">
        <w:t xml:space="preserve">ACTCOSS’s view is that </w:t>
      </w:r>
      <w:r w:rsidR="0048205B" w:rsidRPr="0048205B">
        <w:t>the Code should, as far as is practicable, cover all residential and small business customers</w:t>
      </w:r>
      <w:r w:rsidR="0048205B">
        <w:t xml:space="preserve"> in the ACT. </w:t>
      </w:r>
      <w:r w:rsidR="005F39FD">
        <w:t xml:space="preserve">We appreciate that there are practical reasons </w:t>
      </w:r>
      <w:r w:rsidR="001068E7">
        <w:t>for the</w:t>
      </w:r>
      <w:r w:rsidR="00DD4A97">
        <w:t xml:space="preserve"> ICRC determining that the</w:t>
      </w:r>
      <w:r w:rsidR="001068E7">
        <w:t xml:space="preserve"> Code </w:t>
      </w:r>
      <w:r w:rsidR="00DD4A97">
        <w:t>will be</w:t>
      </w:r>
      <w:r w:rsidR="001068E7">
        <w:t xml:space="preserve"> partially applied to embedded networks. However, we</w:t>
      </w:r>
      <w:r w:rsidR="00DD4A97">
        <w:t xml:space="preserve"> would support measures to ensure that the Code provides as much </w:t>
      </w:r>
      <w:r w:rsidR="00FC5D2C">
        <w:t xml:space="preserve">coverage for embedded network customers as possible. This includes </w:t>
      </w:r>
      <w:r w:rsidR="00DD13D3">
        <w:t xml:space="preserve">recommending that the ICRC consider </w:t>
      </w:r>
      <w:r w:rsidR="00FC5D2C">
        <w:t xml:space="preserve">applying the better offer obligation to </w:t>
      </w:r>
      <w:r w:rsidR="00BA273B">
        <w:t>NERL retailers with embedded network customers.</w:t>
      </w:r>
    </w:p>
    <w:p w14:paraId="7F360160" w14:textId="13BF2C2A" w:rsidR="009F57AC" w:rsidRDefault="00BA273B" w:rsidP="001975F1">
      <w:pPr>
        <w:pStyle w:val="BodyText"/>
      </w:pPr>
      <w:r>
        <w:t>More broadly, ACTCOSS is interested in better understanding the nature</w:t>
      </w:r>
      <w:r w:rsidR="009C13FB">
        <w:t xml:space="preserve"> and</w:t>
      </w:r>
      <w:r>
        <w:t xml:space="preserve"> extent</w:t>
      </w:r>
      <w:r w:rsidR="009C13FB">
        <w:t xml:space="preserve"> </w:t>
      </w:r>
      <w:r>
        <w:t>of embedded networks</w:t>
      </w:r>
      <w:r w:rsidR="009C13FB">
        <w:t xml:space="preserve"> in the ACT, their regulation, and the </w:t>
      </w:r>
      <w:r w:rsidR="00F644C8">
        <w:t>experiences</w:t>
      </w:r>
      <w:r w:rsidR="009C13FB">
        <w:t xml:space="preserve"> of embedded network customers</w:t>
      </w:r>
      <w:r w:rsidR="0027353D">
        <w:t xml:space="preserve">. </w:t>
      </w:r>
      <w:r w:rsidR="001249E5">
        <w:t>ACTCOSS has concerns that embedded network customers are particularly vulnerable due to a lack of choice over their electricity provider</w:t>
      </w:r>
      <w:r w:rsidR="00C6286C">
        <w:t xml:space="preserve">. </w:t>
      </w:r>
      <w:r w:rsidR="0027353D">
        <w:t xml:space="preserve">We would welcome further engagement with the ICRC on the issue of embedded networks to ensure that </w:t>
      </w:r>
      <w:r w:rsidR="00E665B4">
        <w:t xml:space="preserve">these customers are not </w:t>
      </w:r>
      <w:r w:rsidR="006E1CF8">
        <w:t>disadvantaged due to</w:t>
      </w:r>
      <w:r w:rsidR="00E665B4">
        <w:t xml:space="preserve"> </w:t>
      </w:r>
      <w:r w:rsidR="00847668">
        <w:t>the complete or partial exclusion</w:t>
      </w:r>
      <w:r w:rsidR="00E665B4">
        <w:t xml:space="preserve"> </w:t>
      </w:r>
      <w:r w:rsidR="006E1CF8">
        <w:t xml:space="preserve">of embedded networks </w:t>
      </w:r>
      <w:r w:rsidR="00E665B4">
        <w:t>from</w:t>
      </w:r>
      <w:r w:rsidR="00847668">
        <w:t xml:space="preserve"> certain</w:t>
      </w:r>
      <w:r w:rsidR="00E665B4">
        <w:t xml:space="preserve"> regulations</w:t>
      </w:r>
      <w:r w:rsidR="00847668">
        <w:t>.</w:t>
      </w:r>
    </w:p>
    <w:p w14:paraId="01CA889C" w14:textId="2BD7A3BB" w:rsidR="009F57AC" w:rsidRDefault="009F57AC" w:rsidP="009F57AC">
      <w:pPr>
        <w:pStyle w:val="Heading2"/>
      </w:pPr>
      <w:r>
        <w:t>Bundled offers</w:t>
      </w:r>
    </w:p>
    <w:p w14:paraId="0AB11461" w14:textId="7DF72598" w:rsidR="009F57AC" w:rsidRDefault="009F57AC" w:rsidP="001975F1">
      <w:pPr>
        <w:pStyle w:val="BodyText"/>
      </w:pPr>
      <w:r>
        <w:t xml:space="preserve">We recommend </w:t>
      </w:r>
      <w:r w:rsidR="00C3386E">
        <w:t xml:space="preserve">that the Guideline include </w:t>
      </w:r>
      <w:r>
        <w:t xml:space="preserve">an example of </w:t>
      </w:r>
      <w:r w:rsidR="00063836">
        <w:t>a</w:t>
      </w:r>
      <w:r w:rsidR="00D63D8C">
        <w:t>n advertisement for an electricity and gas bundled offer that would comply with the ACT Code.</w:t>
      </w:r>
      <w:r w:rsidR="006464E3">
        <w:t xml:space="preserve"> </w:t>
      </w:r>
      <w:r w:rsidR="00C3386E">
        <w:t xml:space="preserve">ACTCOSS </w:t>
      </w:r>
      <w:r w:rsidR="006464E3">
        <w:t xml:space="preserve">would </w:t>
      </w:r>
      <w:r w:rsidR="00F60C9A">
        <w:t xml:space="preserve">prefer that the </w:t>
      </w:r>
      <w:r w:rsidR="00B956B8">
        <w:t>C</w:t>
      </w:r>
      <w:r w:rsidR="00F60C9A">
        <w:t>ode also applied to gas retailers</w:t>
      </w:r>
      <w:r w:rsidR="00B956B8">
        <w:t xml:space="preserve"> given the significant number of ACT residential and small business energy consumers who are connected to gas.</w:t>
      </w:r>
    </w:p>
    <w:p w14:paraId="71FA6BF6" w14:textId="2E52A426" w:rsidR="001975F1" w:rsidRDefault="006909A9" w:rsidP="006909A9">
      <w:pPr>
        <w:pStyle w:val="Heading2"/>
      </w:pPr>
      <w:r>
        <w:t>Green charges</w:t>
      </w:r>
    </w:p>
    <w:p w14:paraId="337011A2" w14:textId="063EE176" w:rsidR="006909A9" w:rsidRDefault="006909A9" w:rsidP="00D70443">
      <w:pPr>
        <w:pStyle w:val="BodyText"/>
      </w:pPr>
      <w:r>
        <w:t xml:space="preserve">Section 2.4.2 of the </w:t>
      </w:r>
      <w:r w:rsidR="006C6EB2">
        <w:t xml:space="preserve">Guideline addresses </w:t>
      </w:r>
      <w:r w:rsidR="005B5195">
        <w:t>green charges</w:t>
      </w:r>
      <w:r w:rsidR="00D70443">
        <w:t xml:space="preserve"> as an optional extra</w:t>
      </w:r>
      <w:r w:rsidR="004F10F5">
        <w:t xml:space="preserve"> offered by electricity retailers</w:t>
      </w:r>
      <w:r w:rsidR="00D70443">
        <w:t xml:space="preserve">. </w:t>
      </w:r>
      <w:r w:rsidR="000B345A">
        <w:t xml:space="preserve">While </w:t>
      </w:r>
      <w:r w:rsidR="006053DF">
        <w:t xml:space="preserve">it is likely to be </w:t>
      </w:r>
      <w:r w:rsidR="004F10F5">
        <w:t>outside the scope of the Code (and the Guideline)</w:t>
      </w:r>
      <w:r w:rsidR="000B345A">
        <w:t>, we recommend that w</w:t>
      </w:r>
      <w:r w:rsidR="00A77DBB">
        <w:t>here</w:t>
      </w:r>
      <w:r w:rsidR="00D70443">
        <w:t xml:space="preserve"> electricity retailers </w:t>
      </w:r>
      <w:r w:rsidR="00A77DBB">
        <w:t>offer</w:t>
      </w:r>
      <w:r w:rsidR="006E65B5">
        <w:t xml:space="preserve"> </w:t>
      </w:r>
      <w:r w:rsidR="00A77DBB">
        <w:t>green</w:t>
      </w:r>
      <w:r w:rsidR="00DE67C2">
        <w:t xml:space="preserve"> (renewable)</w:t>
      </w:r>
      <w:r w:rsidR="00A77DBB">
        <w:t xml:space="preserve"> energ</w:t>
      </w:r>
      <w:r w:rsidR="00DE67C2">
        <w:t xml:space="preserve">y </w:t>
      </w:r>
      <w:r w:rsidR="00A77DBB">
        <w:t>as an optional extra</w:t>
      </w:r>
      <w:r w:rsidR="00DE67C2">
        <w:t xml:space="preserve"> </w:t>
      </w:r>
      <w:r w:rsidR="004F10F5">
        <w:t xml:space="preserve">at an additional cost </w:t>
      </w:r>
      <w:r w:rsidR="005340B1">
        <w:t xml:space="preserve">to customers </w:t>
      </w:r>
      <w:r w:rsidR="00DE67C2">
        <w:t>they</w:t>
      </w:r>
      <w:r w:rsidR="00A77DBB">
        <w:t xml:space="preserve"> </w:t>
      </w:r>
      <w:r w:rsidR="00D70443">
        <w:t xml:space="preserve">should be required to advise ACT residential and small customers that </w:t>
      </w:r>
      <w:r w:rsidR="00E13F04">
        <w:t xml:space="preserve">their </w:t>
      </w:r>
      <w:r w:rsidR="00EA28CE">
        <w:t xml:space="preserve">electricity </w:t>
      </w:r>
      <w:r w:rsidR="00E13F04">
        <w:t>bill already includes the cost of achieving the ACT’s 100% renewable electricity target through the Large-scale Feed</w:t>
      </w:r>
      <w:r w:rsidR="005762C7">
        <w:t>-</w:t>
      </w:r>
      <w:r w:rsidR="00EA28CE">
        <w:t>in Tariff Scheme.</w:t>
      </w:r>
    </w:p>
    <w:p w14:paraId="7B575655" w14:textId="4296959F" w:rsidR="006425C0" w:rsidRDefault="005717BE" w:rsidP="005717BE">
      <w:pPr>
        <w:pStyle w:val="Heading1"/>
      </w:pPr>
      <w:r>
        <w:t>Continued engagement</w:t>
      </w:r>
    </w:p>
    <w:p w14:paraId="25F6D067" w14:textId="52B3611A" w:rsidR="005717BE" w:rsidRDefault="00921E8C" w:rsidP="00CF61BF">
      <w:pPr>
        <w:pStyle w:val="BodyText"/>
      </w:pPr>
      <w:r>
        <w:t xml:space="preserve">ACTCOSS strongly supports the introduction of the </w:t>
      </w:r>
      <w:r w:rsidRPr="00921E8C">
        <w:t xml:space="preserve">ACT Retail Electricity (Transparency and Comparability) </w:t>
      </w:r>
      <w:r w:rsidR="00C3386E" w:rsidRPr="00921E8C">
        <w:t>Code,</w:t>
      </w:r>
      <w:r w:rsidR="006F3946">
        <w:t xml:space="preserve"> and </w:t>
      </w:r>
      <w:r w:rsidR="004F52E2">
        <w:t xml:space="preserve">we </w:t>
      </w:r>
      <w:r w:rsidR="006F3946">
        <w:t xml:space="preserve">value having clear guidelines </w:t>
      </w:r>
      <w:r w:rsidR="004F52E2">
        <w:t>for</w:t>
      </w:r>
      <w:r w:rsidR="006F3946">
        <w:t xml:space="preserve"> electricity retailers</w:t>
      </w:r>
      <w:r w:rsidR="004F52E2">
        <w:t xml:space="preserve"> to follow</w:t>
      </w:r>
      <w:r w:rsidR="009375FE">
        <w:t xml:space="preserve"> to ensure the Code’s objectives are achieved</w:t>
      </w:r>
      <w:r w:rsidR="006F3946">
        <w:t xml:space="preserve">. We thank </w:t>
      </w:r>
      <w:r w:rsidR="006F3946">
        <w:lastRenderedPageBreak/>
        <w:t xml:space="preserve">the ICRC for inviting ACTCOSS to provide feedback on the consultation draft Guideline. </w:t>
      </w:r>
      <w:r w:rsidR="000C1D11">
        <w:t xml:space="preserve">ACTCOSS is keen to engage further in the implementation of the Code and </w:t>
      </w:r>
      <w:r w:rsidR="00F026E0">
        <w:t xml:space="preserve">in </w:t>
      </w:r>
      <w:r w:rsidR="000C1D11">
        <w:t xml:space="preserve">the further development of electricity regulation in the ACT </w:t>
      </w:r>
      <w:r w:rsidR="00147A1C">
        <w:t xml:space="preserve">so </w:t>
      </w:r>
      <w:r w:rsidR="000C1D11">
        <w:t xml:space="preserve">that </w:t>
      </w:r>
      <w:r w:rsidR="00F026E0">
        <w:t>contributes to</w:t>
      </w:r>
      <w:r w:rsidR="00C03754">
        <w:t xml:space="preserve"> fairer outcomes for residential and small business energy consumers</w:t>
      </w:r>
      <w:r w:rsidR="00F026E0">
        <w:t xml:space="preserve"> </w:t>
      </w:r>
      <w:r w:rsidR="000D1B2E">
        <w:t xml:space="preserve">in terms of their access to safe, </w:t>
      </w:r>
      <w:r w:rsidR="004A0C50">
        <w:t xml:space="preserve">secure, </w:t>
      </w:r>
      <w:r w:rsidR="000D1B2E">
        <w:t xml:space="preserve">reliable, </w:t>
      </w:r>
      <w:r w:rsidR="009F3664">
        <w:t>clean,</w:t>
      </w:r>
      <w:r w:rsidR="000D1B2E">
        <w:t xml:space="preserve"> and affordable energy as an essential service.</w:t>
      </w:r>
      <w:r w:rsidR="00147A1C">
        <w:t xml:space="preserve"> We value the critical role the ICRC plays in achieving such outcomes.</w:t>
      </w:r>
    </w:p>
    <w:p w14:paraId="0C2F3B90" w14:textId="6BDA8353" w:rsidR="00644D61" w:rsidRDefault="00644D61" w:rsidP="00CF61BF">
      <w:pPr>
        <w:pStyle w:val="BodyText"/>
      </w:pPr>
      <w:r>
        <w:t xml:space="preserve">If you </w:t>
      </w:r>
      <w:r w:rsidR="00FD6F13">
        <w:t xml:space="preserve">would like to follow up on any of the issues raised in this submission please contact Mr Geoff Buchanan, Senior Policy Officer </w:t>
      </w:r>
      <w:r w:rsidR="00900DEC">
        <w:t xml:space="preserve">at ACTCOSS </w:t>
      </w:r>
      <w:r w:rsidR="00FD6F13">
        <w:t xml:space="preserve">on </w:t>
      </w:r>
      <w:r w:rsidR="0003471E">
        <w:t xml:space="preserve">02 6202 7222 or </w:t>
      </w:r>
      <w:hyperlink r:id="rId15" w:history="1">
        <w:r w:rsidR="0003471E" w:rsidRPr="005D3ECB">
          <w:rPr>
            <w:rStyle w:val="Hyperlink"/>
          </w:rPr>
          <w:t>geoff.buchanan@actcoss.org.au</w:t>
        </w:r>
      </w:hyperlink>
      <w:r w:rsidR="0003471E">
        <w:t xml:space="preserve"> </w:t>
      </w:r>
    </w:p>
    <w:p w14:paraId="4880A338" w14:textId="0F1A973C" w:rsidR="00900DEC" w:rsidRDefault="00900DEC" w:rsidP="00CF61BF">
      <w:pPr>
        <w:pStyle w:val="BodyText"/>
      </w:pPr>
      <w:r>
        <w:t>Thank you for considering our feedback.</w:t>
      </w:r>
    </w:p>
    <w:p w14:paraId="66EDCE4F" w14:textId="063462A7" w:rsidR="00E0423E" w:rsidRDefault="00E0423E" w:rsidP="00933BB9">
      <w:pPr>
        <w:pStyle w:val="BodyText"/>
        <w:keepNext/>
      </w:pPr>
      <w:r>
        <w:t>Yours sincerely</w:t>
      </w:r>
    </w:p>
    <w:p w14:paraId="2E476C65" w14:textId="77777777" w:rsidR="000D1B2E" w:rsidRDefault="000D1B2E" w:rsidP="00C12F9E">
      <w:pPr>
        <w:pStyle w:val="BodyText"/>
      </w:pPr>
      <w:bookmarkStart w:id="4" w:name="Text10"/>
      <w:r>
        <w:rPr>
          <w:noProof/>
        </w:rPr>
        <w:drawing>
          <wp:inline distT="0" distB="0" distL="0" distR="0" wp14:anchorId="736D74B6" wp14:editId="7D255349">
            <wp:extent cx="1333500" cy="532670"/>
            <wp:effectExtent l="0" t="0" r="0" b="1270"/>
            <wp:docPr id="1" name="Picture 1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11" cy="5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05CD411B" w:rsidR="00E0423E" w:rsidRDefault="00FA0E01" w:rsidP="00C12F9E">
      <w:pPr>
        <w:pStyle w:val="BodyText"/>
      </w:pPr>
      <w:r>
        <w:t>Dr Emma Campbell</w:t>
      </w:r>
      <w:r w:rsidR="00C12F9E">
        <w:br/>
      </w:r>
      <w:bookmarkEnd w:id="4"/>
      <w:r>
        <w:t>CEO</w:t>
      </w:r>
    </w:p>
    <w:p w14:paraId="66EDCE52" w14:textId="49899034" w:rsidR="00E0423E" w:rsidRDefault="00E0423E" w:rsidP="00C12F9E">
      <w:pPr>
        <w:pStyle w:val="BodyText"/>
      </w:pPr>
      <w:r>
        <w:t xml:space="preserve">Email: </w:t>
      </w:r>
      <w:r w:rsidR="00FA0E01">
        <w:t>ceo@actcoss.org.au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64A0" w14:textId="77777777" w:rsidR="00576108" w:rsidRDefault="00576108">
      <w:r>
        <w:separator/>
      </w:r>
    </w:p>
  </w:endnote>
  <w:endnote w:type="continuationSeparator" w:id="0">
    <w:p w14:paraId="175BD705" w14:textId="77777777" w:rsidR="00576108" w:rsidRDefault="00576108">
      <w:r>
        <w:continuationSeparator/>
      </w:r>
    </w:p>
  </w:endnote>
  <w:endnote w:type="continuationNotice" w:id="1">
    <w:p w14:paraId="7F6A3C4E" w14:textId="77777777" w:rsidR="00576108" w:rsidRDefault="005761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8B5C75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8B5C75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2093" w14:textId="77777777" w:rsidR="00576108" w:rsidRDefault="00576108">
      <w:r>
        <w:separator/>
      </w:r>
    </w:p>
  </w:footnote>
  <w:footnote w:type="continuationSeparator" w:id="0">
    <w:p w14:paraId="636BF4F1" w14:textId="77777777" w:rsidR="00576108" w:rsidRDefault="00576108">
      <w:r>
        <w:continuationSeparator/>
      </w:r>
    </w:p>
  </w:footnote>
  <w:footnote w:type="continuationNotice" w:id="1">
    <w:p w14:paraId="13027423" w14:textId="77777777" w:rsidR="00576108" w:rsidRDefault="00576108">
      <w:pPr>
        <w:spacing w:line="240" w:lineRule="auto"/>
      </w:pPr>
    </w:p>
  </w:footnote>
  <w:footnote w:id="2">
    <w:p w14:paraId="32C703AD" w14:textId="27C0AAC3" w:rsidR="00AE1923" w:rsidRDefault="00AE19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4F58">
        <w:t xml:space="preserve">ICRC, </w:t>
      </w:r>
      <w:hyperlink r:id="rId1" w:history="1">
        <w:r w:rsidR="00A54F58" w:rsidRPr="005D3F8D">
          <w:rPr>
            <w:rStyle w:val="Hyperlink"/>
            <w:i/>
            <w:iCs/>
          </w:rPr>
          <w:t>Retail electricity price investigation 2020-24</w:t>
        </w:r>
        <w:r w:rsidR="007B5087" w:rsidRPr="005D3F8D">
          <w:rPr>
            <w:rStyle w:val="Hyperlink"/>
            <w:i/>
            <w:iCs/>
          </w:rPr>
          <w:t xml:space="preserve"> Draft Report</w:t>
        </w:r>
      </w:hyperlink>
      <w:r w:rsidR="007B5087">
        <w:t xml:space="preserve">, ICRC, Canberra, 2020, p </w:t>
      </w:r>
      <w:r w:rsidR="00E613A7">
        <w:t xml:space="preserve">80, </w:t>
      </w:r>
      <w:r w:rsidR="007B5087">
        <w:t>accessed 5 August 2021</w:t>
      </w:r>
      <w:r w:rsidR="005D3F8D">
        <w:t>.</w:t>
      </w:r>
      <w:r w:rsidR="007B50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97E" w14:textId="77777777" w:rsidR="00AB3D09" w:rsidRDefault="00AB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A5E" w14:textId="5478CEF7" w:rsidR="00AB3D09" w:rsidRDefault="00AB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8C" w14:textId="6B391647" w:rsidR="00AB3D09" w:rsidRDefault="00AB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A58C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9"/>
  </w:num>
  <w:num w:numId="5">
    <w:abstractNumId w:val="18"/>
  </w:num>
  <w:num w:numId="6">
    <w:abstractNumId w:val="20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11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6"/>
  </w:num>
  <w:num w:numId="25">
    <w:abstractNumId w:val="25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084E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22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71E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8B8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836"/>
    <w:rsid w:val="0006399D"/>
    <w:rsid w:val="00063DF4"/>
    <w:rsid w:val="00063EE6"/>
    <w:rsid w:val="0006459D"/>
    <w:rsid w:val="000646B1"/>
    <w:rsid w:val="0006512C"/>
    <w:rsid w:val="000659DC"/>
    <w:rsid w:val="00065AF2"/>
    <w:rsid w:val="00066096"/>
    <w:rsid w:val="000663CF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832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45A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1D11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2E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6D3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8E7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1B4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49E5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1C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C7A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67CB6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634"/>
    <w:rsid w:val="00182F1F"/>
    <w:rsid w:val="00182FCF"/>
    <w:rsid w:val="00182FE7"/>
    <w:rsid w:val="0018308E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7A9"/>
    <w:rsid w:val="00191DCE"/>
    <w:rsid w:val="00192451"/>
    <w:rsid w:val="0019257F"/>
    <w:rsid w:val="00192C79"/>
    <w:rsid w:val="001930B5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975F1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0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69E4"/>
    <w:rsid w:val="001E6EE3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74B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3DF5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088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A4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136"/>
    <w:rsid w:val="00241283"/>
    <w:rsid w:val="002413BF"/>
    <w:rsid w:val="00241D76"/>
    <w:rsid w:val="002427A4"/>
    <w:rsid w:val="00242F1F"/>
    <w:rsid w:val="002431A5"/>
    <w:rsid w:val="0024387E"/>
    <w:rsid w:val="002439B8"/>
    <w:rsid w:val="00243BDD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67AB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353D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35A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742"/>
    <w:rsid w:val="002C4E3A"/>
    <w:rsid w:val="002C4E96"/>
    <w:rsid w:val="002C59C5"/>
    <w:rsid w:val="002C6425"/>
    <w:rsid w:val="002C6734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5A8C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834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0B9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174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6DEE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3C4D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5E94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1FC9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988"/>
    <w:rsid w:val="00415E4B"/>
    <w:rsid w:val="00416059"/>
    <w:rsid w:val="004164A1"/>
    <w:rsid w:val="00420204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5A92"/>
    <w:rsid w:val="0044610F"/>
    <w:rsid w:val="00446316"/>
    <w:rsid w:val="00446833"/>
    <w:rsid w:val="00450CA7"/>
    <w:rsid w:val="00450E29"/>
    <w:rsid w:val="00451082"/>
    <w:rsid w:val="00451C48"/>
    <w:rsid w:val="00451E9A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0CB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05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528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DE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0C50"/>
    <w:rsid w:val="004A1197"/>
    <w:rsid w:val="004A1855"/>
    <w:rsid w:val="004A1A16"/>
    <w:rsid w:val="004A2197"/>
    <w:rsid w:val="004A2804"/>
    <w:rsid w:val="004A29B2"/>
    <w:rsid w:val="004A29B3"/>
    <w:rsid w:val="004A2DE7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421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0F5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2E2"/>
    <w:rsid w:val="004F5EC1"/>
    <w:rsid w:val="004F62FD"/>
    <w:rsid w:val="004F6332"/>
    <w:rsid w:val="004F65BD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4FEA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42C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0B1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8D5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7BE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108"/>
    <w:rsid w:val="005762C7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23F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0F49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08B"/>
    <w:rsid w:val="005A737B"/>
    <w:rsid w:val="005A74ED"/>
    <w:rsid w:val="005A7C48"/>
    <w:rsid w:val="005B0296"/>
    <w:rsid w:val="005B0DD9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195"/>
    <w:rsid w:val="005B52D5"/>
    <w:rsid w:val="005B56D1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8F6"/>
    <w:rsid w:val="005D1E03"/>
    <w:rsid w:val="005D20D0"/>
    <w:rsid w:val="005D27C0"/>
    <w:rsid w:val="005D2BE4"/>
    <w:rsid w:val="005D306F"/>
    <w:rsid w:val="005D3984"/>
    <w:rsid w:val="005D3F8D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39FD"/>
    <w:rsid w:val="005F45AF"/>
    <w:rsid w:val="005F4B7D"/>
    <w:rsid w:val="005F4C69"/>
    <w:rsid w:val="005F4F3C"/>
    <w:rsid w:val="005F504C"/>
    <w:rsid w:val="005F51D3"/>
    <w:rsid w:val="005F5693"/>
    <w:rsid w:val="005F5AAD"/>
    <w:rsid w:val="005F615D"/>
    <w:rsid w:val="005F644A"/>
    <w:rsid w:val="005F64AC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3DF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135C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5C0"/>
    <w:rsid w:val="0064266E"/>
    <w:rsid w:val="006428AB"/>
    <w:rsid w:val="00643008"/>
    <w:rsid w:val="00643809"/>
    <w:rsid w:val="00643C58"/>
    <w:rsid w:val="00644558"/>
    <w:rsid w:val="00644768"/>
    <w:rsid w:val="00644847"/>
    <w:rsid w:val="00644B0F"/>
    <w:rsid w:val="00644D61"/>
    <w:rsid w:val="006454A0"/>
    <w:rsid w:val="006461AC"/>
    <w:rsid w:val="006462B7"/>
    <w:rsid w:val="00646435"/>
    <w:rsid w:val="006464E3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2DA8"/>
    <w:rsid w:val="00663955"/>
    <w:rsid w:val="00663F92"/>
    <w:rsid w:val="006641B3"/>
    <w:rsid w:val="006641DC"/>
    <w:rsid w:val="006645ED"/>
    <w:rsid w:val="00664986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84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9A9"/>
    <w:rsid w:val="00690D0F"/>
    <w:rsid w:val="00690F90"/>
    <w:rsid w:val="00691402"/>
    <w:rsid w:val="00691B7F"/>
    <w:rsid w:val="00691FEB"/>
    <w:rsid w:val="006927FE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3D7"/>
    <w:rsid w:val="006B5598"/>
    <w:rsid w:val="006B569B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EB2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1CF8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65B5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946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60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2F87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9CD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1B71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6B7"/>
    <w:rsid w:val="007A093C"/>
    <w:rsid w:val="007A0E6C"/>
    <w:rsid w:val="007A0EA2"/>
    <w:rsid w:val="007A115F"/>
    <w:rsid w:val="007A1371"/>
    <w:rsid w:val="007A1C4B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87"/>
    <w:rsid w:val="007B50D5"/>
    <w:rsid w:val="007B556E"/>
    <w:rsid w:val="007B573D"/>
    <w:rsid w:val="007B584E"/>
    <w:rsid w:val="007B5C7E"/>
    <w:rsid w:val="007B6523"/>
    <w:rsid w:val="007B6545"/>
    <w:rsid w:val="007B6551"/>
    <w:rsid w:val="007B6CC1"/>
    <w:rsid w:val="007B6F75"/>
    <w:rsid w:val="007B6FED"/>
    <w:rsid w:val="007B6FFF"/>
    <w:rsid w:val="007B7543"/>
    <w:rsid w:val="007B79E2"/>
    <w:rsid w:val="007C067C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16A5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1FC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931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0AF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7BD"/>
    <w:rsid w:val="00833D88"/>
    <w:rsid w:val="00833E66"/>
    <w:rsid w:val="00834152"/>
    <w:rsid w:val="008342D1"/>
    <w:rsid w:val="008342FD"/>
    <w:rsid w:val="00834AF0"/>
    <w:rsid w:val="00834E4A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668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3F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939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0B1"/>
    <w:rsid w:val="008B6739"/>
    <w:rsid w:val="008B6844"/>
    <w:rsid w:val="008B6CEF"/>
    <w:rsid w:val="008B6DC7"/>
    <w:rsid w:val="008B7971"/>
    <w:rsid w:val="008B7C5C"/>
    <w:rsid w:val="008B7DBE"/>
    <w:rsid w:val="008B7FCD"/>
    <w:rsid w:val="008C0549"/>
    <w:rsid w:val="008C0E71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0DEC"/>
    <w:rsid w:val="0090101F"/>
    <w:rsid w:val="00901440"/>
    <w:rsid w:val="009017A9"/>
    <w:rsid w:val="009017AE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7AC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1E8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0EB0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5F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338"/>
    <w:rsid w:val="00944465"/>
    <w:rsid w:val="00944479"/>
    <w:rsid w:val="009447C3"/>
    <w:rsid w:val="00945059"/>
    <w:rsid w:val="009450E8"/>
    <w:rsid w:val="00945CFB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09"/>
    <w:rsid w:val="0095519B"/>
    <w:rsid w:val="00955B2B"/>
    <w:rsid w:val="00955D1A"/>
    <w:rsid w:val="009561C0"/>
    <w:rsid w:val="0095657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83C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805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4C0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491"/>
    <w:rsid w:val="009B7C76"/>
    <w:rsid w:val="009C04A7"/>
    <w:rsid w:val="009C0845"/>
    <w:rsid w:val="009C087B"/>
    <w:rsid w:val="009C13A2"/>
    <w:rsid w:val="009C13FB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D7ED1"/>
    <w:rsid w:val="009E01DD"/>
    <w:rsid w:val="009E0506"/>
    <w:rsid w:val="009E16A7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664"/>
    <w:rsid w:val="009F3783"/>
    <w:rsid w:val="009F39F1"/>
    <w:rsid w:val="009F3FC5"/>
    <w:rsid w:val="009F40CE"/>
    <w:rsid w:val="009F57AC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58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2FDE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72F"/>
    <w:rsid w:val="00A7489D"/>
    <w:rsid w:val="00A74F3B"/>
    <w:rsid w:val="00A75020"/>
    <w:rsid w:val="00A76960"/>
    <w:rsid w:val="00A77953"/>
    <w:rsid w:val="00A77DBB"/>
    <w:rsid w:val="00A804BB"/>
    <w:rsid w:val="00A80789"/>
    <w:rsid w:val="00A807CC"/>
    <w:rsid w:val="00A80EE5"/>
    <w:rsid w:val="00A81CE8"/>
    <w:rsid w:val="00A81FC6"/>
    <w:rsid w:val="00A831B0"/>
    <w:rsid w:val="00A83233"/>
    <w:rsid w:val="00A834BF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BEB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D09"/>
    <w:rsid w:val="00AB3F7E"/>
    <w:rsid w:val="00AB41F8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923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34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063"/>
    <w:rsid w:val="00B431EB"/>
    <w:rsid w:val="00B432C9"/>
    <w:rsid w:val="00B433DD"/>
    <w:rsid w:val="00B43AF3"/>
    <w:rsid w:val="00B43BDF"/>
    <w:rsid w:val="00B44949"/>
    <w:rsid w:val="00B44C63"/>
    <w:rsid w:val="00B4516C"/>
    <w:rsid w:val="00B459B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2CA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77D89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56B8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97B"/>
    <w:rsid w:val="00BA1D60"/>
    <w:rsid w:val="00BA1F09"/>
    <w:rsid w:val="00BA2650"/>
    <w:rsid w:val="00BA26D3"/>
    <w:rsid w:val="00BA273B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3D9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98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1FBB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335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754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86E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9A0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42A3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A2D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86C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9F6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3B7E"/>
    <w:rsid w:val="00C941EE"/>
    <w:rsid w:val="00C94892"/>
    <w:rsid w:val="00C94A7C"/>
    <w:rsid w:val="00C952B8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5E0"/>
    <w:rsid w:val="00CB6A63"/>
    <w:rsid w:val="00CB6E42"/>
    <w:rsid w:val="00CB6E49"/>
    <w:rsid w:val="00CC00A8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BF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0ED7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CF1"/>
    <w:rsid w:val="00D42EE0"/>
    <w:rsid w:val="00D43EAB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3D8C"/>
    <w:rsid w:val="00D6439C"/>
    <w:rsid w:val="00D64AAF"/>
    <w:rsid w:val="00D661FD"/>
    <w:rsid w:val="00D665D3"/>
    <w:rsid w:val="00D66CBB"/>
    <w:rsid w:val="00D67550"/>
    <w:rsid w:val="00D70443"/>
    <w:rsid w:val="00D7139E"/>
    <w:rsid w:val="00D71CCA"/>
    <w:rsid w:val="00D7232B"/>
    <w:rsid w:val="00D724D3"/>
    <w:rsid w:val="00D731E5"/>
    <w:rsid w:val="00D733E7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2DA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375"/>
    <w:rsid w:val="00D914E7"/>
    <w:rsid w:val="00D92340"/>
    <w:rsid w:val="00D9257D"/>
    <w:rsid w:val="00D93626"/>
    <w:rsid w:val="00D93A24"/>
    <w:rsid w:val="00D94574"/>
    <w:rsid w:val="00D946DB"/>
    <w:rsid w:val="00D94776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254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026"/>
    <w:rsid w:val="00DB711B"/>
    <w:rsid w:val="00DB75EB"/>
    <w:rsid w:val="00DB7784"/>
    <w:rsid w:val="00DC06C1"/>
    <w:rsid w:val="00DC08EF"/>
    <w:rsid w:val="00DC095E"/>
    <w:rsid w:val="00DC0F6B"/>
    <w:rsid w:val="00DC0FD3"/>
    <w:rsid w:val="00DC0FFD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3D3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4A97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193D"/>
    <w:rsid w:val="00DE2319"/>
    <w:rsid w:val="00DE2410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7C2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4CEE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3F04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084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47D48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D8B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3A7"/>
    <w:rsid w:val="00E61E00"/>
    <w:rsid w:val="00E625BC"/>
    <w:rsid w:val="00E628A5"/>
    <w:rsid w:val="00E62B27"/>
    <w:rsid w:val="00E63D36"/>
    <w:rsid w:val="00E640C9"/>
    <w:rsid w:val="00E642FC"/>
    <w:rsid w:val="00E64F16"/>
    <w:rsid w:val="00E65B91"/>
    <w:rsid w:val="00E65F97"/>
    <w:rsid w:val="00E65FBB"/>
    <w:rsid w:val="00E6606F"/>
    <w:rsid w:val="00E665B4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8C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5C98"/>
    <w:rsid w:val="00EC60D3"/>
    <w:rsid w:val="00EC61E4"/>
    <w:rsid w:val="00EC77F9"/>
    <w:rsid w:val="00ED0217"/>
    <w:rsid w:val="00ED0948"/>
    <w:rsid w:val="00ED095F"/>
    <w:rsid w:val="00ED0A76"/>
    <w:rsid w:val="00ED0EDB"/>
    <w:rsid w:val="00ED10B6"/>
    <w:rsid w:val="00ED12ED"/>
    <w:rsid w:val="00ED2312"/>
    <w:rsid w:val="00ED2AEF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E0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5A76"/>
    <w:rsid w:val="00F25DAE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019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C9A"/>
    <w:rsid w:val="00F60D72"/>
    <w:rsid w:val="00F61054"/>
    <w:rsid w:val="00F61996"/>
    <w:rsid w:val="00F61C46"/>
    <w:rsid w:val="00F62208"/>
    <w:rsid w:val="00F62238"/>
    <w:rsid w:val="00F62A1F"/>
    <w:rsid w:val="00F62AB6"/>
    <w:rsid w:val="00F62C68"/>
    <w:rsid w:val="00F63119"/>
    <w:rsid w:val="00F63720"/>
    <w:rsid w:val="00F63F0A"/>
    <w:rsid w:val="00F644C8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85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663"/>
    <w:rsid w:val="00F92801"/>
    <w:rsid w:val="00F93325"/>
    <w:rsid w:val="00F93551"/>
    <w:rsid w:val="00F93656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824"/>
    <w:rsid w:val="00FA09AD"/>
    <w:rsid w:val="00FA0E01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0E19"/>
    <w:rsid w:val="00FB1532"/>
    <w:rsid w:val="00FB1B5D"/>
    <w:rsid w:val="00FB222F"/>
    <w:rsid w:val="00FB22C6"/>
    <w:rsid w:val="00FB2918"/>
    <w:rsid w:val="00FB2C82"/>
    <w:rsid w:val="00FB3B3F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6BC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5D2C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D6F13"/>
    <w:rsid w:val="00FE1360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5B2"/>
    <w:rsid w:val="00FF5AD8"/>
    <w:rsid w:val="00FF628C"/>
    <w:rsid w:val="00FF65B4"/>
    <w:rsid w:val="00FF660B"/>
    <w:rsid w:val="00FF69FD"/>
    <w:rsid w:val="00FF6A0A"/>
    <w:rsid w:val="00FF6D60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eoff.buchanan@actcoss.org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crc@act.gov.a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rc.act.gov.au/energy/electricity/retail-electricity-prices-2020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8ABEB-AADE-4EE0-BB5B-A8F890637079}">
  <ds:schemaRefs>
    <ds:schemaRef ds:uri="32918964-d11d-4bda-ba04-9b8184f6a1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8CF29-0C03-4818-8963-D24FB612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ACT Council of Social Service</Company>
  <LinksUpToDate>false</LinksUpToDate>
  <CharactersWithSpaces>9970</CharactersWithSpaces>
  <SharedDoc>false</SharedDoc>
  <HLinks>
    <vt:vector size="18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Consultation Draft: ACT Retail Electricity (Transparency and Comparability) Code Guideline</dc:title>
  <dc:subject/>
  <dc:creator/>
  <cp:keywords/>
  <cp:lastModifiedBy>Suzanne R</cp:lastModifiedBy>
  <cp:revision>220</cp:revision>
  <cp:lastPrinted>2011-07-21T10:29:00Z</cp:lastPrinted>
  <dcterms:created xsi:type="dcterms:W3CDTF">2021-08-05T04:30:00Z</dcterms:created>
  <dcterms:modified xsi:type="dcterms:W3CDTF">2022-01-20T22:33:00Z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  <property fmtid="{D5CDD505-2E9C-101B-9397-08002B2CF9AE}" pid="5" name="_MarkAsFinal">
    <vt:bool>true</vt:bool>
  </property>
</Properties>
</file>